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20DD84">
      <w:pPr>
        <w:pStyle w:val="9"/>
        <w:kinsoku w:val="0"/>
        <w:overflowPunct w:val="0"/>
        <w:rPr>
          <w:rFonts w:hint="eastAsia" w:ascii="宋体" w:hAnsi="宋体" w:eastAsia="宋体" w:cs="宋体"/>
          <w:sz w:val="20"/>
        </w:rPr>
      </w:pPr>
      <w:bookmarkStart w:id="0" w:name="_Toc217446030"/>
      <w:bookmarkStart w:id="1" w:name="_Toc183682338"/>
      <w:r>
        <w:rPr>
          <w:rFonts w:hint="eastAsia" w:ascii="宋体" w:hAnsi="宋体" w:eastAsia="宋体" w:cs="宋体"/>
          <w:lang w:eastAsia="zh-CN"/>
        </w:rPr>
        <w:drawing>
          <wp:anchor distT="0" distB="0" distL="114300" distR="114300" simplePos="0" relativeHeight="251659264" behindDoc="1" locked="0" layoutInCell="1" allowOverlap="1">
            <wp:simplePos x="0" y="0"/>
            <wp:positionH relativeFrom="column">
              <wp:posOffset>-1005840</wp:posOffset>
            </wp:positionH>
            <wp:positionV relativeFrom="paragraph">
              <wp:posOffset>-914400</wp:posOffset>
            </wp:positionV>
            <wp:extent cx="7654290" cy="10781030"/>
            <wp:effectExtent l="0" t="0" r="11430" b="8890"/>
            <wp:wrapNone/>
            <wp:docPr id="1" name="图片 2" descr="2-2-3辅助图形3白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2-2-3辅助图形3白底"/>
                    <pic:cNvPicPr>
                      <a:picLocks noChangeAspect="1"/>
                    </pic:cNvPicPr>
                  </pic:nvPicPr>
                  <pic:blipFill>
                    <a:blip r:embed="rId21"/>
                    <a:stretch>
                      <a:fillRect/>
                    </a:stretch>
                  </pic:blipFill>
                  <pic:spPr>
                    <a:xfrm>
                      <a:off x="0" y="0"/>
                      <a:ext cx="7654290" cy="10781030"/>
                    </a:xfrm>
                    <a:prstGeom prst="rect">
                      <a:avLst/>
                    </a:prstGeom>
                    <a:noFill/>
                    <a:ln>
                      <a:noFill/>
                    </a:ln>
                  </pic:spPr>
                </pic:pic>
              </a:graphicData>
            </a:graphic>
          </wp:anchor>
        </w:drawing>
      </w:r>
    </w:p>
    <w:p w14:paraId="28B66E54">
      <w:pPr>
        <w:tabs>
          <w:tab w:val="left" w:pos="1710"/>
        </w:tabs>
        <w:rPr>
          <w:rFonts w:hint="eastAsia" w:ascii="宋体" w:hAnsi="宋体" w:eastAsia="宋体" w:cs="宋体"/>
        </w:rPr>
      </w:pPr>
      <w:r>
        <w:rPr>
          <w:rFonts w:hint="eastAsia" w:ascii="宋体" w:hAnsi="宋体" w:eastAsia="宋体" w:cs="宋体"/>
          <w:lang w:eastAsia="zh-CN"/>
        </w:rPr>
        <w:drawing>
          <wp:anchor distT="0" distB="0" distL="114300" distR="114300" simplePos="0" relativeHeight="251660288" behindDoc="0" locked="0" layoutInCell="1" allowOverlap="1">
            <wp:simplePos x="0" y="0"/>
            <wp:positionH relativeFrom="column">
              <wp:posOffset>534035</wp:posOffset>
            </wp:positionH>
            <wp:positionV relativeFrom="paragraph">
              <wp:posOffset>144145</wp:posOffset>
            </wp:positionV>
            <wp:extent cx="4654550" cy="584200"/>
            <wp:effectExtent l="0" t="0" r="8890" b="10160"/>
            <wp:wrapNone/>
            <wp:docPr id="2" name="图片 7" descr="1-2-1LOGO中英文全称横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7" descr="1-2-1LOGO中英文全称横式"/>
                    <pic:cNvPicPr>
                      <a:picLocks noChangeAspect="1"/>
                    </pic:cNvPicPr>
                  </pic:nvPicPr>
                  <pic:blipFill>
                    <a:blip r:embed="rId22"/>
                    <a:stretch>
                      <a:fillRect/>
                    </a:stretch>
                  </pic:blipFill>
                  <pic:spPr>
                    <a:xfrm>
                      <a:off x="0" y="0"/>
                      <a:ext cx="4654550" cy="584200"/>
                    </a:xfrm>
                    <a:prstGeom prst="rect">
                      <a:avLst/>
                    </a:prstGeom>
                    <a:noFill/>
                    <a:ln>
                      <a:noFill/>
                    </a:ln>
                  </pic:spPr>
                </pic:pic>
              </a:graphicData>
            </a:graphic>
          </wp:anchor>
        </w:drawing>
      </w:r>
    </w:p>
    <w:p w14:paraId="1B2370CC">
      <w:pPr>
        <w:tabs>
          <w:tab w:val="left" w:pos="1710"/>
        </w:tabs>
        <w:rPr>
          <w:rFonts w:hint="eastAsia" w:ascii="宋体" w:hAnsi="宋体" w:eastAsia="宋体" w:cs="宋体"/>
        </w:rPr>
      </w:pPr>
    </w:p>
    <w:p w14:paraId="08B1F1CE">
      <w:pPr>
        <w:tabs>
          <w:tab w:val="left" w:pos="1710"/>
        </w:tabs>
        <w:rPr>
          <w:rFonts w:hint="eastAsia" w:ascii="宋体" w:hAnsi="宋体" w:eastAsia="宋体" w:cs="宋体"/>
        </w:rPr>
      </w:pPr>
    </w:p>
    <w:p w14:paraId="2120D930">
      <w:pPr>
        <w:tabs>
          <w:tab w:val="left" w:pos="1710"/>
        </w:tabs>
        <w:rPr>
          <w:rFonts w:hint="eastAsia" w:ascii="宋体" w:hAnsi="宋体" w:eastAsia="宋体" w:cs="宋体"/>
        </w:rPr>
      </w:pPr>
    </w:p>
    <w:p w14:paraId="354BDB2D">
      <w:pPr>
        <w:tabs>
          <w:tab w:val="left" w:pos="1710"/>
        </w:tabs>
        <w:rPr>
          <w:rFonts w:hint="eastAsia" w:ascii="宋体" w:hAnsi="宋体" w:eastAsia="宋体" w:cs="宋体"/>
        </w:rPr>
      </w:pPr>
    </w:p>
    <w:p w14:paraId="4EAE9A67">
      <w:pPr>
        <w:tabs>
          <w:tab w:val="left" w:pos="1710"/>
        </w:tabs>
        <w:rPr>
          <w:rFonts w:hint="eastAsia" w:ascii="宋体" w:hAnsi="宋体" w:eastAsia="宋体" w:cs="宋体"/>
        </w:rPr>
      </w:pPr>
    </w:p>
    <w:p w14:paraId="65665353">
      <w:pPr>
        <w:tabs>
          <w:tab w:val="left" w:pos="1710"/>
        </w:tabs>
        <w:rPr>
          <w:rFonts w:hint="eastAsia" w:ascii="宋体" w:hAnsi="宋体" w:eastAsia="宋体" w:cs="宋体"/>
        </w:rPr>
      </w:pPr>
    </w:p>
    <w:p w14:paraId="72EC34A3">
      <w:pPr>
        <w:tabs>
          <w:tab w:val="left" w:pos="1710"/>
        </w:tabs>
        <w:rPr>
          <w:rFonts w:hint="eastAsia" w:ascii="宋体" w:hAnsi="宋体" w:eastAsia="宋体" w:cs="宋体"/>
        </w:rPr>
      </w:pPr>
    </w:p>
    <w:p w14:paraId="4BB51CAA">
      <w:pPr>
        <w:tabs>
          <w:tab w:val="left" w:pos="1710"/>
        </w:tabs>
        <w:rPr>
          <w:rFonts w:hint="eastAsia" w:ascii="宋体" w:hAnsi="宋体" w:eastAsia="宋体" w:cs="宋体"/>
        </w:rPr>
      </w:pPr>
    </w:p>
    <w:p w14:paraId="7B658D6C">
      <w:pPr>
        <w:tabs>
          <w:tab w:val="left" w:pos="1710"/>
        </w:tabs>
        <w:rPr>
          <w:rFonts w:hint="eastAsia" w:ascii="宋体" w:hAnsi="宋体" w:eastAsia="宋体" w:cs="宋体"/>
        </w:rPr>
      </w:pPr>
    </w:p>
    <w:tbl>
      <w:tblPr>
        <w:tblStyle w:val="15"/>
        <w:tblW w:w="77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4"/>
        <w:gridCol w:w="6031"/>
      </w:tblGrid>
      <w:tr w14:paraId="200FD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7795" w:type="dxa"/>
            <w:gridSpan w:val="2"/>
            <w:tcBorders>
              <w:top w:val="nil"/>
              <w:left w:val="nil"/>
              <w:right w:val="nil"/>
            </w:tcBorders>
            <w:noWrap w:val="0"/>
            <w:vAlign w:val="top"/>
          </w:tcPr>
          <w:p w14:paraId="6D335A87">
            <w:pPr>
              <w:snapToGrid w:val="0"/>
              <w:spacing w:line="240" w:lineRule="atLeast"/>
              <w:jc w:val="center"/>
              <w:rPr>
                <w:rFonts w:hint="eastAsia" w:ascii="宋体" w:hAnsi="宋体" w:eastAsia="宋体" w:cs="宋体"/>
                <w:b/>
                <w:sz w:val="60"/>
                <w:szCs w:val="60"/>
              </w:rPr>
            </w:pPr>
            <w:r>
              <w:rPr>
                <w:rFonts w:hint="eastAsia" w:ascii="宋体" w:hAnsi="宋体" w:eastAsia="宋体" w:cs="宋体"/>
                <w:b/>
                <w:sz w:val="60"/>
                <w:szCs w:val="60"/>
              </w:rPr>
              <w:t>采购文件</w:t>
            </w:r>
          </w:p>
        </w:tc>
      </w:tr>
      <w:tr w14:paraId="06B5C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noWrap w:val="0"/>
            <w:vAlign w:val="center"/>
          </w:tcPr>
          <w:p w14:paraId="5B8B03AB">
            <w:pPr>
              <w:rPr>
                <w:rFonts w:hint="eastAsia" w:ascii="宋体" w:hAnsi="宋体" w:eastAsia="宋体" w:cs="宋体"/>
                <w:b/>
                <w:sz w:val="32"/>
                <w:szCs w:val="32"/>
              </w:rPr>
            </w:pPr>
            <w:r>
              <w:rPr>
                <w:rFonts w:hint="eastAsia" w:ascii="宋体" w:hAnsi="宋体" w:eastAsia="宋体" w:cs="宋体"/>
                <w:b/>
                <w:sz w:val="32"/>
                <w:szCs w:val="32"/>
              </w:rPr>
              <w:t>项目名称：</w:t>
            </w:r>
          </w:p>
        </w:tc>
        <w:tc>
          <w:tcPr>
            <w:tcW w:w="6031" w:type="dxa"/>
            <w:noWrap w:val="0"/>
            <w:vAlign w:val="center"/>
          </w:tcPr>
          <w:p w14:paraId="18C402FD">
            <w:pPr>
              <w:rPr>
                <w:rFonts w:hint="eastAsia" w:ascii="宋体" w:hAnsi="宋体" w:eastAsia="宋体" w:cs="宋体"/>
                <w:b/>
                <w:color w:val="auto"/>
                <w:sz w:val="32"/>
                <w:szCs w:val="32"/>
              </w:rPr>
            </w:pPr>
            <w:r>
              <w:rPr>
                <w:rFonts w:hint="eastAsia" w:ascii="宋体" w:hAnsi="宋体" w:eastAsia="宋体" w:cs="宋体"/>
                <w:b/>
                <w:color w:val="auto"/>
                <w:sz w:val="32"/>
                <w:szCs w:val="32"/>
              </w:rPr>
              <w:t>柳州市人民医院眼科手术室装修改造工程</w:t>
            </w:r>
          </w:p>
        </w:tc>
      </w:tr>
      <w:tr w14:paraId="79265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noWrap w:val="0"/>
            <w:vAlign w:val="center"/>
          </w:tcPr>
          <w:p w14:paraId="19883D78">
            <w:pPr>
              <w:rPr>
                <w:rFonts w:hint="eastAsia" w:ascii="宋体" w:hAnsi="宋体" w:eastAsia="宋体" w:cs="宋体"/>
                <w:b/>
                <w:sz w:val="32"/>
                <w:szCs w:val="32"/>
              </w:rPr>
            </w:pPr>
            <w:r>
              <w:rPr>
                <w:rFonts w:hint="eastAsia" w:ascii="宋体" w:hAnsi="宋体" w:eastAsia="宋体" w:cs="宋体"/>
                <w:b/>
                <w:sz w:val="32"/>
                <w:szCs w:val="32"/>
              </w:rPr>
              <w:t>项目编号：</w:t>
            </w:r>
          </w:p>
        </w:tc>
        <w:tc>
          <w:tcPr>
            <w:tcW w:w="6031" w:type="dxa"/>
            <w:noWrap w:val="0"/>
            <w:vAlign w:val="center"/>
          </w:tcPr>
          <w:p w14:paraId="186AA6FD">
            <w:pPr>
              <w:rPr>
                <w:rFonts w:hint="eastAsia" w:ascii="宋体" w:hAnsi="宋体" w:eastAsia="宋体" w:cs="宋体"/>
                <w:b/>
                <w:sz w:val="32"/>
                <w:szCs w:val="32"/>
                <w:lang w:eastAsia="zh-CN"/>
              </w:rPr>
            </w:pPr>
            <w:r>
              <w:rPr>
                <w:rFonts w:hint="eastAsia" w:ascii="宋体" w:hAnsi="宋体" w:cs="宋体"/>
                <w:b/>
                <w:color w:val="auto"/>
                <w:sz w:val="32"/>
                <w:szCs w:val="32"/>
                <w:lang w:eastAsia="zh-CN"/>
              </w:rPr>
              <w:t>LZZC2026-C2-990422-JDZB</w:t>
            </w:r>
          </w:p>
        </w:tc>
      </w:tr>
      <w:tr w14:paraId="4F5B7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noWrap w:val="0"/>
            <w:vAlign w:val="center"/>
          </w:tcPr>
          <w:p w14:paraId="6BA38ECF">
            <w:pPr>
              <w:rPr>
                <w:rFonts w:hint="eastAsia" w:ascii="宋体" w:hAnsi="宋体" w:eastAsia="宋体" w:cs="宋体"/>
                <w:b/>
                <w:sz w:val="32"/>
                <w:szCs w:val="32"/>
              </w:rPr>
            </w:pPr>
            <w:r>
              <w:rPr>
                <w:rFonts w:hint="eastAsia" w:ascii="宋体" w:hAnsi="宋体" w:eastAsia="宋体" w:cs="宋体"/>
                <w:b/>
                <w:sz w:val="32"/>
                <w:szCs w:val="32"/>
              </w:rPr>
              <w:t>联系电话：</w:t>
            </w:r>
          </w:p>
        </w:tc>
        <w:tc>
          <w:tcPr>
            <w:tcW w:w="6031" w:type="dxa"/>
            <w:noWrap w:val="0"/>
            <w:vAlign w:val="center"/>
          </w:tcPr>
          <w:p w14:paraId="3F0A254A">
            <w:pPr>
              <w:rPr>
                <w:rFonts w:hint="eastAsia" w:ascii="宋体" w:hAnsi="宋体" w:eastAsia="宋体" w:cs="宋体"/>
                <w:b/>
                <w:sz w:val="32"/>
                <w:szCs w:val="32"/>
                <w:lang w:val="en-US" w:eastAsia="zh-CN"/>
              </w:rPr>
            </w:pPr>
            <w:r>
              <w:rPr>
                <w:rFonts w:hint="eastAsia" w:ascii="宋体" w:hAnsi="宋体" w:eastAsia="宋体" w:cs="宋体"/>
                <w:b/>
                <w:color w:val="auto"/>
                <w:sz w:val="32"/>
                <w:szCs w:val="32"/>
              </w:rPr>
              <w:t>077</w:t>
            </w:r>
            <w:r>
              <w:rPr>
                <w:rFonts w:hint="eastAsia" w:ascii="宋体" w:hAnsi="宋体" w:eastAsia="宋体" w:cs="宋体"/>
                <w:b/>
                <w:color w:val="auto"/>
                <w:sz w:val="32"/>
                <w:szCs w:val="32"/>
                <w:lang w:val="en-US" w:eastAsia="zh-CN"/>
              </w:rPr>
              <w:t>2</w:t>
            </w:r>
            <w:r>
              <w:rPr>
                <w:rFonts w:hint="eastAsia" w:ascii="宋体" w:hAnsi="宋体" w:eastAsia="宋体" w:cs="宋体"/>
                <w:b/>
                <w:color w:val="auto"/>
                <w:sz w:val="32"/>
                <w:szCs w:val="32"/>
              </w:rPr>
              <w:t>-</w:t>
            </w:r>
            <w:r>
              <w:rPr>
                <w:rFonts w:hint="eastAsia" w:ascii="宋体" w:hAnsi="宋体" w:eastAsia="宋体" w:cs="宋体"/>
                <w:b/>
                <w:color w:val="auto"/>
                <w:sz w:val="32"/>
                <w:szCs w:val="32"/>
                <w:lang w:val="en-US" w:eastAsia="zh-CN"/>
              </w:rPr>
              <w:t>3700157</w:t>
            </w:r>
          </w:p>
        </w:tc>
      </w:tr>
      <w:tr w14:paraId="1BA7A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noWrap w:val="0"/>
            <w:vAlign w:val="center"/>
          </w:tcPr>
          <w:p w14:paraId="63C4D44A">
            <w:pPr>
              <w:rPr>
                <w:rFonts w:hint="eastAsia" w:ascii="宋体" w:hAnsi="宋体" w:eastAsia="宋体" w:cs="宋体"/>
                <w:b/>
                <w:sz w:val="32"/>
                <w:szCs w:val="32"/>
              </w:rPr>
            </w:pPr>
            <w:r>
              <w:rPr>
                <w:rFonts w:hint="eastAsia" w:ascii="宋体" w:hAnsi="宋体" w:eastAsia="宋体" w:cs="宋体"/>
                <w:b/>
                <w:sz w:val="32"/>
                <w:szCs w:val="32"/>
              </w:rPr>
              <w:t>采购方式：</w:t>
            </w:r>
          </w:p>
        </w:tc>
        <w:tc>
          <w:tcPr>
            <w:tcW w:w="6031" w:type="dxa"/>
            <w:noWrap w:val="0"/>
            <w:vAlign w:val="center"/>
          </w:tcPr>
          <w:p w14:paraId="1F67BC10">
            <w:pPr>
              <w:rPr>
                <w:rFonts w:hint="eastAsia" w:ascii="宋体" w:hAnsi="宋体" w:eastAsia="宋体" w:cs="宋体"/>
                <w:b/>
                <w:sz w:val="32"/>
                <w:szCs w:val="32"/>
              </w:rPr>
            </w:pPr>
            <w:r>
              <w:rPr>
                <w:rFonts w:hint="eastAsia" w:ascii="宋体" w:hAnsi="宋体" w:eastAsia="宋体" w:cs="宋体"/>
                <w:b/>
                <w:sz w:val="32"/>
                <w:szCs w:val="32"/>
              </w:rPr>
              <w:t>竞争性磋商</w:t>
            </w:r>
          </w:p>
        </w:tc>
      </w:tr>
    </w:tbl>
    <w:p w14:paraId="395AC265">
      <w:pPr>
        <w:tabs>
          <w:tab w:val="left" w:pos="1710"/>
        </w:tabs>
        <w:rPr>
          <w:rFonts w:hint="eastAsia" w:ascii="宋体" w:hAnsi="宋体" w:eastAsia="宋体" w:cs="宋体"/>
        </w:rPr>
      </w:pPr>
    </w:p>
    <w:p w14:paraId="0DA01BCF">
      <w:pPr>
        <w:rPr>
          <w:rFonts w:hint="eastAsia" w:ascii="宋体" w:hAnsi="宋体" w:eastAsia="宋体" w:cs="宋体"/>
        </w:rPr>
      </w:pPr>
    </w:p>
    <w:p w14:paraId="1A91C3BF">
      <w:pPr>
        <w:rPr>
          <w:rFonts w:hint="eastAsia" w:ascii="宋体" w:hAnsi="宋体" w:eastAsia="宋体" w:cs="宋体"/>
        </w:rPr>
      </w:pPr>
    </w:p>
    <w:p w14:paraId="3D83FBC2">
      <w:pPr>
        <w:rPr>
          <w:rFonts w:hint="eastAsia" w:ascii="宋体" w:hAnsi="宋体" w:eastAsia="宋体" w:cs="宋体"/>
        </w:rPr>
      </w:pPr>
    </w:p>
    <w:p w14:paraId="02B2F7E7">
      <w:pPr>
        <w:rPr>
          <w:rFonts w:hint="eastAsia" w:ascii="宋体" w:hAnsi="宋体" w:eastAsia="宋体" w:cs="宋体"/>
        </w:rPr>
      </w:pPr>
    </w:p>
    <w:p w14:paraId="74F11D68">
      <w:pPr>
        <w:rPr>
          <w:rFonts w:hint="eastAsia" w:ascii="宋体" w:hAnsi="宋体" w:eastAsia="宋体" w:cs="宋体"/>
        </w:rPr>
      </w:pPr>
    </w:p>
    <w:p w14:paraId="0BEEBF8A">
      <w:pPr>
        <w:rPr>
          <w:rFonts w:hint="eastAsia" w:ascii="宋体" w:hAnsi="宋体" w:eastAsia="宋体" w:cs="宋体"/>
        </w:rPr>
      </w:pPr>
    </w:p>
    <w:p w14:paraId="594CED14">
      <w:pPr>
        <w:rPr>
          <w:rFonts w:hint="eastAsia" w:ascii="宋体" w:hAnsi="宋体" w:eastAsia="宋体" w:cs="宋体"/>
        </w:rPr>
      </w:pPr>
    </w:p>
    <w:p w14:paraId="59991908">
      <w:pPr>
        <w:rPr>
          <w:rFonts w:hint="eastAsia" w:ascii="宋体" w:hAnsi="宋体" w:eastAsia="宋体" w:cs="宋体"/>
        </w:rPr>
      </w:pPr>
    </w:p>
    <w:p w14:paraId="3E4F6C45">
      <w:pPr>
        <w:rPr>
          <w:rFonts w:hint="eastAsia" w:ascii="宋体" w:hAnsi="宋体" w:eastAsia="宋体" w:cs="宋体"/>
        </w:rPr>
      </w:pPr>
    </w:p>
    <w:p w14:paraId="07F3FCB5">
      <w:pPr>
        <w:rPr>
          <w:rFonts w:hint="eastAsia" w:ascii="宋体" w:hAnsi="宋体" w:eastAsia="宋体" w:cs="宋体"/>
        </w:rPr>
      </w:pPr>
    </w:p>
    <w:p w14:paraId="1BFE17EF">
      <w:pPr>
        <w:rPr>
          <w:rFonts w:hint="eastAsia" w:ascii="宋体" w:hAnsi="宋体" w:eastAsia="宋体" w:cs="宋体"/>
        </w:rPr>
      </w:pPr>
    </w:p>
    <w:p w14:paraId="052590B6">
      <w:pPr>
        <w:rPr>
          <w:rFonts w:hint="eastAsia" w:ascii="宋体" w:hAnsi="宋体" w:eastAsia="宋体" w:cs="宋体"/>
        </w:rPr>
      </w:pPr>
    </w:p>
    <w:p w14:paraId="61682B7B">
      <w:pPr>
        <w:rPr>
          <w:rFonts w:hint="eastAsia" w:ascii="宋体" w:hAnsi="宋体" w:eastAsia="宋体" w:cs="宋体"/>
        </w:rPr>
      </w:pPr>
    </w:p>
    <w:p w14:paraId="18C85C18">
      <w:pPr>
        <w:rPr>
          <w:rFonts w:hint="eastAsia" w:ascii="宋体" w:hAnsi="宋体" w:eastAsia="宋体" w:cs="宋体"/>
        </w:rPr>
      </w:pPr>
    </w:p>
    <w:tbl>
      <w:tblPr>
        <w:tblStyle w:val="15"/>
        <w:tblW w:w="8284" w:type="dxa"/>
        <w:jc w:val="center"/>
        <w:tblLayout w:type="fixed"/>
        <w:tblCellMar>
          <w:top w:w="0" w:type="dxa"/>
          <w:left w:w="108" w:type="dxa"/>
          <w:bottom w:w="0" w:type="dxa"/>
          <w:right w:w="108" w:type="dxa"/>
        </w:tblCellMar>
      </w:tblPr>
      <w:tblGrid>
        <w:gridCol w:w="2707"/>
        <w:gridCol w:w="6"/>
        <w:gridCol w:w="5571"/>
      </w:tblGrid>
      <w:tr w14:paraId="0FEF3443">
        <w:tblPrEx>
          <w:tblCellMar>
            <w:top w:w="0" w:type="dxa"/>
            <w:left w:w="108" w:type="dxa"/>
            <w:bottom w:w="0" w:type="dxa"/>
            <w:right w:w="108" w:type="dxa"/>
          </w:tblCellMar>
        </w:tblPrEx>
        <w:trPr>
          <w:trHeight w:val="703" w:hRule="atLeast"/>
          <w:jc w:val="center"/>
        </w:trPr>
        <w:tc>
          <w:tcPr>
            <w:tcW w:w="2707" w:type="dxa"/>
            <w:noWrap w:val="0"/>
            <w:vAlign w:val="center"/>
          </w:tcPr>
          <w:p w14:paraId="245FEED7">
            <w:pPr>
              <w:autoSpaceDE w:val="0"/>
              <w:autoSpaceDN w:val="0"/>
              <w:adjustRightInd w:val="0"/>
              <w:jc w:val="right"/>
              <w:rPr>
                <w:rFonts w:hint="eastAsia" w:ascii="宋体" w:hAnsi="宋体" w:eastAsia="宋体" w:cs="宋体"/>
                <w:b/>
                <w:sz w:val="32"/>
                <w:szCs w:val="32"/>
              </w:rPr>
            </w:pPr>
            <w:r>
              <w:rPr>
                <w:rFonts w:hint="eastAsia" w:ascii="宋体" w:hAnsi="宋体" w:eastAsia="宋体" w:cs="宋体"/>
                <w:b/>
                <w:sz w:val="32"/>
                <w:szCs w:val="32"/>
              </w:rPr>
              <w:t xml:space="preserve">  采购人：</w:t>
            </w:r>
          </w:p>
        </w:tc>
        <w:tc>
          <w:tcPr>
            <w:tcW w:w="5577" w:type="dxa"/>
            <w:gridSpan w:val="2"/>
            <w:noWrap w:val="0"/>
            <w:vAlign w:val="center"/>
          </w:tcPr>
          <w:p w14:paraId="78B13805">
            <w:pPr>
              <w:autoSpaceDE w:val="0"/>
              <w:autoSpaceDN w:val="0"/>
              <w:adjustRightInd w:val="0"/>
              <w:jc w:val="left"/>
              <w:rPr>
                <w:rFonts w:hint="eastAsia" w:ascii="宋体" w:hAnsi="宋体" w:eastAsia="宋体" w:cs="宋体"/>
                <w:b/>
                <w:sz w:val="32"/>
                <w:szCs w:val="32"/>
                <w:lang w:eastAsia="zh-CN"/>
              </w:rPr>
            </w:pPr>
            <w:r>
              <w:rPr>
                <w:rFonts w:hint="eastAsia" w:ascii="宋体" w:hAnsi="宋体" w:eastAsia="宋体" w:cs="宋体"/>
                <w:b/>
                <w:color w:val="auto"/>
                <w:sz w:val="32"/>
                <w:szCs w:val="32"/>
                <w:lang w:eastAsia="zh-CN"/>
              </w:rPr>
              <w:t>柳州市人民医院</w:t>
            </w:r>
          </w:p>
        </w:tc>
      </w:tr>
      <w:tr w14:paraId="5AE15293">
        <w:tblPrEx>
          <w:tblCellMar>
            <w:top w:w="0" w:type="dxa"/>
            <w:left w:w="108" w:type="dxa"/>
            <w:bottom w:w="0" w:type="dxa"/>
            <w:right w:w="108" w:type="dxa"/>
          </w:tblCellMar>
        </w:tblPrEx>
        <w:trPr>
          <w:trHeight w:val="703" w:hRule="atLeast"/>
          <w:jc w:val="center"/>
        </w:trPr>
        <w:tc>
          <w:tcPr>
            <w:tcW w:w="2713" w:type="dxa"/>
            <w:gridSpan w:val="2"/>
            <w:noWrap w:val="0"/>
            <w:vAlign w:val="top"/>
          </w:tcPr>
          <w:p w14:paraId="7B2C983C">
            <w:pPr>
              <w:autoSpaceDE w:val="0"/>
              <w:autoSpaceDN w:val="0"/>
              <w:adjustRightInd w:val="0"/>
              <w:jc w:val="right"/>
              <w:rPr>
                <w:rFonts w:hint="eastAsia" w:ascii="宋体" w:hAnsi="宋体" w:eastAsia="宋体" w:cs="宋体"/>
                <w:b/>
                <w:sz w:val="32"/>
                <w:szCs w:val="32"/>
              </w:rPr>
            </w:pPr>
            <w:r>
              <w:rPr>
                <w:rFonts w:hint="eastAsia" w:ascii="宋体" w:hAnsi="宋体" w:eastAsia="宋体" w:cs="宋体"/>
                <w:b/>
                <w:sz w:val="32"/>
                <w:szCs w:val="32"/>
              </w:rPr>
              <w:t>采购代理机构：</w:t>
            </w:r>
          </w:p>
        </w:tc>
        <w:tc>
          <w:tcPr>
            <w:tcW w:w="5571" w:type="dxa"/>
            <w:noWrap w:val="0"/>
            <w:vAlign w:val="top"/>
          </w:tcPr>
          <w:p w14:paraId="59BB94C6">
            <w:pPr>
              <w:autoSpaceDE w:val="0"/>
              <w:autoSpaceDN w:val="0"/>
              <w:adjustRightInd w:val="0"/>
              <w:rPr>
                <w:rFonts w:hint="eastAsia" w:ascii="宋体" w:hAnsi="宋体" w:eastAsia="宋体" w:cs="宋体"/>
                <w:b/>
                <w:sz w:val="32"/>
                <w:szCs w:val="32"/>
                <w:u w:val="single"/>
              </w:rPr>
            </w:pPr>
            <w:r>
              <w:rPr>
                <w:rFonts w:hint="eastAsia" w:ascii="宋体" w:hAnsi="宋体" w:eastAsia="宋体" w:cs="宋体"/>
                <w:b/>
                <w:sz w:val="32"/>
                <w:szCs w:val="32"/>
              </w:rPr>
              <w:t>广西机电设备招标有限公司</w:t>
            </w:r>
          </w:p>
        </w:tc>
      </w:tr>
    </w:tbl>
    <w:p w14:paraId="59DDAA2B">
      <w:pPr>
        <w:rPr>
          <w:rFonts w:hint="eastAsia" w:ascii="宋体" w:hAnsi="宋体" w:eastAsia="宋体" w:cs="宋体"/>
        </w:rPr>
      </w:pPr>
    </w:p>
    <w:p w14:paraId="0D1A5A03">
      <w:pPr>
        <w:ind w:firstLine="321" w:firstLineChars="100"/>
        <w:jc w:val="center"/>
        <w:rPr>
          <w:rFonts w:hint="eastAsia" w:ascii="宋体" w:hAnsi="宋体" w:eastAsia="宋体" w:cs="宋体"/>
          <w:b/>
          <w:color w:val="auto"/>
          <w:sz w:val="32"/>
          <w:szCs w:val="32"/>
        </w:rPr>
        <w:sectPr>
          <w:headerReference r:id="rId3" w:type="first"/>
          <w:footerReference r:id="rId5" w:type="first"/>
          <w:footerReference r:id="rId4" w:type="default"/>
          <w:pgSz w:w="11906" w:h="16838"/>
          <w:pgMar w:top="1418" w:right="1418" w:bottom="1417" w:left="1418" w:header="851" w:footer="992" w:gutter="0"/>
          <w:pgNumType w:start="0"/>
          <w:cols w:space="720" w:num="1"/>
          <w:titlePg/>
          <w:docGrid w:linePitch="312" w:charSpace="0"/>
        </w:sectPr>
      </w:pPr>
      <w:r>
        <w:rPr>
          <w:rFonts w:hint="eastAsia" w:ascii="宋体" w:hAnsi="宋体" w:eastAsia="宋体" w:cs="宋体"/>
          <w:b/>
          <w:color w:val="auto"/>
          <w:sz w:val="32"/>
          <w:szCs w:val="32"/>
        </w:rPr>
        <w:t>202</w:t>
      </w:r>
      <w:r>
        <w:rPr>
          <w:rFonts w:hint="eastAsia" w:ascii="宋体" w:hAnsi="宋体" w:eastAsia="宋体" w:cs="宋体"/>
          <w:b/>
          <w:color w:val="auto"/>
          <w:sz w:val="32"/>
          <w:szCs w:val="32"/>
          <w:lang w:val="en-US" w:eastAsia="zh-CN"/>
        </w:rPr>
        <w:t>6</w:t>
      </w:r>
      <w:r>
        <w:rPr>
          <w:rFonts w:hint="eastAsia" w:ascii="宋体" w:hAnsi="宋体" w:eastAsia="宋体" w:cs="宋体"/>
          <w:b/>
          <w:color w:val="auto"/>
          <w:sz w:val="32"/>
          <w:szCs w:val="32"/>
        </w:rPr>
        <w:t>年</w:t>
      </w:r>
      <w:r>
        <w:rPr>
          <w:rFonts w:hint="eastAsia" w:ascii="宋体" w:hAnsi="宋体" w:cs="宋体"/>
          <w:b/>
          <w:color w:val="auto"/>
          <w:sz w:val="32"/>
          <w:szCs w:val="32"/>
          <w:lang w:val="en-US" w:eastAsia="zh-CN"/>
        </w:rPr>
        <w:t>07</w:t>
      </w:r>
      <w:r>
        <w:rPr>
          <w:rFonts w:hint="eastAsia" w:ascii="宋体" w:hAnsi="宋体" w:eastAsia="宋体" w:cs="宋体"/>
          <w:b/>
          <w:color w:val="auto"/>
          <w:sz w:val="32"/>
          <w:szCs w:val="32"/>
        </w:rPr>
        <w:t>月</w:t>
      </w:r>
    </w:p>
    <w:p w14:paraId="5A962A6C">
      <w:pPr>
        <w:rPr>
          <w:rFonts w:hint="eastAsia" w:ascii="宋体" w:hAnsi="宋体" w:eastAsia="宋体" w:cs="宋体"/>
          <w:sz w:val="32"/>
          <w:szCs w:val="32"/>
        </w:rPr>
      </w:pPr>
    </w:p>
    <w:p w14:paraId="65F83BA1">
      <w:pPr>
        <w:pStyle w:val="11"/>
        <w:snapToGrid w:val="0"/>
        <w:spacing w:before="120" w:after="120" w:line="320" w:lineRule="exact"/>
        <w:jc w:val="center"/>
        <w:outlineLvl w:val="0"/>
        <w:rPr>
          <w:rFonts w:hint="eastAsia" w:ascii="宋体" w:hAnsi="宋体" w:eastAsia="宋体" w:cs="宋体"/>
          <w:b/>
          <w:bCs/>
          <w:sz w:val="32"/>
          <w:szCs w:val="32"/>
        </w:rPr>
      </w:pPr>
      <w:bookmarkStart w:id="2" w:name="_Toc89186348"/>
      <w:bookmarkStart w:id="3" w:name="_Toc17862"/>
      <w:bookmarkStart w:id="4" w:name="_Toc23183402"/>
      <w:bookmarkStart w:id="5" w:name="_Toc503889276"/>
      <w:bookmarkStart w:id="6" w:name="_Toc4089"/>
      <w:bookmarkStart w:id="7" w:name="_Toc483235754"/>
      <w:r>
        <w:rPr>
          <w:rFonts w:hint="eastAsia" w:ascii="宋体" w:hAnsi="宋体" w:eastAsia="宋体" w:cs="宋体"/>
          <w:b/>
          <w:bCs/>
          <w:sz w:val="32"/>
          <w:szCs w:val="32"/>
        </w:rPr>
        <w:t>目    录</w:t>
      </w:r>
      <w:bookmarkEnd w:id="2"/>
      <w:bookmarkEnd w:id="3"/>
      <w:bookmarkEnd w:id="4"/>
      <w:bookmarkEnd w:id="5"/>
      <w:bookmarkEnd w:id="6"/>
      <w:bookmarkEnd w:id="7"/>
    </w:p>
    <w:p w14:paraId="46CE9D99">
      <w:pPr>
        <w:pStyle w:val="14"/>
        <w:keepNext w:val="0"/>
        <w:keepLines w:val="0"/>
        <w:pageBreakBefore w:val="0"/>
        <w:widowControl w:val="0"/>
        <w:tabs>
          <w:tab w:val="right" w:leader="dot" w:pos="9070"/>
          <w:tab w:val="clear" w:pos="8398"/>
        </w:tabs>
        <w:kinsoku/>
        <w:wordWrap/>
        <w:overflowPunct/>
        <w:topLinePunct w:val="0"/>
        <w:autoSpaceDE/>
        <w:autoSpaceDN/>
        <w:bidi w:val="0"/>
        <w:adjustRightInd/>
        <w:snapToGrid/>
        <w:spacing w:line="360" w:lineRule="auto"/>
        <w:textAlignment w:val="auto"/>
      </w:pPr>
      <w:r>
        <w:rPr>
          <w:rFonts w:hint="eastAsia" w:ascii="宋体" w:hAnsi="宋体" w:eastAsia="宋体" w:cs="宋体"/>
        </w:rPr>
        <w:fldChar w:fldCharType="begin"/>
      </w:r>
      <w:r>
        <w:rPr>
          <w:rStyle w:val="18"/>
          <w:rFonts w:hint="eastAsia" w:ascii="宋体" w:hAnsi="宋体" w:eastAsia="宋体" w:cs="宋体"/>
          <w:color w:val="auto"/>
        </w:rPr>
        <w:instrText xml:space="preserve"> TOC \o "1-1" \h \z \u </w:instrText>
      </w:r>
      <w:r>
        <w:rPr>
          <w:rFonts w:hint="eastAsia" w:ascii="宋体" w:hAnsi="宋体" w:eastAsia="宋体" w:cs="宋体"/>
        </w:rPr>
        <w:fldChar w:fldCharType="separate"/>
      </w:r>
      <w:r>
        <w:rPr>
          <w:rFonts w:hint="eastAsia" w:ascii="宋体" w:hAnsi="宋体" w:eastAsia="宋体" w:cs="宋体"/>
          <w:szCs w:val="28"/>
        </w:rPr>
        <w:fldChar w:fldCharType="begin"/>
      </w:r>
      <w:r>
        <w:rPr>
          <w:rFonts w:hint="eastAsia" w:ascii="宋体" w:hAnsi="宋体" w:eastAsia="宋体" w:cs="宋体"/>
          <w:szCs w:val="28"/>
        </w:rPr>
        <w:instrText xml:space="preserve"> HYPERLINK \l _Toc28272 </w:instrText>
      </w:r>
      <w:r>
        <w:rPr>
          <w:rFonts w:hint="eastAsia" w:ascii="宋体" w:hAnsi="宋体" w:eastAsia="宋体" w:cs="宋体"/>
          <w:szCs w:val="28"/>
        </w:rPr>
        <w:fldChar w:fldCharType="separate"/>
      </w:r>
      <w:r>
        <w:rPr>
          <w:rFonts w:hint="eastAsia" w:ascii="宋体" w:hAnsi="宋体" w:eastAsia="宋体" w:cs="宋体"/>
          <w:bCs/>
          <w:szCs w:val="32"/>
        </w:rPr>
        <w:t>第一章  竞争性磋商公告</w:t>
      </w:r>
      <w:r>
        <w:tab/>
      </w:r>
      <w:r>
        <w:fldChar w:fldCharType="begin"/>
      </w:r>
      <w:r>
        <w:instrText xml:space="preserve"> PAGEREF _Toc28272 \h </w:instrText>
      </w:r>
      <w:r>
        <w:fldChar w:fldCharType="separate"/>
      </w:r>
      <w:r>
        <w:t>1</w:t>
      </w:r>
      <w:r>
        <w:fldChar w:fldCharType="end"/>
      </w:r>
      <w:r>
        <w:rPr>
          <w:rFonts w:hint="eastAsia" w:ascii="宋体" w:hAnsi="宋体" w:eastAsia="宋体" w:cs="宋体"/>
          <w:szCs w:val="28"/>
        </w:rPr>
        <w:fldChar w:fldCharType="end"/>
      </w:r>
    </w:p>
    <w:p w14:paraId="2981B236">
      <w:pPr>
        <w:pStyle w:val="14"/>
        <w:keepNext w:val="0"/>
        <w:keepLines w:val="0"/>
        <w:pageBreakBefore w:val="0"/>
        <w:widowControl w:val="0"/>
        <w:tabs>
          <w:tab w:val="right" w:leader="dot" w:pos="9070"/>
          <w:tab w:val="clear" w:pos="8398"/>
        </w:tabs>
        <w:kinsoku/>
        <w:wordWrap/>
        <w:overflowPunct/>
        <w:topLinePunct w:val="0"/>
        <w:autoSpaceDE/>
        <w:autoSpaceDN/>
        <w:bidi w:val="0"/>
        <w:adjustRightInd/>
        <w:snapToGrid/>
        <w:spacing w:line="360" w:lineRule="auto"/>
        <w:textAlignment w:val="auto"/>
      </w:pPr>
      <w:r>
        <w:rPr>
          <w:rFonts w:hint="eastAsia" w:ascii="宋体" w:hAnsi="宋体" w:eastAsia="宋体" w:cs="宋体"/>
          <w:szCs w:val="28"/>
        </w:rPr>
        <w:fldChar w:fldCharType="begin"/>
      </w:r>
      <w:r>
        <w:rPr>
          <w:rFonts w:hint="eastAsia" w:ascii="宋体" w:hAnsi="宋体" w:eastAsia="宋体" w:cs="宋体"/>
          <w:szCs w:val="28"/>
        </w:rPr>
        <w:instrText xml:space="preserve"> HYPERLINK \l _Toc16519 </w:instrText>
      </w:r>
      <w:r>
        <w:rPr>
          <w:rFonts w:hint="eastAsia" w:ascii="宋体" w:hAnsi="宋体" w:eastAsia="宋体" w:cs="宋体"/>
          <w:szCs w:val="28"/>
        </w:rPr>
        <w:fldChar w:fldCharType="separate"/>
      </w:r>
      <w:r>
        <w:rPr>
          <w:rFonts w:hint="eastAsia" w:ascii="宋体" w:hAnsi="宋体" w:eastAsia="宋体" w:cs="宋体"/>
          <w:bCs/>
          <w:szCs w:val="32"/>
        </w:rPr>
        <w:t>第二章  采购需求</w:t>
      </w:r>
      <w:r>
        <w:tab/>
      </w:r>
      <w:r>
        <w:fldChar w:fldCharType="begin"/>
      </w:r>
      <w:r>
        <w:instrText xml:space="preserve"> PAGEREF _Toc16519 \h </w:instrText>
      </w:r>
      <w:r>
        <w:fldChar w:fldCharType="separate"/>
      </w:r>
      <w:r>
        <w:t>4</w:t>
      </w:r>
      <w:r>
        <w:fldChar w:fldCharType="end"/>
      </w:r>
      <w:r>
        <w:rPr>
          <w:rFonts w:hint="eastAsia" w:ascii="宋体" w:hAnsi="宋体" w:eastAsia="宋体" w:cs="宋体"/>
          <w:szCs w:val="28"/>
        </w:rPr>
        <w:fldChar w:fldCharType="end"/>
      </w:r>
    </w:p>
    <w:p w14:paraId="159255FF">
      <w:pPr>
        <w:pStyle w:val="14"/>
        <w:keepNext w:val="0"/>
        <w:keepLines w:val="0"/>
        <w:pageBreakBefore w:val="0"/>
        <w:widowControl w:val="0"/>
        <w:tabs>
          <w:tab w:val="right" w:leader="dot" w:pos="9070"/>
          <w:tab w:val="clear" w:pos="8398"/>
        </w:tabs>
        <w:kinsoku/>
        <w:wordWrap/>
        <w:overflowPunct/>
        <w:topLinePunct w:val="0"/>
        <w:autoSpaceDE/>
        <w:autoSpaceDN/>
        <w:bidi w:val="0"/>
        <w:adjustRightInd/>
        <w:snapToGrid/>
        <w:spacing w:line="360" w:lineRule="auto"/>
        <w:textAlignment w:val="auto"/>
      </w:pPr>
      <w:r>
        <w:rPr>
          <w:rFonts w:hint="eastAsia" w:ascii="宋体" w:hAnsi="宋体" w:eastAsia="宋体" w:cs="宋体"/>
          <w:szCs w:val="28"/>
        </w:rPr>
        <w:fldChar w:fldCharType="begin"/>
      </w:r>
      <w:r>
        <w:rPr>
          <w:rFonts w:hint="eastAsia" w:ascii="宋体" w:hAnsi="宋体" w:eastAsia="宋体" w:cs="宋体"/>
          <w:szCs w:val="28"/>
        </w:rPr>
        <w:instrText xml:space="preserve"> HYPERLINK \l _Toc24560 </w:instrText>
      </w:r>
      <w:r>
        <w:rPr>
          <w:rFonts w:hint="eastAsia" w:ascii="宋体" w:hAnsi="宋体" w:eastAsia="宋体" w:cs="宋体"/>
          <w:szCs w:val="28"/>
        </w:rPr>
        <w:fldChar w:fldCharType="separate"/>
      </w:r>
      <w:r>
        <w:rPr>
          <w:rFonts w:hint="eastAsia"/>
          <w:szCs w:val="32"/>
        </w:rPr>
        <w:t>第</w:t>
      </w:r>
      <w:r>
        <w:rPr>
          <w:rFonts w:hint="eastAsia"/>
          <w:szCs w:val="32"/>
          <w:lang w:val="en-US" w:eastAsia="zh-CN"/>
        </w:rPr>
        <w:t>三</w:t>
      </w:r>
      <w:r>
        <w:rPr>
          <w:rFonts w:hint="eastAsia"/>
          <w:szCs w:val="32"/>
        </w:rPr>
        <w:t>章 工程量清单及图纸</w:t>
      </w:r>
      <w:r>
        <w:tab/>
      </w:r>
      <w:r>
        <w:fldChar w:fldCharType="begin"/>
      </w:r>
      <w:r>
        <w:instrText xml:space="preserve"> PAGEREF _Toc24560 \h </w:instrText>
      </w:r>
      <w:r>
        <w:fldChar w:fldCharType="separate"/>
      </w:r>
      <w:r>
        <w:t>8</w:t>
      </w:r>
      <w:r>
        <w:fldChar w:fldCharType="end"/>
      </w:r>
      <w:r>
        <w:rPr>
          <w:rFonts w:hint="eastAsia" w:ascii="宋体" w:hAnsi="宋体" w:eastAsia="宋体" w:cs="宋体"/>
          <w:szCs w:val="28"/>
        </w:rPr>
        <w:fldChar w:fldCharType="end"/>
      </w:r>
    </w:p>
    <w:p w14:paraId="1D286483">
      <w:pPr>
        <w:pStyle w:val="14"/>
        <w:keepNext w:val="0"/>
        <w:keepLines w:val="0"/>
        <w:pageBreakBefore w:val="0"/>
        <w:widowControl w:val="0"/>
        <w:tabs>
          <w:tab w:val="right" w:leader="dot" w:pos="9070"/>
          <w:tab w:val="clear" w:pos="8398"/>
        </w:tabs>
        <w:kinsoku/>
        <w:wordWrap/>
        <w:overflowPunct/>
        <w:topLinePunct w:val="0"/>
        <w:autoSpaceDE/>
        <w:autoSpaceDN/>
        <w:bidi w:val="0"/>
        <w:adjustRightInd/>
        <w:snapToGrid/>
        <w:spacing w:line="360" w:lineRule="auto"/>
        <w:textAlignment w:val="auto"/>
      </w:pPr>
      <w:r>
        <w:rPr>
          <w:rFonts w:hint="eastAsia" w:ascii="宋体" w:hAnsi="宋体" w:eastAsia="宋体" w:cs="宋体"/>
          <w:szCs w:val="28"/>
        </w:rPr>
        <w:fldChar w:fldCharType="begin"/>
      </w:r>
      <w:r>
        <w:rPr>
          <w:rFonts w:hint="eastAsia" w:ascii="宋体" w:hAnsi="宋体" w:eastAsia="宋体" w:cs="宋体"/>
          <w:szCs w:val="28"/>
        </w:rPr>
        <w:instrText xml:space="preserve"> HYPERLINK \l _Toc4824 </w:instrText>
      </w:r>
      <w:r>
        <w:rPr>
          <w:rFonts w:hint="eastAsia" w:ascii="宋体" w:hAnsi="宋体" w:eastAsia="宋体" w:cs="宋体"/>
          <w:szCs w:val="28"/>
        </w:rPr>
        <w:fldChar w:fldCharType="separate"/>
      </w:r>
      <w:r>
        <w:rPr>
          <w:rFonts w:hint="eastAsia" w:ascii="宋体" w:hAnsi="宋体" w:eastAsia="宋体" w:cs="宋体"/>
          <w:bCs/>
          <w:szCs w:val="32"/>
        </w:rPr>
        <w:t>第</w:t>
      </w:r>
      <w:r>
        <w:rPr>
          <w:rFonts w:hint="eastAsia" w:hAnsi="宋体" w:cs="宋体"/>
          <w:bCs/>
          <w:szCs w:val="32"/>
          <w:highlight w:val="none"/>
          <w:lang w:val="en-US" w:eastAsia="zh-CN"/>
        </w:rPr>
        <w:t>四</w:t>
      </w:r>
      <w:r>
        <w:rPr>
          <w:rFonts w:hint="eastAsia" w:ascii="宋体" w:hAnsi="宋体" w:eastAsia="宋体" w:cs="宋体"/>
          <w:bCs/>
          <w:szCs w:val="32"/>
        </w:rPr>
        <w:t>章  供应商须知</w:t>
      </w:r>
      <w:r>
        <w:tab/>
      </w:r>
      <w:r>
        <w:fldChar w:fldCharType="begin"/>
      </w:r>
      <w:r>
        <w:instrText xml:space="preserve"> PAGEREF _Toc4824 \h </w:instrText>
      </w:r>
      <w:r>
        <w:fldChar w:fldCharType="separate"/>
      </w:r>
      <w:r>
        <w:t>11</w:t>
      </w:r>
      <w:r>
        <w:fldChar w:fldCharType="end"/>
      </w:r>
      <w:r>
        <w:rPr>
          <w:rFonts w:hint="eastAsia" w:ascii="宋体" w:hAnsi="宋体" w:eastAsia="宋体" w:cs="宋体"/>
          <w:szCs w:val="28"/>
        </w:rPr>
        <w:fldChar w:fldCharType="end"/>
      </w:r>
    </w:p>
    <w:p w14:paraId="02A63C75">
      <w:pPr>
        <w:pStyle w:val="14"/>
        <w:keepNext w:val="0"/>
        <w:keepLines w:val="0"/>
        <w:pageBreakBefore w:val="0"/>
        <w:widowControl w:val="0"/>
        <w:tabs>
          <w:tab w:val="right" w:leader="dot" w:pos="9070"/>
          <w:tab w:val="clear" w:pos="8398"/>
        </w:tabs>
        <w:kinsoku/>
        <w:wordWrap/>
        <w:overflowPunct/>
        <w:topLinePunct w:val="0"/>
        <w:autoSpaceDE/>
        <w:autoSpaceDN/>
        <w:bidi w:val="0"/>
        <w:adjustRightInd/>
        <w:snapToGrid/>
        <w:spacing w:line="360" w:lineRule="auto"/>
        <w:textAlignment w:val="auto"/>
      </w:pPr>
      <w:r>
        <w:rPr>
          <w:rFonts w:hint="eastAsia" w:ascii="宋体" w:hAnsi="宋体" w:eastAsia="宋体" w:cs="宋体"/>
          <w:szCs w:val="28"/>
        </w:rPr>
        <w:fldChar w:fldCharType="begin"/>
      </w:r>
      <w:r>
        <w:rPr>
          <w:rFonts w:hint="eastAsia" w:ascii="宋体" w:hAnsi="宋体" w:eastAsia="宋体" w:cs="宋体"/>
          <w:szCs w:val="28"/>
        </w:rPr>
        <w:instrText xml:space="preserve"> HYPERLINK \l _Toc4134 </w:instrText>
      </w:r>
      <w:r>
        <w:rPr>
          <w:rFonts w:hint="eastAsia" w:ascii="宋体" w:hAnsi="宋体" w:eastAsia="宋体" w:cs="宋体"/>
          <w:szCs w:val="28"/>
        </w:rPr>
        <w:fldChar w:fldCharType="separate"/>
      </w:r>
      <w:r>
        <w:rPr>
          <w:rFonts w:hint="eastAsia" w:ascii="宋体" w:hAnsi="宋体" w:eastAsia="宋体" w:cs="宋体"/>
          <w:bCs/>
          <w:szCs w:val="32"/>
        </w:rPr>
        <w:t>第</w:t>
      </w:r>
      <w:r>
        <w:rPr>
          <w:rFonts w:hint="eastAsia" w:hAnsi="宋体" w:cs="宋体"/>
          <w:bCs/>
          <w:szCs w:val="32"/>
          <w:lang w:val="en-US" w:eastAsia="zh-CN"/>
        </w:rPr>
        <w:t>五</w:t>
      </w:r>
      <w:r>
        <w:rPr>
          <w:rFonts w:hint="eastAsia" w:ascii="宋体" w:hAnsi="宋体" w:eastAsia="宋体" w:cs="宋体"/>
          <w:bCs/>
          <w:szCs w:val="32"/>
        </w:rPr>
        <w:t>章  评审方法及标准</w:t>
      </w:r>
      <w:r>
        <w:tab/>
      </w:r>
      <w:r>
        <w:fldChar w:fldCharType="begin"/>
      </w:r>
      <w:r>
        <w:instrText xml:space="preserve"> PAGEREF _Toc4134 \h </w:instrText>
      </w:r>
      <w:r>
        <w:fldChar w:fldCharType="separate"/>
      </w:r>
      <w:r>
        <w:t>31</w:t>
      </w:r>
      <w:r>
        <w:fldChar w:fldCharType="end"/>
      </w:r>
      <w:r>
        <w:rPr>
          <w:rFonts w:hint="eastAsia" w:ascii="宋体" w:hAnsi="宋体" w:eastAsia="宋体" w:cs="宋体"/>
          <w:szCs w:val="28"/>
        </w:rPr>
        <w:fldChar w:fldCharType="end"/>
      </w:r>
    </w:p>
    <w:p w14:paraId="49ABA642">
      <w:pPr>
        <w:pStyle w:val="14"/>
        <w:keepNext w:val="0"/>
        <w:keepLines w:val="0"/>
        <w:pageBreakBefore w:val="0"/>
        <w:widowControl w:val="0"/>
        <w:tabs>
          <w:tab w:val="right" w:leader="dot" w:pos="9070"/>
          <w:tab w:val="clear" w:pos="8398"/>
        </w:tabs>
        <w:kinsoku/>
        <w:wordWrap/>
        <w:overflowPunct/>
        <w:topLinePunct w:val="0"/>
        <w:autoSpaceDE/>
        <w:autoSpaceDN/>
        <w:bidi w:val="0"/>
        <w:adjustRightInd/>
        <w:snapToGrid/>
        <w:spacing w:line="360" w:lineRule="auto"/>
        <w:textAlignment w:val="auto"/>
      </w:pPr>
      <w:r>
        <w:rPr>
          <w:rFonts w:hint="eastAsia" w:ascii="宋体" w:hAnsi="宋体" w:eastAsia="宋体" w:cs="宋体"/>
          <w:szCs w:val="28"/>
        </w:rPr>
        <w:fldChar w:fldCharType="begin"/>
      </w:r>
      <w:r>
        <w:rPr>
          <w:rFonts w:hint="eastAsia" w:ascii="宋体" w:hAnsi="宋体" w:eastAsia="宋体" w:cs="宋体"/>
          <w:szCs w:val="28"/>
        </w:rPr>
        <w:instrText xml:space="preserve"> HYPERLINK \l _Toc14811 </w:instrText>
      </w:r>
      <w:r>
        <w:rPr>
          <w:rFonts w:hint="eastAsia" w:ascii="宋体" w:hAnsi="宋体" w:eastAsia="宋体" w:cs="宋体"/>
          <w:szCs w:val="28"/>
        </w:rPr>
        <w:fldChar w:fldCharType="separate"/>
      </w:r>
      <w:r>
        <w:rPr>
          <w:rFonts w:hint="eastAsia" w:ascii="宋体" w:hAnsi="宋体" w:eastAsia="宋体" w:cs="宋体"/>
          <w:bCs/>
          <w:szCs w:val="32"/>
        </w:rPr>
        <w:t>第</w:t>
      </w:r>
      <w:r>
        <w:rPr>
          <w:rFonts w:hint="eastAsia" w:hAnsi="宋体" w:cs="宋体"/>
          <w:bCs/>
          <w:szCs w:val="32"/>
          <w:lang w:val="en-US" w:eastAsia="zh-CN"/>
        </w:rPr>
        <w:t>六</w:t>
      </w:r>
      <w:r>
        <w:rPr>
          <w:rFonts w:hint="eastAsia" w:ascii="宋体" w:hAnsi="宋体" w:eastAsia="宋体" w:cs="宋体"/>
          <w:bCs/>
          <w:szCs w:val="32"/>
        </w:rPr>
        <w:t>章  合同主要条款格式</w:t>
      </w:r>
      <w:r>
        <w:tab/>
      </w:r>
      <w:r>
        <w:fldChar w:fldCharType="begin"/>
      </w:r>
      <w:r>
        <w:instrText xml:space="preserve"> PAGEREF _Toc14811 \h </w:instrText>
      </w:r>
      <w:r>
        <w:fldChar w:fldCharType="separate"/>
      </w:r>
      <w:r>
        <w:t>37</w:t>
      </w:r>
      <w:r>
        <w:fldChar w:fldCharType="end"/>
      </w:r>
      <w:r>
        <w:rPr>
          <w:rFonts w:hint="eastAsia" w:ascii="宋体" w:hAnsi="宋体" w:eastAsia="宋体" w:cs="宋体"/>
          <w:szCs w:val="28"/>
        </w:rPr>
        <w:fldChar w:fldCharType="end"/>
      </w:r>
    </w:p>
    <w:p w14:paraId="456A7530">
      <w:pPr>
        <w:pStyle w:val="14"/>
        <w:keepNext w:val="0"/>
        <w:keepLines w:val="0"/>
        <w:pageBreakBefore w:val="0"/>
        <w:widowControl w:val="0"/>
        <w:tabs>
          <w:tab w:val="right" w:leader="dot" w:pos="9070"/>
          <w:tab w:val="clear" w:pos="8398"/>
        </w:tabs>
        <w:kinsoku/>
        <w:wordWrap/>
        <w:overflowPunct/>
        <w:topLinePunct w:val="0"/>
        <w:autoSpaceDE/>
        <w:autoSpaceDN/>
        <w:bidi w:val="0"/>
        <w:adjustRightInd/>
        <w:snapToGrid/>
        <w:spacing w:line="360" w:lineRule="auto"/>
        <w:textAlignment w:val="auto"/>
      </w:pPr>
      <w:r>
        <w:rPr>
          <w:rFonts w:hint="eastAsia" w:ascii="宋体" w:hAnsi="宋体" w:eastAsia="宋体" w:cs="宋体"/>
          <w:szCs w:val="28"/>
        </w:rPr>
        <w:fldChar w:fldCharType="begin"/>
      </w:r>
      <w:r>
        <w:rPr>
          <w:rFonts w:hint="eastAsia" w:ascii="宋体" w:hAnsi="宋体" w:eastAsia="宋体" w:cs="宋体"/>
          <w:szCs w:val="28"/>
        </w:rPr>
        <w:instrText xml:space="preserve"> HYPERLINK \l _Toc7099 </w:instrText>
      </w:r>
      <w:r>
        <w:rPr>
          <w:rFonts w:hint="eastAsia" w:ascii="宋体" w:hAnsi="宋体" w:eastAsia="宋体" w:cs="宋体"/>
          <w:szCs w:val="28"/>
        </w:rPr>
        <w:fldChar w:fldCharType="separate"/>
      </w:r>
      <w:r>
        <w:rPr>
          <w:rFonts w:hint="eastAsia" w:ascii="宋体" w:hAnsi="宋体" w:eastAsia="宋体" w:cs="宋体"/>
          <w:bCs/>
          <w:szCs w:val="32"/>
        </w:rPr>
        <w:t>第</w:t>
      </w:r>
      <w:r>
        <w:rPr>
          <w:rFonts w:hint="eastAsia" w:hAnsi="宋体" w:cs="宋体"/>
          <w:bCs/>
          <w:szCs w:val="32"/>
          <w:lang w:val="en-US" w:eastAsia="zh-CN"/>
        </w:rPr>
        <w:t>七</w:t>
      </w:r>
      <w:r>
        <w:rPr>
          <w:rFonts w:hint="eastAsia" w:ascii="宋体" w:hAnsi="宋体" w:eastAsia="宋体" w:cs="宋体"/>
          <w:bCs/>
          <w:szCs w:val="32"/>
        </w:rPr>
        <w:t>章  响应文件格式</w:t>
      </w:r>
      <w:r>
        <w:tab/>
      </w:r>
      <w:r>
        <w:fldChar w:fldCharType="begin"/>
      </w:r>
      <w:r>
        <w:instrText xml:space="preserve"> PAGEREF _Toc7099 \h </w:instrText>
      </w:r>
      <w:r>
        <w:fldChar w:fldCharType="separate"/>
      </w:r>
      <w:r>
        <w:t>72</w:t>
      </w:r>
      <w:r>
        <w:fldChar w:fldCharType="end"/>
      </w:r>
      <w:r>
        <w:rPr>
          <w:rFonts w:hint="eastAsia" w:ascii="宋体" w:hAnsi="宋体" w:eastAsia="宋体" w:cs="宋体"/>
          <w:szCs w:val="28"/>
        </w:rPr>
        <w:fldChar w:fldCharType="end"/>
      </w:r>
    </w:p>
    <w:p w14:paraId="08881968">
      <w:pPr>
        <w:pStyle w:val="14"/>
        <w:ind w:firstLine="281"/>
        <w:rPr>
          <w:rFonts w:hint="eastAsia" w:ascii="宋体" w:hAnsi="宋体" w:eastAsia="宋体" w:cs="宋体"/>
          <w:sz w:val="28"/>
          <w:szCs w:val="28"/>
        </w:rPr>
        <w:sectPr>
          <w:headerReference r:id="rId6" w:type="first"/>
          <w:footerReference r:id="rId8" w:type="first"/>
          <w:footerReference r:id="rId7" w:type="default"/>
          <w:pgSz w:w="11906" w:h="16838"/>
          <w:pgMar w:top="1418" w:right="1418" w:bottom="1276" w:left="1418" w:header="851" w:footer="992" w:gutter="0"/>
          <w:pgNumType w:start="0"/>
          <w:cols w:space="720" w:num="1"/>
          <w:titlePg/>
          <w:docGrid w:linePitch="312" w:charSpace="0"/>
        </w:sectPr>
      </w:pPr>
      <w:r>
        <w:rPr>
          <w:rFonts w:hint="eastAsia" w:ascii="宋体" w:hAnsi="宋体" w:eastAsia="宋体" w:cs="宋体"/>
          <w:szCs w:val="28"/>
        </w:rPr>
        <w:fldChar w:fldCharType="end"/>
      </w:r>
    </w:p>
    <w:p w14:paraId="5F20CE75">
      <w:pPr>
        <w:pStyle w:val="11"/>
        <w:snapToGrid w:val="0"/>
        <w:spacing w:before="120" w:after="120" w:line="320" w:lineRule="exact"/>
        <w:jc w:val="center"/>
        <w:outlineLvl w:val="0"/>
        <w:rPr>
          <w:rFonts w:hint="eastAsia" w:ascii="宋体" w:hAnsi="宋体" w:eastAsia="宋体" w:cs="宋体"/>
          <w:b/>
          <w:bCs/>
          <w:sz w:val="32"/>
          <w:szCs w:val="32"/>
        </w:rPr>
      </w:pPr>
      <w:bookmarkStart w:id="8" w:name="_Toc254970630"/>
      <w:bookmarkStart w:id="9" w:name="_Toc254970489"/>
      <w:bookmarkStart w:id="10" w:name="_Toc28272"/>
      <w:r>
        <w:rPr>
          <w:rFonts w:hint="eastAsia" w:ascii="宋体" w:hAnsi="宋体" w:eastAsia="宋体" w:cs="宋体"/>
          <w:b/>
          <w:bCs/>
          <w:sz w:val="32"/>
          <w:szCs w:val="32"/>
        </w:rPr>
        <w:t xml:space="preserve">第一章  </w:t>
      </w:r>
      <w:bookmarkEnd w:id="8"/>
      <w:bookmarkEnd w:id="9"/>
      <w:r>
        <w:rPr>
          <w:rFonts w:hint="eastAsia" w:ascii="宋体" w:hAnsi="宋体" w:eastAsia="宋体" w:cs="宋体"/>
          <w:b/>
          <w:bCs/>
          <w:sz w:val="32"/>
          <w:szCs w:val="32"/>
        </w:rPr>
        <w:t>竞争性磋商公告</w:t>
      </w:r>
      <w:bookmarkEnd w:id="10"/>
    </w:p>
    <w:p w14:paraId="3D7D08DF">
      <w:pPr>
        <w:spacing w:line="400" w:lineRule="exact"/>
        <w:jc w:val="center"/>
        <w:rPr>
          <w:rFonts w:hint="eastAsia" w:ascii="宋体" w:hAnsi="宋体" w:eastAsia="宋体" w:cs="宋体"/>
          <w:b/>
          <w:bCs/>
          <w:kern w:val="0"/>
          <w:sz w:val="24"/>
          <w:lang w:val="en-US" w:eastAsia="zh-CN"/>
        </w:rPr>
      </w:pPr>
      <w:r>
        <w:rPr>
          <w:rFonts w:hint="eastAsia" w:ascii="宋体" w:hAnsi="宋体" w:eastAsia="宋体" w:cs="宋体"/>
          <w:b/>
          <w:bCs/>
          <w:kern w:val="0"/>
          <w:sz w:val="24"/>
        </w:rPr>
        <w:t>广西机电设备招标有限公司关于柳州市人民医院眼科手术室装修改造工程</w:t>
      </w:r>
      <w:r>
        <w:rPr>
          <w:rFonts w:hint="eastAsia" w:ascii="宋体" w:hAnsi="宋体" w:cs="宋体"/>
          <w:b/>
          <w:bCs/>
          <w:kern w:val="0"/>
          <w:sz w:val="24"/>
          <w:lang w:val="en-US" w:eastAsia="zh-CN"/>
        </w:rPr>
        <w:t>的</w:t>
      </w:r>
    </w:p>
    <w:p w14:paraId="27821525">
      <w:pPr>
        <w:spacing w:line="400" w:lineRule="exact"/>
        <w:jc w:val="center"/>
        <w:rPr>
          <w:rFonts w:hint="eastAsia" w:ascii="宋体" w:hAnsi="宋体" w:eastAsia="宋体" w:cs="宋体"/>
          <w:b/>
          <w:bCs/>
          <w:kern w:val="0"/>
          <w:szCs w:val="21"/>
        </w:rPr>
      </w:pPr>
      <w:r>
        <w:rPr>
          <w:rFonts w:hint="eastAsia" w:ascii="宋体" w:hAnsi="宋体" w:eastAsia="宋体" w:cs="宋体"/>
          <w:b/>
          <w:bCs/>
          <w:kern w:val="0"/>
          <w:sz w:val="24"/>
        </w:rPr>
        <w:t>竞争性磋商公告</w:t>
      </w:r>
    </w:p>
    <w:p w14:paraId="750EDC93">
      <w:pPr>
        <w:pBdr>
          <w:top w:val="single" w:color="auto" w:sz="4" w:space="0"/>
          <w:left w:val="single" w:color="auto" w:sz="4" w:space="0"/>
          <w:bottom w:val="single" w:color="auto" w:sz="4" w:space="0"/>
          <w:right w:val="single" w:color="auto" w:sz="4" w:space="0"/>
        </w:pBdr>
        <w:spacing w:line="312" w:lineRule="auto"/>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项目概况</w:t>
      </w:r>
    </w:p>
    <w:p w14:paraId="2F6C6298">
      <w:pPr>
        <w:pBdr>
          <w:top w:val="single" w:color="auto" w:sz="4" w:space="0"/>
          <w:left w:val="single" w:color="auto" w:sz="4" w:space="0"/>
          <w:bottom w:val="single" w:color="auto" w:sz="4" w:space="0"/>
          <w:right w:val="single" w:color="auto" w:sz="4" w:space="0"/>
        </w:pBdr>
        <w:spacing w:line="312" w:lineRule="auto"/>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柳州市人民医院眼科手术室装修改造工程项目的潜在供应商应在</w:t>
      </w:r>
      <w:r>
        <w:rPr>
          <w:rFonts w:hint="eastAsia" w:ascii="宋体" w:hAnsi="宋体" w:eastAsia="宋体" w:cs="宋体"/>
          <w:szCs w:val="21"/>
        </w:rPr>
        <w:t>广西政府采购云平台 （https://www.gcy.zfcg.gxzf.gov.cn/）获取采购文件，</w:t>
      </w:r>
      <w:r>
        <w:rPr>
          <w:rFonts w:hint="eastAsia" w:ascii="宋体" w:hAnsi="宋体" w:eastAsia="宋体" w:cs="宋体"/>
          <w:color w:val="auto"/>
          <w:szCs w:val="21"/>
        </w:rPr>
        <w:t>并于</w:t>
      </w:r>
      <w:r>
        <w:rPr>
          <w:rFonts w:hint="eastAsia" w:ascii="宋体" w:hAnsi="宋体" w:eastAsia="宋体" w:cs="宋体"/>
          <w:color w:val="auto"/>
          <w:szCs w:val="21"/>
          <w:lang w:val="en-US" w:eastAsia="zh-CN"/>
        </w:rPr>
        <w:t>2026</w:t>
      </w:r>
      <w:r>
        <w:rPr>
          <w:rFonts w:hint="eastAsia" w:ascii="宋体" w:hAnsi="宋体" w:eastAsia="宋体" w:cs="宋体"/>
          <w:color w:val="auto"/>
          <w:szCs w:val="21"/>
        </w:rPr>
        <w:t>年</w:t>
      </w:r>
      <w:r>
        <w:rPr>
          <w:rFonts w:hint="eastAsia" w:ascii="宋体" w:hAnsi="宋体" w:cs="宋体"/>
          <w:color w:val="auto"/>
          <w:szCs w:val="21"/>
          <w:lang w:val="en-US" w:eastAsia="zh-CN"/>
        </w:rPr>
        <w:t>07</w:t>
      </w:r>
      <w:r>
        <w:rPr>
          <w:rFonts w:hint="eastAsia" w:ascii="宋体" w:hAnsi="宋体" w:eastAsia="宋体" w:cs="宋体"/>
          <w:color w:val="auto"/>
          <w:szCs w:val="21"/>
        </w:rPr>
        <w:t>月</w:t>
      </w:r>
      <w:r>
        <w:rPr>
          <w:rFonts w:hint="eastAsia" w:ascii="宋体" w:hAnsi="宋体" w:cs="宋体"/>
          <w:color w:val="auto"/>
          <w:szCs w:val="21"/>
          <w:lang w:val="en-US" w:eastAsia="zh-CN"/>
        </w:rPr>
        <w:t>22</w:t>
      </w:r>
      <w:r>
        <w:rPr>
          <w:rFonts w:hint="eastAsia" w:ascii="宋体" w:hAnsi="宋体" w:eastAsia="宋体" w:cs="宋体"/>
          <w:color w:val="auto"/>
          <w:szCs w:val="21"/>
        </w:rPr>
        <w:t xml:space="preserve">日 </w:t>
      </w:r>
      <w:r>
        <w:rPr>
          <w:rFonts w:hint="eastAsia" w:ascii="宋体" w:hAnsi="宋体" w:eastAsia="宋体" w:cs="宋体"/>
          <w:color w:val="auto"/>
          <w:szCs w:val="21"/>
          <w:lang w:val="en-US" w:eastAsia="zh-CN"/>
        </w:rPr>
        <w:t>09:20</w:t>
      </w:r>
      <w:r>
        <w:rPr>
          <w:rFonts w:hint="eastAsia" w:ascii="宋体" w:hAnsi="宋体" w:eastAsia="宋体" w:cs="宋体"/>
          <w:szCs w:val="21"/>
        </w:rPr>
        <w:t>（北京时间）前提交响应文件。</w:t>
      </w:r>
    </w:p>
    <w:p w14:paraId="10857309">
      <w:pPr>
        <w:spacing w:line="312" w:lineRule="auto"/>
        <w:ind w:firstLine="442" w:firstLineChars="200"/>
        <w:jc w:val="left"/>
        <w:rPr>
          <w:rFonts w:hint="eastAsia" w:ascii="宋体" w:hAnsi="宋体" w:eastAsia="宋体" w:cs="宋体"/>
          <w:b/>
          <w:bCs/>
          <w:kern w:val="0"/>
          <w:sz w:val="22"/>
          <w:szCs w:val="22"/>
        </w:rPr>
      </w:pPr>
      <w:r>
        <w:rPr>
          <w:rFonts w:hint="eastAsia" w:ascii="宋体" w:hAnsi="宋体" w:eastAsia="宋体" w:cs="宋体"/>
          <w:b/>
          <w:bCs/>
          <w:kern w:val="0"/>
          <w:sz w:val="22"/>
          <w:szCs w:val="22"/>
        </w:rPr>
        <w:t>一、项目基本情况</w:t>
      </w:r>
    </w:p>
    <w:p w14:paraId="3B57D8FF">
      <w:pPr>
        <w:spacing w:line="312" w:lineRule="auto"/>
        <w:ind w:firstLine="420" w:firstLineChars="200"/>
        <w:jc w:val="left"/>
        <w:rPr>
          <w:rFonts w:hint="eastAsia" w:ascii="宋体" w:hAnsi="宋体" w:eastAsia="宋体" w:cs="宋体"/>
          <w:color w:val="auto"/>
          <w:kern w:val="0"/>
          <w:szCs w:val="21"/>
          <w:lang w:eastAsia="zh-CN"/>
        </w:rPr>
      </w:pPr>
      <w:r>
        <w:rPr>
          <w:rFonts w:hint="eastAsia" w:ascii="宋体" w:hAnsi="宋体" w:eastAsia="宋体" w:cs="宋体"/>
          <w:kern w:val="0"/>
          <w:szCs w:val="21"/>
        </w:rPr>
        <w:t>项目编号：</w:t>
      </w:r>
      <w:r>
        <w:rPr>
          <w:rFonts w:hint="eastAsia" w:ascii="宋体" w:hAnsi="宋体" w:cs="宋体"/>
          <w:color w:val="auto"/>
          <w:szCs w:val="21"/>
          <w:lang w:eastAsia="zh-CN"/>
        </w:rPr>
        <w:t>LZZC2026-C2-990422-JDZB</w:t>
      </w:r>
    </w:p>
    <w:p w14:paraId="10629072">
      <w:pPr>
        <w:spacing w:line="312" w:lineRule="auto"/>
        <w:ind w:firstLine="420" w:firstLineChars="200"/>
        <w:jc w:val="left"/>
        <w:rPr>
          <w:rFonts w:hint="eastAsia" w:ascii="宋体" w:hAnsi="宋体" w:eastAsia="宋体" w:cs="宋体"/>
          <w:color w:val="4472C4"/>
          <w:kern w:val="0"/>
          <w:szCs w:val="21"/>
        </w:rPr>
      </w:pPr>
      <w:r>
        <w:rPr>
          <w:rFonts w:hint="eastAsia" w:ascii="宋体" w:hAnsi="宋体" w:eastAsia="宋体" w:cs="宋体"/>
          <w:kern w:val="0"/>
          <w:szCs w:val="21"/>
        </w:rPr>
        <w:t>项目名称：柳州市人民医院眼科手术室装修改造工程</w:t>
      </w:r>
    </w:p>
    <w:p w14:paraId="0CDBE724">
      <w:pPr>
        <w:spacing w:line="312" w:lineRule="auto"/>
        <w:ind w:firstLine="420" w:firstLineChars="200"/>
        <w:jc w:val="left"/>
        <w:rPr>
          <w:rFonts w:hint="eastAsia" w:ascii="宋体" w:hAnsi="宋体" w:eastAsia="宋体" w:cs="宋体"/>
          <w:color w:val="auto"/>
          <w:kern w:val="0"/>
          <w:szCs w:val="21"/>
        </w:rPr>
      </w:pPr>
      <w:bookmarkStart w:id="11" w:name="_Hlk77608065"/>
      <w:r>
        <w:rPr>
          <w:rFonts w:hint="eastAsia" w:ascii="宋体" w:hAnsi="宋体" w:eastAsia="宋体" w:cs="宋体"/>
          <w:kern w:val="0"/>
          <w:szCs w:val="21"/>
        </w:rPr>
        <w:t>采购方式：</w:t>
      </w:r>
      <w:r>
        <w:rPr>
          <w:rFonts w:hint="eastAsia" w:ascii="宋体" w:hAnsi="宋体" w:eastAsia="宋体" w:cs="宋体"/>
          <w:color w:val="auto"/>
          <w:kern w:val="0"/>
          <w:szCs w:val="21"/>
        </w:rPr>
        <w:t>竞争性磋商</w:t>
      </w:r>
    </w:p>
    <w:p w14:paraId="3E95E36E">
      <w:pPr>
        <w:spacing w:line="312" w:lineRule="auto"/>
        <w:ind w:firstLine="420" w:firstLineChars="200"/>
        <w:jc w:val="left"/>
        <w:rPr>
          <w:rFonts w:hint="eastAsia" w:ascii="宋体" w:hAnsi="宋体" w:eastAsia="宋体" w:cs="宋体"/>
          <w:color w:val="auto"/>
          <w:kern w:val="0"/>
          <w:szCs w:val="21"/>
        </w:rPr>
      </w:pPr>
      <w:r>
        <w:rPr>
          <w:rFonts w:hint="eastAsia" w:ascii="宋体" w:hAnsi="宋体" w:eastAsia="宋体" w:cs="宋体"/>
          <w:color w:val="auto"/>
          <w:kern w:val="0"/>
          <w:szCs w:val="21"/>
        </w:rPr>
        <w:t>预算总金额（元）：926444.87</w:t>
      </w:r>
    </w:p>
    <w:p w14:paraId="2571C46A">
      <w:pPr>
        <w:spacing w:line="312" w:lineRule="auto"/>
        <w:ind w:firstLine="420" w:firstLineChars="200"/>
        <w:jc w:val="left"/>
        <w:rPr>
          <w:rFonts w:hint="eastAsia" w:ascii="宋体" w:hAnsi="宋体" w:eastAsia="宋体" w:cs="宋体"/>
          <w:color w:val="auto"/>
          <w:kern w:val="0"/>
          <w:szCs w:val="21"/>
        </w:rPr>
      </w:pPr>
      <w:r>
        <w:rPr>
          <w:rFonts w:hint="eastAsia" w:ascii="宋体" w:hAnsi="宋体" w:eastAsia="宋体" w:cs="宋体"/>
          <w:color w:val="auto"/>
          <w:kern w:val="0"/>
          <w:szCs w:val="21"/>
        </w:rPr>
        <w:t>采购需求：</w:t>
      </w:r>
    </w:p>
    <w:p w14:paraId="7BDA55C9">
      <w:pPr>
        <w:spacing w:line="312" w:lineRule="auto"/>
        <w:ind w:firstLine="735" w:firstLineChars="350"/>
        <w:jc w:val="left"/>
        <w:rPr>
          <w:rFonts w:hint="eastAsia" w:ascii="宋体" w:hAnsi="宋体" w:eastAsia="宋体" w:cs="宋体"/>
          <w:color w:val="auto"/>
          <w:kern w:val="0"/>
          <w:szCs w:val="21"/>
        </w:rPr>
      </w:pPr>
      <w:r>
        <w:rPr>
          <w:rFonts w:hint="eastAsia" w:ascii="宋体" w:hAnsi="宋体" w:eastAsia="宋体" w:cs="宋体"/>
          <w:color w:val="auto"/>
          <w:kern w:val="0"/>
          <w:szCs w:val="21"/>
        </w:rPr>
        <w:t>标项名称：柳州市人民医院眼科手术室装修改造工程</w:t>
      </w:r>
    </w:p>
    <w:p w14:paraId="63F5D06E">
      <w:pPr>
        <w:spacing w:line="312" w:lineRule="auto"/>
        <w:ind w:firstLine="735" w:firstLineChars="350"/>
        <w:jc w:val="left"/>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rPr>
        <w:t>数量：</w:t>
      </w:r>
      <w:r>
        <w:rPr>
          <w:rFonts w:hint="eastAsia" w:ascii="宋体" w:hAnsi="宋体" w:eastAsia="宋体" w:cs="宋体"/>
          <w:color w:val="auto"/>
          <w:kern w:val="0"/>
          <w:szCs w:val="21"/>
          <w:lang w:val="en-US" w:eastAsia="zh-CN"/>
        </w:rPr>
        <w:t>1</w:t>
      </w:r>
    </w:p>
    <w:p w14:paraId="3D5CEA0E">
      <w:pPr>
        <w:spacing w:line="312" w:lineRule="auto"/>
        <w:ind w:firstLine="735" w:firstLineChars="350"/>
        <w:jc w:val="left"/>
        <w:rPr>
          <w:rFonts w:hint="eastAsia" w:ascii="宋体" w:hAnsi="宋体" w:eastAsia="宋体" w:cs="宋体"/>
          <w:color w:val="auto"/>
          <w:kern w:val="0"/>
          <w:szCs w:val="21"/>
        </w:rPr>
      </w:pPr>
      <w:r>
        <w:rPr>
          <w:rFonts w:hint="eastAsia" w:ascii="宋体" w:hAnsi="宋体" w:eastAsia="宋体" w:cs="宋体"/>
          <w:color w:val="auto"/>
          <w:kern w:val="0"/>
          <w:szCs w:val="21"/>
        </w:rPr>
        <w:t>预算金额（元）：926444.87</w:t>
      </w:r>
    </w:p>
    <w:p w14:paraId="5F3B76B9">
      <w:pPr>
        <w:spacing w:line="312" w:lineRule="auto"/>
        <w:ind w:firstLine="735" w:firstLineChars="350"/>
        <w:jc w:val="left"/>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rPr>
        <w:t>简要规格描述或项目基本概况介绍、用途：柳州市人民医院眼科手术室装修改造工程</w:t>
      </w:r>
      <w:r>
        <w:rPr>
          <w:rFonts w:hint="eastAsia" w:ascii="宋体" w:hAnsi="宋体" w:eastAsia="宋体" w:cs="宋体"/>
          <w:color w:val="auto"/>
          <w:kern w:val="0"/>
          <w:szCs w:val="21"/>
          <w:lang w:eastAsia="zh-CN"/>
        </w:rPr>
        <w:t>，</w:t>
      </w:r>
      <w:r>
        <w:rPr>
          <w:rFonts w:hint="eastAsia" w:ascii="宋体" w:hAnsi="宋体" w:eastAsia="宋体" w:cs="宋体"/>
          <w:color w:val="auto"/>
          <w:kern w:val="0"/>
          <w:szCs w:val="21"/>
          <w:lang w:val="en-US" w:eastAsia="zh-CN"/>
        </w:rPr>
        <w:t>具体工作内容详见施工图纸及工程量清单。</w:t>
      </w:r>
    </w:p>
    <w:p w14:paraId="06B099C3">
      <w:pPr>
        <w:spacing w:line="312" w:lineRule="auto"/>
        <w:ind w:firstLine="735" w:firstLineChars="350"/>
        <w:jc w:val="left"/>
        <w:rPr>
          <w:rFonts w:hint="eastAsia" w:ascii="宋体" w:hAnsi="宋体" w:eastAsia="宋体" w:cs="宋体"/>
          <w:color w:val="auto"/>
          <w:kern w:val="0"/>
          <w:szCs w:val="21"/>
        </w:rPr>
      </w:pPr>
      <w:r>
        <w:rPr>
          <w:rFonts w:hint="eastAsia" w:ascii="宋体" w:hAnsi="宋体" w:eastAsia="宋体" w:cs="宋体"/>
          <w:color w:val="auto"/>
          <w:kern w:val="0"/>
          <w:szCs w:val="21"/>
        </w:rPr>
        <w:t>最高限价（</w:t>
      </w:r>
      <w:r>
        <w:rPr>
          <w:rFonts w:hint="eastAsia" w:ascii="宋体" w:hAnsi="宋体" w:eastAsia="宋体" w:cs="宋体"/>
          <w:color w:val="auto"/>
          <w:kern w:val="0"/>
          <w:szCs w:val="21"/>
          <w:lang w:val="en-US" w:eastAsia="zh-CN"/>
        </w:rPr>
        <w:t>元</w:t>
      </w:r>
      <w:r>
        <w:rPr>
          <w:rFonts w:hint="eastAsia" w:ascii="宋体" w:hAnsi="宋体" w:eastAsia="宋体" w:cs="宋体"/>
          <w:color w:val="auto"/>
          <w:kern w:val="0"/>
          <w:szCs w:val="21"/>
        </w:rPr>
        <w:t xml:space="preserve">）：926444.87 </w:t>
      </w:r>
    </w:p>
    <w:p w14:paraId="49D6F594">
      <w:pPr>
        <w:spacing w:line="312" w:lineRule="auto"/>
        <w:ind w:firstLine="735" w:firstLineChars="350"/>
        <w:jc w:val="left"/>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rPr>
        <w:t>合同履约期限：</w:t>
      </w:r>
      <w:r>
        <w:rPr>
          <w:rFonts w:hint="eastAsia" w:ascii="宋体" w:hAnsi="宋体" w:eastAsia="宋体" w:cs="宋体"/>
          <w:color w:val="auto"/>
          <w:kern w:val="0"/>
          <w:szCs w:val="21"/>
          <w:highlight w:val="none"/>
          <w:lang w:val="en-US" w:eastAsia="zh-CN"/>
        </w:rPr>
        <w:t>工期100</w:t>
      </w:r>
      <w:r>
        <w:rPr>
          <w:rFonts w:hint="eastAsia" w:ascii="宋体" w:hAnsi="宋体" w:cs="宋体"/>
          <w:color w:val="auto"/>
          <w:kern w:val="0"/>
          <w:szCs w:val="21"/>
          <w:highlight w:val="none"/>
          <w:lang w:val="en-US" w:eastAsia="zh-CN"/>
        </w:rPr>
        <w:t>日历</w:t>
      </w:r>
      <w:r>
        <w:rPr>
          <w:rFonts w:hint="eastAsia" w:ascii="宋体" w:hAnsi="宋体" w:eastAsia="宋体" w:cs="宋体"/>
          <w:color w:val="auto"/>
          <w:kern w:val="0"/>
          <w:szCs w:val="21"/>
          <w:highlight w:val="none"/>
          <w:lang w:val="en-US" w:eastAsia="zh-CN"/>
        </w:rPr>
        <w:t>天。</w:t>
      </w:r>
    </w:p>
    <w:p w14:paraId="003286F5">
      <w:pPr>
        <w:spacing w:line="312" w:lineRule="auto"/>
        <w:ind w:firstLine="735" w:firstLineChars="350"/>
        <w:jc w:val="left"/>
        <w:rPr>
          <w:rFonts w:hint="eastAsia" w:ascii="宋体" w:hAnsi="宋体" w:eastAsia="宋体" w:cs="宋体"/>
          <w:color w:val="auto"/>
          <w:kern w:val="0"/>
          <w:szCs w:val="21"/>
        </w:rPr>
      </w:pPr>
      <w:r>
        <w:rPr>
          <w:rFonts w:hint="eastAsia" w:ascii="宋体" w:hAnsi="宋体" w:eastAsia="宋体" w:cs="宋体"/>
          <w:color w:val="auto"/>
          <w:kern w:val="0"/>
          <w:szCs w:val="21"/>
        </w:rPr>
        <w:t>本</w:t>
      </w:r>
      <w:r>
        <w:rPr>
          <w:rFonts w:hint="eastAsia" w:ascii="宋体" w:hAnsi="宋体" w:eastAsia="宋体" w:cs="宋体"/>
          <w:color w:val="auto"/>
          <w:kern w:val="0"/>
          <w:szCs w:val="21"/>
          <w:lang w:val="en-US" w:eastAsia="zh-CN"/>
        </w:rPr>
        <w:t>标项</w:t>
      </w:r>
      <w:r>
        <w:rPr>
          <w:rFonts w:hint="eastAsia" w:ascii="宋体" w:hAnsi="宋体" w:eastAsia="宋体" w:cs="宋体"/>
          <w:color w:val="auto"/>
          <w:kern w:val="0"/>
          <w:szCs w:val="21"/>
        </w:rPr>
        <w:t>（</w:t>
      </w:r>
      <w:r>
        <w:rPr>
          <w:rFonts w:hint="eastAsia" w:ascii="宋体" w:hAnsi="宋体" w:eastAsia="宋体" w:cs="宋体"/>
          <w:color w:val="auto"/>
          <w:szCs w:val="21"/>
        </w:rPr>
        <w:t>否</w:t>
      </w:r>
      <w:r>
        <w:rPr>
          <w:rFonts w:hint="eastAsia" w:ascii="宋体" w:hAnsi="宋体" w:eastAsia="宋体" w:cs="宋体"/>
          <w:color w:val="auto"/>
          <w:kern w:val="0"/>
          <w:szCs w:val="21"/>
        </w:rPr>
        <w:t>）接受联合体。</w:t>
      </w:r>
    </w:p>
    <w:p w14:paraId="16C2542B">
      <w:pPr>
        <w:spacing w:line="312" w:lineRule="auto"/>
        <w:ind w:firstLine="735" w:firstLineChars="350"/>
        <w:jc w:val="left"/>
        <w:rPr>
          <w:rFonts w:hint="eastAsia" w:ascii="宋体" w:hAnsi="宋体" w:eastAsia="宋体" w:cs="宋体"/>
          <w:color w:val="auto"/>
          <w:kern w:val="0"/>
          <w:szCs w:val="21"/>
        </w:rPr>
      </w:pPr>
      <w:r>
        <w:rPr>
          <w:rFonts w:hint="eastAsia" w:ascii="宋体" w:hAnsi="宋体" w:eastAsia="宋体" w:cs="宋体"/>
          <w:color w:val="auto"/>
          <w:kern w:val="0"/>
          <w:szCs w:val="21"/>
        </w:rPr>
        <w:t>备注：</w:t>
      </w:r>
      <w:r>
        <w:rPr>
          <w:rFonts w:hint="eastAsia" w:ascii="宋体" w:hAnsi="宋体" w:eastAsia="宋体" w:cs="宋体"/>
          <w:color w:val="auto"/>
          <w:kern w:val="0"/>
          <w:szCs w:val="21"/>
          <w:lang w:val="en-US" w:eastAsia="zh-CN"/>
        </w:rPr>
        <w:t>本项目为线上电子招标项目，有意向参与本项目的供应商应当做好参与全流程电子招投标交易的充分准备。</w:t>
      </w:r>
    </w:p>
    <w:bookmarkEnd w:id="11"/>
    <w:p w14:paraId="48BF906B">
      <w:pPr>
        <w:spacing w:line="312" w:lineRule="auto"/>
        <w:ind w:firstLine="442" w:firstLineChars="200"/>
        <w:jc w:val="left"/>
        <w:rPr>
          <w:rFonts w:hint="eastAsia" w:ascii="宋体" w:hAnsi="宋体" w:eastAsia="宋体" w:cs="宋体"/>
          <w:b/>
          <w:bCs/>
          <w:kern w:val="0"/>
          <w:sz w:val="22"/>
          <w:szCs w:val="22"/>
        </w:rPr>
      </w:pPr>
      <w:r>
        <w:rPr>
          <w:rFonts w:hint="eastAsia" w:ascii="宋体" w:hAnsi="宋体" w:eastAsia="宋体" w:cs="宋体"/>
          <w:b/>
          <w:bCs/>
          <w:kern w:val="0"/>
          <w:sz w:val="22"/>
          <w:szCs w:val="22"/>
        </w:rPr>
        <w:t>二、申请人的资格要求</w:t>
      </w:r>
    </w:p>
    <w:p w14:paraId="5D1F7B07">
      <w:pPr>
        <w:spacing w:line="312" w:lineRule="auto"/>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1.满足《中华人民共和国政府采购法》第二十二条规定；</w:t>
      </w:r>
    </w:p>
    <w:p w14:paraId="7F85DD79">
      <w:pPr>
        <w:spacing w:line="312" w:lineRule="auto"/>
        <w:ind w:firstLine="420" w:firstLineChars="200"/>
        <w:jc w:val="left"/>
        <w:rPr>
          <w:rFonts w:hint="eastAsia" w:ascii="宋体" w:hAnsi="宋体" w:eastAsia="宋体" w:cs="宋体"/>
          <w:color w:val="auto"/>
          <w:kern w:val="0"/>
          <w:szCs w:val="21"/>
        </w:rPr>
      </w:pPr>
      <w:r>
        <w:rPr>
          <w:rFonts w:hint="eastAsia" w:ascii="宋体" w:hAnsi="宋体" w:eastAsia="宋体" w:cs="宋体"/>
          <w:color w:val="auto"/>
          <w:szCs w:val="21"/>
        </w:rPr>
        <w:t>2</w:t>
      </w:r>
      <w:r>
        <w:rPr>
          <w:rFonts w:hint="eastAsia" w:ascii="宋体" w:hAnsi="宋体" w:eastAsia="宋体" w:cs="宋体"/>
          <w:color w:val="auto"/>
          <w:kern w:val="0"/>
          <w:szCs w:val="21"/>
        </w:rPr>
        <w:t>.</w:t>
      </w:r>
      <w:r>
        <w:rPr>
          <w:rFonts w:hint="eastAsia" w:ascii="宋体" w:hAnsi="宋体" w:eastAsia="宋体" w:cs="宋体"/>
          <w:color w:val="auto"/>
          <w:szCs w:val="21"/>
        </w:rPr>
        <w:t>落实政府采购政策需满足的资格要求：</w:t>
      </w:r>
      <w:bookmarkStart w:id="12" w:name="_Hlk132732708"/>
      <w:r>
        <w:rPr>
          <w:rFonts w:hint="eastAsia" w:ascii="宋体" w:hAnsi="宋体" w:eastAsia="宋体" w:cs="宋体"/>
          <w:color w:val="auto"/>
          <w:szCs w:val="21"/>
        </w:rPr>
        <w:t>供应商为中小微企业或残疾人福利企业或监狱企业</w:t>
      </w:r>
      <w:r>
        <w:rPr>
          <w:rFonts w:hint="eastAsia" w:ascii="宋体" w:hAnsi="宋体" w:eastAsia="宋体" w:cs="宋体"/>
          <w:color w:val="auto"/>
          <w:kern w:val="0"/>
          <w:szCs w:val="21"/>
        </w:rPr>
        <w:t>；</w:t>
      </w:r>
    </w:p>
    <w:bookmarkEnd w:id="12"/>
    <w:p w14:paraId="5EF31331">
      <w:pPr>
        <w:spacing w:line="312" w:lineRule="auto"/>
        <w:ind w:firstLine="420" w:firstLineChars="200"/>
        <w:jc w:val="left"/>
        <w:rPr>
          <w:rFonts w:hint="eastAsia" w:ascii="宋体" w:hAnsi="宋体" w:eastAsia="宋体" w:cs="宋体"/>
          <w:color w:val="auto"/>
          <w:kern w:val="0"/>
          <w:szCs w:val="21"/>
        </w:rPr>
      </w:pPr>
      <w:r>
        <w:rPr>
          <w:rFonts w:hint="eastAsia" w:ascii="宋体" w:hAnsi="宋体" w:eastAsia="宋体" w:cs="宋体"/>
          <w:color w:val="auto"/>
          <w:kern w:val="0"/>
          <w:szCs w:val="21"/>
        </w:rPr>
        <w:t>3.本项目的特定资格要求：</w:t>
      </w:r>
    </w:p>
    <w:p w14:paraId="209B4C77">
      <w:pPr>
        <w:spacing w:line="312" w:lineRule="auto"/>
        <w:ind w:firstLine="420" w:firstLineChars="200"/>
        <w:jc w:val="left"/>
        <w:rPr>
          <w:rFonts w:hint="eastAsia" w:ascii="宋体" w:hAnsi="宋体" w:eastAsia="宋体" w:cs="宋体"/>
          <w:color w:val="auto"/>
          <w:kern w:val="0"/>
          <w:szCs w:val="21"/>
        </w:rPr>
      </w:pPr>
      <w:r>
        <w:rPr>
          <w:rFonts w:hint="eastAsia" w:ascii="宋体" w:hAnsi="宋体" w:eastAsia="宋体" w:cs="宋体"/>
          <w:color w:val="auto"/>
          <w:kern w:val="0"/>
          <w:szCs w:val="21"/>
        </w:rPr>
        <w:t>（1）资质要求：具备</w:t>
      </w:r>
      <w:r>
        <w:rPr>
          <w:rFonts w:hint="eastAsia" w:ascii="宋体" w:hAnsi="宋体" w:eastAsia="宋体" w:cs="宋体"/>
          <w:color w:val="auto"/>
          <w:kern w:val="0"/>
          <w:szCs w:val="21"/>
          <w:lang w:val="en-US" w:eastAsia="zh-CN"/>
        </w:rPr>
        <w:t>有效的</w:t>
      </w:r>
      <w:r>
        <w:rPr>
          <w:rFonts w:hint="eastAsia" w:ascii="宋体" w:hAnsi="宋体" w:eastAsia="宋体" w:cs="宋体"/>
          <w:color w:val="auto"/>
          <w:kern w:val="0"/>
          <w:szCs w:val="21"/>
          <w:u w:val="none"/>
        </w:rPr>
        <w:t>建筑工程施工总承包</w:t>
      </w:r>
      <w:r>
        <w:rPr>
          <w:rFonts w:hint="eastAsia" w:ascii="宋体" w:hAnsi="宋体" w:cs="宋体"/>
          <w:color w:val="auto"/>
          <w:kern w:val="0"/>
          <w:szCs w:val="21"/>
          <w:u w:val="none"/>
          <w:lang w:val="en-US" w:eastAsia="zh-CN"/>
        </w:rPr>
        <w:t>二</w:t>
      </w:r>
      <w:r>
        <w:rPr>
          <w:rFonts w:hint="eastAsia" w:ascii="宋体" w:hAnsi="宋体" w:eastAsia="宋体" w:cs="宋体"/>
          <w:color w:val="auto"/>
          <w:kern w:val="0"/>
          <w:szCs w:val="21"/>
        </w:rPr>
        <w:t>级（或根据《住房城乡建设部办公厅关于做好有关建设工程企业资质证书换领和延续工作的通知》，在证书换领前仍在资质证书有效期内的建筑工程施工总承包三级）以上（含本级）资质，</w:t>
      </w:r>
      <w:r>
        <w:rPr>
          <w:rFonts w:hint="eastAsia" w:ascii="宋体" w:hAnsi="宋体" w:eastAsia="宋体" w:cs="宋体"/>
          <w:color w:val="auto"/>
          <w:szCs w:val="21"/>
        </w:rPr>
        <w:t>具备有效的安全生产许可证</w:t>
      </w:r>
      <w:r>
        <w:rPr>
          <w:rFonts w:hint="eastAsia" w:ascii="宋体" w:hAnsi="宋体" w:eastAsia="宋体" w:cs="宋体"/>
          <w:color w:val="auto"/>
          <w:kern w:val="0"/>
          <w:szCs w:val="21"/>
        </w:rPr>
        <w:t>。</w:t>
      </w:r>
    </w:p>
    <w:p w14:paraId="41BC8085">
      <w:pPr>
        <w:spacing w:line="312" w:lineRule="auto"/>
        <w:ind w:firstLine="420" w:firstLineChars="200"/>
        <w:jc w:val="left"/>
        <w:rPr>
          <w:rFonts w:hint="eastAsia" w:ascii="宋体" w:hAnsi="宋体" w:eastAsia="宋体" w:cs="宋体"/>
          <w:color w:val="auto"/>
          <w:kern w:val="0"/>
          <w:szCs w:val="21"/>
        </w:rPr>
      </w:pPr>
      <w:r>
        <w:rPr>
          <w:rFonts w:hint="eastAsia" w:ascii="宋体" w:hAnsi="宋体" w:eastAsia="宋体" w:cs="宋体"/>
          <w:color w:val="auto"/>
          <w:kern w:val="0"/>
          <w:szCs w:val="21"/>
        </w:rPr>
        <w:t>（2）人员要求</w:t>
      </w:r>
    </w:p>
    <w:p w14:paraId="411A614E">
      <w:pPr>
        <w:spacing w:line="312" w:lineRule="auto"/>
        <w:ind w:firstLine="420" w:firstLineChars="200"/>
        <w:jc w:val="left"/>
        <w:rPr>
          <w:rFonts w:hint="eastAsia" w:ascii="宋体" w:hAnsi="宋体" w:eastAsia="宋体" w:cs="宋体"/>
          <w:kern w:val="0"/>
          <w:szCs w:val="21"/>
          <w:highlight w:val="yellow"/>
        </w:rPr>
      </w:pPr>
      <w:r>
        <w:rPr>
          <w:rFonts w:hint="eastAsia" w:ascii="宋体" w:hAnsi="宋体" w:eastAsia="宋体" w:cs="宋体"/>
          <w:color w:val="auto"/>
          <w:kern w:val="0"/>
          <w:szCs w:val="21"/>
        </w:rPr>
        <w:t>项目经理要求：</w:t>
      </w:r>
      <w:r>
        <w:rPr>
          <w:rFonts w:hint="eastAsia" w:ascii="宋体" w:hAnsi="宋体" w:eastAsia="宋体" w:cs="宋体"/>
          <w:color w:val="auto"/>
          <w:u w:val="none"/>
          <w:lang w:val="en-US" w:eastAsia="zh-CN"/>
        </w:rPr>
        <w:t>具备有效的建筑工程</w:t>
      </w:r>
      <w:r>
        <w:rPr>
          <w:rFonts w:hint="eastAsia" w:ascii="宋体" w:hAnsi="宋体" w:eastAsia="宋体" w:cs="宋体"/>
          <w:color w:val="auto"/>
        </w:rPr>
        <w:t>专业</w:t>
      </w:r>
      <w:r>
        <w:rPr>
          <w:rFonts w:hint="eastAsia" w:ascii="宋体" w:hAnsi="宋体" w:eastAsia="宋体" w:cs="宋体"/>
          <w:color w:val="auto"/>
          <w:u w:val="none"/>
          <w:lang w:val="en-US" w:eastAsia="zh-CN"/>
        </w:rPr>
        <w:t>二</w:t>
      </w:r>
      <w:r>
        <w:rPr>
          <w:rFonts w:hint="eastAsia" w:ascii="宋体" w:hAnsi="宋体" w:eastAsia="宋体" w:cs="宋体"/>
          <w:color w:val="auto"/>
        </w:rPr>
        <w:t>级以上（含本级）</w:t>
      </w:r>
      <w:r>
        <w:rPr>
          <w:rFonts w:hint="eastAsia" w:ascii="宋体" w:hAnsi="宋体" w:eastAsia="宋体" w:cs="宋体"/>
          <w:color w:val="auto"/>
          <w:kern w:val="0"/>
          <w:szCs w:val="21"/>
        </w:rPr>
        <w:t>注册建造师执业资格，</w:t>
      </w:r>
      <w:r>
        <w:rPr>
          <w:rFonts w:hint="eastAsia" w:ascii="宋体" w:hAnsi="宋体" w:eastAsia="宋体" w:cs="宋体"/>
          <w:color w:val="auto"/>
          <w:kern w:val="0"/>
          <w:szCs w:val="21"/>
          <w:lang w:val="en-US" w:eastAsia="zh-CN"/>
        </w:rPr>
        <w:t>并</w:t>
      </w:r>
      <w:r>
        <w:rPr>
          <w:rFonts w:hint="eastAsia" w:ascii="宋体" w:hAnsi="宋体" w:eastAsia="宋体" w:cs="宋体"/>
          <w:color w:val="auto"/>
          <w:kern w:val="0"/>
          <w:szCs w:val="21"/>
        </w:rPr>
        <w:t>具备有效的安全生产考核合格证书（B类）。</w:t>
      </w:r>
      <w:r>
        <w:rPr>
          <w:rFonts w:hint="eastAsia" w:ascii="宋体" w:hAnsi="宋体" w:eastAsia="宋体" w:cs="宋体"/>
          <w:color w:val="auto"/>
          <w:kern w:val="0"/>
          <w:szCs w:val="21"/>
          <w:highlight w:val="none"/>
        </w:rPr>
        <w:t>本项目</w:t>
      </w:r>
      <w:r>
        <w:rPr>
          <w:rFonts w:hint="eastAsia" w:ascii="宋体" w:hAnsi="宋体" w:eastAsia="宋体" w:cs="宋体"/>
          <w:kern w:val="0"/>
          <w:szCs w:val="21"/>
          <w:highlight w:val="none"/>
        </w:rPr>
        <w:t>不接受有在建、已中标未开工或已列为其他项目中标（成交）候选人第一名的建造师作为项目经理（符合《广西壮族自治区建筑市场诚信卡管理暂行办法》第十六条第一款及桂建管﹝2016﹞70号、桂建管〔2020〕11号文除外）。</w:t>
      </w:r>
    </w:p>
    <w:p w14:paraId="3E76BFE0">
      <w:pPr>
        <w:spacing w:line="312" w:lineRule="auto"/>
        <w:ind w:firstLine="420" w:firstLineChars="200"/>
        <w:jc w:val="left"/>
        <w:rPr>
          <w:rFonts w:hint="eastAsia" w:ascii="宋体" w:hAnsi="宋体" w:eastAsia="宋体" w:cs="宋体"/>
          <w:color w:val="auto"/>
          <w:kern w:val="0"/>
          <w:szCs w:val="21"/>
        </w:rPr>
      </w:pPr>
      <w:r>
        <w:rPr>
          <w:rFonts w:hint="eastAsia" w:ascii="宋体" w:hAnsi="宋体" w:eastAsia="宋体" w:cs="宋体"/>
        </w:rPr>
        <w:t>专职安全员</w:t>
      </w:r>
      <w:r>
        <w:rPr>
          <w:rFonts w:hint="eastAsia" w:ascii="宋体" w:hAnsi="宋体" w:eastAsia="宋体" w:cs="宋体"/>
          <w:kern w:val="0"/>
          <w:szCs w:val="21"/>
        </w:rPr>
        <w:t>要求：</w:t>
      </w:r>
      <w:r>
        <w:rPr>
          <w:rFonts w:hint="eastAsia" w:ascii="宋体" w:hAnsi="宋体" w:eastAsia="宋体" w:cs="宋体"/>
          <w:color w:val="auto"/>
        </w:rPr>
        <w:t>须具备有效的安全生产考核合格证书（C类），人数符合住房城乡建设部《建筑施工企业、工程项目安全生产管理机构设置及安全生产管理人员配备办法》（建质</w:t>
      </w:r>
      <w:r>
        <w:rPr>
          <w:rFonts w:hint="eastAsia" w:ascii="宋体" w:hAnsi="宋体" w:eastAsia="宋体" w:cs="宋体"/>
          <w:color w:val="auto"/>
          <w:lang w:val="en-US" w:eastAsia="zh-CN"/>
        </w:rPr>
        <w:t>规</w:t>
      </w:r>
      <w:r>
        <w:rPr>
          <w:rFonts w:hint="eastAsia" w:ascii="宋体" w:hAnsi="宋体" w:eastAsia="宋体" w:cs="宋体"/>
          <w:color w:val="auto"/>
        </w:rPr>
        <w:t>〔20</w:t>
      </w:r>
      <w:r>
        <w:rPr>
          <w:rFonts w:hint="eastAsia" w:ascii="宋体" w:hAnsi="宋体" w:eastAsia="宋体" w:cs="宋体"/>
          <w:color w:val="auto"/>
          <w:lang w:val="en-US" w:eastAsia="zh-CN"/>
        </w:rPr>
        <w:t>25</w:t>
      </w:r>
      <w:r>
        <w:rPr>
          <w:rFonts w:hint="eastAsia" w:ascii="宋体" w:hAnsi="宋体" w:eastAsia="宋体" w:cs="宋体"/>
          <w:color w:val="auto"/>
        </w:rPr>
        <w:t>〕</w:t>
      </w:r>
      <w:r>
        <w:rPr>
          <w:rFonts w:hint="eastAsia" w:ascii="宋体" w:hAnsi="宋体" w:eastAsia="宋体" w:cs="宋体"/>
          <w:color w:val="auto"/>
          <w:lang w:val="en-US" w:eastAsia="zh-CN"/>
        </w:rPr>
        <w:t>3</w:t>
      </w:r>
      <w:r>
        <w:rPr>
          <w:rFonts w:hint="eastAsia" w:ascii="宋体" w:hAnsi="宋体" w:eastAsia="宋体" w:cs="宋体"/>
          <w:color w:val="auto"/>
        </w:rPr>
        <w:t>号）的规定不少于</w:t>
      </w:r>
      <w:r>
        <w:rPr>
          <w:rFonts w:hint="eastAsia" w:ascii="宋体" w:hAnsi="宋体" w:eastAsia="宋体" w:cs="宋体"/>
          <w:color w:val="auto"/>
          <w:u w:val="none"/>
          <w:lang w:val="en-US" w:eastAsia="zh-CN"/>
        </w:rPr>
        <w:t>1</w:t>
      </w:r>
      <w:r>
        <w:rPr>
          <w:rFonts w:hint="eastAsia" w:ascii="宋体" w:hAnsi="宋体" w:eastAsia="宋体" w:cs="宋体"/>
          <w:color w:val="auto"/>
        </w:rPr>
        <w:t>人。</w:t>
      </w:r>
    </w:p>
    <w:p w14:paraId="7B95A295">
      <w:pPr>
        <w:spacing w:line="312" w:lineRule="auto"/>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w:t>
      </w:r>
      <w:r>
        <w:rPr>
          <w:rFonts w:hint="eastAsia" w:ascii="宋体" w:hAnsi="宋体" w:cs="宋体"/>
          <w:kern w:val="0"/>
          <w:szCs w:val="21"/>
          <w:lang w:val="en-US" w:eastAsia="zh-CN"/>
        </w:rPr>
        <w:t>3</w:t>
      </w:r>
      <w:r>
        <w:rPr>
          <w:rFonts w:hint="eastAsia" w:ascii="宋体" w:hAnsi="宋体" w:eastAsia="宋体" w:cs="宋体"/>
          <w:kern w:val="0"/>
          <w:szCs w:val="21"/>
        </w:rPr>
        <w:t>）单位负责人为同一人或者存在直接控股、管理关系的不同供应商，不得参加本项目同一合同项下的政府采购活动。为本项目提供整体设计、规范编制或者项目管理、监理、检测等服务的供应商，不得再参加本项目的采购活动。</w:t>
      </w:r>
    </w:p>
    <w:p w14:paraId="3F6D48ED">
      <w:pPr>
        <w:spacing w:line="312" w:lineRule="auto"/>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w:t>
      </w:r>
      <w:r>
        <w:rPr>
          <w:rFonts w:hint="eastAsia" w:ascii="宋体" w:hAnsi="宋体" w:cs="宋体"/>
          <w:kern w:val="0"/>
          <w:szCs w:val="21"/>
          <w:lang w:val="en-US" w:eastAsia="zh-CN"/>
        </w:rPr>
        <w:t>4</w:t>
      </w:r>
      <w:r>
        <w:rPr>
          <w:rFonts w:hint="eastAsia" w:ascii="宋体" w:hAnsi="宋体" w:eastAsia="宋体" w:cs="宋体"/>
          <w:kern w:val="0"/>
          <w:szCs w:val="21"/>
        </w:rPr>
        <w:t>）未被列入失信被执行人、重大税收违法失信主体、政府采购严重违法失信行为记录名单。</w:t>
      </w:r>
    </w:p>
    <w:p w14:paraId="4BB81DBE">
      <w:pPr>
        <w:spacing w:line="312" w:lineRule="auto"/>
        <w:ind w:firstLine="420" w:firstLineChars="200"/>
        <w:jc w:val="left"/>
        <w:rPr>
          <w:rFonts w:hint="eastAsia" w:ascii="宋体" w:hAnsi="宋体" w:eastAsia="宋体" w:cs="宋体"/>
          <w:color w:val="auto"/>
          <w:kern w:val="0"/>
          <w:szCs w:val="21"/>
        </w:rPr>
      </w:pPr>
      <w:bookmarkStart w:id="13" w:name="_Hlk132732817"/>
      <w:r>
        <w:rPr>
          <w:rFonts w:hint="eastAsia" w:ascii="宋体" w:hAnsi="宋体" w:eastAsia="宋体" w:cs="宋体"/>
          <w:color w:val="auto"/>
          <w:szCs w:val="21"/>
        </w:rPr>
        <w:t>（</w:t>
      </w:r>
      <w:r>
        <w:rPr>
          <w:rFonts w:hint="eastAsia" w:ascii="宋体" w:hAnsi="宋体" w:cs="宋体"/>
          <w:color w:val="auto"/>
          <w:szCs w:val="21"/>
          <w:lang w:val="en-US" w:eastAsia="zh-CN"/>
        </w:rPr>
        <w:t>5</w:t>
      </w:r>
      <w:r>
        <w:rPr>
          <w:rFonts w:hint="eastAsia" w:ascii="宋体" w:hAnsi="宋体" w:eastAsia="宋体" w:cs="宋体"/>
          <w:color w:val="auto"/>
          <w:szCs w:val="21"/>
        </w:rPr>
        <w:t>）</w:t>
      </w:r>
      <w:r>
        <w:rPr>
          <w:rFonts w:hint="eastAsia" w:ascii="宋体" w:hAnsi="宋体" w:eastAsia="宋体" w:cs="宋体"/>
          <w:color w:val="auto"/>
          <w:kern w:val="0"/>
          <w:szCs w:val="21"/>
        </w:rPr>
        <w:t>本项目不允许分包。</w:t>
      </w:r>
    </w:p>
    <w:p w14:paraId="2F09D1A4">
      <w:pPr>
        <w:spacing w:line="312" w:lineRule="auto"/>
        <w:ind w:firstLine="420" w:firstLineChars="200"/>
        <w:jc w:val="left"/>
        <w:rPr>
          <w:rFonts w:hint="eastAsia" w:ascii="宋体" w:hAnsi="宋体" w:eastAsia="宋体" w:cs="宋体"/>
          <w:szCs w:val="21"/>
        </w:rPr>
      </w:pPr>
      <w:r>
        <w:rPr>
          <w:rFonts w:hint="eastAsia" w:ascii="宋体" w:hAnsi="宋体" w:eastAsia="宋体" w:cs="宋体"/>
          <w:color w:val="auto"/>
          <w:kern w:val="0"/>
          <w:szCs w:val="21"/>
        </w:rPr>
        <w:t>（</w:t>
      </w:r>
      <w:r>
        <w:rPr>
          <w:rFonts w:hint="eastAsia" w:ascii="宋体" w:hAnsi="宋体" w:cs="宋体"/>
          <w:color w:val="auto"/>
          <w:kern w:val="0"/>
          <w:szCs w:val="21"/>
          <w:lang w:val="en-US" w:eastAsia="zh-CN"/>
        </w:rPr>
        <w:t>6</w:t>
      </w:r>
      <w:r>
        <w:rPr>
          <w:rFonts w:hint="eastAsia" w:ascii="宋体" w:hAnsi="宋体" w:eastAsia="宋体" w:cs="宋体"/>
          <w:color w:val="auto"/>
          <w:kern w:val="0"/>
          <w:szCs w:val="21"/>
        </w:rPr>
        <w:t>）本项目不接受联合体。</w:t>
      </w:r>
      <w:bookmarkEnd w:id="13"/>
    </w:p>
    <w:p w14:paraId="7D06BBE3">
      <w:pPr>
        <w:spacing w:line="312" w:lineRule="auto"/>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w:t>
      </w:r>
      <w:r>
        <w:rPr>
          <w:rFonts w:hint="eastAsia" w:ascii="宋体" w:hAnsi="宋体" w:cs="宋体"/>
          <w:kern w:val="0"/>
          <w:szCs w:val="21"/>
          <w:lang w:val="en-US" w:eastAsia="zh-CN"/>
        </w:rPr>
        <w:t>7</w:t>
      </w:r>
      <w:r>
        <w:rPr>
          <w:rFonts w:hint="eastAsia" w:ascii="宋体" w:hAnsi="宋体" w:eastAsia="宋体" w:cs="宋体"/>
          <w:kern w:val="0"/>
          <w:szCs w:val="21"/>
        </w:rPr>
        <w:t>）按照</w:t>
      </w:r>
      <w:r>
        <w:rPr>
          <w:rFonts w:hint="eastAsia" w:ascii="宋体" w:hAnsi="宋体" w:eastAsia="宋体" w:cs="宋体"/>
        </w:rPr>
        <w:t>磋商</w:t>
      </w:r>
      <w:r>
        <w:rPr>
          <w:rFonts w:hint="eastAsia" w:ascii="宋体" w:hAnsi="宋体" w:eastAsia="宋体" w:cs="宋体"/>
          <w:kern w:val="0"/>
          <w:szCs w:val="21"/>
        </w:rPr>
        <w:t>公告的规定获得</w:t>
      </w:r>
      <w:r>
        <w:rPr>
          <w:rFonts w:hint="eastAsia" w:ascii="宋体" w:hAnsi="宋体" w:eastAsia="宋体" w:cs="宋体"/>
        </w:rPr>
        <w:t>采购文件</w:t>
      </w:r>
      <w:r>
        <w:rPr>
          <w:rFonts w:hint="eastAsia" w:ascii="宋体" w:hAnsi="宋体" w:eastAsia="宋体" w:cs="宋体"/>
          <w:kern w:val="0"/>
          <w:szCs w:val="21"/>
        </w:rPr>
        <w:t>。</w:t>
      </w:r>
    </w:p>
    <w:p w14:paraId="7EA4260F">
      <w:pPr>
        <w:spacing w:line="312" w:lineRule="auto"/>
        <w:ind w:firstLine="442" w:firstLineChars="200"/>
        <w:jc w:val="left"/>
        <w:rPr>
          <w:rFonts w:hint="eastAsia" w:ascii="宋体" w:hAnsi="宋体" w:eastAsia="宋体" w:cs="宋体"/>
          <w:b/>
          <w:bCs/>
          <w:kern w:val="0"/>
          <w:sz w:val="22"/>
          <w:szCs w:val="22"/>
        </w:rPr>
      </w:pPr>
      <w:r>
        <w:rPr>
          <w:rFonts w:hint="eastAsia" w:ascii="宋体" w:hAnsi="宋体" w:eastAsia="宋体" w:cs="宋体"/>
          <w:b/>
          <w:bCs/>
          <w:kern w:val="0"/>
          <w:sz w:val="22"/>
          <w:szCs w:val="22"/>
        </w:rPr>
        <w:t>三、获取采购文件</w:t>
      </w:r>
    </w:p>
    <w:p w14:paraId="3AE5A69E">
      <w:pPr>
        <w:spacing w:line="312" w:lineRule="auto"/>
        <w:ind w:firstLine="420" w:firstLineChars="200"/>
        <w:jc w:val="left"/>
        <w:rPr>
          <w:rFonts w:hint="eastAsia" w:ascii="宋体" w:hAnsi="宋体" w:eastAsia="宋体" w:cs="宋体"/>
        </w:rPr>
      </w:pPr>
      <w:r>
        <w:rPr>
          <w:rFonts w:hint="eastAsia" w:ascii="宋体" w:hAnsi="宋体" w:eastAsia="宋体" w:cs="宋体"/>
        </w:rPr>
        <w:t>时间：</w:t>
      </w:r>
      <w:r>
        <w:rPr>
          <w:rFonts w:hint="eastAsia" w:ascii="宋体" w:hAnsi="宋体" w:eastAsia="宋体" w:cs="宋体"/>
          <w:color w:val="auto"/>
          <w:u w:val="none"/>
        </w:rPr>
        <w:t>20</w:t>
      </w:r>
      <w:r>
        <w:rPr>
          <w:rFonts w:hint="eastAsia" w:ascii="宋体" w:hAnsi="宋体" w:eastAsia="宋体" w:cs="宋体"/>
          <w:color w:val="auto"/>
          <w:u w:val="none"/>
          <w:lang w:val="en-US" w:eastAsia="zh-CN"/>
        </w:rPr>
        <w:t>26</w:t>
      </w:r>
      <w:r>
        <w:rPr>
          <w:rFonts w:hint="eastAsia" w:ascii="宋体" w:hAnsi="宋体" w:eastAsia="宋体" w:cs="宋体"/>
          <w:color w:val="auto"/>
          <w:u w:val="none"/>
        </w:rPr>
        <w:t>年</w:t>
      </w:r>
      <w:r>
        <w:rPr>
          <w:rFonts w:hint="eastAsia" w:ascii="宋体" w:hAnsi="宋体" w:cs="宋体"/>
          <w:color w:val="auto"/>
          <w:u w:val="none"/>
          <w:lang w:val="en-US" w:eastAsia="zh-CN"/>
        </w:rPr>
        <w:t>07</w:t>
      </w:r>
      <w:r>
        <w:rPr>
          <w:rFonts w:hint="eastAsia" w:ascii="宋体" w:hAnsi="宋体" w:eastAsia="宋体" w:cs="宋体"/>
          <w:color w:val="auto"/>
          <w:u w:val="none"/>
        </w:rPr>
        <w:t>月</w:t>
      </w:r>
      <w:r>
        <w:rPr>
          <w:rFonts w:hint="eastAsia" w:ascii="宋体" w:hAnsi="宋体" w:cs="宋体"/>
          <w:color w:val="auto"/>
          <w:u w:val="none"/>
          <w:lang w:val="en-US" w:eastAsia="zh-CN"/>
        </w:rPr>
        <w:t>10</w:t>
      </w:r>
      <w:r>
        <w:rPr>
          <w:rFonts w:hint="eastAsia" w:ascii="宋体" w:hAnsi="宋体" w:eastAsia="宋体" w:cs="宋体"/>
          <w:color w:val="auto"/>
          <w:u w:val="none"/>
        </w:rPr>
        <w:t>日至20</w:t>
      </w:r>
      <w:r>
        <w:rPr>
          <w:rFonts w:hint="eastAsia" w:ascii="宋体" w:hAnsi="宋体" w:eastAsia="宋体" w:cs="宋体"/>
          <w:color w:val="auto"/>
          <w:u w:val="none"/>
          <w:lang w:val="en-US" w:eastAsia="zh-CN"/>
        </w:rPr>
        <w:t>26</w:t>
      </w:r>
      <w:r>
        <w:rPr>
          <w:rFonts w:hint="eastAsia" w:ascii="宋体" w:hAnsi="宋体" w:eastAsia="宋体" w:cs="宋体"/>
          <w:color w:val="auto"/>
          <w:u w:val="none"/>
        </w:rPr>
        <w:t>年</w:t>
      </w:r>
      <w:r>
        <w:rPr>
          <w:rFonts w:hint="eastAsia" w:ascii="宋体" w:hAnsi="宋体" w:cs="宋体"/>
          <w:color w:val="auto"/>
          <w:u w:val="none"/>
          <w:lang w:val="en-US" w:eastAsia="zh-CN"/>
        </w:rPr>
        <w:t>07</w:t>
      </w:r>
      <w:r>
        <w:rPr>
          <w:rFonts w:hint="eastAsia" w:ascii="宋体" w:hAnsi="宋体" w:eastAsia="宋体" w:cs="宋体"/>
          <w:color w:val="auto"/>
          <w:u w:val="none"/>
        </w:rPr>
        <w:t>月</w:t>
      </w:r>
      <w:r>
        <w:rPr>
          <w:rFonts w:hint="eastAsia" w:ascii="宋体" w:hAnsi="宋体" w:cs="宋体"/>
          <w:color w:val="auto"/>
          <w:u w:val="none"/>
          <w:lang w:val="en-US" w:eastAsia="zh-CN"/>
        </w:rPr>
        <w:t>17</w:t>
      </w:r>
      <w:r>
        <w:rPr>
          <w:rFonts w:hint="eastAsia" w:ascii="宋体" w:hAnsi="宋体" w:eastAsia="宋体" w:cs="宋体"/>
          <w:color w:val="auto"/>
          <w:u w:val="none"/>
        </w:rPr>
        <w:t>日</w:t>
      </w:r>
      <w:r>
        <w:rPr>
          <w:rFonts w:hint="eastAsia" w:ascii="宋体" w:hAnsi="宋体" w:eastAsia="宋体" w:cs="宋体"/>
          <w:color w:val="auto"/>
        </w:rPr>
        <w:t>，每</w:t>
      </w:r>
      <w:r>
        <w:rPr>
          <w:rFonts w:hint="eastAsia" w:ascii="宋体" w:hAnsi="宋体" w:eastAsia="宋体" w:cs="宋体"/>
        </w:rPr>
        <w:t>天上午</w:t>
      </w:r>
      <w:r>
        <w:rPr>
          <w:rFonts w:hint="eastAsia" w:ascii="宋体" w:hAnsi="宋体" w:eastAsia="宋体" w:cs="宋体"/>
          <w:color w:val="auto"/>
          <w:u w:val="none"/>
        </w:rPr>
        <w:t>08</w:t>
      </w:r>
      <w:r>
        <w:rPr>
          <w:rFonts w:hint="eastAsia" w:ascii="宋体" w:hAnsi="宋体" w:eastAsia="宋体" w:cs="宋体"/>
          <w:color w:val="auto"/>
          <w:kern w:val="0"/>
          <w:szCs w:val="21"/>
          <w:u w:val="none"/>
          <w:lang w:val="en-US" w:eastAsia="zh-CN"/>
        </w:rPr>
        <w:t>:</w:t>
      </w:r>
      <w:r>
        <w:rPr>
          <w:rFonts w:hint="eastAsia" w:ascii="宋体" w:hAnsi="宋体" w:eastAsia="宋体" w:cs="宋体"/>
          <w:color w:val="auto"/>
          <w:u w:val="none"/>
        </w:rPr>
        <w:t>30</w:t>
      </w:r>
      <w:r>
        <w:rPr>
          <w:rFonts w:hint="eastAsia" w:ascii="宋体" w:hAnsi="宋体" w:eastAsia="宋体" w:cs="宋体"/>
          <w:color w:val="auto"/>
          <w:kern w:val="0"/>
          <w:szCs w:val="21"/>
          <w:u w:val="none"/>
          <w:lang w:val="en-US" w:eastAsia="zh-CN"/>
        </w:rPr>
        <w:t>:</w:t>
      </w:r>
      <w:r>
        <w:rPr>
          <w:rFonts w:hint="eastAsia" w:ascii="宋体" w:hAnsi="宋体" w:cs="宋体"/>
          <w:color w:val="auto"/>
          <w:u w:val="none"/>
          <w:lang w:val="en-US" w:eastAsia="zh-CN"/>
        </w:rPr>
        <w:t>00</w:t>
      </w:r>
      <w:r>
        <w:rPr>
          <w:rFonts w:hint="eastAsia" w:ascii="宋体" w:hAnsi="宋体" w:eastAsia="宋体" w:cs="宋体"/>
          <w:color w:val="auto"/>
          <w:u w:val="none"/>
        </w:rPr>
        <w:t>至12</w:t>
      </w:r>
      <w:r>
        <w:rPr>
          <w:rFonts w:hint="eastAsia" w:ascii="宋体" w:hAnsi="宋体" w:eastAsia="宋体" w:cs="宋体"/>
          <w:color w:val="auto"/>
          <w:kern w:val="0"/>
          <w:szCs w:val="21"/>
          <w:u w:val="none"/>
          <w:lang w:val="en-US" w:eastAsia="zh-CN"/>
        </w:rPr>
        <w:t>:</w:t>
      </w:r>
      <w:r>
        <w:rPr>
          <w:rFonts w:hint="eastAsia" w:ascii="宋体" w:hAnsi="宋体" w:eastAsia="宋体" w:cs="宋体"/>
          <w:color w:val="auto"/>
          <w:u w:val="none"/>
        </w:rPr>
        <w:t>00</w:t>
      </w:r>
      <w:r>
        <w:rPr>
          <w:rFonts w:hint="eastAsia" w:ascii="宋体" w:hAnsi="宋体" w:eastAsia="宋体" w:cs="宋体"/>
          <w:color w:val="auto"/>
          <w:kern w:val="0"/>
          <w:szCs w:val="21"/>
          <w:u w:val="none"/>
          <w:lang w:val="en-US" w:eastAsia="zh-CN"/>
        </w:rPr>
        <w:t>:</w:t>
      </w:r>
      <w:r>
        <w:rPr>
          <w:rFonts w:hint="eastAsia" w:ascii="宋体" w:hAnsi="宋体" w:cs="宋体"/>
          <w:color w:val="auto"/>
          <w:u w:val="none"/>
          <w:lang w:val="en-US" w:eastAsia="zh-CN"/>
        </w:rPr>
        <w:t>00</w:t>
      </w:r>
      <w:r>
        <w:rPr>
          <w:rFonts w:hint="eastAsia" w:ascii="宋体" w:hAnsi="宋体" w:eastAsia="宋体" w:cs="宋体"/>
          <w:color w:val="auto"/>
          <w:u w:val="none"/>
        </w:rPr>
        <w:t>，下午12</w:t>
      </w:r>
      <w:r>
        <w:rPr>
          <w:rFonts w:hint="eastAsia" w:ascii="宋体" w:hAnsi="宋体" w:eastAsia="宋体" w:cs="宋体"/>
          <w:color w:val="auto"/>
          <w:kern w:val="0"/>
          <w:szCs w:val="21"/>
          <w:u w:val="none"/>
          <w:lang w:val="en-US" w:eastAsia="zh-CN"/>
        </w:rPr>
        <w:t>:</w:t>
      </w:r>
      <w:r>
        <w:rPr>
          <w:rFonts w:hint="eastAsia" w:ascii="宋体" w:hAnsi="宋体" w:eastAsia="宋体" w:cs="宋体"/>
          <w:color w:val="auto"/>
          <w:u w:val="none"/>
        </w:rPr>
        <w:t>00</w:t>
      </w:r>
      <w:r>
        <w:rPr>
          <w:rFonts w:hint="eastAsia" w:ascii="宋体" w:hAnsi="宋体" w:eastAsia="宋体" w:cs="宋体"/>
          <w:color w:val="auto"/>
          <w:kern w:val="0"/>
          <w:szCs w:val="21"/>
          <w:u w:val="none"/>
          <w:lang w:val="en-US" w:eastAsia="zh-CN"/>
        </w:rPr>
        <w:t>:</w:t>
      </w:r>
      <w:r>
        <w:rPr>
          <w:rFonts w:hint="eastAsia" w:ascii="宋体" w:hAnsi="宋体" w:cs="宋体"/>
          <w:color w:val="auto"/>
          <w:u w:val="none"/>
          <w:lang w:val="en-US" w:eastAsia="zh-CN"/>
        </w:rPr>
        <w:t>00</w:t>
      </w:r>
      <w:r>
        <w:rPr>
          <w:rFonts w:hint="eastAsia" w:ascii="宋体" w:hAnsi="宋体" w:eastAsia="宋体" w:cs="宋体"/>
          <w:color w:val="auto"/>
          <w:u w:val="none"/>
        </w:rPr>
        <w:t>至17</w:t>
      </w:r>
      <w:r>
        <w:rPr>
          <w:rFonts w:hint="eastAsia" w:ascii="宋体" w:hAnsi="宋体" w:eastAsia="宋体" w:cs="宋体"/>
          <w:color w:val="auto"/>
          <w:kern w:val="0"/>
          <w:szCs w:val="21"/>
          <w:u w:val="none"/>
          <w:lang w:val="en-US" w:eastAsia="zh-CN"/>
        </w:rPr>
        <w:t>:</w:t>
      </w:r>
      <w:r>
        <w:rPr>
          <w:rFonts w:hint="eastAsia" w:ascii="宋体" w:hAnsi="宋体" w:eastAsia="宋体" w:cs="宋体"/>
          <w:color w:val="auto"/>
          <w:u w:val="none"/>
        </w:rPr>
        <w:t>30</w:t>
      </w:r>
      <w:r>
        <w:rPr>
          <w:rFonts w:hint="eastAsia" w:ascii="宋体" w:hAnsi="宋体" w:eastAsia="宋体" w:cs="宋体"/>
          <w:color w:val="auto"/>
          <w:kern w:val="0"/>
          <w:szCs w:val="21"/>
          <w:u w:val="none"/>
          <w:lang w:val="en-US" w:eastAsia="zh-CN"/>
        </w:rPr>
        <w:t>:</w:t>
      </w:r>
      <w:r>
        <w:rPr>
          <w:rFonts w:hint="eastAsia" w:ascii="宋体" w:hAnsi="宋体" w:cs="宋体"/>
          <w:color w:val="auto"/>
          <w:u w:val="none"/>
          <w:lang w:val="en-US" w:eastAsia="zh-CN"/>
        </w:rPr>
        <w:t>00</w:t>
      </w:r>
      <w:r>
        <w:rPr>
          <w:rFonts w:hint="eastAsia" w:ascii="宋体" w:hAnsi="宋体" w:eastAsia="宋体" w:cs="宋体"/>
          <w:color w:val="auto"/>
          <w:u w:val="none"/>
        </w:rPr>
        <w:t>（</w:t>
      </w:r>
      <w:r>
        <w:rPr>
          <w:rFonts w:hint="eastAsia" w:ascii="宋体" w:hAnsi="宋体" w:eastAsia="宋体" w:cs="宋体"/>
        </w:rPr>
        <w:t>北京时间，法定节假日除外）。</w:t>
      </w:r>
    </w:p>
    <w:p w14:paraId="4679242A">
      <w:pPr>
        <w:spacing w:line="312" w:lineRule="auto"/>
        <w:ind w:firstLine="420" w:firstLineChars="200"/>
        <w:jc w:val="left"/>
        <w:rPr>
          <w:rFonts w:hint="eastAsia" w:ascii="宋体" w:hAnsi="宋体" w:eastAsia="宋体" w:cs="宋体"/>
          <w:color w:val="auto"/>
        </w:rPr>
      </w:pPr>
      <w:bookmarkStart w:id="14" w:name="_Hlk46137393"/>
      <w:r>
        <w:rPr>
          <w:rFonts w:hint="eastAsia" w:ascii="宋体" w:hAnsi="宋体" w:eastAsia="宋体" w:cs="宋体"/>
          <w:color w:val="auto"/>
        </w:rPr>
        <w:t>地点（网址）</w:t>
      </w:r>
      <w:bookmarkEnd w:id="14"/>
      <w:r>
        <w:rPr>
          <w:rFonts w:hint="eastAsia" w:ascii="宋体" w:hAnsi="宋体" w:eastAsia="宋体" w:cs="宋体"/>
          <w:color w:val="auto"/>
          <w:lang w:eastAsia="zh-CN"/>
        </w:rPr>
        <w:t>：</w:t>
      </w:r>
      <w:r>
        <w:rPr>
          <w:rFonts w:hint="eastAsia" w:ascii="宋体" w:hAnsi="宋体" w:eastAsia="宋体" w:cs="宋体"/>
          <w:color w:val="auto"/>
          <w:kern w:val="0"/>
          <w:szCs w:val="21"/>
        </w:rPr>
        <w:t>广西政府采购云平台（https://www.gcy.zfcg.gxzf.gov.cn/）</w:t>
      </w:r>
    </w:p>
    <w:p w14:paraId="00E9C59D">
      <w:pPr>
        <w:spacing w:line="312" w:lineRule="auto"/>
        <w:ind w:firstLine="420" w:firstLineChars="200"/>
        <w:rPr>
          <w:rFonts w:hint="eastAsia" w:ascii="宋体" w:hAnsi="宋体" w:eastAsia="宋体" w:cs="宋体"/>
          <w:color w:val="auto"/>
        </w:rPr>
      </w:pPr>
      <w:r>
        <w:rPr>
          <w:rFonts w:hint="eastAsia" w:ascii="宋体" w:hAnsi="宋体" w:eastAsia="宋体" w:cs="宋体"/>
          <w:color w:val="auto"/>
          <w:szCs w:val="21"/>
        </w:rPr>
        <w:t>方式：供应商登录</w:t>
      </w:r>
      <w:r>
        <w:rPr>
          <w:rFonts w:hint="eastAsia" w:ascii="宋体" w:hAnsi="宋体" w:eastAsia="宋体" w:cs="宋体"/>
          <w:color w:val="auto"/>
          <w:kern w:val="0"/>
          <w:szCs w:val="21"/>
        </w:rPr>
        <w:t>广西政府采购云平台</w:t>
      </w:r>
      <w:r>
        <w:rPr>
          <w:rFonts w:hint="eastAsia" w:ascii="宋体" w:hAnsi="宋体" w:eastAsia="宋体" w:cs="宋体"/>
          <w:color w:val="auto"/>
          <w:szCs w:val="21"/>
        </w:rPr>
        <w:t>在线申请获取采购文件（进入“项目采购”应用，在获取采购文件菜单中选择项目，申请获取采购文件）</w:t>
      </w:r>
    </w:p>
    <w:p w14:paraId="0CF06FC2">
      <w:pPr>
        <w:spacing w:line="312" w:lineRule="auto"/>
        <w:ind w:firstLine="420" w:firstLineChars="200"/>
        <w:jc w:val="left"/>
        <w:rPr>
          <w:rFonts w:hint="eastAsia" w:ascii="宋体" w:hAnsi="宋体" w:eastAsia="宋体" w:cs="宋体"/>
          <w:color w:val="auto"/>
        </w:rPr>
      </w:pPr>
      <w:r>
        <w:rPr>
          <w:rFonts w:hint="eastAsia" w:ascii="宋体" w:hAnsi="宋体" w:eastAsia="宋体" w:cs="宋体"/>
          <w:color w:val="auto"/>
        </w:rPr>
        <w:t>售价（元）：0</w:t>
      </w:r>
    </w:p>
    <w:p w14:paraId="7D9FCCEF">
      <w:pPr>
        <w:spacing w:line="312" w:lineRule="auto"/>
        <w:ind w:firstLine="442" w:firstLineChars="200"/>
        <w:jc w:val="left"/>
        <w:rPr>
          <w:rFonts w:hint="eastAsia" w:ascii="宋体" w:hAnsi="宋体" w:eastAsia="宋体" w:cs="宋体"/>
          <w:b/>
          <w:bCs/>
          <w:kern w:val="0"/>
          <w:sz w:val="22"/>
          <w:szCs w:val="22"/>
        </w:rPr>
      </w:pPr>
      <w:r>
        <w:rPr>
          <w:rFonts w:hint="eastAsia" w:ascii="宋体" w:hAnsi="宋体" w:eastAsia="宋体" w:cs="宋体"/>
          <w:b/>
          <w:bCs/>
          <w:kern w:val="0"/>
          <w:sz w:val="22"/>
          <w:szCs w:val="22"/>
        </w:rPr>
        <w:t>四、响应文件提交</w:t>
      </w:r>
    </w:p>
    <w:p w14:paraId="28ECB71F">
      <w:pPr>
        <w:spacing w:line="312" w:lineRule="auto"/>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截止时间：</w:t>
      </w:r>
      <w:r>
        <w:rPr>
          <w:rFonts w:hint="eastAsia" w:ascii="宋体" w:hAnsi="宋体" w:eastAsia="宋体" w:cs="宋体"/>
          <w:color w:val="auto"/>
          <w:kern w:val="0"/>
          <w:szCs w:val="21"/>
          <w:u w:val="none"/>
        </w:rPr>
        <w:t>20</w:t>
      </w:r>
      <w:r>
        <w:rPr>
          <w:rFonts w:hint="eastAsia" w:ascii="宋体" w:hAnsi="宋体" w:eastAsia="宋体" w:cs="宋体"/>
          <w:color w:val="auto"/>
          <w:kern w:val="0"/>
          <w:szCs w:val="21"/>
          <w:u w:val="none"/>
          <w:lang w:val="en-US" w:eastAsia="zh-CN"/>
        </w:rPr>
        <w:t>26</w:t>
      </w:r>
      <w:r>
        <w:rPr>
          <w:rFonts w:hint="eastAsia" w:ascii="宋体" w:hAnsi="宋体" w:eastAsia="宋体" w:cs="宋体"/>
          <w:color w:val="auto"/>
          <w:kern w:val="0"/>
          <w:szCs w:val="21"/>
          <w:u w:val="none"/>
        </w:rPr>
        <w:t>年</w:t>
      </w:r>
      <w:r>
        <w:rPr>
          <w:rFonts w:hint="eastAsia" w:ascii="宋体" w:hAnsi="宋体" w:cs="宋体"/>
          <w:color w:val="auto"/>
          <w:kern w:val="0"/>
          <w:szCs w:val="21"/>
          <w:u w:val="none"/>
          <w:lang w:val="en-US" w:eastAsia="zh-CN"/>
        </w:rPr>
        <w:t>07</w:t>
      </w:r>
      <w:r>
        <w:rPr>
          <w:rFonts w:hint="eastAsia" w:ascii="宋体" w:hAnsi="宋体" w:eastAsia="宋体" w:cs="宋体"/>
          <w:color w:val="auto"/>
          <w:kern w:val="0"/>
          <w:szCs w:val="21"/>
          <w:u w:val="none"/>
        </w:rPr>
        <w:t>月</w:t>
      </w:r>
      <w:bookmarkStart w:id="15" w:name="_Hlk155690357"/>
      <w:r>
        <w:rPr>
          <w:rFonts w:hint="eastAsia" w:ascii="宋体" w:hAnsi="宋体" w:cs="宋体"/>
          <w:color w:val="auto"/>
          <w:kern w:val="0"/>
          <w:szCs w:val="21"/>
          <w:u w:val="none"/>
          <w:lang w:val="en-US" w:eastAsia="zh-CN"/>
        </w:rPr>
        <w:t>22</w:t>
      </w:r>
      <w:r>
        <w:rPr>
          <w:rFonts w:hint="eastAsia" w:ascii="宋体" w:hAnsi="宋体" w:eastAsia="宋体" w:cs="宋体"/>
          <w:color w:val="auto"/>
          <w:kern w:val="0"/>
          <w:szCs w:val="21"/>
          <w:u w:val="none"/>
        </w:rPr>
        <w:t>日</w:t>
      </w:r>
      <w:bookmarkEnd w:id="15"/>
      <w:r>
        <w:rPr>
          <w:rFonts w:hint="eastAsia" w:ascii="宋体" w:hAnsi="宋体" w:eastAsia="宋体" w:cs="宋体"/>
          <w:color w:val="auto"/>
          <w:kern w:val="0"/>
          <w:szCs w:val="21"/>
          <w:u w:val="none"/>
          <w:lang w:val="en-US" w:eastAsia="zh-CN"/>
        </w:rPr>
        <w:t>09:20</w:t>
      </w:r>
      <w:r>
        <w:rPr>
          <w:rFonts w:hint="eastAsia" w:ascii="宋体" w:hAnsi="宋体" w:eastAsia="宋体" w:cs="宋体"/>
          <w:color w:val="auto"/>
          <w:kern w:val="0"/>
          <w:szCs w:val="21"/>
        </w:rPr>
        <w:t>（北京</w:t>
      </w:r>
      <w:r>
        <w:rPr>
          <w:rFonts w:hint="eastAsia" w:ascii="宋体" w:hAnsi="宋体" w:eastAsia="宋体" w:cs="宋体"/>
          <w:kern w:val="0"/>
          <w:szCs w:val="21"/>
        </w:rPr>
        <w:t>时间）</w:t>
      </w:r>
    </w:p>
    <w:p w14:paraId="68718BD8">
      <w:pPr>
        <w:spacing w:line="312" w:lineRule="auto"/>
        <w:ind w:firstLine="420" w:firstLineChars="200"/>
        <w:jc w:val="left"/>
        <w:rPr>
          <w:rFonts w:hint="eastAsia" w:ascii="宋体" w:hAnsi="宋体" w:eastAsia="宋体" w:cs="宋体"/>
          <w:color w:val="auto"/>
          <w:kern w:val="0"/>
          <w:szCs w:val="21"/>
        </w:rPr>
      </w:pPr>
      <w:r>
        <w:rPr>
          <w:rFonts w:hint="eastAsia" w:ascii="宋体" w:hAnsi="宋体" w:eastAsia="宋体" w:cs="宋体"/>
          <w:kern w:val="0"/>
          <w:szCs w:val="21"/>
        </w:rPr>
        <w:t>地点（网址）：</w:t>
      </w:r>
      <w:r>
        <w:rPr>
          <w:rFonts w:hint="eastAsia" w:ascii="宋体" w:hAnsi="宋体" w:eastAsia="宋体" w:cs="宋体"/>
          <w:color w:val="auto"/>
          <w:szCs w:val="21"/>
        </w:rPr>
        <w:t xml:space="preserve">本项目为全流程电子化项目，没有现场递交响应文件及现场截标环节，通过广西政府采购云平台（https://www.gcy.zfcg.gxzf.gov.cn/）实行在线电子响应，供应商应先安装广西政府采购云平台新版客户端（请自行前往广西政府采购网-办事服务-下载专区进行下载），并按照本项目采购文件和广西政府采购云平台的要求使用CA认证编制、加密响应文件后在响应截止时间前上传至广西政府采购云平台，供应商在广西政府采购云平台提交电子版响应文件时，请填写参加远程截标活动经办人联系方式。 </w:t>
      </w:r>
    </w:p>
    <w:p w14:paraId="7287ECC2">
      <w:pPr>
        <w:spacing w:line="312" w:lineRule="auto"/>
        <w:ind w:firstLine="442" w:firstLineChars="200"/>
        <w:jc w:val="left"/>
        <w:rPr>
          <w:rFonts w:hint="eastAsia" w:ascii="宋体" w:hAnsi="宋体" w:eastAsia="宋体" w:cs="宋体"/>
          <w:b/>
          <w:bCs/>
          <w:color w:val="auto"/>
          <w:kern w:val="0"/>
          <w:sz w:val="22"/>
          <w:szCs w:val="22"/>
        </w:rPr>
      </w:pPr>
      <w:r>
        <w:rPr>
          <w:rFonts w:hint="eastAsia" w:ascii="宋体" w:hAnsi="宋体" w:eastAsia="宋体" w:cs="宋体"/>
          <w:b/>
          <w:bCs/>
          <w:kern w:val="0"/>
          <w:sz w:val="22"/>
          <w:szCs w:val="22"/>
        </w:rPr>
        <w:t>五、</w:t>
      </w:r>
      <w:r>
        <w:rPr>
          <w:rFonts w:hint="eastAsia" w:ascii="宋体" w:hAnsi="宋体" w:eastAsia="宋体" w:cs="宋体"/>
          <w:b/>
          <w:bCs/>
          <w:color w:val="auto"/>
          <w:kern w:val="0"/>
          <w:sz w:val="22"/>
          <w:szCs w:val="22"/>
          <w:lang w:val="en-US" w:eastAsia="zh-CN"/>
        </w:rPr>
        <w:t>响应文件</w:t>
      </w:r>
      <w:r>
        <w:rPr>
          <w:rFonts w:hint="eastAsia" w:ascii="宋体" w:hAnsi="宋体" w:eastAsia="宋体" w:cs="宋体"/>
          <w:b/>
          <w:bCs/>
          <w:color w:val="auto"/>
          <w:kern w:val="0"/>
          <w:sz w:val="22"/>
          <w:szCs w:val="22"/>
        </w:rPr>
        <w:t>开启</w:t>
      </w:r>
    </w:p>
    <w:p w14:paraId="4452CC67">
      <w:pPr>
        <w:spacing w:line="312" w:lineRule="auto"/>
        <w:ind w:firstLine="442" w:firstLineChars="200"/>
        <w:jc w:val="left"/>
        <w:rPr>
          <w:rFonts w:hint="eastAsia" w:ascii="宋体" w:hAnsi="宋体" w:eastAsia="宋体" w:cs="宋体"/>
          <w:kern w:val="0"/>
          <w:szCs w:val="21"/>
        </w:rPr>
      </w:pPr>
      <w:r>
        <w:rPr>
          <w:rFonts w:hint="eastAsia" w:ascii="宋体" w:hAnsi="宋体" w:eastAsia="宋体" w:cs="宋体"/>
          <w:b/>
          <w:bCs/>
          <w:color w:val="auto"/>
          <w:kern w:val="0"/>
          <w:sz w:val="22"/>
          <w:szCs w:val="22"/>
        </w:rPr>
        <w:t>时间：</w:t>
      </w:r>
      <w:r>
        <w:rPr>
          <w:rFonts w:hint="eastAsia" w:ascii="宋体" w:hAnsi="宋体" w:eastAsia="宋体" w:cs="宋体"/>
          <w:color w:val="auto"/>
          <w:kern w:val="0"/>
          <w:szCs w:val="21"/>
          <w:u w:val="none"/>
        </w:rPr>
        <w:t>20</w:t>
      </w:r>
      <w:r>
        <w:rPr>
          <w:rFonts w:hint="eastAsia" w:ascii="宋体" w:hAnsi="宋体" w:eastAsia="宋体" w:cs="宋体"/>
          <w:color w:val="auto"/>
          <w:kern w:val="0"/>
          <w:szCs w:val="21"/>
          <w:u w:val="none"/>
          <w:lang w:val="en-US" w:eastAsia="zh-CN"/>
        </w:rPr>
        <w:t>26</w:t>
      </w:r>
      <w:r>
        <w:rPr>
          <w:rFonts w:hint="eastAsia" w:ascii="宋体" w:hAnsi="宋体" w:eastAsia="宋体" w:cs="宋体"/>
          <w:color w:val="auto"/>
          <w:kern w:val="0"/>
          <w:szCs w:val="21"/>
          <w:u w:val="none"/>
        </w:rPr>
        <w:t>年</w:t>
      </w:r>
      <w:r>
        <w:rPr>
          <w:rFonts w:hint="eastAsia" w:ascii="宋体" w:hAnsi="宋体" w:cs="宋体"/>
          <w:color w:val="auto"/>
          <w:kern w:val="0"/>
          <w:szCs w:val="21"/>
          <w:u w:val="none"/>
          <w:lang w:val="en-US" w:eastAsia="zh-CN"/>
        </w:rPr>
        <w:t>07</w:t>
      </w:r>
      <w:r>
        <w:rPr>
          <w:rFonts w:hint="eastAsia" w:ascii="宋体" w:hAnsi="宋体" w:eastAsia="宋体" w:cs="宋体"/>
          <w:color w:val="auto"/>
          <w:kern w:val="0"/>
          <w:szCs w:val="21"/>
          <w:u w:val="none"/>
        </w:rPr>
        <w:t>月</w:t>
      </w:r>
      <w:r>
        <w:rPr>
          <w:rFonts w:hint="eastAsia" w:ascii="宋体" w:hAnsi="宋体" w:cs="宋体"/>
          <w:color w:val="auto"/>
          <w:kern w:val="0"/>
          <w:szCs w:val="21"/>
          <w:u w:val="none"/>
          <w:lang w:val="en-US" w:eastAsia="zh-CN"/>
        </w:rPr>
        <w:t>22</w:t>
      </w:r>
      <w:r>
        <w:rPr>
          <w:rFonts w:hint="eastAsia" w:ascii="宋体" w:hAnsi="宋体" w:eastAsia="宋体" w:cs="宋体"/>
          <w:color w:val="auto"/>
          <w:kern w:val="0"/>
          <w:szCs w:val="21"/>
          <w:u w:val="none"/>
        </w:rPr>
        <w:t>日</w:t>
      </w:r>
      <w:r>
        <w:rPr>
          <w:rFonts w:hint="eastAsia" w:ascii="宋体" w:hAnsi="宋体" w:eastAsia="宋体" w:cs="宋体"/>
          <w:color w:val="auto"/>
          <w:kern w:val="0"/>
          <w:szCs w:val="21"/>
          <w:u w:val="none"/>
          <w:lang w:val="en-US" w:eastAsia="zh-CN"/>
        </w:rPr>
        <w:t>09:20</w:t>
      </w:r>
      <w:r>
        <w:rPr>
          <w:rFonts w:hint="eastAsia" w:ascii="宋体" w:hAnsi="宋体" w:eastAsia="宋体" w:cs="宋体"/>
          <w:kern w:val="0"/>
          <w:szCs w:val="21"/>
        </w:rPr>
        <w:t>（北京时间）</w:t>
      </w:r>
    </w:p>
    <w:p w14:paraId="614889EC">
      <w:pPr>
        <w:spacing w:line="312" w:lineRule="auto"/>
        <w:ind w:firstLine="442" w:firstLineChars="200"/>
        <w:jc w:val="left"/>
        <w:rPr>
          <w:rFonts w:hint="eastAsia" w:ascii="宋体" w:hAnsi="宋体" w:eastAsia="宋体" w:cs="宋体"/>
          <w:b/>
          <w:bCs/>
          <w:kern w:val="0"/>
          <w:sz w:val="22"/>
          <w:szCs w:val="22"/>
        </w:rPr>
      </w:pPr>
      <w:r>
        <w:rPr>
          <w:rFonts w:hint="eastAsia" w:ascii="宋体" w:hAnsi="宋体" w:eastAsia="宋体" w:cs="宋体"/>
          <w:b/>
          <w:bCs/>
          <w:kern w:val="0"/>
          <w:sz w:val="22"/>
          <w:szCs w:val="22"/>
        </w:rPr>
        <w:t>地点：</w:t>
      </w:r>
      <w:r>
        <w:rPr>
          <w:rFonts w:hint="eastAsia" w:ascii="宋体" w:hAnsi="宋体" w:eastAsia="宋体" w:cs="宋体"/>
          <w:color w:val="auto"/>
          <w:szCs w:val="21"/>
        </w:rPr>
        <w:t>供应商</w:t>
      </w:r>
      <w:r>
        <w:rPr>
          <w:rFonts w:hint="eastAsia" w:ascii="宋体" w:hAnsi="宋体" w:eastAsia="宋体" w:cs="宋体"/>
          <w:color w:val="auto"/>
        </w:rPr>
        <w:t>登录</w:t>
      </w:r>
      <w:r>
        <w:rPr>
          <w:rFonts w:hint="eastAsia" w:ascii="宋体" w:hAnsi="宋体" w:eastAsia="宋体" w:cs="宋体"/>
          <w:color w:val="auto"/>
          <w:kern w:val="0"/>
          <w:szCs w:val="21"/>
        </w:rPr>
        <w:t>广西政府采购云平台</w:t>
      </w:r>
      <w:r>
        <w:rPr>
          <w:rFonts w:hint="eastAsia" w:ascii="宋体" w:hAnsi="宋体" w:eastAsia="宋体" w:cs="宋体"/>
          <w:color w:val="auto"/>
          <w:szCs w:val="21"/>
        </w:rPr>
        <w:t>电子开标大厅截标。</w:t>
      </w:r>
    </w:p>
    <w:p w14:paraId="23AA0995">
      <w:pPr>
        <w:spacing w:line="312" w:lineRule="auto"/>
        <w:ind w:firstLine="442" w:firstLineChars="200"/>
        <w:jc w:val="left"/>
        <w:rPr>
          <w:rFonts w:hint="eastAsia" w:ascii="宋体" w:hAnsi="宋体" w:eastAsia="宋体" w:cs="宋体"/>
          <w:b/>
          <w:bCs/>
          <w:kern w:val="0"/>
          <w:sz w:val="22"/>
          <w:szCs w:val="22"/>
        </w:rPr>
      </w:pPr>
      <w:r>
        <w:rPr>
          <w:rFonts w:hint="eastAsia" w:ascii="宋体" w:hAnsi="宋体" w:eastAsia="宋体" w:cs="宋体"/>
          <w:b/>
          <w:bCs/>
          <w:kern w:val="0"/>
          <w:sz w:val="22"/>
          <w:szCs w:val="22"/>
        </w:rPr>
        <w:t>六、公告期限</w:t>
      </w:r>
    </w:p>
    <w:p w14:paraId="7832AC57">
      <w:pPr>
        <w:spacing w:line="312" w:lineRule="auto"/>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自本公告发布之日起</w:t>
      </w:r>
      <w:r>
        <w:rPr>
          <w:rFonts w:hint="eastAsia" w:ascii="宋体" w:hAnsi="宋体" w:eastAsia="宋体" w:cs="宋体"/>
          <w:kern w:val="0"/>
          <w:szCs w:val="21"/>
          <w:lang w:val="en-US" w:eastAsia="zh-CN"/>
        </w:rPr>
        <w:t>5</w:t>
      </w:r>
      <w:r>
        <w:rPr>
          <w:rFonts w:hint="eastAsia" w:ascii="宋体" w:hAnsi="宋体" w:eastAsia="宋体" w:cs="宋体"/>
          <w:kern w:val="0"/>
          <w:szCs w:val="21"/>
        </w:rPr>
        <w:t>个工作日。</w:t>
      </w:r>
    </w:p>
    <w:p w14:paraId="12CBCD2A">
      <w:pPr>
        <w:spacing w:line="312" w:lineRule="auto"/>
        <w:ind w:firstLine="442" w:firstLineChars="200"/>
        <w:jc w:val="left"/>
        <w:rPr>
          <w:rFonts w:hint="eastAsia" w:ascii="宋体" w:hAnsi="宋体" w:eastAsia="宋体" w:cs="宋体"/>
          <w:b/>
          <w:bCs/>
          <w:kern w:val="0"/>
          <w:sz w:val="22"/>
          <w:szCs w:val="22"/>
        </w:rPr>
      </w:pPr>
      <w:r>
        <w:rPr>
          <w:rFonts w:hint="eastAsia" w:ascii="宋体" w:hAnsi="宋体" w:eastAsia="宋体" w:cs="宋体"/>
          <w:b/>
          <w:bCs/>
          <w:kern w:val="0"/>
          <w:sz w:val="22"/>
          <w:szCs w:val="22"/>
        </w:rPr>
        <w:t>七、其他补充事宜</w:t>
      </w:r>
    </w:p>
    <w:p w14:paraId="51C0769E">
      <w:pPr>
        <w:spacing w:line="312" w:lineRule="auto"/>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1.公告发布媒体：</w:t>
      </w:r>
      <w:r>
        <w:rPr>
          <w:rFonts w:hint="eastAsia" w:ascii="宋体" w:hAnsi="宋体" w:eastAsia="宋体" w:cs="宋体"/>
          <w:kern w:val="0"/>
          <w:szCs w:val="21"/>
          <w:lang w:val="en-US" w:eastAsia="zh-CN"/>
        </w:rPr>
        <w:t>广西柳州政府采购网、</w:t>
      </w:r>
      <w:r>
        <w:rPr>
          <w:rFonts w:hint="eastAsia" w:ascii="宋体" w:hAnsi="宋体" w:eastAsia="宋体" w:cs="宋体"/>
          <w:kern w:val="0"/>
          <w:szCs w:val="21"/>
        </w:rPr>
        <w:t>广西壮族自治区政府采购网、中国政府采购网</w:t>
      </w:r>
    </w:p>
    <w:p w14:paraId="68EC18F8">
      <w:pPr>
        <w:spacing w:line="312" w:lineRule="auto"/>
        <w:ind w:firstLine="420" w:firstLineChars="200"/>
        <w:jc w:val="left"/>
        <w:rPr>
          <w:rFonts w:hint="eastAsia" w:ascii="宋体" w:hAnsi="宋体" w:eastAsia="宋体" w:cs="宋体"/>
          <w:kern w:val="0"/>
          <w:szCs w:val="21"/>
        </w:rPr>
      </w:pPr>
      <w:r>
        <w:rPr>
          <w:rFonts w:hint="eastAsia" w:ascii="宋体" w:hAnsi="宋体" w:eastAsia="宋体" w:cs="宋体"/>
          <w:color w:val="000000"/>
          <w:kern w:val="0"/>
          <w:szCs w:val="21"/>
        </w:rPr>
        <w:t>2.</w:t>
      </w:r>
      <w:r>
        <w:rPr>
          <w:rFonts w:hint="eastAsia" w:ascii="宋体" w:hAnsi="宋体" w:eastAsia="宋体" w:cs="宋体"/>
          <w:kern w:val="0"/>
          <w:szCs w:val="21"/>
        </w:rPr>
        <w:t>需落实的政府采购政策：本项目适用政府采购促进中小企业、监狱企业发展、促进残疾人就业、节能环保等有关政策，具体详见</w:t>
      </w:r>
      <w:r>
        <w:rPr>
          <w:rFonts w:hint="eastAsia" w:ascii="宋体" w:hAnsi="宋体" w:eastAsia="宋体" w:cs="宋体"/>
        </w:rPr>
        <w:t>采购</w:t>
      </w:r>
      <w:r>
        <w:rPr>
          <w:rFonts w:hint="eastAsia" w:ascii="宋体" w:hAnsi="宋体" w:eastAsia="宋体" w:cs="宋体"/>
          <w:kern w:val="0"/>
          <w:szCs w:val="21"/>
        </w:rPr>
        <w:t>文件。</w:t>
      </w:r>
    </w:p>
    <w:p w14:paraId="3AD9AE9E">
      <w:pPr>
        <w:spacing w:line="312" w:lineRule="auto"/>
        <w:ind w:firstLine="420" w:firstLineChars="200"/>
        <w:jc w:val="left"/>
        <w:rPr>
          <w:rFonts w:hint="eastAsia" w:ascii="宋体" w:hAnsi="宋体" w:eastAsia="宋体" w:cs="宋体"/>
          <w:color w:val="4472C4"/>
          <w:kern w:val="0"/>
          <w:szCs w:val="21"/>
        </w:rPr>
      </w:pPr>
      <w:r>
        <w:rPr>
          <w:rFonts w:hint="eastAsia" w:ascii="宋体" w:hAnsi="宋体" w:eastAsia="宋体" w:cs="宋体"/>
          <w:color w:val="000000"/>
          <w:kern w:val="0"/>
          <w:szCs w:val="21"/>
        </w:rPr>
        <w:t>3.本项目供应商的产生方式：</w:t>
      </w:r>
      <w:r>
        <w:rPr>
          <w:rFonts w:hint="eastAsia" w:ascii="宋体" w:hAnsi="宋体" w:eastAsia="宋体" w:cs="宋体"/>
        </w:rPr>
        <w:t>发布公告征集；</w:t>
      </w:r>
    </w:p>
    <w:p w14:paraId="4EA2AB10">
      <w:pPr>
        <w:spacing w:line="312" w:lineRule="auto"/>
        <w:ind w:firstLine="420" w:firstLineChars="200"/>
        <w:rPr>
          <w:rFonts w:hint="eastAsia" w:ascii="宋体" w:hAnsi="宋体" w:eastAsia="宋体" w:cs="宋体"/>
          <w:color w:val="000000"/>
          <w:kern w:val="0"/>
          <w:szCs w:val="21"/>
        </w:rPr>
      </w:pPr>
      <w:r>
        <w:rPr>
          <w:rFonts w:hint="eastAsia" w:ascii="宋体" w:hAnsi="宋体" w:eastAsia="宋体" w:cs="宋体"/>
          <w:kern w:val="0"/>
          <w:szCs w:val="21"/>
        </w:rPr>
        <w:t>4.</w:t>
      </w:r>
      <w:r>
        <w:rPr>
          <w:rFonts w:hint="eastAsia" w:ascii="宋体" w:hAnsi="宋体" w:eastAsia="宋体" w:cs="宋体"/>
          <w:color w:val="000000"/>
          <w:kern w:val="0"/>
          <w:szCs w:val="21"/>
        </w:rPr>
        <w:t>注意事项：</w:t>
      </w:r>
    </w:p>
    <w:p w14:paraId="576B2793">
      <w:pPr>
        <w:spacing w:line="276" w:lineRule="auto"/>
        <w:ind w:firstLine="420" w:firstLineChars="200"/>
        <w:rPr>
          <w:rFonts w:hint="eastAsia" w:ascii="宋体" w:hAnsi="宋体" w:eastAsia="宋体" w:cs="宋体"/>
          <w:szCs w:val="21"/>
        </w:rPr>
      </w:pPr>
      <w:bookmarkStart w:id="16" w:name="_Hlk49778118"/>
      <w:r>
        <w:rPr>
          <w:rFonts w:hint="eastAsia" w:ascii="宋体" w:hAnsi="宋体" w:eastAsia="宋体" w:cs="宋体"/>
          <w:kern w:val="0"/>
          <w:szCs w:val="21"/>
        </w:rPr>
        <w:t>（1）</w:t>
      </w:r>
      <w:r>
        <w:rPr>
          <w:rFonts w:hint="eastAsia" w:ascii="宋体" w:hAnsi="宋体" w:eastAsia="宋体" w:cs="宋体"/>
          <w:szCs w:val="21"/>
        </w:rPr>
        <w:t>未进行网上注册并办理数字证书（CA认证）的供应商将无法参与本项目政府采购活动，潜在供应商应当在响应截止时间前，完成广西政府采购云平台上的CA数字证书办理及响应文件的提交。完成CA数字证书办理预计7日左右，建议各供应商抓紧时间办理。</w:t>
      </w:r>
    </w:p>
    <w:p w14:paraId="45459463">
      <w:pPr>
        <w:spacing w:line="276" w:lineRule="auto"/>
        <w:ind w:firstLine="420" w:firstLineChars="200"/>
        <w:rPr>
          <w:rFonts w:hint="eastAsia" w:ascii="宋体" w:hAnsi="宋体" w:eastAsia="宋体" w:cs="宋体"/>
          <w:kern w:val="0"/>
          <w:szCs w:val="21"/>
        </w:rPr>
      </w:pPr>
      <w:r>
        <w:rPr>
          <w:rFonts w:hint="eastAsia" w:ascii="宋体" w:hAnsi="宋体" w:eastAsia="宋体" w:cs="宋体"/>
          <w:szCs w:val="21"/>
        </w:rPr>
        <w:t>（2）为确保网上操作合法、有效和安全，请供应商确保在电子投标过程中能够对相关数据电文进行加密和使用电子签章，妥善保管CA数字证书并使用有效的CA数字证书参与整个招标活动。</w:t>
      </w:r>
    </w:p>
    <w:p w14:paraId="3E00143F">
      <w:pPr>
        <w:spacing w:line="276" w:lineRule="auto"/>
        <w:ind w:firstLine="420" w:firstLineChars="200"/>
        <w:rPr>
          <w:rFonts w:hint="eastAsia" w:ascii="宋体" w:hAnsi="宋体" w:eastAsia="宋体" w:cs="宋体"/>
          <w:kern w:val="0"/>
          <w:szCs w:val="21"/>
        </w:rPr>
      </w:pPr>
      <w:r>
        <w:rPr>
          <w:rFonts w:hint="eastAsia" w:ascii="宋体" w:hAnsi="宋体" w:eastAsia="宋体" w:cs="宋体"/>
          <w:kern w:val="0"/>
          <w:szCs w:val="21"/>
        </w:rPr>
        <w:t>（3）若对项目采购电子交易系统操作有疑问，可登录广西政府采购云平台（https://www.gcy.zfcg.gxzf.gov.cn/），点击右侧咨询小采或帮助文档或拨打客服热线95763。</w:t>
      </w:r>
    </w:p>
    <w:bookmarkEnd w:id="16"/>
    <w:p w14:paraId="19998B49">
      <w:pPr>
        <w:spacing w:line="276" w:lineRule="auto"/>
        <w:ind w:firstLine="442" w:firstLineChars="200"/>
        <w:rPr>
          <w:rFonts w:hint="eastAsia" w:ascii="宋体" w:hAnsi="宋体" w:eastAsia="宋体" w:cs="宋体"/>
          <w:b/>
          <w:bCs/>
          <w:kern w:val="0"/>
          <w:sz w:val="22"/>
          <w:szCs w:val="22"/>
        </w:rPr>
      </w:pPr>
      <w:r>
        <w:rPr>
          <w:rFonts w:hint="eastAsia" w:ascii="宋体" w:hAnsi="宋体" w:eastAsia="宋体" w:cs="宋体"/>
          <w:b/>
          <w:bCs/>
          <w:kern w:val="0"/>
          <w:sz w:val="22"/>
          <w:szCs w:val="22"/>
        </w:rPr>
        <w:t>八、对本次</w:t>
      </w:r>
      <w:r>
        <w:rPr>
          <w:rFonts w:hint="eastAsia" w:ascii="宋体" w:hAnsi="宋体" w:cs="宋体"/>
          <w:b/>
          <w:bCs/>
          <w:kern w:val="0"/>
          <w:sz w:val="22"/>
          <w:szCs w:val="22"/>
          <w:lang w:val="en-US" w:eastAsia="zh-CN"/>
        </w:rPr>
        <w:t>招标</w:t>
      </w:r>
      <w:bookmarkStart w:id="597" w:name="_GoBack"/>
      <w:bookmarkEnd w:id="597"/>
      <w:r>
        <w:rPr>
          <w:rFonts w:hint="eastAsia" w:ascii="宋体" w:hAnsi="宋体" w:eastAsia="宋体" w:cs="宋体"/>
          <w:b/>
          <w:bCs/>
          <w:kern w:val="0"/>
          <w:sz w:val="22"/>
          <w:szCs w:val="22"/>
        </w:rPr>
        <w:t>提出询问，请按以下方式联系</w:t>
      </w:r>
    </w:p>
    <w:p w14:paraId="1C8F620E">
      <w:pPr>
        <w:spacing w:line="312" w:lineRule="auto"/>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1.采购人信息</w:t>
      </w:r>
    </w:p>
    <w:p w14:paraId="7B3AB7C7">
      <w:pPr>
        <w:spacing w:line="312" w:lineRule="auto"/>
        <w:ind w:firstLine="420" w:firstLineChars="200"/>
        <w:jc w:val="left"/>
        <w:rPr>
          <w:rFonts w:hint="eastAsia" w:ascii="宋体" w:hAnsi="宋体" w:eastAsia="宋体" w:cs="宋体"/>
          <w:color w:val="4472C4"/>
          <w:kern w:val="0"/>
          <w:szCs w:val="21"/>
          <w:u w:val="single"/>
          <w:lang w:eastAsia="zh-CN"/>
        </w:rPr>
      </w:pPr>
      <w:bookmarkStart w:id="17" w:name="_Hlk19048373"/>
      <w:r>
        <w:rPr>
          <w:rFonts w:hint="eastAsia" w:ascii="宋体" w:hAnsi="宋体" w:eastAsia="宋体" w:cs="宋体"/>
          <w:kern w:val="0"/>
          <w:szCs w:val="21"/>
        </w:rPr>
        <w:t>名称：</w:t>
      </w:r>
      <w:r>
        <w:rPr>
          <w:rFonts w:hint="eastAsia" w:ascii="宋体" w:hAnsi="宋体" w:eastAsia="宋体" w:cs="宋体"/>
          <w:color w:val="auto"/>
          <w:kern w:val="0"/>
          <w:szCs w:val="21"/>
          <w:u w:val="none"/>
          <w:lang w:eastAsia="zh-CN"/>
        </w:rPr>
        <w:t>柳州市人民医院</w:t>
      </w:r>
    </w:p>
    <w:p w14:paraId="7684D2A0">
      <w:pPr>
        <w:spacing w:line="312" w:lineRule="auto"/>
        <w:ind w:firstLine="420" w:firstLineChars="200"/>
        <w:jc w:val="left"/>
        <w:rPr>
          <w:rFonts w:hint="eastAsia" w:ascii="宋体" w:hAnsi="宋体" w:eastAsia="宋体" w:cs="宋体"/>
          <w:kern w:val="0"/>
          <w:szCs w:val="21"/>
          <w:u w:val="single"/>
        </w:rPr>
      </w:pPr>
      <w:r>
        <w:rPr>
          <w:rFonts w:hint="eastAsia" w:ascii="宋体" w:hAnsi="宋体" w:eastAsia="宋体" w:cs="宋体"/>
          <w:kern w:val="0"/>
          <w:szCs w:val="21"/>
        </w:rPr>
        <w:t>地址：广西柳州市文昌路8号</w:t>
      </w:r>
    </w:p>
    <w:p w14:paraId="6822C592">
      <w:pPr>
        <w:spacing w:line="312" w:lineRule="auto"/>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项目联系人：葛瑛</w:t>
      </w:r>
    </w:p>
    <w:p w14:paraId="1FBB01C5">
      <w:pPr>
        <w:spacing w:line="312" w:lineRule="auto"/>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项目联系方式：0772-2662036</w:t>
      </w:r>
    </w:p>
    <w:p w14:paraId="5911DA50">
      <w:pPr>
        <w:spacing w:line="312" w:lineRule="auto"/>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2.采购代理机构信息</w:t>
      </w:r>
    </w:p>
    <w:p w14:paraId="772037CB">
      <w:pPr>
        <w:spacing w:line="312" w:lineRule="auto"/>
        <w:ind w:firstLine="420" w:firstLineChars="200"/>
        <w:jc w:val="left"/>
        <w:rPr>
          <w:rFonts w:hint="eastAsia" w:ascii="宋体" w:hAnsi="宋体" w:eastAsia="宋体" w:cs="宋体"/>
          <w:kern w:val="0"/>
          <w:szCs w:val="21"/>
          <w:u w:val="single"/>
        </w:rPr>
      </w:pPr>
      <w:r>
        <w:rPr>
          <w:rFonts w:hint="eastAsia" w:ascii="宋体" w:hAnsi="宋体" w:eastAsia="宋体" w:cs="宋体"/>
          <w:kern w:val="0"/>
          <w:szCs w:val="21"/>
        </w:rPr>
        <w:t>名称：</w:t>
      </w:r>
      <w:r>
        <w:rPr>
          <w:rFonts w:hint="eastAsia" w:ascii="宋体" w:hAnsi="宋体" w:eastAsia="宋体" w:cs="宋体"/>
          <w:kern w:val="0"/>
          <w:szCs w:val="21"/>
          <w:u w:val="none"/>
        </w:rPr>
        <w:t>广西机电设备招标有限公司</w:t>
      </w:r>
    </w:p>
    <w:p w14:paraId="608D7D8B">
      <w:pPr>
        <w:spacing w:line="312" w:lineRule="auto"/>
        <w:ind w:firstLine="420" w:firstLineChars="200"/>
        <w:jc w:val="left"/>
        <w:rPr>
          <w:rFonts w:hint="eastAsia" w:ascii="宋体" w:hAnsi="宋体" w:eastAsia="宋体" w:cs="宋体"/>
          <w:u w:val="single"/>
        </w:rPr>
      </w:pPr>
      <w:r>
        <w:rPr>
          <w:rFonts w:hint="eastAsia" w:ascii="宋体" w:hAnsi="宋体" w:eastAsia="宋体" w:cs="宋体"/>
          <w:kern w:val="0"/>
          <w:szCs w:val="21"/>
        </w:rPr>
        <w:t>地址：</w:t>
      </w:r>
      <w:bookmarkStart w:id="18" w:name="_Hlk43199749"/>
      <w:r>
        <w:rPr>
          <w:rFonts w:hint="eastAsia" w:ascii="宋体" w:hAnsi="宋体" w:eastAsia="宋体" w:cs="宋体"/>
          <w:kern w:val="0"/>
          <w:szCs w:val="21"/>
        </w:rPr>
        <w:t>广西柳州市城中区东环大道230号居上V8城A座17楼1-4号</w:t>
      </w:r>
    </w:p>
    <w:bookmarkEnd w:id="17"/>
    <w:bookmarkEnd w:id="18"/>
    <w:p w14:paraId="66C0D18B">
      <w:pPr>
        <w:spacing w:line="312" w:lineRule="auto"/>
        <w:ind w:firstLine="420" w:firstLineChars="200"/>
        <w:jc w:val="left"/>
        <w:rPr>
          <w:rFonts w:hint="eastAsia" w:ascii="宋体" w:hAnsi="宋体" w:eastAsia="宋体" w:cs="宋体"/>
          <w:color w:val="4472C4"/>
          <w:kern w:val="0"/>
          <w:szCs w:val="21"/>
          <w:u w:val="single"/>
        </w:rPr>
      </w:pPr>
      <w:bookmarkStart w:id="19" w:name="_Toc254970490"/>
      <w:bookmarkStart w:id="20" w:name="_Toc254970631"/>
      <w:r>
        <w:rPr>
          <w:rFonts w:hint="eastAsia" w:ascii="宋体" w:hAnsi="宋体" w:eastAsia="宋体" w:cs="宋体"/>
          <w:kern w:val="0"/>
          <w:szCs w:val="21"/>
        </w:rPr>
        <w:t>项目联系人：</w:t>
      </w:r>
      <w:r>
        <w:rPr>
          <w:rFonts w:hint="eastAsia" w:ascii="宋体" w:hAnsi="宋体" w:eastAsia="宋体" w:cs="宋体"/>
          <w:color w:val="auto"/>
          <w:kern w:val="0"/>
          <w:szCs w:val="21"/>
          <w:highlight w:val="none"/>
          <w:lang w:val="en-US" w:eastAsia="zh-CN"/>
        </w:rPr>
        <w:t>梁玉凤</w:t>
      </w: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lang w:val="en-US" w:eastAsia="zh-CN"/>
        </w:rPr>
        <w:t>莫曼莉</w:t>
      </w:r>
    </w:p>
    <w:p w14:paraId="2A77DC9A">
      <w:pPr>
        <w:spacing w:line="312" w:lineRule="auto"/>
        <w:ind w:right="420" w:firstLine="420" w:firstLineChars="200"/>
        <w:rPr>
          <w:rFonts w:hint="eastAsia" w:ascii="宋体" w:hAnsi="宋体" w:eastAsia="宋体" w:cs="宋体"/>
          <w:kern w:val="0"/>
          <w:szCs w:val="21"/>
        </w:rPr>
      </w:pPr>
      <w:r>
        <w:rPr>
          <w:rFonts w:hint="eastAsia" w:ascii="宋体" w:hAnsi="宋体" w:eastAsia="宋体" w:cs="宋体"/>
          <w:kern w:val="0"/>
          <w:szCs w:val="21"/>
        </w:rPr>
        <w:t>项目联系方式：</w:t>
      </w:r>
      <w:r>
        <w:rPr>
          <w:rFonts w:hint="eastAsia" w:ascii="宋体" w:hAnsi="宋体" w:eastAsia="宋体" w:cs="宋体"/>
          <w:color w:val="auto"/>
          <w:kern w:val="0"/>
          <w:szCs w:val="21"/>
          <w:highlight w:val="none"/>
        </w:rPr>
        <w:t>0772-3700157</w:t>
      </w:r>
    </w:p>
    <w:p w14:paraId="15695800">
      <w:pPr>
        <w:spacing w:line="312" w:lineRule="auto"/>
        <w:ind w:firstLine="442" w:firstLineChars="200"/>
        <w:jc w:val="right"/>
        <w:rPr>
          <w:rFonts w:hint="eastAsia" w:ascii="宋体" w:hAnsi="宋体" w:eastAsia="宋体" w:cs="宋体"/>
          <w:b/>
          <w:bCs/>
          <w:kern w:val="0"/>
          <w:sz w:val="22"/>
          <w:szCs w:val="22"/>
        </w:rPr>
      </w:pPr>
    </w:p>
    <w:p w14:paraId="7AF8337A">
      <w:pPr>
        <w:spacing w:line="312" w:lineRule="auto"/>
        <w:ind w:firstLine="420" w:firstLineChars="200"/>
        <w:jc w:val="right"/>
        <w:rPr>
          <w:rFonts w:hint="eastAsia" w:ascii="宋体" w:hAnsi="宋体" w:eastAsia="宋体" w:cs="宋体"/>
          <w:kern w:val="0"/>
          <w:szCs w:val="21"/>
        </w:rPr>
      </w:pPr>
    </w:p>
    <w:p w14:paraId="23D11B52">
      <w:pPr>
        <w:spacing w:line="312" w:lineRule="auto"/>
        <w:ind w:firstLine="420" w:firstLineChars="200"/>
        <w:jc w:val="right"/>
        <w:rPr>
          <w:rFonts w:hint="eastAsia" w:ascii="宋体" w:hAnsi="宋体" w:eastAsia="宋体" w:cs="宋体"/>
          <w:kern w:val="0"/>
          <w:szCs w:val="21"/>
        </w:rPr>
      </w:pPr>
      <w:r>
        <w:rPr>
          <w:rFonts w:hint="eastAsia" w:ascii="宋体" w:hAnsi="宋体" w:eastAsia="宋体" w:cs="宋体"/>
          <w:kern w:val="0"/>
          <w:szCs w:val="21"/>
        </w:rPr>
        <w:t>广西机电设备招标有限公司</w:t>
      </w:r>
    </w:p>
    <w:p w14:paraId="74EE9074">
      <w:pPr>
        <w:spacing w:line="312" w:lineRule="auto"/>
        <w:ind w:firstLine="420" w:firstLineChars="200"/>
        <w:jc w:val="right"/>
        <w:rPr>
          <w:rFonts w:hint="eastAsia" w:ascii="宋体" w:hAnsi="宋体" w:eastAsia="宋体" w:cs="宋体"/>
          <w:color w:val="auto"/>
          <w:sz w:val="2"/>
          <w:szCs w:val="2"/>
        </w:rPr>
      </w:pPr>
      <w:r>
        <w:rPr>
          <w:rFonts w:hint="eastAsia" w:ascii="宋体" w:hAnsi="宋体" w:eastAsia="宋体" w:cs="宋体"/>
          <w:color w:val="auto"/>
          <w:kern w:val="0"/>
          <w:szCs w:val="21"/>
        </w:rPr>
        <w:t>20</w:t>
      </w:r>
      <w:r>
        <w:rPr>
          <w:rFonts w:hint="eastAsia" w:ascii="宋体" w:hAnsi="宋体" w:eastAsia="宋体" w:cs="宋体"/>
          <w:color w:val="auto"/>
          <w:kern w:val="0"/>
          <w:szCs w:val="21"/>
          <w:lang w:val="en-US" w:eastAsia="zh-CN"/>
        </w:rPr>
        <w:t>26</w:t>
      </w:r>
      <w:r>
        <w:rPr>
          <w:rFonts w:hint="eastAsia" w:ascii="宋体" w:hAnsi="宋体" w:eastAsia="宋体" w:cs="宋体"/>
          <w:color w:val="auto"/>
          <w:kern w:val="0"/>
          <w:szCs w:val="21"/>
        </w:rPr>
        <w:t>年</w:t>
      </w:r>
      <w:r>
        <w:rPr>
          <w:rFonts w:hint="eastAsia" w:ascii="宋体" w:hAnsi="宋体" w:cs="宋体"/>
          <w:color w:val="auto"/>
          <w:kern w:val="0"/>
          <w:szCs w:val="21"/>
          <w:lang w:val="en-US" w:eastAsia="zh-CN"/>
        </w:rPr>
        <w:t>07</w:t>
      </w:r>
      <w:r>
        <w:rPr>
          <w:rFonts w:hint="eastAsia" w:ascii="宋体" w:hAnsi="宋体" w:eastAsia="宋体" w:cs="宋体"/>
          <w:color w:val="auto"/>
          <w:kern w:val="0"/>
          <w:szCs w:val="21"/>
        </w:rPr>
        <w:t>月</w:t>
      </w:r>
      <w:r>
        <w:rPr>
          <w:rFonts w:hint="eastAsia" w:ascii="宋体" w:hAnsi="宋体" w:cs="宋体"/>
          <w:color w:val="auto"/>
          <w:kern w:val="0"/>
          <w:szCs w:val="21"/>
          <w:lang w:val="en-US" w:eastAsia="zh-CN"/>
        </w:rPr>
        <w:t>10</w:t>
      </w:r>
      <w:r>
        <w:rPr>
          <w:rFonts w:hint="eastAsia" w:ascii="宋体" w:hAnsi="宋体" w:eastAsia="宋体" w:cs="宋体"/>
          <w:color w:val="auto"/>
          <w:kern w:val="0"/>
          <w:szCs w:val="21"/>
        </w:rPr>
        <w:t>日</w:t>
      </w:r>
    </w:p>
    <w:p w14:paraId="4D3102AD">
      <w:pPr>
        <w:rPr>
          <w:rFonts w:hint="eastAsia" w:ascii="宋体" w:hAnsi="宋体" w:eastAsia="宋体" w:cs="宋体"/>
          <w:color w:val="auto"/>
          <w:szCs w:val="21"/>
        </w:rPr>
        <w:sectPr>
          <w:footerReference r:id="rId10" w:type="first"/>
          <w:headerReference r:id="rId9" w:type="default"/>
          <w:pgSz w:w="11906" w:h="16838"/>
          <w:pgMar w:top="1417" w:right="1417" w:bottom="1417" w:left="1418" w:header="851" w:footer="797" w:gutter="0"/>
          <w:cols w:space="720" w:num="1"/>
          <w:docGrid w:linePitch="312" w:charSpace="0"/>
        </w:sectPr>
      </w:pPr>
    </w:p>
    <w:bookmarkEnd w:id="19"/>
    <w:bookmarkEnd w:id="20"/>
    <w:p w14:paraId="0367A804">
      <w:pPr>
        <w:pStyle w:val="11"/>
        <w:snapToGrid w:val="0"/>
        <w:spacing w:before="120" w:after="120" w:line="320" w:lineRule="exact"/>
        <w:jc w:val="center"/>
        <w:outlineLvl w:val="0"/>
        <w:rPr>
          <w:rFonts w:hint="eastAsia" w:ascii="宋体" w:hAnsi="宋体" w:eastAsia="宋体" w:cs="宋体"/>
          <w:b/>
          <w:color w:val="auto"/>
          <w:sz w:val="24"/>
          <w:szCs w:val="24"/>
        </w:rPr>
      </w:pPr>
      <w:bookmarkStart w:id="21" w:name="_Toc16519"/>
      <w:bookmarkStart w:id="22" w:name="_Hlk89187818"/>
      <w:r>
        <w:rPr>
          <w:rFonts w:hint="eastAsia" w:ascii="宋体" w:hAnsi="宋体" w:eastAsia="宋体" w:cs="宋体"/>
          <w:b/>
          <w:bCs/>
          <w:color w:val="auto"/>
          <w:sz w:val="32"/>
          <w:szCs w:val="32"/>
        </w:rPr>
        <w:t>第二章  采购需求</w:t>
      </w:r>
      <w:bookmarkEnd w:id="21"/>
    </w:p>
    <w:p w14:paraId="569854B0">
      <w:pPr>
        <w:jc w:val="center"/>
        <w:rPr>
          <w:rFonts w:hint="eastAsia" w:ascii="宋体" w:hAnsi="宋体" w:eastAsia="宋体" w:cs="宋体"/>
          <w:color w:val="auto"/>
          <w:sz w:val="28"/>
          <w:szCs w:val="28"/>
        </w:rPr>
      </w:pPr>
    </w:p>
    <w:p w14:paraId="794DE7F2">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说明：</w:t>
      </w:r>
    </w:p>
    <w:p w14:paraId="4CF822DF">
      <w:pPr>
        <w:spacing w:line="360" w:lineRule="auto"/>
        <w:ind w:firstLine="420" w:firstLineChars="200"/>
        <w:jc w:val="left"/>
        <w:rPr>
          <w:rFonts w:ascii="宋体" w:hAnsi="Calibri"/>
          <w:b/>
          <w:bCs/>
          <w:color w:val="auto"/>
          <w:szCs w:val="21"/>
          <w:highlight w:val="none"/>
        </w:rPr>
      </w:pPr>
      <w:r>
        <w:rPr>
          <w:rFonts w:hint="eastAsia" w:ascii="宋体" w:hAnsi="宋体"/>
          <w:color w:val="auto"/>
          <w:highlight w:val="none"/>
        </w:rPr>
        <w:t>1</w:t>
      </w:r>
      <w:r>
        <w:rPr>
          <w:rFonts w:hint="eastAsia"/>
          <w:color w:val="auto"/>
          <w:highlight w:val="none"/>
        </w:rPr>
        <w:t>.为落实政府采购政策需满足的要求，</w:t>
      </w:r>
      <w:r>
        <w:rPr>
          <w:rFonts w:hint="eastAsia" w:ascii="宋体" w:hAnsi="宋体" w:cs="宋体"/>
          <w:color w:val="auto"/>
          <w:szCs w:val="21"/>
          <w:highlight w:val="none"/>
        </w:rPr>
        <w:t>本采购文件所称中小企业必须符合《政府采购促进中小企业发展管理办法》（财库〔2020〕46号）的规定</w:t>
      </w:r>
      <w:r>
        <w:rPr>
          <w:rFonts w:hint="eastAsia" w:ascii="宋体" w:hAnsi="Calibri"/>
          <w:b/>
          <w:bCs/>
          <w:color w:val="auto"/>
          <w:szCs w:val="21"/>
          <w:highlight w:val="none"/>
        </w:rPr>
        <w:t>。</w:t>
      </w:r>
    </w:p>
    <w:p w14:paraId="5F9F8A3D">
      <w:pPr>
        <w:spacing w:line="360" w:lineRule="auto"/>
        <w:ind w:firstLine="424" w:firstLineChars="202"/>
        <w:jc w:val="left"/>
        <w:rPr>
          <w:rFonts w:ascii="宋体" w:hAnsi="宋体" w:cs="宋体"/>
          <w:color w:val="auto"/>
          <w:szCs w:val="21"/>
          <w:highlight w:val="none"/>
        </w:rPr>
      </w:pPr>
      <w:r>
        <w:rPr>
          <w:rFonts w:hint="eastAsia" w:ascii="宋体" w:hAnsi="宋体" w:cs="宋体"/>
          <w:color w:val="auto"/>
          <w:szCs w:val="21"/>
          <w:highlight w:val="none"/>
        </w:rPr>
        <w:t>2.“实质性要求”是指采购需求中带“▲”的条款或者不能负偏离的条款或者已经指明不满足则响应文件按无效处理的条款。</w:t>
      </w:r>
    </w:p>
    <w:p w14:paraId="6A1356F9">
      <w:pPr>
        <w:spacing w:line="360" w:lineRule="auto"/>
        <w:ind w:firstLine="424" w:firstLineChars="202"/>
        <w:jc w:val="left"/>
        <w:rPr>
          <w:color w:val="auto"/>
          <w:highlight w:val="none"/>
        </w:rPr>
      </w:pPr>
      <w:r>
        <w:rPr>
          <w:rFonts w:ascii="宋体" w:hAnsi="宋体" w:cs="宋体"/>
          <w:color w:val="auto"/>
          <w:szCs w:val="21"/>
          <w:highlight w:val="none"/>
        </w:rPr>
        <w:t>3</w:t>
      </w:r>
      <w:r>
        <w:rPr>
          <w:rFonts w:hint="eastAsia" w:ascii="宋体" w:hAnsi="宋体" w:cs="宋体"/>
          <w:color w:val="auto"/>
          <w:szCs w:val="21"/>
          <w:highlight w:val="none"/>
        </w:rPr>
        <w:t>.供应商应根据自身实际情况如实响应</w:t>
      </w:r>
      <w:r>
        <w:rPr>
          <w:rFonts w:hint="eastAsia" w:ascii="宋体" w:hAnsi="宋体" w:cs="宋体"/>
          <w:color w:val="auto"/>
          <w:szCs w:val="21"/>
          <w:highlight w:val="none"/>
          <w:lang w:val="en-US" w:eastAsia="zh-CN"/>
        </w:rPr>
        <w:t>采购</w:t>
      </w:r>
      <w:r>
        <w:rPr>
          <w:rFonts w:hint="eastAsia" w:ascii="宋体" w:hAnsi="宋体" w:cs="宋体"/>
          <w:color w:val="auto"/>
          <w:szCs w:val="21"/>
          <w:highlight w:val="none"/>
        </w:rPr>
        <w:t>文件</w:t>
      </w:r>
      <w:r>
        <w:rPr>
          <w:rFonts w:hint="eastAsia" w:ascii="宋体" w:hAnsi="宋体"/>
          <w:color w:val="auto"/>
          <w:szCs w:val="21"/>
          <w:highlight w:val="none"/>
        </w:rPr>
        <w:t>，不得仅将</w:t>
      </w:r>
      <w:r>
        <w:rPr>
          <w:rFonts w:hint="eastAsia" w:ascii="宋体" w:hAnsi="宋体" w:cs="宋体"/>
          <w:color w:val="auto"/>
          <w:szCs w:val="21"/>
          <w:highlight w:val="none"/>
          <w:lang w:val="en-US" w:eastAsia="zh-CN"/>
        </w:rPr>
        <w:t>采购</w:t>
      </w:r>
      <w:r>
        <w:rPr>
          <w:rFonts w:hint="eastAsia" w:ascii="宋体" w:hAnsi="宋体" w:cs="宋体"/>
          <w:color w:val="auto"/>
          <w:szCs w:val="21"/>
          <w:highlight w:val="none"/>
        </w:rPr>
        <w:t>文件</w:t>
      </w:r>
      <w:r>
        <w:rPr>
          <w:rFonts w:hint="eastAsia" w:ascii="宋体" w:hAnsi="宋体"/>
          <w:color w:val="auto"/>
          <w:szCs w:val="21"/>
          <w:highlight w:val="none"/>
        </w:rPr>
        <w:t>内容简单复制粘贴作为竞标响应，还应当提供相关证明材料。</w:t>
      </w:r>
      <w:r>
        <w:rPr>
          <w:rFonts w:hint="eastAsia"/>
          <w:color w:val="auto"/>
          <w:highlight w:val="none"/>
        </w:rPr>
        <w:t>对于重要技术条款或技术参数应当在响应文件中提供技术支持资料，技术支持资料以</w:t>
      </w:r>
      <w:r>
        <w:rPr>
          <w:rFonts w:hint="eastAsia" w:ascii="宋体" w:hAnsi="宋体" w:cs="宋体"/>
          <w:color w:val="auto"/>
          <w:szCs w:val="21"/>
          <w:highlight w:val="none"/>
          <w:lang w:val="en-US" w:eastAsia="zh-CN"/>
        </w:rPr>
        <w:t>采购</w:t>
      </w:r>
      <w:r>
        <w:rPr>
          <w:rFonts w:hint="eastAsia"/>
          <w:color w:val="auto"/>
          <w:highlight w:val="none"/>
        </w:rPr>
        <w:t>文件中规定的形式为准，</w:t>
      </w:r>
      <w:r>
        <w:rPr>
          <w:rFonts w:hint="eastAsia"/>
          <w:b/>
          <w:bCs/>
          <w:color w:val="auto"/>
          <w:highlight w:val="none"/>
        </w:rPr>
        <w:t>否则将视为无效技术支持资料</w:t>
      </w:r>
      <w:r>
        <w:rPr>
          <w:rFonts w:hint="eastAsia"/>
          <w:color w:val="auto"/>
          <w:highlight w:val="none"/>
        </w:rPr>
        <w:t>。</w:t>
      </w:r>
    </w:p>
    <w:p w14:paraId="5E79C82C">
      <w:pPr>
        <w:spacing w:line="360" w:lineRule="auto"/>
        <w:ind w:firstLine="424" w:firstLineChars="202"/>
        <w:jc w:val="left"/>
        <w:rPr>
          <w:color w:val="auto"/>
          <w:highlight w:val="none"/>
        </w:rPr>
      </w:pPr>
      <w:r>
        <w:rPr>
          <w:rFonts w:ascii="宋体" w:hAnsi="宋体" w:cs="宋体"/>
          <w:color w:val="auto"/>
          <w:szCs w:val="21"/>
          <w:highlight w:val="none"/>
        </w:rPr>
        <w:t>4</w:t>
      </w:r>
      <w:r>
        <w:rPr>
          <w:rFonts w:hint="eastAsia" w:ascii="宋体" w:hAnsi="宋体" w:cs="宋体"/>
          <w:color w:val="auto"/>
          <w:szCs w:val="21"/>
          <w:highlight w:val="none"/>
        </w:rPr>
        <w:t>.</w:t>
      </w:r>
      <w:r>
        <w:rPr>
          <w:rFonts w:hint="eastAsia"/>
          <w:color w:val="auto"/>
          <w:highlight w:val="none"/>
        </w:rPr>
        <w:t>供应商必须自行为其竞标产品侵犯他人的知识产权或者专利成果的行为承担相应法律责任。</w:t>
      </w:r>
    </w:p>
    <w:p w14:paraId="14B67C7A">
      <w:pPr>
        <w:spacing w:line="360" w:lineRule="auto"/>
        <w:ind w:firstLine="426" w:firstLineChars="202"/>
        <w:jc w:val="left"/>
        <w:rPr>
          <w:rFonts w:hint="eastAsia" w:asciiTheme="minorEastAsia" w:hAnsiTheme="minorEastAsia" w:eastAsiaTheme="minorEastAsia" w:cstheme="minorEastAsia"/>
          <w:b/>
          <w:bCs/>
          <w:color w:val="auto"/>
          <w:szCs w:val="21"/>
          <w:highlight w:val="none"/>
        </w:rPr>
      </w:pPr>
      <w:r>
        <w:rPr>
          <w:rFonts w:hint="eastAsia" w:ascii="宋体" w:hAnsi="Calibri"/>
          <w:b/>
          <w:bCs/>
          <w:color w:val="auto"/>
          <w:szCs w:val="21"/>
          <w:highlight w:val="none"/>
        </w:rPr>
        <w:t>5.本项目为工程类项目，不设核心产</w:t>
      </w:r>
      <w:r>
        <w:rPr>
          <w:rFonts w:hint="eastAsia" w:asciiTheme="minorEastAsia" w:hAnsiTheme="minorEastAsia" w:eastAsiaTheme="minorEastAsia" w:cstheme="minorEastAsia"/>
          <w:b/>
          <w:bCs/>
          <w:color w:val="auto"/>
          <w:szCs w:val="21"/>
          <w:highlight w:val="none"/>
        </w:rPr>
        <w:t>品。</w:t>
      </w:r>
    </w:p>
    <w:p w14:paraId="13F6BB72">
      <w:pPr>
        <w:spacing w:line="360" w:lineRule="auto"/>
        <w:ind w:firstLine="426" w:firstLineChars="202"/>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bCs/>
          <w:color w:val="auto"/>
          <w:szCs w:val="21"/>
          <w:highlight w:val="none"/>
        </w:rPr>
        <w:t>采购预算：</w:t>
      </w:r>
      <w:r>
        <w:rPr>
          <w:rFonts w:hint="eastAsia" w:asciiTheme="minorEastAsia" w:hAnsiTheme="minorEastAsia" w:eastAsiaTheme="minorEastAsia" w:cstheme="minorEastAsia"/>
          <w:color w:val="auto"/>
          <w:szCs w:val="21"/>
          <w:highlight w:val="none"/>
        </w:rPr>
        <w:t>人民币</w:t>
      </w:r>
      <w:r>
        <w:rPr>
          <w:rFonts w:hint="eastAsia" w:asciiTheme="minorEastAsia" w:hAnsiTheme="minorEastAsia" w:eastAsiaTheme="minorEastAsia" w:cstheme="minorEastAsia"/>
          <w:color w:val="auto"/>
          <w:szCs w:val="21"/>
          <w:highlight w:val="none"/>
          <w:lang w:val="en-US" w:eastAsia="zh-CN"/>
        </w:rPr>
        <w:t>玖拾贰万陆仟肆佰肆拾肆元捌角柒分</w:t>
      </w:r>
      <w:r>
        <w:rPr>
          <w:rFonts w:hint="eastAsia" w:asciiTheme="minorEastAsia" w:hAnsiTheme="minorEastAsia" w:eastAsiaTheme="minorEastAsia" w:cstheme="minorEastAsia"/>
          <w:color w:val="auto"/>
          <w:szCs w:val="21"/>
          <w:highlight w:val="none"/>
        </w:rPr>
        <w:t>（¥926444.87）</w:t>
      </w:r>
    </w:p>
    <w:tbl>
      <w:tblPr>
        <w:tblStyle w:val="15"/>
        <w:tblW w:w="876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25"/>
        <w:gridCol w:w="780"/>
        <w:gridCol w:w="386"/>
        <w:gridCol w:w="529"/>
        <w:gridCol w:w="780"/>
        <w:gridCol w:w="5762"/>
      </w:tblGrid>
      <w:tr w14:paraId="676F0A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525" w:type="dxa"/>
            <w:noWrap/>
            <w:vAlign w:val="center"/>
          </w:tcPr>
          <w:p w14:paraId="51FBBC73">
            <w:pPr>
              <w:keepNext w:val="0"/>
              <w:keepLines w:val="0"/>
              <w:pageBreakBefore w:val="0"/>
              <w:widowControl w:val="0"/>
              <w:tabs>
                <w:tab w:val="left" w:pos="180"/>
                <w:tab w:val="left" w:pos="1620"/>
              </w:tabs>
              <w:kinsoku/>
              <w:wordWrap/>
              <w:overflowPunct/>
              <w:topLinePunct w:val="0"/>
              <w:bidi w:val="0"/>
              <w:adjustRightInd/>
              <w:snapToGrid/>
              <w:spacing w:line="360" w:lineRule="exact"/>
              <w:jc w:val="center"/>
              <w:textAlignment w:val="auto"/>
              <w:rPr>
                <w:rFonts w:ascii="宋体" w:hAnsi="宋体" w:cs="宋体"/>
                <w:b/>
                <w:bCs/>
                <w:color w:val="auto"/>
                <w:szCs w:val="21"/>
                <w:highlight w:val="none"/>
              </w:rPr>
            </w:pPr>
            <w:r>
              <w:rPr>
                <w:rFonts w:hint="eastAsia" w:ascii="宋体" w:hAnsi="宋体" w:cs="宋体"/>
                <w:b/>
                <w:bCs/>
                <w:color w:val="auto"/>
                <w:szCs w:val="21"/>
                <w:highlight w:val="none"/>
              </w:rPr>
              <w:t>序号</w:t>
            </w:r>
          </w:p>
        </w:tc>
        <w:tc>
          <w:tcPr>
            <w:tcW w:w="780" w:type="dxa"/>
            <w:noWrap/>
            <w:vAlign w:val="center"/>
          </w:tcPr>
          <w:p w14:paraId="7583FDB1">
            <w:pPr>
              <w:keepNext w:val="0"/>
              <w:keepLines w:val="0"/>
              <w:pageBreakBefore w:val="0"/>
              <w:widowControl w:val="0"/>
              <w:tabs>
                <w:tab w:val="left" w:pos="180"/>
                <w:tab w:val="left" w:pos="1620"/>
              </w:tabs>
              <w:kinsoku/>
              <w:wordWrap/>
              <w:overflowPunct/>
              <w:topLinePunct w:val="0"/>
              <w:bidi w:val="0"/>
              <w:adjustRightInd/>
              <w:snapToGrid/>
              <w:spacing w:line="360" w:lineRule="exact"/>
              <w:jc w:val="center"/>
              <w:textAlignment w:val="auto"/>
              <w:rPr>
                <w:rFonts w:ascii="宋体" w:hAnsi="宋体" w:cs="宋体"/>
                <w:b/>
                <w:bCs/>
                <w:color w:val="auto"/>
                <w:szCs w:val="21"/>
                <w:highlight w:val="none"/>
              </w:rPr>
            </w:pPr>
            <w:r>
              <w:rPr>
                <w:rFonts w:hint="eastAsia" w:ascii="宋体" w:hAnsi="宋体" w:cs="宋体"/>
                <w:b/>
                <w:bCs/>
                <w:color w:val="auto"/>
                <w:szCs w:val="21"/>
                <w:highlight w:val="none"/>
              </w:rPr>
              <w:t>标的名称</w:t>
            </w:r>
          </w:p>
        </w:tc>
        <w:tc>
          <w:tcPr>
            <w:tcW w:w="915" w:type="dxa"/>
            <w:gridSpan w:val="2"/>
            <w:noWrap/>
            <w:vAlign w:val="center"/>
          </w:tcPr>
          <w:p w14:paraId="03844EB6">
            <w:pPr>
              <w:keepNext w:val="0"/>
              <w:keepLines w:val="0"/>
              <w:pageBreakBefore w:val="0"/>
              <w:widowControl w:val="0"/>
              <w:tabs>
                <w:tab w:val="left" w:pos="180"/>
                <w:tab w:val="left" w:pos="1620"/>
              </w:tabs>
              <w:kinsoku/>
              <w:wordWrap/>
              <w:overflowPunct/>
              <w:topLinePunct w:val="0"/>
              <w:bidi w:val="0"/>
              <w:adjustRightInd/>
              <w:snapToGrid/>
              <w:spacing w:line="360" w:lineRule="exact"/>
              <w:jc w:val="center"/>
              <w:textAlignment w:val="auto"/>
              <w:rPr>
                <w:rFonts w:ascii="宋体" w:hAnsi="宋体" w:cs="宋体"/>
                <w:b/>
                <w:bCs/>
                <w:color w:val="auto"/>
                <w:szCs w:val="21"/>
                <w:highlight w:val="none"/>
              </w:rPr>
            </w:pPr>
            <w:r>
              <w:rPr>
                <w:rFonts w:hint="eastAsia" w:ascii="宋体" w:hAnsi="宋体" w:cs="宋体"/>
                <w:b/>
                <w:bCs/>
                <w:color w:val="auto"/>
                <w:szCs w:val="21"/>
                <w:highlight w:val="none"/>
              </w:rPr>
              <w:t>数量及单位</w:t>
            </w:r>
          </w:p>
        </w:tc>
        <w:tc>
          <w:tcPr>
            <w:tcW w:w="780" w:type="dxa"/>
            <w:noWrap/>
            <w:vAlign w:val="center"/>
          </w:tcPr>
          <w:p w14:paraId="074AFF34">
            <w:pPr>
              <w:keepNext w:val="0"/>
              <w:keepLines w:val="0"/>
              <w:pageBreakBefore w:val="0"/>
              <w:widowControl w:val="0"/>
              <w:tabs>
                <w:tab w:val="left" w:pos="180"/>
                <w:tab w:val="left" w:pos="1620"/>
              </w:tabs>
              <w:kinsoku/>
              <w:wordWrap/>
              <w:overflowPunct/>
              <w:topLinePunct w:val="0"/>
              <w:bidi w:val="0"/>
              <w:adjustRightInd/>
              <w:snapToGrid/>
              <w:spacing w:line="360" w:lineRule="exact"/>
              <w:jc w:val="center"/>
              <w:textAlignment w:val="auto"/>
              <w:rPr>
                <w:rFonts w:ascii="宋体" w:hAnsi="宋体" w:cs="宋体"/>
                <w:b/>
                <w:bCs/>
                <w:color w:val="auto"/>
                <w:szCs w:val="21"/>
                <w:highlight w:val="none"/>
              </w:rPr>
            </w:pPr>
            <w:r>
              <w:rPr>
                <w:rFonts w:hint="eastAsia" w:ascii="宋体" w:hAnsi="宋体" w:cs="宋体"/>
                <w:b/>
                <w:bCs/>
                <w:color w:val="auto"/>
                <w:szCs w:val="21"/>
                <w:highlight w:val="none"/>
              </w:rPr>
              <w:t>所属行业</w:t>
            </w:r>
          </w:p>
        </w:tc>
        <w:tc>
          <w:tcPr>
            <w:tcW w:w="5762" w:type="dxa"/>
            <w:noWrap/>
            <w:vAlign w:val="center"/>
          </w:tcPr>
          <w:p w14:paraId="07854273">
            <w:pPr>
              <w:keepNext w:val="0"/>
              <w:keepLines w:val="0"/>
              <w:pageBreakBefore w:val="0"/>
              <w:widowControl w:val="0"/>
              <w:tabs>
                <w:tab w:val="left" w:pos="180"/>
                <w:tab w:val="left" w:pos="1620"/>
              </w:tabs>
              <w:kinsoku/>
              <w:wordWrap/>
              <w:overflowPunct/>
              <w:topLinePunct w:val="0"/>
              <w:bidi w:val="0"/>
              <w:adjustRightInd/>
              <w:snapToGrid/>
              <w:spacing w:line="360" w:lineRule="exact"/>
              <w:jc w:val="center"/>
              <w:textAlignment w:val="auto"/>
              <w:rPr>
                <w:rFonts w:ascii="宋体" w:hAnsi="宋体" w:cs="宋体"/>
                <w:b/>
                <w:bCs/>
                <w:color w:val="auto"/>
                <w:szCs w:val="21"/>
                <w:highlight w:val="none"/>
              </w:rPr>
            </w:pPr>
            <w:r>
              <w:rPr>
                <w:rFonts w:hint="eastAsia" w:ascii="宋体" w:hAnsi="宋体" w:cs="宋体"/>
                <w:b/>
                <w:bCs/>
                <w:color w:val="auto"/>
                <w:szCs w:val="21"/>
                <w:highlight w:val="none"/>
              </w:rPr>
              <w:t>技术要求</w:t>
            </w:r>
          </w:p>
        </w:tc>
      </w:tr>
      <w:tr w14:paraId="59FBEE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79" w:hRule="atLeast"/>
          <w:jc w:val="center"/>
        </w:trPr>
        <w:tc>
          <w:tcPr>
            <w:tcW w:w="525" w:type="dxa"/>
            <w:noWrap/>
            <w:vAlign w:val="center"/>
          </w:tcPr>
          <w:p w14:paraId="41F390D5">
            <w:pPr>
              <w:keepNext w:val="0"/>
              <w:keepLines w:val="0"/>
              <w:pageBreakBefore w:val="0"/>
              <w:widowControl w:val="0"/>
              <w:tabs>
                <w:tab w:val="left" w:pos="180"/>
                <w:tab w:val="left" w:pos="1620"/>
              </w:tabs>
              <w:kinsoku/>
              <w:wordWrap/>
              <w:overflowPunct/>
              <w:topLinePunct w:val="0"/>
              <w:bidi w:val="0"/>
              <w:adjustRightInd/>
              <w:snapToGrid/>
              <w:spacing w:line="36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1</w:t>
            </w:r>
          </w:p>
        </w:tc>
        <w:tc>
          <w:tcPr>
            <w:tcW w:w="780" w:type="dxa"/>
            <w:noWrap/>
            <w:vAlign w:val="center"/>
          </w:tcPr>
          <w:p w14:paraId="7CA11B89">
            <w:pPr>
              <w:keepNext w:val="0"/>
              <w:keepLines w:val="0"/>
              <w:pageBreakBefore w:val="0"/>
              <w:widowControl w:val="0"/>
              <w:tabs>
                <w:tab w:val="left" w:pos="180"/>
                <w:tab w:val="left" w:pos="1620"/>
              </w:tabs>
              <w:kinsoku/>
              <w:wordWrap/>
              <w:overflowPunct/>
              <w:topLinePunct w:val="0"/>
              <w:bidi w:val="0"/>
              <w:adjustRightInd/>
              <w:snapToGrid/>
              <w:spacing w:line="360" w:lineRule="exact"/>
              <w:jc w:val="center"/>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柳州市人民医院眼科手术室装修改造工程</w:t>
            </w:r>
          </w:p>
        </w:tc>
        <w:tc>
          <w:tcPr>
            <w:tcW w:w="915" w:type="dxa"/>
            <w:gridSpan w:val="2"/>
            <w:noWrap/>
            <w:vAlign w:val="center"/>
          </w:tcPr>
          <w:p w14:paraId="70FB9A37">
            <w:pPr>
              <w:keepNext w:val="0"/>
              <w:keepLines w:val="0"/>
              <w:pageBreakBefore w:val="0"/>
              <w:widowControl w:val="0"/>
              <w:tabs>
                <w:tab w:val="left" w:pos="180"/>
                <w:tab w:val="left" w:pos="1620"/>
              </w:tabs>
              <w:kinsoku/>
              <w:wordWrap/>
              <w:overflowPunct/>
              <w:topLinePunct w:val="0"/>
              <w:bidi w:val="0"/>
              <w:adjustRightInd/>
              <w:snapToGrid/>
              <w:spacing w:line="36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1项</w:t>
            </w:r>
          </w:p>
        </w:tc>
        <w:tc>
          <w:tcPr>
            <w:tcW w:w="780" w:type="dxa"/>
            <w:noWrap/>
            <w:vAlign w:val="center"/>
          </w:tcPr>
          <w:p w14:paraId="63304EAB">
            <w:pPr>
              <w:keepNext w:val="0"/>
              <w:keepLines w:val="0"/>
              <w:pageBreakBefore w:val="0"/>
              <w:widowControl w:val="0"/>
              <w:tabs>
                <w:tab w:val="left" w:pos="180"/>
                <w:tab w:val="left" w:pos="1620"/>
              </w:tabs>
              <w:kinsoku/>
              <w:wordWrap/>
              <w:overflowPunct/>
              <w:topLinePunct w:val="0"/>
              <w:bidi w:val="0"/>
              <w:adjustRightInd/>
              <w:snapToGrid/>
              <w:spacing w:line="36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建筑业</w:t>
            </w:r>
          </w:p>
        </w:tc>
        <w:tc>
          <w:tcPr>
            <w:tcW w:w="5762" w:type="dxa"/>
            <w:noWrap/>
            <w:vAlign w:val="center"/>
          </w:tcPr>
          <w:p w14:paraId="201A1B8D">
            <w:pPr>
              <w:keepNext w:val="0"/>
              <w:keepLines w:val="0"/>
              <w:pageBreakBefore w:val="0"/>
              <w:widowControl w:val="0"/>
              <w:kinsoku/>
              <w:wordWrap/>
              <w:overflowPunct/>
              <w:topLinePunct w:val="0"/>
              <w:bidi w:val="0"/>
              <w:adjustRightInd/>
              <w:snapToGrid/>
              <w:spacing w:line="360" w:lineRule="exact"/>
              <w:jc w:val="left"/>
              <w:textAlignment w:val="auto"/>
              <w:rPr>
                <w:rFonts w:hint="eastAsia" w:ascii="宋体" w:hAnsi="宋体" w:cs="宋体"/>
                <w:bCs/>
                <w:color w:val="auto"/>
                <w:szCs w:val="21"/>
                <w:highlight w:val="none"/>
              </w:rPr>
            </w:pPr>
            <w:r>
              <w:rPr>
                <w:rFonts w:hint="eastAsia" w:ascii="宋体" w:hAnsi="宋体"/>
                <w:bCs/>
                <w:color w:val="auto"/>
                <w:szCs w:val="21"/>
                <w:highlight w:val="none"/>
              </w:rPr>
              <w:t>1</w:t>
            </w:r>
            <w:r>
              <w:rPr>
                <w:rFonts w:hint="eastAsia" w:ascii="宋体" w:hAnsi="宋体" w:cs="宋体"/>
                <w:bCs/>
                <w:color w:val="auto"/>
                <w:szCs w:val="21"/>
                <w:highlight w:val="none"/>
              </w:rPr>
              <w:t>.项目概况</w:t>
            </w:r>
          </w:p>
          <w:p w14:paraId="0E1272FA">
            <w:pPr>
              <w:keepNext w:val="0"/>
              <w:keepLines w:val="0"/>
              <w:pageBreakBefore w:val="0"/>
              <w:widowControl w:val="0"/>
              <w:kinsoku/>
              <w:wordWrap/>
              <w:overflowPunct/>
              <w:topLinePunct w:val="0"/>
              <w:bidi w:val="0"/>
              <w:adjustRightInd/>
              <w:snapToGrid/>
              <w:spacing w:line="360" w:lineRule="exact"/>
              <w:ind w:firstLine="420" w:firstLineChars="200"/>
              <w:jc w:val="left"/>
              <w:textAlignment w:val="auto"/>
              <w:rPr>
                <w:rFonts w:hint="eastAsia" w:ascii="宋体" w:hAnsi="宋体" w:cs="宋体"/>
                <w:bCs/>
                <w:color w:val="auto"/>
                <w:szCs w:val="21"/>
                <w:highlight w:val="none"/>
              </w:rPr>
            </w:pPr>
            <w:r>
              <w:rPr>
                <w:rFonts w:hint="eastAsia" w:ascii="宋体" w:hAnsi="宋体"/>
                <w:color w:val="auto"/>
                <w:szCs w:val="21"/>
                <w:highlight w:val="none"/>
                <w:lang w:val="en-US" w:eastAsia="zh-CN"/>
              </w:rPr>
              <w:t>本项目位于柳州市文昌路8号，项目包括拆除工程、建筑工程、水电安装工程、暖通工程等。</w:t>
            </w:r>
          </w:p>
          <w:p w14:paraId="7C0F3F97">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cs="宋体"/>
                <w:color w:val="auto"/>
                <w:szCs w:val="21"/>
                <w:highlight w:val="none"/>
              </w:rPr>
            </w:pPr>
            <w:r>
              <w:rPr>
                <w:rFonts w:hint="eastAsia" w:ascii="宋体" w:hAnsi="宋体" w:cs="宋体"/>
                <w:color w:val="auto"/>
                <w:highlight w:val="none"/>
              </w:rPr>
              <w:t>2.采购范围：</w:t>
            </w:r>
            <w:r>
              <w:rPr>
                <w:rFonts w:hint="eastAsia" w:ascii="宋体" w:hAnsi="宋体" w:cs="宋体"/>
                <w:color w:val="auto"/>
                <w:szCs w:val="21"/>
                <w:highlight w:val="none"/>
              </w:rPr>
              <w:t>具体内容详见工程量清单及图纸。</w:t>
            </w:r>
          </w:p>
          <w:p w14:paraId="724B9EA5">
            <w:pPr>
              <w:pStyle w:val="8"/>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cs="宋体"/>
                <w:color w:val="auto"/>
                <w:highlight w:val="none"/>
              </w:rPr>
            </w:pPr>
            <w:r>
              <w:rPr>
                <w:rFonts w:hint="eastAsia" w:ascii="宋体" w:hAnsi="宋体" w:cs="宋体"/>
                <w:color w:val="auto"/>
                <w:szCs w:val="21"/>
                <w:highlight w:val="none"/>
              </w:rPr>
              <w:t>3.技术标准和要求：符合国家现行的工程建设标准、技术规范及强制性标准条文以及施工图纸载明的其他有关规范标准。</w:t>
            </w:r>
            <w:r>
              <w:rPr>
                <w:rFonts w:hint="eastAsia" w:ascii="宋体" w:hAnsi="宋体" w:cs="宋体"/>
                <w:color w:val="auto"/>
                <w:highlight w:val="none"/>
              </w:rPr>
              <w:t xml:space="preserve"> </w:t>
            </w:r>
          </w:p>
          <w:p w14:paraId="4576664B">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cs="宋体"/>
                <w:color w:val="auto"/>
                <w:highlight w:val="none"/>
              </w:rPr>
            </w:pPr>
            <w:r>
              <w:rPr>
                <w:rFonts w:hint="eastAsia" w:ascii="宋体" w:hAnsi="宋体" w:cs="宋体"/>
                <w:color w:val="auto"/>
                <w:highlight w:val="none"/>
              </w:rPr>
              <w:t>4.质量标准：合格。</w:t>
            </w:r>
          </w:p>
          <w:p w14:paraId="55AC04AE">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cs="宋体"/>
                <w:color w:val="auto"/>
                <w:highlight w:val="none"/>
              </w:rPr>
            </w:pPr>
            <w:r>
              <w:rPr>
                <w:rFonts w:hint="eastAsia" w:ascii="宋体" w:hAnsi="宋体" w:cs="宋体"/>
                <w:color w:val="auto"/>
                <w:highlight w:val="none"/>
              </w:rPr>
              <w:t>5.报价方式：工程量清单报价。</w:t>
            </w:r>
          </w:p>
          <w:p w14:paraId="151E4521">
            <w:pPr>
              <w:pStyle w:val="8"/>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6.承包方式：固定综合单价包干，包工包料。</w:t>
            </w:r>
          </w:p>
          <w:p w14:paraId="435A5DED">
            <w:pPr>
              <w:pStyle w:val="8"/>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cs="宋体"/>
                <w:color w:val="auto"/>
                <w:highlight w:val="none"/>
              </w:rPr>
            </w:pPr>
            <w:r>
              <w:rPr>
                <w:rFonts w:hint="eastAsia" w:ascii="宋体" w:hAnsi="宋体" w:cs="宋体"/>
                <w:color w:val="auto"/>
                <w:szCs w:val="21"/>
                <w:highlight w:val="none"/>
              </w:rPr>
              <w:t>7.</w:t>
            </w:r>
            <w:r>
              <w:rPr>
                <w:rFonts w:hint="eastAsia" w:ascii="宋体" w:hAnsi="宋体" w:cs="宋体"/>
                <w:color w:val="auto"/>
                <w:highlight w:val="none"/>
              </w:rPr>
              <w:t>开工日期：签订合同后以开工令为准。</w:t>
            </w:r>
          </w:p>
          <w:p w14:paraId="5A4FE090">
            <w:pPr>
              <w:pStyle w:val="8"/>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cs="宋体"/>
                <w:color w:val="auto"/>
                <w:highlight w:val="none"/>
              </w:rPr>
            </w:pPr>
            <w:r>
              <w:rPr>
                <w:rFonts w:hint="eastAsia" w:ascii="宋体" w:hAnsi="宋体" w:cs="宋体"/>
                <w:color w:val="auto"/>
                <w:highlight w:val="none"/>
              </w:rPr>
              <w:t>8.其他要求：</w:t>
            </w:r>
          </w:p>
          <w:p w14:paraId="5A550196">
            <w:pPr>
              <w:pStyle w:val="8"/>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cs="宋体"/>
                <w:color w:val="auto"/>
                <w:highlight w:val="none"/>
              </w:rPr>
            </w:pPr>
            <w:r>
              <w:rPr>
                <w:rFonts w:hint="eastAsia" w:ascii="宋体" w:hAnsi="宋体" w:cs="宋体"/>
                <w:color w:val="auto"/>
                <w:highlight w:val="none"/>
              </w:rPr>
              <w:t>（1）供应商负责项目所有工程内容的安装及施工。</w:t>
            </w:r>
          </w:p>
          <w:p w14:paraId="2B39BE26">
            <w:pPr>
              <w:pStyle w:val="8"/>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cs="宋体"/>
                <w:color w:val="auto"/>
                <w:highlight w:val="none"/>
              </w:rPr>
            </w:pPr>
            <w:r>
              <w:rPr>
                <w:rFonts w:hint="eastAsia" w:ascii="宋体" w:hAnsi="宋体" w:cs="宋体"/>
                <w:color w:val="auto"/>
                <w:highlight w:val="none"/>
              </w:rPr>
              <w:t>（2）施工过程中不得影响采购人正常运行。</w:t>
            </w:r>
          </w:p>
          <w:p w14:paraId="77A635DC">
            <w:pPr>
              <w:pStyle w:val="8"/>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cs="宋体"/>
                <w:color w:val="auto"/>
                <w:highlight w:val="none"/>
              </w:rPr>
            </w:pPr>
            <w:r>
              <w:rPr>
                <w:rFonts w:hint="eastAsia" w:ascii="宋体" w:hAnsi="宋体" w:cs="宋体"/>
                <w:color w:val="auto"/>
                <w:highlight w:val="none"/>
              </w:rPr>
              <w:t>（3）工程现场施工必须符合建筑消防安全规范要求。</w:t>
            </w:r>
          </w:p>
          <w:p w14:paraId="04E69558">
            <w:pPr>
              <w:keepNext w:val="0"/>
              <w:keepLines w:val="0"/>
              <w:pageBreakBefore w:val="0"/>
              <w:widowControl w:val="0"/>
              <w:kinsoku/>
              <w:wordWrap/>
              <w:overflowPunct/>
              <w:topLinePunct w:val="0"/>
              <w:autoSpaceDE w:val="0"/>
              <w:autoSpaceDN w:val="0"/>
              <w:bidi w:val="0"/>
              <w:adjustRightInd/>
              <w:snapToGrid/>
              <w:spacing w:line="360" w:lineRule="exact"/>
              <w:textAlignment w:val="auto"/>
              <w:rPr>
                <w:rFonts w:hint="eastAsia"/>
                <w:color w:val="auto"/>
                <w:szCs w:val="21"/>
                <w:highlight w:val="none"/>
              </w:rPr>
            </w:pPr>
            <w:r>
              <w:rPr>
                <w:rFonts w:hint="eastAsia" w:ascii="宋体" w:hAnsi="宋体" w:cs="宋体"/>
                <w:color w:val="auto"/>
                <w:highlight w:val="none"/>
              </w:rPr>
              <w:t>（4）施工过程中成交供应商需安排专业工程师进行现场施工管理工作。</w:t>
            </w:r>
          </w:p>
        </w:tc>
      </w:tr>
      <w:tr w14:paraId="4EDAAB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8762" w:type="dxa"/>
            <w:gridSpan w:val="6"/>
            <w:tcBorders>
              <w:top w:val="single" w:color="auto" w:sz="4" w:space="0"/>
              <w:left w:val="single" w:color="auto" w:sz="4" w:space="0"/>
              <w:bottom w:val="single" w:color="auto" w:sz="4" w:space="0"/>
              <w:right w:val="single" w:color="auto" w:sz="4" w:space="0"/>
            </w:tcBorders>
            <w:noWrap/>
            <w:vAlign w:val="top"/>
          </w:tcPr>
          <w:p w14:paraId="4CB37CD4">
            <w:pPr>
              <w:keepNext w:val="0"/>
              <w:keepLines w:val="0"/>
              <w:pageBreakBefore w:val="0"/>
              <w:widowControl w:val="0"/>
              <w:kinsoku/>
              <w:wordWrap/>
              <w:overflowPunct/>
              <w:topLinePunct w:val="0"/>
              <w:bidi w:val="0"/>
              <w:adjustRightInd/>
              <w:snapToGrid/>
              <w:spacing w:line="360" w:lineRule="exact"/>
              <w:textAlignment w:val="auto"/>
              <w:rPr>
                <w:rFonts w:ascii="宋体" w:hAnsi="宋体"/>
                <w:color w:val="auto"/>
                <w:szCs w:val="21"/>
                <w:highlight w:val="none"/>
              </w:rPr>
            </w:pPr>
            <w:r>
              <w:rPr>
                <w:rFonts w:hint="eastAsia" w:ascii="宋体" w:hAnsi="宋体"/>
                <w:b/>
                <w:color w:val="auto"/>
                <w:szCs w:val="21"/>
                <w:highlight w:val="none"/>
              </w:rPr>
              <w:t>一、</w:t>
            </w:r>
            <w:r>
              <w:rPr>
                <w:rFonts w:hint="eastAsia"/>
                <w:color w:val="auto"/>
                <w:highlight w:val="none"/>
              </w:rPr>
              <w:t>▲</w:t>
            </w:r>
            <w:r>
              <w:rPr>
                <w:rFonts w:hint="eastAsia" w:ascii="宋体" w:hAnsi="宋体"/>
                <w:b/>
                <w:color w:val="auto"/>
                <w:szCs w:val="21"/>
                <w:highlight w:val="none"/>
              </w:rPr>
              <w:t>商务要求</w:t>
            </w:r>
          </w:p>
        </w:tc>
      </w:tr>
      <w:tr w14:paraId="4C6111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691" w:type="dxa"/>
            <w:gridSpan w:val="3"/>
            <w:tcBorders>
              <w:top w:val="single" w:color="auto" w:sz="4" w:space="0"/>
              <w:left w:val="single" w:color="auto" w:sz="4" w:space="0"/>
              <w:bottom w:val="single" w:color="auto" w:sz="4" w:space="0"/>
              <w:right w:val="single" w:color="auto" w:sz="4" w:space="0"/>
            </w:tcBorders>
            <w:noWrap/>
            <w:vAlign w:val="center"/>
          </w:tcPr>
          <w:p w14:paraId="31585DCD">
            <w:pPr>
              <w:keepNext w:val="0"/>
              <w:keepLines w:val="0"/>
              <w:pageBreakBefore w:val="0"/>
              <w:widowControl w:val="0"/>
              <w:kinsoku/>
              <w:wordWrap/>
              <w:overflowPunct/>
              <w:topLinePunct w:val="0"/>
              <w:bidi w:val="0"/>
              <w:adjustRightInd/>
              <w:snapToGrid/>
              <w:spacing w:line="360" w:lineRule="exact"/>
              <w:jc w:val="center"/>
              <w:textAlignment w:val="auto"/>
              <w:rPr>
                <w:rFonts w:ascii="宋体" w:hAnsi="宋体"/>
                <w:b/>
                <w:color w:val="auto"/>
                <w:szCs w:val="21"/>
                <w:highlight w:val="none"/>
              </w:rPr>
            </w:pPr>
            <w:r>
              <w:rPr>
                <w:rFonts w:hint="eastAsia" w:ascii="宋体" w:hAnsi="宋体" w:cs="宋体"/>
                <w:color w:val="auto"/>
                <w:szCs w:val="21"/>
                <w:highlight w:val="none"/>
              </w:rPr>
              <w:t>计划工期</w:t>
            </w:r>
          </w:p>
        </w:tc>
        <w:tc>
          <w:tcPr>
            <w:tcW w:w="7071" w:type="dxa"/>
            <w:gridSpan w:val="3"/>
            <w:tcBorders>
              <w:top w:val="single" w:color="auto" w:sz="4" w:space="0"/>
              <w:left w:val="single" w:color="auto" w:sz="4" w:space="0"/>
              <w:bottom w:val="single" w:color="auto" w:sz="4" w:space="0"/>
              <w:right w:val="single" w:color="auto" w:sz="4" w:space="0"/>
            </w:tcBorders>
            <w:noWrap/>
            <w:vAlign w:val="center"/>
          </w:tcPr>
          <w:p w14:paraId="74E7FCDE">
            <w:pPr>
              <w:keepNext w:val="0"/>
              <w:keepLines w:val="0"/>
              <w:pageBreakBefore w:val="0"/>
              <w:widowControl w:val="0"/>
              <w:kinsoku/>
              <w:wordWrap/>
              <w:overflowPunct/>
              <w:topLinePunct w:val="0"/>
              <w:bidi w:val="0"/>
              <w:adjustRightInd/>
              <w:snapToGrid/>
              <w:spacing w:line="360" w:lineRule="exact"/>
              <w:textAlignment w:val="auto"/>
              <w:rPr>
                <w:color w:val="auto"/>
                <w:szCs w:val="21"/>
                <w:highlight w:val="none"/>
                <w:lang w:val="zh-CN"/>
              </w:rPr>
            </w:pPr>
            <w:r>
              <w:rPr>
                <w:rFonts w:hint="eastAsia" w:ascii="宋体" w:hAnsi="宋体" w:cs="宋体"/>
                <w:color w:val="auto"/>
                <w:szCs w:val="21"/>
                <w:highlight w:val="none"/>
              </w:rPr>
              <w:t>计划工期：</w:t>
            </w:r>
            <w:r>
              <w:rPr>
                <w:rFonts w:hint="eastAsia" w:ascii="宋体" w:hAnsi="宋体" w:cs="宋体"/>
                <w:color w:val="auto"/>
                <w:szCs w:val="21"/>
                <w:highlight w:val="none"/>
                <w:lang w:val="en-US" w:eastAsia="zh-CN"/>
              </w:rPr>
              <w:t>100</w:t>
            </w:r>
            <w:r>
              <w:rPr>
                <w:rFonts w:hint="eastAsia" w:ascii="宋体" w:hAnsi="宋体" w:cs="宋体"/>
                <w:color w:val="auto"/>
                <w:szCs w:val="21"/>
                <w:highlight w:val="none"/>
              </w:rPr>
              <w:t>日历天</w:t>
            </w:r>
          </w:p>
          <w:p w14:paraId="6DBB995C">
            <w:pPr>
              <w:keepNext w:val="0"/>
              <w:keepLines w:val="0"/>
              <w:pageBreakBefore w:val="0"/>
              <w:widowControl w:val="0"/>
              <w:kinsoku/>
              <w:wordWrap/>
              <w:overflowPunct/>
              <w:topLinePunct w:val="0"/>
              <w:bidi w:val="0"/>
              <w:adjustRightInd/>
              <w:snapToGrid/>
              <w:spacing w:line="360" w:lineRule="exact"/>
              <w:textAlignment w:val="auto"/>
              <w:rPr>
                <w:rFonts w:ascii="宋体" w:hAnsi="宋体"/>
                <w:b/>
                <w:color w:val="auto"/>
                <w:szCs w:val="21"/>
                <w:highlight w:val="none"/>
              </w:rPr>
            </w:pPr>
            <w:r>
              <w:rPr>
                <w:color w:val="auto"/>
                <w:szCs w:val="21"/>
                <w:highlight w:val="none"/>
                <w:lang w:val="zh-CN"/>
              </w:rPr>
              <w:t>计划开工日期：</w:t>
            </w:r>
            <w:r>
              <w:rPr>
                <w:rFonts w:hint="eastAsia"/>
                <w:color w:val="auto"/>
                <w:szCs w:val="21"/>
                <w:highlight w:val="none"/>
              </w:rPr>
              <w:t>具体以采购人开工令为准</w:t>
            </w:r>
          </w:p>
        </w:tc>
      </w:tr>
      <w:tr w14:paraId="3C94A7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1691" w:type="dxa"/>
            <w:gridSpan w:val="3"/>
            <w:tcBorders>
              <w:top w:val="single" w:color="auto" w:sz="4" w:space="0"/>
              <w:left w:val="single" w:color="auto" w:sz="4" w:space="0"/>
              <w:bottom w:val="single" w:color="auto" w:sz="4" w:space="0"/>
              <w:right w:val="single" w:color="auto" w:sz="4" w:space="0"/>
            </w:tcBorders>
            <w:noWrap/>
            <w:vAlign w:val="center"/>
          </w:tcPr>
          <w:p w14:paraId="2C79E8C7">
            <w:pPr>
              <w:keepNext w:val="0"/>
              <w:keepLines w:val="0"/>
              <w:pageBreakBefore w:val="0"/>
              <w:widowControl w:val="0"/>
              <w:kinsoku/>
              <w:wordWrap/>
              <w:overflowPunct/>
              <w:topLinePunct w:val="0"/>
              <w:bidi w:val="0"/>
              <w:adjustRightInd/>
              <w:snapToGrid/>
              <w:spacing w:line="360" w:lineRule="exact"/>
              <w:jc w:val="center"/>
              <w:textAlignment w:val="auto"/>
              <w:rPr>
                <w:rFonts w:hint="eastAsia"/>
                <w:color w:val="auto"/>
                <w:szCs w:val="21"/>
                <w:highlight w:val="none"/>
                <w:lang w:val="zh-CN"/>
              </w:rPr>
            </w:pPr>
            <w:r>
              <w:rPr>
                <w:rFonts w:hint="eastAsia"/>
                <w:color w:val="auto"/>
                <w:szCs w:val="21"/>
                <w:highlight w:val="none"/>
                <w:lang w:val="zh-CN"/>
              </w:rPr>
              <w:t>工程缺陷责任期</w:t>
            </w:r>
          </w:p>
        </w:tc>
        <w:tc>
          <w:tcPr>
            <w:tcW w:w="7071" w:type="dxa"/>
            <w:gridSpan w:val="3"/>
            <w:tcBorders>
              <w:top w:val="single" w:color="auto" w:sz="4" w:space="0"/>
              <w:left w:val="single" w:color="auto" w:sz="4" w:space="0"/>
              <w:bottom w:val="single" w:color="auto" w:sz="4" w:space="0"/>
              <w:right w:val="single" w:color="auto" w:sz="4" w:space="0"/>
            </w:tcBorders>
            <w:noWrap/>
            <w:vAlign w:val="center"/>
          </w:tcPr>
          <w:p w14:paraId="60B53CCF">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24个月</w:t>
            </w:r>
          </w:p>
        </w:tc>
      </w:tr>
      <w:tr w14:paraId="638BF7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8" w:hRule="atLeast"/>
          <w:jc w:val="center"/>
        </w:trPr>
        <w:tc>
          <w:tcPr>
            <w:tcW w:w="1691" w:type="dxa"/>
            <w:gridSpan w:val="3"/>
            <w:tcBorders>
              <w:top w:val="single" w:color="auto" w:sz="4" w:space="0"/>
              <w:left w:val="single" w:color="auto" w:sz="4" w:space="0"/>
              <w:bottom w:val="single" w:color="auto" w:sz="4" w:space="0"/>
              <w:right w:val="single" w:color="auto" w:sz="4" w:space="0"/>
            </w:tcBorders>
            <w:noWrap/>
            <w:vAlign w:val="center"/>
          </w:tcPr>
          <w:p w14:paraId="735596B5">
            <w:pPr>
              <w:keepNext w:val="0"/>
              <w:keepLines w:val="0"/>
              <w:pageBreakBefore w:val="0"/>
              <w:widowControl w:val="0"/>
              <w:kinsoku/>
              <w:wordWrap/>
              <w:overflowPunct/>
              <w:topLinePunct w:val="0"/>
              <w:bidi w:val="0"/>
              <w:adjustRightInd/>
              <w:snapToGrid/>
              <w:spacing w:line="360" w:lineRule="exact"/>
              <w:jc w:val="center"/>
              <w:textAlignment w:val="auto"/>
              <w:rPr>
                <w:rFonts w:ascii="宋体" w:hAnsi="宋体"/>
                <w:color w:val="auto"/>
                <w:szCs w:val="21"/>
                <w:highlight w:val="none"/>
              </w:rPr>
            </w:pPr>
            <w:r>
              <w:rPr>
                <w:rFonts w:hint="eastAsia" w:ascii="宋体" w:hAnsi="宋体"/>
                <w:color w:val="auto"/>
                <w:szCs w:val="21"/>
                <w:highlight w:val="none"/>
              </w:rPr>
              <w:t>建设地点</w:t>
            </w:r>
          </w:p>
        </w:tc>
        <w:tc>
          <w:tcPr>
            <w:tcW w:w="7071" w:type="dxa"/>
            <w:gridSpan w:val="3"/>
            <w:tcBorders>
              <w:top w:val="single" w:color="auto" w:sz="4" w:space="0"/>
              <w:left w:val="single" w:color="auto" w:sz="4" w:space="0"/>
              <w:bottom w:val="single" w:color="auto" w:sz="4" w:space="0"/>
              <w:right w:val="single" w:color="auto" w:sz="4" w:space="0"/>
            </w:tcBorders>
            <w:noWrap/>
            <w:vAlign w:val="center"/>
          </w:tcPr>
          <w:p w14:paraId="3E75CAFD">
            <w:pPr>
              <w:keepNext w:val="0"/>
              <w:keepLines w:val="0"/>
              <w:pageBreakBefore w:val="0"/>
              <w:widowControl w:val="0"/>
              <w:kinsoku/>
              <w:wordWrap/>
              <w:overflowPunct/>
              <w:topLinePunct w:val="0"/>
              <w:bidi w:val="0"/>
              <w:adjustRightInd/>
              <w:snapToGrid/>
              <w:spacing w:line="360" w:lineRule="exact"/>
              <w:textAlignment w:val="auto"/>
              <w:rPr>
                <w:rFonts w:ascii="宋体" w:hAnsi="宋体"/>
                <w:color w:val="auto"/>
                <w:szCs w:val="21"/>
                <w:highlight w:val="none"/>
              </w:rPr>
            </w:pPr>
            <w:r>
              <w:rPr>
                <w:rFonts w:hint="eastAsia" w:ascii="宋体" w:hAnsi="宋体"/>
                <w:color w:val="auto"/>
                <w:szCs w:val="21"/>
                <w:highlight w:val="none"/>
              </w:rPr>
              <w:t>柳州市采购人院内</w:t>
            </w:r>
            <w:r>
              <w:rPr>
                <w:rFonts w:ascii="宋体" w:hAnsi="宋体"/>
                <w:color w:val="auto"/>
                <w:szCs w:val="21"/>
                <w:highlight w:val="none"/>
              </w:rPr>
              <w:t>指定地点</w:t>
            </w:r>
          </w:p>
        </w:tc>
      </w:tr>
      <w:tr w14:paraId="1FA40B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8" w:hRule="atLeast"/>
          <w:jc w:val="center"/>
        </w:trPr>
        <w:tc>
          <w:tcPr>
            <w:tcW w:w="1691" w:type="dxa"/>
            <w:gridSpan w:val="3"/>
            <w:tcBorders>
              <w:top w:val="single" w:color="auto" w:sz="4" w:space="0"/>
              <w:left w:val="single" w:color="auto" w:sz="4" w:space="0"/>
              <w:bottom w:val="single" w:color="auto" w:sz="4" w:space="0"/>
              <w:right w:val="single" w:color="auto" w:sz="4" w:space="0"/>
            </w:tcBorders>
            <w:noWrap/>
            <w:vAlign w:val="center"/>
          </w:tcPr>
          <w:p w14:paraId="00623B99">
            <w:pPr>
              <w:keepNext w:val="0"/>
              <w:keepLines w:val="0"/>
              <w:pageBreakBefore w:val="0"/>
              <w:widowControl w:val="0"/>
              <w:kinsoku/>
              <w:wordWrap/>
              <w:overflowPunct/>
              <w:topLinePunct w:val="0"/>
              <w:bidi w:val="0"/>
              <w:adjustRightInd/>
              <w:snapToGrid/>
              <w:spacing w:line="360" w:lineRule="exact"/>
              <w:jc w:val="center"/>
              <w:textAlignment w:val="auto"/>
              <w:rPr>
                <w:rFonts w:ascii="宋体" w:hAnsi="宋体"/>
                <w:b/>
                <w:color w:val="auto"/>
                <w:szCs w:val="21"/>
                <w:highlight w:val="none"/>
              </w:rPr>
            </w:pPr>
            <w:r>
              <w:rPr>
                <w:rFonts w:hint="eastAsia" w:ascii="宋体" w:hAnsi="宋体"/>
                <w:color w:val="auto"/>
                <w:szCs w:val="21"/>
                <w:highlight w:val="none"/>
              </w:rPr>
              <w:t>合同签订时间</w:t>
            </w:r>
          </w:p>
        </w:tc>
        <w:tc>
          <w:tcPr>
            <w:tcW w:w="7071" w:type="dxa"/>
            <w:gridSpan w:val="3"/>
            <w:tcBorders>
              <w:top w:val="single" w:color="auto" w:sz="4" w:space="0"/>
              <w:left w:val="single" w:color="auto" w:sz="4" w:space="0"/>
              <w:bottom w:val="single" w:color="auto" w:sz="4" w:space="0"/>
              <w:right w:val="single" w:color="auto" w:sz="4" w:space="0"/>
            </w:tcBorders>
            <w:noWrap/>
            <w:vAlign w:val="center"/>
          </w:tcPr>
          <w:p w14:paraId="4D7EF83E">
            <w:pPr>
              <w:keepNext w:val="0"/>
              <w:keepLines w:val="0"/>
              <w:pageBreakBefore w:val="0"/>
              <w:widowControl w:val="0"/>
              <w:kinsoku/>
              <w:wordWrap/>
              <w:overflowPunct/>
              <w:topLinePunct w:val="0"/>
              <w:bidi w:val="0"/>
              <w:adjustRightInd/>
              <w:snapToGrid/>
              <w:spacing w:line="360" w:lineRule="exact"/>
              <w:textAlignment w:val="auto"/>
              <w:rPr>
                <w:rFonts w:ascii="宋体" w:hAnsi="宋体"/>
                <w:b/>
                <w:color w:val="auto"/>
                <w:szCs w:val="21"/>
                <w:highlight w:val="none"/>
              </w:rPr>
            </w:pPr>
            <w:r>
              <w:rPr>
                <w:rFonts w:hint="eastAsia" w:ascii="宋体" w:hAnsi="宋体"/>
                <w:color w:val="auto"/>
                <w:szCs w:val="21"/>
                <w:highlight w:val="none"/>
              </w:rPr>
              <w:t>自成交通知书发出之日起</w:t>
            </w:r>
            <w:r>
              <w:rPr>
                <w:rFonts w:ascii="宋体" w:hAnsi="宋体"/>
                <w:color w:val="auto"/>
                <w:szCs w:val="21"/>
                <w:highlight w:val="none"/>
                <w:u w:val="none"/>
              </w:rPr>
              <w:t>25</w:t>
            </w:r>
            <w:r>
              <w:rPr>
                <w:rFonts w:hint="eastAsia" w:ascii="宋体" w:hAnsi="宋体"/>
                <w:color w:val="auto"/>
                <w:szCs w:val="21"/>
                <w:highlight w:val="none"/>
              </w:rPr>
              <w:t>日内</w:t>
            </w:r>
          </w:p>
        </w:tc>
      </w:tr>
      <w:tr w14:paraId="790EF8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691" w:type="dxa"/>
            <w:gridSpan w:val="3"/>
            <w:tcBorders>
              <w:top w:val="single" w:color="auto" w:sz="4" w:space="0"/>
              <w:left w:val="single" w:color="auto" w:sz="4" w:space="0"/>
              <w:bottom w:val="single" w:color="auto" w:sz="4" w:space="0"/>
              <w:right w:val="single" w:color="auto" w:sz="4" w:space="0"/>
            </w:tcBorders>
            <w:noWrap/>
            <w:vAlign w:val="center"/>
          </w:tcPr>
          <w:p w14:paraId="5559ABDB">
            <w:pPr>
              <w:keepNext w:val="0"/>
              <w:keepLines w:val="0"/>
              <w:pageBreakBefore w:val="0"/>
              <w:widowControl w:val="0"/>
              <w:kinsoku/>
              <w:wordWrap/>
              <w:overflowPunct/>
              <w:topLinePunct w:val="0"/>
              <w:bidi w:val="0"/>
              <w:adjustRightInd/>
              <w:snapToGrid/>
              <w:spacing w:line="360" w:lineRule="exact"/>
              <w:jc w:val="center"/>
              <w:textAlignment w:val="auto"/>
              <w:rPr>
                <w:rFonts w:ascii="宋体" w:hAnsi="宋体"/>
                <w:b/>
                <w:color w:val="auto"/>
                <w:szCs w:val="21"/>
                <w:highlight w:val="none"/>
              </w:rPr>
            </w:pPr>
            <w:r>
              <w:rPr>
                <w:rFonts w:hint="eastAsia" w:ascii="宋体" w:hAnsi="宋体"/>
                <w:color w:val="auto"/>
                <w:szCs w:val="21"/>
                <w:highlight w:val="none"/>
              </w:rPr>
              <w:t>付款条件</w:t>
            </w:r>
          </w:p>
        </w:tc>
        <w:tc>
          <w:tcPr>
            <w:tcW w:w="7071" w:type="dxa"/>
            <w:gridSpan w:val="3"/>
            <w:tcBorders>
              <w:top w:val="single" w:color="auto" w:sz="4" w:space="0"/>
              <w:left w:val="single" w:color="auto" w:sz="4" w:space="0"/>
              <w:bottom w:val="single" w:color="auto" w:sz="4" w:space="0"/>
              <w:right w:val="single" w:color="auto" w:sz="4" w:space="0"/>
            </w:tcBorders>
            <w:noWrap/>
            <w:vAlign w:val="center"/>
          </w:tcPr>
          <w:p w14:paraId="64692E92">
            <w:pPr>
              <w:keepNext w:val="0"/>
              <w:keepLines w:val="0"/>
              <w:pageBreakBefore w:val="0"/>
              <w:widowControl w:val="0"/>
              <w:kinsoku/>
              <w:wordWrap/>
              <w:overflowPunct/>
              <w:topLinePunct w:val="0"/>
              <w:bidi w:val="0"/>
              <w:adjustRightInd/>
              <w:snapToGrid/>
              <w:spacing w:line="360" w:lineRule="exact"/>
              <w:ind w:firstLine="424" w:firstLineChars="202"/>
              <w:jc w:val="left"/>
              <w:textAlignment w:val="auto"/>
              <w:rPr>
                <w:rFonts w:hint="eastAsia" w:ascii="宋体" w:hAnsi="宋体"/>
                <w:color w:val="auto"/>
                <w:szCs w:val="21"/>
                <w:highlight w:val="none"/>
              </w:rPr>
            </w:pPr>
            <w:r>
              <w:rPr>
                <w:rFonts w:hint="eastAsia" w:ascii="宋体" w:hAnsi="宋体"/>
                <w:color w:val="auto"/>
                <w:szCs w:val="21"/>
                <w:highlight w:val="none"/>
              </w:rPr>
              <w:t>1.预付款：</w:t>
            </w:r>
            <w:r>
              <w:rPr>
                <w:rFonts w:hint="eastAsia" w:ascii="宋体" w:hAnsi="宋体"/>
                <w:color w:val="auto"/>
                <w:szCs w:val="21"/>
                <w:highlight w:val="none"/>
                <w:lang w:val="en-US" w:eastAsia="zh-CN"/>
              </w:rPr>
              <w:t>采购人</w:t>
            </w:r>
            <w:r>
              <w:rPr>
                <w:rFonts w:hint="eastAsia" w:ascii="宋体" w:hAnsi="宋体"/>
                <w:color w:val="auto"/>
                <w:szCs w:val="21"/>
                <w:highlight w:val="none"/>
              </w:rPr>
              <w:t>在收到预付款全额增值税专用发票后</w:t>
            </w:r>
            <w:r>
              <w:rPr>
                <w:rFonts w:hint="eastAsia" w:ascii="宋体" w:hAnsi="宋体"/>
                <w:color w:val="auto"/>
                <w:szCs w:val="21"/>
                <w:highlight w:val="none"/>
                <w:lang w:val="en-US" w:eastAsia="zh-CN"/>
              </w:rPr>
              <w:t>1</w:t>
            </w:r>
            <w:r>
              <w:rPr>
                <w:rFonts w:hint="eastAsia" w:ascii="宋体" w:hAnsi="宋体"/>
                <w:color w:val="auto"/>
                <w:szCs w:val="21"/>
                <w:highlight w:val="none"/>
              </w:rPr>
              <w:t>0个工作日内向</w:t>
            </w:r>
            <w:r>
              <w:rPr>
                <w:rFonts w:hint="eastAsia" w:ascii="宋体" w:hAnsi="宋体"/>
                <w:color w:val="auto"/>
                <w:szCs w:val="21"/>
                <w:highlight w:val="none"/>
                <w:lang w:val="en-US" w:eastAsia="zh-CN"/>
              </w:rPr>
              <w:t>成交</w:t>
            </w:r>
            <w:r>
              <w:rPr>
                <w:rFonts w:hint="eastAsia" w:ascii="宋体" w:hAnsi="宋体"/>
                <w:color w:val="auto"/>
                <w:szCs w:val="21"/>
                <w:highlight w:val="none"/>
              </w:rPr>
              <w:t>供应商支付预付款。预付款支付比例或金额：签约合同价扣除材料和工程设备暂估价、专业工程暂估价、安全生产责任保险费暂估价、暂列金额后的30%。</w:t>
            </w:r>
          </w:p>
          <w:p w14:paraId="5DFAC530">
            <w:pPr>
              <w:keepNext w:val="0"/>
              <w:keepLines w:val="0"/>
              <w:pageBreakBefore w:val="0"/>
              <w:widowControl w:val="0"/>
              <w:kinsoku/>
              <w:wordWrap/>
              <w:overflowPunct/>
              <w:topLinePunct w:val="0"/>
              <w:bidi w:val="0"/>
              <w:adjustRightInd/>
              <w:snapToGrid/>
              <w:spacing w:line="360" w:lineRule="exact"/>
              <w:ind w:firstLine="424" w:firstLineChars="202"/>
              <w:jc w:val="left"/>
              <w:textAlignment w:val="auto"/>
              <w:rPr>
                <w:rFonts w:ascii="宋体" w:hAnsi="宋体"/>
                <w:color w:val="auto"/>
                <w:szCs w:val="21"/>
                <w:highlight w:val="none"/>
              </w:rPr>
            </w:pPr>
            <w:r>
              <w:rPr>
                <w:rFonts w:hint="eastAsia" w:ascii="宋体" w:hAnsi="宋体"/>
                <w:color w:val="auto"/>
                <w:szCs w:val="21"/>
                <w:highlight w:val="none"/>
              </w:rPr>
              <w:t>2.进度款：工程完工经采购人验收合格后</w:t>
            </w:r>
            <w:r>
              <w:rPr>
                <w:rFonts w:hint="eastAsia" w:ascii="宋体" w:hAnsi="宋体"/>
                <w:color w:val="auto"/>
                <w:szCs w:val="21"/>
                <w:highlight w:val="none"/>
                <w:lang w:val="en-US" w:eastAsia="zh-CN"/>
              </w:rPr>
              <w:t>1</w:t>
            </w:r>
            <w:r>
              <w:rPr>
                <w:rFonts w:hint="eastAsia" w:ascii="宋体" w:hAnsi="宋体"/>
                <w:color w:val="auto"/>
                <w:szCs w:val="21"/>
                <w:highlight w:val="none"/>
              </w:rPr>
              <w:t>0个工作日内向成交供应商支付至签约合同价扣除材料和工程设备暂估价、专业工程暂估价、安全生产责任保险费暂估价、暂列金额后的80％。结算经采购人或采购人指定的审核机构审定且经采购人复核后，工程款支付至结算总价的97%，预留结算总价的3％作为质量保证金，待缺陷责任期满后按相关约定返还（无息）。本工程款项须由成交供应商根据当期应付工程款开具相应金额的增值税专用发票，采购人在收到发票后支付相应的工程款。</w:t>
            </w:r>
          </w:p>
        </w:tc>
      </w:tr>
      <w:tr w14:paraId="468081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691" w:type="dxa"/>
            <w:gridSpan w:val="3"/>
            <w:tcBorders>
              <w:top w:val="single" w:color="auto" w:sz="4" w:space="0"/>
              <w:left w:val="single" w:color="auto" w:sz="4" w:space="0"/>
              <w:bottom w:val="single" w:color="auto" w:sz="4" w:space="0"/>
              <w:right w:val="single" w:color="auto" w:sz="4" w:space="0"/>
            </w:tcBorders>
            <w:noWrap/>
            <w:vAlign w:val="center"/>
          </w:tcPr>
          <w:p w14:paraId="7A67FC59">
            <w:pPr>
              <w:keepNext w:val="0"/>
              <w:keepLines w:val="0"/>
              <w:pageBreakBefore w:val="0"/>
              <w:widowControl w:val="0"/>
              <w:kinsoku/>
              <w:wordWrap/>
              <w:overflowPunct/>
              <w:topLinePunct w:val="0"/>
              <w:bidi w:val="0"/>
              <w:adjustRightInd/>
              <w:snapToGrid/>
              <w:spacing w:line="360" w:lineRule="exact"/>
              <w:jc w:val="center"/>
              <w:textAlignment w:val="auto"/>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报价要求</w:t>
            </w:r>
          </w:p>
        </w:tc>
        <w:tc>
          <w:tcPr>
            <w:tcW w:w="7071" w:type="dxa"/>
            <w:gridSpan w:val="3"/>
            <w:tcBorders>
              <w:top w:val="single" w:color="auto" w:sz="4" w:space="0"/>
              <w:left w:val="single" w:color="auto" w:sz="4" w:space="0"/>
              <w:bottom w:val="single" w:color="auto" w:sz="4" w:space="0"/>
              <w:right w:val="single" w:color="auto" w:sz="4" w:space="0"/>
            </w:tcBorders>
            <w:noWrap/>
            <w:vAlign w:val="center"/>
          </w:tcPr>
          <w:p w14:paraId="6FA0C0CF">
            <w:pPr>
              <w:keepNext w:val="0"/>
              <w:keepLines w:val="0"/>
              <w:pageBreakBefore w:val="0"/>
              <w:widowControl w:val="0"/>
              <w:kinsoku/>
              <w:wordWrap/>
              <w:overflowPunct/>
              <w:topLinePunct w:val="0"/>
              <w:bidi w:val="0"/>
              <w:adjustRightInd/>
              <w:snapToGrid/>
              <w:spacing w:line="360" w:lineRule="exact"/>
              <w:ind w:firstLine="424" w:firstLineChars="202"/>
              <w:jc w:val="left"/>
              <w:textAlignment w:val="auto"/>
              <w:rPr>
                <w:rFonts w:hint="eastAsia" w:ascii="宋体" w:hAnsi="宋体"/>
                <w:color w:val="auto"/>
                <w:szCs w:val="21"/>
                <w:highlight w:val="none"/>
              </w:rPr>
            </w:pPr>
            <w:r>
              <w:rPr>
                <w:rFonts w:hint="eastAsia" w:ascii="宋体" w:hAnsi="宋体"/>
                <w:color w:val="auto"/>
                <w:szCs w:val="21"/>
                <w:highlight w:val="none"/>
              </w:rPr>
              <w:t>采用工程清单报价方式，投标报价不得高于最高限价，且其投标报价中的每一项综合单价不得高于招标控制价清单相应的综合单价，否则竞标无效。本项目采用二次报价方式，竞标人的最终报价如有变动，则必须以工程量清单报价表的格式编制提交，竞标人须提前做好相关准备并按时递交最终报价文件，否则报价无效。</w:t>
            </w:r>
          </w:p>
        </w:tc>
      </w:tr>
      <w:tr w14:paraId="10E0A7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2" w:hRule="atLeast"/>
          <w:jc w:val="center"/>
        </w:trPr>
        <w:tc>
          <w:tcPr>
            <w:tcW w:w="8762" w:type="dxa"/>
            <w:gridSpan w:val="6"/>
            <w:tcBorders>
              <w:top w:val="single" w:color="auto" w:sz="4" w:space="0"/>
              <w:left w:val="single" w:color="auto" w:sz="4" w:space="0"/>
              <w:bottom w:val="single" w:color="auto" w:sz="4" w:space="0"/>
              <w:right w:val="single" w:color="auto" w:sz="4" w:space="0"/>
            </w:tcBorders>
            <w:noWrap w:val="0"/>
            <w:vAlign w:val="center"/>
          </w:tcPr>
          <w:p w14:paraId="289868EC">
            <w:pPr>
              <w:keepNext w:val="0"/>
              <w:keepLines w:val="0"/>
              <w:pageBreakBefore w:val="0"/>
              <w:widowControl w:val="0"/>
              <w:kinsoku/>
              <w:wordWrap/>
              <w:overflowPunct/>
              <w:topLinePunct w:val="0"/>
              <w:bidi w:val="0"/>
              <w:adjustRightInd/>
              <w:snapToGrid/>
              <w:spacing w:line="360" w:lineRule="exact"/>
              <w:textAlignment w:val="auto"/>
              <w:rPr>
                <w:rFonts w:ascii="宋体" w:hAnsi="宋体"/>
                <w:color w:val="auto"/>
                <w:szCs w:val="21"/>
                <w:highlight w:val="none"/>
              </w:rPr>
            </w:pPr>
            <w:r>
              <w:rPr>
                <w:rFonts w:hint="eastAsia" w:ascii="宋体" w:hAnsi="宋体"/>
                <w:b/>
                <w:bCs/>
                <w:color w:val="auto"/>
                <w:szCs w:val="21"/>
                <w:highlight w:val="none"/>
              </w:rPr>
              <w:t>二、与实现项目目标相关的其他要求</w:t>
            </w:r>
          </w:p>
        </w:tc>
      </w:tr>
      <w:tr w14:paraId="329F27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26" w:hRule="atLeast"/>
          <w:jc w:val="center"/>
        </w:trPr>
        <w:tc>
          <w:tcPr>
            <w:tcW w:w="8762" w:type="dxa"/>
            <w:gridSpan w:val="6"/>
            <w:tcBorders>
              <w:top w:val="single" w:color="auto" w:sz="4" w:space="0"/>
              <w:left w:val="single" w:color="auto" w:sz="4" w:space="0"/>
              <w:bottom w:val="single" w:color="auto" w:sz="4" w:space="0"/>
              <w:right w:val="single" w:color="auto" w:sz="4" w:space="0"/>
            </w:tcBorders>
            <w:noWrap w:val="0"/>
            <w:vAlign w:val="center"/>
          </w:tcPr>
          <w:p w14:paraId="4BE8488C">
            <w:pPr>
              <w:keepNext w:val="0"/>
              <w:keepLines w:val="0"/>
              <w:pageBreakBefore w:val="0"/>
              <w:widowControl w:val="0"/>
              <w:tabs>
                <w:tab w:val="left" w:pos="180"/>
                <w:tab w:val="left" w:pos="1620"/>
              </w:tabs>
              <w:kinsoku/>
              <w:wordWrap/>
              <w:overflowPunct/>
              <w:topLinePunct w:val="0"/>
              <w:autoSpaceDE/>
              <w:autoSpaceDN/>
              <w:bidi w:val="0"/>
              <w:adjustRightInd/>
              <w:snapToGrid/>
              <w:spacing w:line="360" w:lineRule="exact"/>
              <w:ind w:firstLine="422" w:firstLineChars="200"/>
              <w:textAlignment w:val="auto"/>
              <w:rPr>
                <w:rFonts w:ascii="宋体" w:hAnsi="宋体" w:cs="宋体"/>
                <w:bCs/>
                <w:color w:val="auto"/>
                <w:szCs w:val="21"/>
                <w:highlight w:val="none"/>
              </w:rPr>
            </w:pPr>
            <w:r>
              <w:rPr>
                <w:rFonts w:hint="eastAsia" w:ascii="宋体" w:hAnsi="宋体"/>
                <w:b/>
                <w:color w:val="auto"/>
                <w:szCs w:val="21"/>
                <w:highlight w:val="none"/>
                <w:lang w:val="en-US" w:eastAsia="zh-CN"/>
              </w:rPr>
              <w:t>（一）</w:t>
            </w:r>
            <w:r>
              <w:rPr>
                <w:rFonts w:hint="eastAsia" w:ascii="宋体" w:hAnsi="宋体"/>
                <w:b/>
                <w:color w:val="auto"/>
                <w:szCs w:val="21"/>
                <w:highlight w:val="none"/>
              </w:rPr>
              <w:t>验收标准</w:t>
            </w:r>
          </w:p>
          <w:p w14:paraId="0BF0A37B">
            <w:pPr>
              <w:keepNext w:val="0"/>
              <w:keepLines w:val="0"/>
              <w:pageBreakBefore w:val="0"/>
              <w:widowControl w:val="0"/>
              <w:numPr>
                <w:ilvl w:val="0"/>
                <w:numId w:val="0"/>
              </w:numPr>
              <w:tabs>
                <w:tab w:val="left" w:pos="180"/>
                <w:tab w:val="left" w:pos="1620"/>
              </w:tabs>
              <w:kinsoku/>
              <w:wordWrap/>
              <w:overflowPunct/>
              <w:topLinePunct w:val="0"/>
              <w:autoSpaceDE/>
              <w:autoSpaceDN/>
              <w:bidi w:val="0"/>
              <w:adjustRightInd/>
              <w:snapToGrid/>
              <w:spacing w:line="360" w:lineRule="exact"/>
              <w:ind w:left="0" w:leftChars="0" w:firstLine="420" w:firstLineChars="200"/>
              <w:textAlignment w:val="auto"/>
              <w:rPr>
                <w:rFonts w:ascii="宋体" w:hAnsi="宋体" w:cs="宋体"/>
                <w:bCs/>
                <w:color w:val="auto"/>
                <w:szCs w:val="21"/>
                <w:highlight w:val="none"/>
              </w:rPr>
            </w:pPr>
            <w:r>
              <w:rPr>
                <w:rFonts w:hint="default" w:ascii="宋体" w:hAnsi="宋体" w:eastAsia="宋体" w:cs="宋体"/>
                <w:bCs/>
                <w:color w:val="auto"/>
                <w:kern w:val="2"/>
                <w:sz w:val="21"/>
                <w:szCs w:val="21"/>
                <w:lang w:val="en-US" w:eastAsia="zh-CN" w:bidi="ar-SA"/>
              </w:rPr>
              <w:t>1．</w:t>
            </w:r>
            <w:r>
              <w:rPr>
                <w:rFonts w:hint="eastAsia" w:ascii="宋体" w:hAnsi="宋体" w:cs="宋体"/>
                <w:bCs/>
                <w:color w:val="auto"/>
                <w:szCs w:val="21"/>
                <w:highlight w:val="none"/>
              </w:rPr>
              <w:t>符合现行国家相关标准、行业标准、地方标准或者其他标准、规范</w:t>
            </w:r>
          </w:p>
          <w:p w14:paraId="2C8528BA">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420" w:firstLineChars="200"/>
              <w:textAlignment w:val="auto"/>
              <w:rPr>
                <w:rFonts w:ascii="宋体" w:hAnsi="宋体"/>
                <w:color w:val="auto"/>
                <w:szCs w:val="21"/>
                <w:highlight w:val="none"/>
              </w:rPr>
            </w:pPr>
            <w:r>
              <w:rPr>
                <w:rFonts w:hint="default" w:ascii="宋体" w:hAnsi="宋体" w:eastAsia="宋体" w:cs="Times New Roman"/>
                <w:color w:val="auto"/>
                <w:kern w:val="2"/>
                <w:sz w:val="21"/>
                <w:szCs w:val="21"/>
                <w:lang w:val="en-US" w:eastAsia="zh-CN" w:bidi="ar-SA"/>
              </w:rPr>
              <w:t>2．</w:t>
            </w:r>
            <w:r>
              <w:rPr>
                <w:rFonts w:hint="eastAsia" w:ascii="宋体" w:hAnsi="宋体" w:cs="宋体"/>
                <w:color w:val="auto"/>
                <w:szCs w:val="21"/>
                <w:highlight w:val="none"/>
              </w:rPr>
              <w:t>工程竣工前5天内，由成交供应商通知采购人验收，并在竣工后3天内验收完毕。工程内容及质量符合要求的，双方签字盖章。如工程内容尚未完成或质量不合格的，由成交供应商在采购人指定期限内补建或返修后再进行验收，直至符合要求为止。并按最后验收合格的日期为竣工日期。</w:t>
            </w:r>
          </w:p>
          <w:p w14:paraId="1EBF8F74">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420" w:firstLineChars="200"/>
              <w:textAlignment w:val="auto"/>
              <w:rPr>
                <w:rFonts w:ascii="宋体" w:hAnsi="宋体"/>
                <w:color w:val="auto"/>
                <w:szCs w:val="21"/>
                <w:highlight w:val="none"/>
              </w:rPr>
            </w:pPr>
            <w:r>
              <w:rPr>
                <w:rFonts w:hint="default" w:ascii="宋体" w:hAnsi="宋体" w:eastAsia="宋体" w:cs="Times New Roman"/>
                <w:color w:val="auto"/>
                <w:kern w:val="2"/>
                <w:sz w:val="21"/>
                <w:szCs w:val="21"/>
                <w:lang w:val="en-US" w:eastAsia="zh-CN" w:bidi="ar-SA"/>
              </w:rPr>
              <w:t>3．</w:t>
            </w:r>
            <w:r>
              <w:rPr>
                <w:rFonts w:hint="eastAsia" w:ascii="宋体" w:hAnsi="宋体"/>
                <w:color w:val="auto"/>
                <w:szCs w:val="21"/>
                <w:highlight w:val="none"/>
              </w:rPr>
              <w:t>竣工验收资料的份数：</w:t>
            </w:r>
            <w:r>
              <w:rPr>
                <w:rFonts w:hint="eastAsia" w:ascii="宋体" w:hAnsi="宋体" w:cs="宋体"/>
                <w:color w:val="auto"/>
                <w:kern w:val="0"/>
                <w:szCs w:val="21"/>
                <w:highlight w:val="none"/>
                <w:u w:val="single"/>
              </w:rPr>
              <w:t>三套（两套存业主单位；一套用于结算）</w:t>
            </w:r>
            <w:r>
              <w:rPr>
                <w:rFonts w:hint="eastAsia" w:ascii="宋体" w:hAnsi="宋体"/>
                <w:color w:val="auto"/>
                <w:szCs w:val="21"/>
                <w:highlight w:val="none"/>
              </w:rPr>
              <w:t>。</w:t>
            </w:r>
          </w:p>
          <w:p w14:paraId="5303C619">
            <w:pPr>
              <w:keepNext w:val="0"/>
              <w:keepLines w:val="0"/>
              <w:pageBreakBefore w:val="0"/>
              <w:widowControl w:val="0"/>
              <w:numPr>
                <w:ilvl w:val="0"/>
                <w:numId w:val="0"/>
              </w:numPr>
              <w:tabs>
                <w:tab w:val="left" w:pos="180"/>
                <w:tab w:val="left" w:pos="1620"/>
              </w:tabs>
              <w:kinsoku/>
              <w:wordWrap/>
              <w:overflowPunct/>
              <w:topLinePunct w:val="0"/>
              <w:autoSpaceDE/>
              <w:autoSpaceDN/>
              <w:bidi w:val="0"/>
              <w:adjustRightInd/>
              <w:snapToGrid/>
              <w:spacing w:line="360" w:lineRule="exact"/>
              <w:ind w:left="0" w:leftChars="0" w:firstLine="420" w:firstLineChars="200"/>
              <w:textAlignment w:val="auto"/>
              <w:rPr>
                <w:rFonts w:ascii="宋体" w:hAnsi="宋体" w:cs="宋体"/>
                <w:bCs/>
                <w:color w:val="auto"/>
                <w:szCs w:val="21"/>
                <w:highlight w:val="none"/>
              </w:rPr>
            </w:pPr>
            <w:r>
              <w:rPr>
                <w:rFonts w:hint="default" w:ascii="宋体" w:hAnsi="宋体" w:eastAsia="宋体" w:cs="宋体"/>
                <w:bCs/>
                <w:color w:val="auto"/>
                <w:kern w:val="2"/>
                <w:sz w:val="21"/>
                <w:szCs w:val="21"/>
                <w:lang w:val="en-US" w:eastAsia="zh-CN" w:bidi="ar-SA"/>
              </w:rPr>
              <w:t>4．</w:t>
            </w:r>
            <w:r>
              <w:rPr>
                <w:rFonts w:hint="eastAsia" w:ascii="宋体" w:hAnsi="宋体" w:cs="宋体"/>
                <w:bCs/>
                <w:color w:val="auto"/>
                <w:szCs w:val="21"/>
                <w:highlight w:val="none"/>
              </w:rPr>
              <w:t>其他</w:t>
            </w:r>
            <w:r>
              <w:rPr>
                <w:rFonts w:ascii="宋体" w:hAnsi="宋体" w:cs="宋体"/>
                <w:bCs/>
                <w:color w:val="auto"/>
                <w:szCs w:val="21"/>
                <w:highlight w:val="none"/>
              </w:rPr>
              <w:t>要求详见合同条款</w:t>
            </w:r>
          </w:p>
          <w:p w14:paraId="599C5196">
            <w:pPr>
              <w:pStyle w:val="9"/>
              <w:keepNext w:val="0"/>
              <w:keepLines w:val="0"/>
              <w:pageBreakBefore w:val="0"/>
              <w:widowControl w:val="0"/>
              <w:kinsoku/>
              <w:wordWrap/>
              <w:overflowPunct/>
              <w:topLinePunct w:val="0"/>
              <w:autoSpaceDE/>
              <w:autoSpaceDN/>
              <w:bidi w:val="0"/>
              <w:adjustRightInd/>
              <w:snapToGrid/>
              <w:spacing w:line="360" w:lineRule="exact"/>
              <w:ind w:firstLine="422" w:firstLineChars="200"/>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cs="宋体"/>
                <w:b/>
                <w:bCs/>
                <w:color w:val="auto"/>
                <w:kern w:val="2"/>
                <w:sz w:val="21"/>
                <w:szCs w:val="21"/>
                <w:highlight w:val="none"/>
                <w:lang w:val="en-US" w:eastAsia="zh-CN" w:bidi="ar-SA"/>
              </w:rPr>
              <w:t>（二）</w:t>
            </w:r>
            <w:r>
              <w:rPr>
                <w:rFonts w:hint="eastAsia" w:ascii="宋体" w:hAnsi="宋体" w:eastAsia="宋体" w:cs="宋体"/>
                <w:b/>
                <w:bCs/>
                <w:color w:val="auto"/>
                <w:kern w:val="2"/>
                <w:sz w:val="21"/>
                <w:szCs w:val="21"/>
                <w:highlight w:val="none"/>
                <w:lang w:val="en-US" w:eastAsia="zh-CN" w:bidi="ar-SA"/>
              </w:rPr>
              <w:t>工程隐蔽部位覆盖前的检查</w:t>
            </w:r>
          </w:p>
          <w:p w14:paraId="712A5815">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default"/>
                <w:color w:val="auto"/>
                <w:lang w:val="en-US" w:eastAsia="zh-CN"/>
              </w:rPr>
            </w:pPr>
            <w:r>
              <w:rPr>
                <w:rFonts w:hint="eastAsia" w:ascii="宋体" w:hAnsi="宋体" w:eastAsia="宋体" w:cs="宋体"/>
                <w:color w:val="auto"/>
                <w:kern w:val="2"/>
                <w:sz w:val="21"/>
                <w:szCs w:val="21"/>
                <w:highlight w:val="none"/>
                <w:lang w:val="en-US" w:eastAsia="zh-CN" w:bidi="ar-SA"/>
              </w:rPr>
              <w:t>任何部位的工程需要隐蔽覆盖或隐蔽前，均应提前24小时通知采购人进行中间验收并拍照，未经采购人批准，均不得隐蔽或验收工作。</w:t>
            </w:r>
          </w:p>
        </w:tc>
      </w:tr>
      <w:tr w14:paraId="0F3991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762" w:type="dxa"/>
            <w:gridSpan w:val="6"/>
            <w:tcBorders>
              <w:top w:val="single" w:color="auto" w:sz="4" w:space="0"/>
              <w:left w:val="single" w:color="auto" w:sz="4" w:space="0"/>
              <w:bottom w:val="single" w:color="auto" w:sz="4" w:space="0"/>
              <w:right w:val="single" w:color="auto" w:sz="4" w:space="0"/>
            </w:tcBorders>
            <w:noWrap w:val="0"/>
            <w:vAlign w:val="center"/>
          </w:tcPr>
          <w:p w14:paraId="293999B0">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hAnsi="宋体" w:cs="Times New Roman"/>
                <w:b/>
                <w:bCs w:val="0"/>
                <w:color w:val="auto"/>
                <w:sz w:val="21"/>
                <w:highlight w:val="none"/>
                <w:lang w:val="en-US" w:eastAsia="zh-CN"/>
              </w:rPr>
            </w:pPr>
            <w:r>
              <w:rPr>
                <w:rFonts w:hint="eastAsia" w:ascii="宋体" w:hAnsi="宋体" w:cs="宋体"/>
                <w:color w:val="auto"/>
                <w:kern w:val="2"/>
                <w:sz w:val="21"/>
                <w:szCs w:val="21"/>
                <w:highlight w:val="none"/>
                <w:lang w:val="en-US" w:eastAsia="zh-CN" w:bidi="ar-SA"/>
              </w:rPr>
              <w:t>三、</w:t>
            </w:r>
            <w:r>
              <w:rPr>
                <w:rFonts w:hint="eastAsia" w:hAnsi="宋体" w:cs="Times New Roman"/>
                <w:b/>
                <w:bCs w:val="0"/>
                <w:color w:val="auto"/>
                <w:sz w:val="21"/>
                <w:highlight w:val="none"/>
                <w:lang w:eastAsia="zh-CN"/>
              </w:rPr>
              <w:t>供应商的履约能力要求</w:t>
            </w:r>
          </w:p>
        </w:tc>
      </w:tr>
      <w:tr w14:paraId="775F9C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238" w:hRule="atLeast"/>
          <w:jc w:val="center"/>
        </w:trPr>
        <w:tc>
          <w:tcPr>
            <w:tcW w:w="8762" w:type="dxa"/>
            <w:gridSpan w:val="6"/>
            <w:tcBorders>
              <w:top w:val="single" w:color="auto" w:sz="4" w:space="0"/>
              <w:left w:val="single" w:color="auto" w:sz="4" w:space="0"/>
              <w:bottom w:val="single" w:color="auto" w:sz="4" w:space="0"/>
              <w:right w:val="single" w:color="auto" w:sz="4" w:space="0"/>
            </w:tcBorders>
            <w:noWrap w:val="0"/>
            <w:vAlign w:val="center"/>
          </w:tcPr>
          <w:p w14:paraId="2DC5D7A3">
            <w:pPr>
              <w:keepNext w:val="0"/>
              <w:keepLines w:val="0"/>
              <w:pageBreakBefore w:val="0"/>
              <w:widowControl w:val="0"/>
              <w:kinsoku/>
              <w:wordWrap/>
              <w:overflowPunct/>
              <w:topLinePunct w:val="0"/>
              <w:autoSpaceDE/>
              <w:autoSpaceDN/>
              <w:bidi w:val="0"/>
              <w:adjustRightInd/>
              <w:snapToGrid/>
              <w:spacing w:line="360" w:lineRule="exact"/>
              <w:ind w:firstLine="422" w:firstLineChars="200"/>
              <w:textAlignment w:val="auto"/>
              <w:rPr>
                <w:rFonts w:hint="eastAsia" w:hAnsi="宋体" w:cs="宋体"/>
                <w:b/>
                <w:bCs/>
                <w:color w:val="auto"/>
                <w:sz w:val="21"/>
                <w:szCs w:val="21"/>
                <w:highlight w:val="none"/>
              </w:rPr>
            </w:pPr>
            <w:r>
              <w:rPr>
                <w:rFonts w:hint="eastAsia" w:hAnsi="宋体" w:cs="宋体"/>
                <w:b/>
                <w:bCs/>
                <w:color w:val="auto"/>
                <w:sz w:val="21"/>
                <w:szCs w:val="21"/>
                <w:highlight w:val="none"/>
                <w:lang w:eastAsia="zh-CN"/>
              </w:rPr>
              <w:t>（</w:t>
            </w:r>
            <w:r>
              <w:rPr>
                <w:rFonts w:hint="eastAsia" w:hAnsi="宋体" w:cs="宋体"/>
                <w:b/>
                <w:bCs/>
                <w:color w:val="auto"/>
                <w:sz w:val="21"/>
                <w:szCs w:val="21"/>
                <w:highlight w:val="none"/>
                <w:lang w:val="en-US" w:eastAsia="zh-CN"/>
              </w:rPr>
              <w:t>一</w:t>
            </w:r>
            <w:r>
              <w:rPr>
                <w:rFonts w:hint="eastAsia" w:hAnsi="宋体" w:cs="宋体"/>
                <w:b/>
                <w:bCs/>
                <w:color w:val="auto"/>
                <w:sz w:val="21"/>
                <w:szCs w:val="21"/>
                <w:highlight w:val="none"/>
                <w:lang w:eastAsia="zh-CN"/>
              </w:rPr>
              <w:t>）</w:t>
            </w:r>
            <w:r>
              <w:rPr>
                <w:rFonts w:hint="eastAsia" w:hAnsi="宋体" w:cs="宋体"/>
                <w:b/>
                <w:bCs/>
                <w:color w:val="auto"/>
                <w:sz w:val="21"/>
                <w:szCs w:val="21"/>
                <w:highlight w:val="none"/>
              </w:rPr>
              <w:t>质量管理、企业信用要求</w:t>
            </w:r>
          </w:p>
          <w:p w14:paraId="34CB4CEB">
            <w:pPr>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1.供应商无任何违法、违规、质量安全事故、履约不良等行为反映或记录；</w:t>
            </w:r>
          </w:p>
          <w:p w14:paraId="666E41E4">
            <w:pPr>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2.供应商无自身原因违约或不恰当履行合同引起的终止、纠纷、争议、仲裁和诉讼记录；</w:t>
            </w:r>
          </w:p>
          <w:p w14:paraId="0E461DAC">
            <w:pPr>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3.供应商无被责令停业或暂停、取消竞标资格，无经济方面犯罪或严重违法记录。</w:t>
            </w:r>
          </w:p>
          <w:p w14:paraId="01C75DE2">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hAnsi="宋体" w:cs="宋体"/>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4.如有以上情形，</w:t>
            </w:r>
            <w:r>
              <w:rPr>
                <w:rFonts w:hint="eastAsia" w:hAnsi="宋体" w:cs="宋体"/>
                <w:color w:val="auto"/>
                <w:sz w:val="21"/>
                <w:szCs w:val="21"/>
                <w:highlight w:val="none"/>
                <w:lang w:val="en-US" w:eastAsia="zh-CN"/>
              </w:rPr>
              <w:t>响应文件做无效处理。</w:t>
            </w:r>
          </w:p>
          <w:p w14:paraId="665D49B2">
            <w:pPr>
              <w:keepNext w:val="0"/>
              <w:keepLines w:val="0"/>
              <w:pageBreakBefore w:val="0"/>
              <w:widowControl w:val="0"/>
              <w:kinsoku/>
              <w:wordWrap/>
              <w:overflowPunct/>
              <w:topLinePunct w:val="0"/>
              <w:autoSpaceDE/>
              <w:autoSpaceDN/>
              <w:bidi w:val="0"/>
              <w:adjustRightInd/>
              <w:snapToGrid/>
              <w:spacing w:line="360" w:lineRule="exact"/>
              <w:ind w:firstLine="422" w:firstLineChars="200"/>
              <w:textAlignment w:val="auto"/>
              <w:rPr>
                <w:rFonts w:hint="eastAsia" w:hAnsi="宋体" w:cs="宋体"/>
                <w:color w:val="auto"/>
                <w:sz w:val="21"/>
                <w:szCs w:val="21"/>
                <w:highlight w:val="none"/>
                <w:lang w:val="en-US" w:eastAsia="zh-CN"/>
              </w:rPr>
            </w:pPr>
            <w:r>
              <w:rPr>
                <w:rFonts w:hint="eastAsia" w:hAnsi="宋体" w:cs="宋体"/>
                <w:b/>
                <w:bCs/>
                <w:color w:val="auto"/>
                <w:sz w:val="21"/>
                <w:szCs w:val="21"/>
                <w:highlight w:val="none"/>
                <w:lang w:val="en-US" w:eastAsia="zh-CN"/>
              </w:rPr>
              <w:t>（二）</w:t>
            </w:r>
            <w:r>
              <w:rPr>
                <w:rFonts w:hint="eastAsia" w:hAnsi="宋体" w:cs="宋体"/>
                <w:b/>
                <w:bCs/>
                <w:color w:val="auto"/>
                <w:sz w:val="21"/>
                <w:szCs w:val="21"/>
                <w:highlight w:val="none"/>
              </w:rPr>
              <w:t>具备履行本项目合同的能力。</w:t>
            </w:r>
          </w:p>
        </w:tc>
      </w:tr>
      <w:tr w14:paraId="5AC81E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762" w:type="dxa"/>
            <w:gridSpan w:val="6"/>
            <w:tcBorders>
              <w:top w:val="single" w:color="auto" w:sz="4" w:space="0"/>
              <w:left w:val="single" w:color="auto" w:sz="4" w:space="0"/>
              <w:bottom w:val="single" w:color="auto" w:sz="4" w:space="0"/>
              <w:right w:val="single" w:color="auto" w:sz="4" w:space="0"/>
            </w:tcBorders>
            <w:noWrap w:val="0"/>
            <w:vAlign w:val="center"/>
          </w:tcPr>
          <w:p w14:paraId="69E0E020">
            <w:pPr>
              <w:keepNext w:val="0"/>
              <w:keepLines w:val="0"/>
              <w:pageBreakBefore w:val="0"/>
              <w:widowControl w:val="0"/>
              <w:tabs>
                <w:tab w:val="left" w:pos="180"/>
                <w:tab w:val="left" w:pos="1620"/>
              </w:tabs>
              <w:kinsoku/>
              <w:wordWrap/>
              <w:overflowPunct/>
              <w:topLinePunct w:val="0"/>
              <w:bidi w:val="0"/>
              <w:adjustRightInd/>
              <w:snapToGrid/>
              <w:spacing w:line="360" w:lineRule="exact"/>
              <w:textAlignment w:val="auto"/>
              <w:rPr>
                <w:rFonts w:hint="eastAsia" w:ascii="宋体" w:hAnsi="宋体" w:eastAsia="宋体" w:cs="宋体"/>
                <w:color w:val="auto"/>
                <w:kern w:val="2"/>
                <w:sz w:val="21"/>
                <w:szCs w:val="21"/>
                <w:highlight w:val="none"/>
                <w:lang w:val="en-US" w:eastAsia="zh-CN" w:bidi="ar-SA"/>
              </w:rPr>
            </w:pPr>
            <w:r>
              <w:rPr>
                <w:rFonts w:hint="eastAsia"/>
                <w:b/>
                <w:bCs/>
                <w:color w:val="auto"/>
                <w:highlight w:val="none"/>
                <w:lang w:val="en-US" w:eastAsia="zh-CN"/>
              </w:rPr>
              <w:t>四</w:t>
            </w:r>
            <w:r>
              <w:rPr>
                <w:rFonts w:hint="eastAsia"/>
                <w:b/>
                <w:bCs/>
                <w:color w:val="auto"/>
                <w:highlight w:val="none"/>
              </w:rPr>
              <w:t>、</w:t>
            </w:r>
            <w:r>
              <w:rPr>
                <w:rFonts w:hint="eastAsia" w:ascii="宋体" w:hAnsi="宋体"/>
                <w:b/>
                <w:bCs/>
                <w:color w:val="auto"/>
                <w:szCs w:val="21"/>
                <w:highlight w:val="none"/>
              </w:rPr>
              <w:t>其他</w:t>
            </w:r>
            <w:r>
              <w:rPr>
                <w:rFonts w:hint="eastAsia" w:ascii="宋体" w:hAnsi="宋体"/>
                <w:b/>
                <w:color w:val="auto"/>
                <w:szCs w:val="21"/>
                <w:highlight w:val="none"/>
              </w:rPr>
              <w:t>与评审有关的要求</w:t>
            </w:r>
          </w:p>
        </w:tc>
      </w:tr>
      <w:tr w14:paraId="0129D9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762" w:type="dxa"/>
            <w:gridSpan w:val="6"/>
            <w:tcBorders>
              <w:top w:val="single" w:color="auto" w:sz="4" w:space="0"/>
              <w:left w:val="single" w:color="auto" w:sz="4" w:space="0"/>
              <w:bottom w:val="single" w:color="auto" w:sz="4" w:space="0"/>
              <w:right w:val="single" w:color="auto" w:sz="4" w:space="0"/>
            </w:tcBorders>
            <w:noWrap w:val="0"/>
            <w:vAlign w:val="center"/>
          </w:tcPr>
          <w:p w14:paraId="64768D6D">
            <w:pPr>
              <w:keepNext w:val="0"/>
              <w:keepLines w:val="0"/>
              <w:pageBreakBefore w:val="0"/>
              <w:widowControl w:val="0"/>
              <w:kinsoku/>
              <w:wordWrap/>
              <w:overflowPunct/>
              <w:topLinePunct w:val="0"/>
              <w:bidi w:val="0"/>
              <w:adjustRightInd/>
              <w:snapToGrid/>
              <w:spacing w:line="360" w:lineRule="exact"/>
              <w:ind w:firstLine="422" w:firstLineChars="200"/>
              <w:textAlignment w:val="auto"/>
              <w:rPr>
                <w:rFonts w:hint="eastAsia" w:ascii="宋体" w:hAnsi="宋体" w:cs="宋体"/>
                <w:b/>
                <w:bCs/>
                <w:color w:val="auto"/>
                <w:szCs w:val="21"/>
                <w:highlight w:val="none"/>
              </w:rPr>
            </w:pPr>
            <w:r>
              <w:rPr>
                <w:rFonts w:hint="eastAsia" w:ascii="宋体" w:hAnsi="宋体" w:cs="宋体"/>
                <w:b/>
                <w:bCs/>
                <w:color w:val="auto"/>
                <w:szCs w:val="21"/>
                <w:highlight w:val="none"/>
              </w:rPr>
              <w:t>（一）供应商结合自身能力及本项目采购需求提供以下内容，包括但不限于：</w:t>
            </w:r>
          </w:p>
          <w:p w14:paraId="31AD031D">
            <w:pPr>
              <w:keepNext w:val="0"/>
              <w:keepLines w:val="0"/>
              <w:pageBreakBefore w:val="0"/>
              <w:widowControl w:val="0"/>
              <w:kinsoku/>
              <w:wordWrap/>
              <w:overflowPunct/>
              <w:topLinePunct w:val="0"/>
              <w:bidi w:val="0"/>
              <w:adjustRightInd/>
              <w:snapToGrid/>
              <w:spacing w:line="36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kern w:val="0"/>
                <w:highlight w:val="none"/>
              </w:rPr>
              <w:t>主要施工方法</w:t>
            </w:r>
            <w:r>
              <w:rPr>
                <w:rFonts w:hint="eastAsia" w:ascii="宋体" w:hAnsi="宋体" w:cs="宋体"/>
                <w:color w:val="auto"/>
                <w:szCs w:val="21"/>
                <w:highlight w:val="none"/>
              </w:rPr>
              <w:t>；</w:t>
            </w:r>
          </w:p>
          <w:p w14:paraId="05B34C90">
            <w:pPr>
              <w:keepNext w:val="0"/>
              <w:keepLines w:val="0"/>
              <w:pageBreakBefore w:val="0"/>
              <w:widowControl w:val="0"/>
              <w:kinsoku/>
              <w:wordWrap/>
              <w:overflowPunct/>
              <w:topLinePunct w:val="0"/>
              <w:bidi w:val="0"/>
              <w:adjustRightInd/>
              <w:snapToGrid/>
              <w:spacing w:line="36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kern w:val="0"/>
                <w:highlight w:val="none"/>
              </w:rPr>
              <w:t>拟投入的主要物资计划</w:t>
            </w:r>
            <w:r>
              <w:rPr>
                <w:rFonts w:hint="eastAsia" w:ascii="宋体" w:hAnsi="宋体" w:cs="宋体"/>
                <w:color w:val="auto"/>
                <w:szCs w:val="21"/>
                <w:highlight w:val="none"/>
              </w:rPr>
              <w:t>；</w:t>
            </w:r>
          </w:p>
          <w:p w14:paraId="55FF7DE9">
            <w:pPr>
              <w:keepNext w:val="0"/>
              <w:keepLines w:val="0"/>
              <w:pageBreakBefore w:val="0"/>
              <w:widowControl w:val="0"/>
              <w:kinsoku/>
              <w:wordWrap/>
              <w:overflowPunct/>
              <w:topLinePunct w:val="0"/>
              <w:bidi w:val="0"/>
              <w:adjustRightInd/>
              <w:snapToGrid/>
              <w:spacing w:line="36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kern w:val="0"/>
                <w:highlight w:val="none"/>
              </w:rPr>
              <w:t>3.劳动力安排计划</w:t>
            </w:r>
            <w:r>
              <w:rPr>
                <w:rFonts w:hint="eastAsia" w:ascii="宋体" w:hAnsi="宋体" w:cs="宋体"/>
                <w:color w:val="auto"/>
                <w:szCs w:val="21"/>
                <w:highlight w:val="none"/>
              </w:rPr>
              <w:t>；</w:t>
            </w:r>
          </w:p>
          <w:p w14:paraId="3EF79789">
            <w:pPr>
              <w:keepNext w:val="0"/>
              <w:keepLines w:val="0"/>
              <w:pageBreakBefore w:val="0"/>
              <w:widowControl w:val="0"/>
              <w:kinsoku/>
              <w:wordWrap/>
              <w:overflowPunct/>
              <w:topLinePunct w:val="0"/>
              <w:bidi w:val="0"/>
              <w:adjustRightInd/>
              <w:snapToGrid/>
              <w:spacing w:line="36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4.</w:t>
            </w:r>
            <w:r>
              <w:rPr>
                <w:rFonts w:hint="eastAsia" w:ascii="宋体" w:hAnsi="宋体" w:cs="宋体"/>
                <w:color w:val="auto"/>
                <w:kern w:val="0"/>
                <w:highlight w:val="none"/>
              </w:rPr>
              <w:t>确保工程质量的技术组织措施</w:t>
            </w:r>
            <w:r>
              <w:rPr>
                <w:rFonts w:hint="eastAsia" w:ascii="宋体" w:hAnsi="宋体" w:cs="宋体"/>
                <w:color w:val="auto"/>
                <w:szCs w:val="21"/>
                <w:highlight w:val="none"/>
              </w:rPr>
              <w:t>；</w:t>
            </w:r>
          </w:p>
          <w:p w14:paraId="052CDA3A">
            <w:pPr>
              <w:keepNext w:val="0"/>
              <w:keepLines w:val="0"/>
              <w:pageBreakBefore w:val="0"/>
              <w:widowControl w:val="0"/>
              <w:kinsoku/>
              <w:wordWrap/>
              <w:overflowPunct/>
              <w:topLinePunct w:val="0"/>
              <w:bidi w:val="0"/>
              <w:adjustRightInd/>
              <w:snapToGrid/>
              <w:spacing w:line="36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5.</w:t>
            </w:r>
            <w:r>
              <w:rPr>
                <w:rFonts w:hint="eastAsia" w:ascii="宋体" w:hAnsi="宋体" w:cs="宋体"/>
                <w:color w:val="auto"/>
                <w:kern w:val="0"/>
                <w:highlight w:val="none"/>
              </w:rPr>
              <w:t>确保安全生产的技术组织措施</w:t>
            </w:r>
            <w:r>
              <w:rPr>
                <w:rFonts w:hint="eastAsia" w:ascii="宋体" w:hAnsi="宋体" w:cs="宋体"/>
                <w:color w:val="auto"/>
                <w:szCs w:val="21"/>
                <w:highlight w:val="none"/>
              </w:rPr>
              <w:t>；</w:t>
            </w:r>
          </w:p>
          <w:p w14:paraId="265FD0C8">
            <w:pPr>
              <w:keepNext w:val="0"/>
              <w:keepLines w:val="0"/>
              <w:pageBreakBefore w:val="0"/>
              <w:widowControl w:val="0"/>
              <w:kinsoku/>
              <w:wordWrap/>
              <w:overflowPunct/>
              <w:topLinePunct w:val="0"/>
              <w:bidi w:val="0"/>
              <w:adjustRightInd/>
              <w:snapToGrid/>
              <w:spacing w:line="36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6.</w:t>
            </w:r>
            <w:r>
              <w:rPr>
                <w:rFonts w:hint="eastAsia" w:ascii="宋体" w:hAnsi="宋体" w:cs="宋体"/>
                <w:color w:val="auto"/>
                <w:kern w:val="0"/>
                <w:highlight w:val="none"/>
              </w:rPr>
              <w:t>确保工期的技术组织措施</w:t>
            </w:r>
            <w:r>
              <w:rPr>
                <w:rFonts w:hint="eastAsia" w:ascii="宋体" w:hAnsi="宋体" w:cs="宋体"/>
                <w:color w:val="auto"/>
                <w:szCs w:val="21"/>
                <w:highlight w:val="none"/>
              </w:rPr>
              <w:t>；</w:t>
            </w:r>
          </w:p>
          <w:p w14:paraId="5C1B844A">
            <w:pPr>
              <w:keepNext w:val="0"/>
              <w:keepLines w:val="0"/>
              <w:pageBreakBefore w:val="0"/>
              <w:widowControl w:val="0"/>
              <w:kinsoku/>
              <w:wordWrap/>
              <w:overflowPunct/>
              <w:topLinePunct w:val="0"/>
              <w:bidi w:val="0"/>
              <w:adjustRightInd/>
              <w:snapToGrid/>
              <w:spacing w:line="36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7.</w:t>
            </w:r>
            <w:r>
              <w:rPr>
                <w:rFonts w:hint="eastAsia" w:ascii="宋体" w:hAnsi="宋体" w:cs="宋体"/>
                <w:color w:val="auto"/>
                <w:kern w:val="0"/>
                <w:highlight w:val="none"/>
              </w:rPr>
              <w:t>确保文明施工的技术组织措施</w:t>
            </w:r>
            <w:r>
              <w:rPr>
                <w:rFonts w:hint="eastAsia" w:ascii="宋体" w:hAnsi="宋体" w:cs="宋体"/>
                <w:color w:val="auto"/>
                <w:szCs w:val="21"/>
                <w:highlight w:val="none"/>
              </w:rPr>
              <w:t>；</w:t>
            </w:r>
          </w:p>
          <w:p w14:paraId="7C59CA98">
            <w:pPr>
              <w:keepNext w:val="0"/>
              <w:keepLines w:val="0"/>
              <w:pageBreakBefore w:val="0"/>
              <w:widowControl w:val="0"/>
              <w:kinsoku/>
              <w:wordWrap/>
              <w:overflowPunct/>
              <w:topLinePunct w:val="0"/>
              <w:bidi w:val="0"/>
              <w:adjustRightInd/>
              <w:snapToGrid/>
              <w:spacing w:line="360" w:lineRule="exact"/>
              <w:ind w:firstLine="420" w:firstLineChars="200"/>
              <w:textAlignment w:val="auto"/>
              <w:rPr>
                <w:rFonts w:hint="eastAsia" w:ascii="宋体" w:hAnsi="宋体" w:cs="宋体"/>
                <w:color w:val="auto"/>
                <w:kern w:val="0"/>
                <w:highlight w:val="none"/>
              </w:rPr>
            </w:pPr>
            <w:r>
              <w:rPr>
                <w:rFonts w:hint="eastAsia" w:ascii="宋体" w:hAnsi="宋体" w:cs="宋体"/>
                <w:color w:val="auto"/>
                <w:kern w:val="0"/>
                <w:highlight w:val="none"/>
              </w:rPr>
              <w:t>8.工程施工的重点和难点及保证措施</w:t>
            </w:r>
            <w:r>
              <w:rPr>
                <w:rFonts w:hint="eastAsia" w:ascii="宋体" w:hAnsi="宋体" w:cs="宋体"/>
                <w:color w:val="auto"/>
                <w:szCs w:val="21"/>
                <w:highlight w:val="none"/>
              </w:rPr>
              <w:t>；</w:t>
            </w:r>
          </w:p>
          <w:p w14:paraId="19C13986">
            <w:pPr>
              <w:keepNext w:val="0"/>
              <w:keepLines w:val="0"/>
              <w:pageBreakBefore w:val="0"/>
              <w:widowControl w:val="0"/>
              <w:kinsoku/>
              <w:wordWrap/>
              <w:overflowPunct/>
              <w:topLinePunct w:val="0"/>
              <w:bidi w:val="0"/>
              <w:adjustRightInd/>
              <w:snapToGrid/>
              <w:spacing w:line="360" w:lineRule="exact"/>
              <w:ind w:firstLine="420" w:firstLineChars="200"/>
              <w:textAlignment w:val="auto"/>
              <w:rPr>
                <w:rFonts w:ascii="宋体" w:hAnsi="宋体" w:cs="宋体"/>
                <w:color w:val="auto"/>
                <w:kern w:val="0"/>
                <w:highlight w:val="none"/>
              </w:rPr>
            </w:pPr>
            <w:r>
              <w:rPr>
                <w:rFonts w:hint="eastAsia" w:ascii="宋体" w:hAnsi="宋体" w:cs="宋体"/>
                <w:color w:val="auto"/>
                <w:kern w:val="0"/>
                <w:highlight w:val="none"/>
              </w:rPr>
              <w:t>9.施工总平面布置图</w:t>
            </w:r>
            <w:r>
              <w:rPr>
                <w:rFonts w:hint="eastAsia" w:ascii="宋体" w:hAnsi="宋体" w:cs="宋体"/>
                <w:color w:val="auto"/>
                <w:szCs w:val="21"/>
                <w:highlight w:val="none"/>
              </w:rPr>
              <w:t>；</w:t>
            </w:r>
          </w:p>
          <w:p w14:paraId="31ADE956">
            <w:pPr>
              <w:keepNext w:val="0"/>
              <w:keepLines w:val="0"/>
              <w:pageBreakBefore w:val="0"/>
              <w:widowControl w:val="0"/>
              <w:kinsoku/>
              <w:wordWrap/>
              <w:overflowPunct/>
              <w:topLinePunct w:val="0"/>
              <w:bidi w:val="0"/>
              <w:adjustRightInd/>
              <w:snapToGrid/>
              <w:spacing w:line="360" w:lineRule="exact"/>
              <w:ind w:firstLine="422" w:firstLineChars="200"/>
              <w:textAlignment w:val="auto"/>
              <w:rPr>
                <w:rFonts w:hint="eastAsia" w:ascii="宋体" w:hAnsi="宋体" w:cs="宋体"/>
                <w:b/>
                <w:bCs/>
                <w:color w:val="auto"/>
                <w:szCs w:val="21"/>
                <w:highlight w:val="none"/>
              </w:rPr>
            </w:pPr>
            <w:r>
              <w:rPr>
                <w:rFonts w:hint="eastAsia" w:ascii="宋体" w:hAnsi="宋体" w:cs="宋体"/>
                <w:b/>
                <w:bCs/>
                <w:color w:val="auto"/>
                <w:szCs w:val="21"/>
                <w:highlight w:val="none"/>
              </w:rPr>
              <w:t>（二）请在响应文件中提供技术能力相关证明，不限于：</w:t>
            </w:r>
          </w:p>
          <w:p w14:paraId="74E471A0">
            <w:pPr>
              <w:keepNext w:val="0"/>
              <w:keepLines w:val="0"/>
              <w:pageBreakBefore w:val="0"/>
              <w:widowControl w:val="0"/>
              <w:kinsoku/>
              <w:wordWrap/>
              <w:overflowPunct/>
              <w:topLinePunct w:val="0"/>
              <w:bidi w:val="0"/>
              <w:adjustRightInd/>
              <w:snapToGrid/>
              <w:spacing w:line="36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kern w:val="0"/>
                <w:highlight w:val="none"/>
              </w:rPr>
              <w:t>供应商拟投入本项目的项目经理具有中级及以上职称</w:t>
            </w:r>
            <w:r>
              <w:rPr>
                <w:rFonts w:hint="eastAsia" w:ascii="宋体" w:hAnsi="宋体" w:cs="宋体"/>
                <w:color w:val="auto"/>
                <w:szCs w:val="21"/>
                <w:highlight w:val="none"/>
              </w:rPr>
              <w:t>；</w:t>
            </w:r>
          </w:p>
          <w:p w14:paraId="5268B0F5">
            <w:pPr>
              <w:keepNext w:val="0"/>
              <w:keepLines w:val="0"/>
              <w:pageBreakBefore w:val="0"/>
              <w:widowControl w:val="0"/>
              <w:kinsoku/>
              <w:wordWrap/>
              <w:overflowPunct/>
              <w:topLinePunct w:val="0"/>
              <w:bidi w:val="0"/>
              <w:adjustRightInd/>
              <w:snapToGrid/>
              <w:spacing w:line="360" w:lineRule="exact"/>
              <w:ind w:firstLine="420" w:firstLineChars="200"/>
              <w:textAlignment w:val="auto"/>
              <w:rPr>
                <w:color w:val="auto"/>
                <w:highlight w:val="none"/>
              </w:rPr>
            </w:pPr>
            <w:r>
              <w:rPr>
                <w:rFonts w:hint="eastAsia" w:ascii="宋体" w:hAnsi="宋体" w:cs="宋体"/>
                <w:color w:val="auto"/>
                <w:szCs w:val="21"/>
                <w:highlight w:val="none"/>
              </w:rPr>
              <w:t>2.202</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年1月1日以来（从竣工验收合格之日起至响应文件递交截止之日止）完成过类似工程；</w:t>
            </w:r>
          </w:p>
        </w:tc>
      </w:tr>
    </w:tbl>
    <w:p w14:paraId="5604015D">
      <w:pPr>
        <w:rPr>
          <w:rFonts w:hint="eastAsia" w:ascii="宋体" w:hAnsi="宋体" w:eastAsia="宋体" w:cs="宋体"/>
          <w:b/>
          <w:kern w:val="0"/>
          <w:sz w:val="28"/>
          <w:szCs w:val="28"/>
        </w:rPr>
        <w:sectPr>
          <w:headerReference r:id="rId12" w:type="first"/>
          <w:headerReference r:id="rId11" w:type="default"/>
          <w:pgSz w:w="11906" w:h="16838"/>
          <w:pgMar w:top="1417" w:right="1417" w:bottom="1417" w:left="1418" w:header="851" w:footer="992" w:gutter="0"/>
          <w:cols w:space="720" w:num="1"/>
          <w:titlePg/>
          <w:docGrid w:linePitch="312" w:charSpace="0"/>
        </w:sectPr>
      </w:pPr>
    </w:p>
    <w:p w14:paraId="5797C7D9">
      <w:pPr>
        <w:spacing w:line="528" w:lineRule="exact"/>
        <w:ind w:firstLine="280" w:firstLineChars="100"/>
        <w:rPr>
          <w:rFonts w:hint="eastAsia" w:ascii="宋体" w:hAnsi="宋体" w:eastAsia="宋体" w:cs="宋体"/>
          <w:sz w:val="28"/>
          <w:szCs w:val="28"/>
        </w:rPr>
      </w:pPr>
      <w:bookmarkStart w:id="23" w:name="_Hlk133572867"/>
      <w:bookmarkStart w:id="24" w:name="_Hlk101188646"/>
      <w:r>
        <w:rPr>
          <w:rFonts w:hint="eastAsia" w:ascii="宋体" w:hAnsi="宋体" w:eastAsia="宋体" w:cs="宋体"/>
          <w:sz w:val="28"/>
          <w:szCs w:val="28"/>
        </w:rPr>
        <w:t xml:space="preserve">附件：                              </w:t>
      </w:r>
    </w:p>
    <w:p w14:paraId="198D8ED9">
      <w:pPr>
        <w:spacing w:line="528" w:lineRule="exact"/>
        <w:ind w:firstLine="280" w:firstLineChars="100"/>
        <w:jc w:val="center"/>
        <w:rPr>
          <w:rFonts w:hint="eastAsia" w:ascii="宋体" w:hAnsi="宋体" w:eastAsia="宋体" w:cs="宋体"/>
          <w:sz w:val="28"/>
          <w:szCs w:val="28"/>
        </w:rPr>
      </w:pPr>
      <w:r>
        <w:rPr>
          <w:rFonts w:hint="eastAsia" w:ascii="宋体" w:hAnsi="宋体" w:eastAsia="宋体" w:cs="宋体"/>
          <w:sz w:val="28"/>
          <w:szCs w:val="28"/>
        </w:rPr>
        <w:t>中小微企业划型标准</w:t>
      </w:r>
    </w:p>
    <w:tbl>
      <w:tblPr>
        <w:tblStyle w:val="15"/>
        <w:tblW w:w="8706" w:type="dxa"/>
        <w:tblInd w:w="250" w:type="dxa"/>
        <w:tblLayout w:type="fixed"/>
        <w:tblCellMar>
          <w:top w:w="0" w:type="dxa"/>
          <w:left w:w="108" w:type="dxa"/>
          <w:bottom w:w="0" w:type="dxa"/>
          <w:right w:w="108" w:type="dxa"/>
        </w:tblCellMar>
      </w:tblPr>
      <w:tblGrid>
        <w:gridCol w:w="1446"/>
        <w:gridCol w:w="1701"/>
        <w:gridCol w:w="1134"/>
        <w:gridCol w:w="1846"/>
        <w:gridCol w:w="1570"/>
        <w:gridCol w:w="1009"/>
      </w:tblGrid>
      <w:tr w14:paraId="56641082">
        <w:tblPrEx>
          <w:tblCellMar>
            <w:top w:w="0" w:type="dxa"/>
            <w:left w:w="108" w:type="dxa"/>
            <w:bottom w:w="0" w:type="dxa"/>
            <w:right w:w="108" w:type="dxa"/>
          </w:tblCellMar>
        </w:tblPrEx>
        <w:trPr>
          <w:trHeight w:val="279" w:hRule="atLeast"/>
        </w:trPr>
        <w:tc>
          <w:tcPr>
            <w:tcW w:w="1446" w:type="dxa"/>
            <w:tcBorders>
              <w:top w:val="single" w:color="auto" w:sz="4" w:space="0"/>
              <w:left w:val="single" w:color="auto" w:sz="4" w:space="0"/>
              <w:bottom w:val="single" w:color="auto" w:sz="4" w:space="0"/>
              <w:right w:val="single" w:color="auto" w:sz="4" w:space="0"/>
            </w:tcBorders>
            <w:noWrap w:val="0"/>
            <w:vAlign w:val="center"/>
          </w:tcPr>
          <w:p w14:paraId="28169B2F">
            <w:pPr>
              <w:widowControl/>
              <w:jc w:val="left"/>
              <w:rPr>
                <w:rFonts w:hint="eastAsia" w:ascii="宋体" w:hAnsi="宋体" w:eastAsia="宋体" w:cs="宋体"/>
                <w:szCs w:val="21"/>
              </w:rPr>
            </w:pPr>
            <w:r>
              <w:rPr>
                <w:rFonts w:hint="eastAsia" w:ascii="宋体" w:hAnsi="宋体" w:eastAsia="宋体" w:cs="宋体"/>
                <w:szCs w:val="21"/>
              </w:rPr>
              <w:t>行业名称</w:t>
            </w:r>
          </w:p>
        </w:tc>
        <w:tc>
          <w:tcPr>
            <w:tcW w:w="1701" w:type="dxa"/>
            <w:tcBorders>
              <w:top w:val="single" w:color="auto" w:sz="4" w:space="0"/>
              <w:left w:val="nil"/>
              <w:bottom w:val="single" w:color="auto" w:sz="4" w:space="0"/>
              <w:right w:val="single" w:color="auto" w:sz="4" w:space="0"/>
            </w:tcBorders>
            <w:noWrap w:val="0"/>
            <w:vAlign w:val="center"/>
          </w:tcPr>
          <w:p w14:paraId="1E37FE43">
            <w:pPr>
              <w:widowControl/>
              <w:jc w:val="left"/>
              <w:rPr>
                <w:rFonts w:hint="eastAsia" w:ascii="宋体" w:hAnsi="宋体" w:eastAsia="宋体" w:cs="宋体"/>
                <w:szCs w:val="21"/>
              </w:rPr>
            </w:pPr>
            <w:r>
              <w:rPr>
                <w:rFonts w:hint="eastAsia" w:ascii="宋体" w:hAnsi="宋体" w:eastAsia="宋体" w:cs="宋体"/>
                <w:szCs w:val="21"/>
              </w:rPr>
              <w:t>指标名称</w:t>
            </w:r>
          </w:p>
        </w:tc>
        <w:tc>
          <w:tcPr>
            <w:tcW w:w="1134" w:type="dxa"/>
            <w:tcBorders>
              <w:top w:val="single" w:color="auto" w:sz="4" w:space="0"/>
              <w:left w:val="nil"/>
              <w:bottom w:val="single" w:color="auto" w:sz="4" w:space="0"/>
              <w:right w:val="single" w:color="auto" w:sz="4" w:space="0"/>
            </w:tcBorders>
            <w:noWrap w:val="0"/>
            <w:vAlign w:val="center"/>
          </w:tcPr>
          <w:p w14:paraId="3A41FAAA">
            <w:pPr>
              <w:widowControl/>
              <w:jc w:val="left"/>
              <w:rPr>
                <w:rFonts w:hint="eastAsia" w:ascii="宋体" w:hAnsi="宋体" w:eastAsia="宋体" w:cs="宋体"/>
                <w:szCs w:val="21"/>
              </w:rPr>
            </w:pPr>
            <w:r>
              <w:rPr>
                <w:rFonts w:hint="eastAsia" w:ascii="宋体" w:hAnsi="宋体" w:eastAsia="宋体" w:cs="宋体"/>
                <w:szCs w:val="21"/>
              </w:rPr>
              <w:t>计量单位</w:t>
            </w:r>
          </w:p>
        </w:tc>
        <w:tc>
          <w:tcPr>
            <w:tcW w:w="1846" w:type="dxa"/>
            <w:tcBorders>
              <w:top w:val="single" w:color="auto" w:sz="4" w:space="0"/>
              <w:left w:val="nil"/>
              <w:bottom w:val="single" w:color="auto" w:sz="4" w:space="0"/>
              <w:right w:val="single" w:color="auto" w:sz="4" w:space="0"/>
            </w:tcBorders>
            <w:noWrap w:val="0"/>
            <w:vAlign w:val="center"/>
          </w:tcPr>
          <w:p w14:paraId="14647904">
            <w:pPr>
              <w:widowControl/>
              <w:jc w:val="left"/>
              <w:rPr>
                <w:rFonts w:hint="eastAsia" w:ascii="宋体" w:hAnsi="宋体" w:eastAsia="宋体" w:cs="宋体"/>
                <w:szCs w:val="21"/>
              </w:rPr>
            </w:pPr>
            <w:r>
              <w:rPr>
                <w:rFonts w:hint="eastAsia" w:ascii="宋体" w:hAnsi="宋体" w:eastAsia="宋体" w:cs="宋体"/>
                <w:szCs w:val="21"/>
              </w:rPr>
              <w:t>中型</w:t>
            </w:r>
          </w:p>
        </w:tc>
        <w:tc>
          <w:tcPr>
            <w:tcW w:w="1570" w:type="dxa"/>
            <w:tcBorders>
              <w:top w:val="single" w:color="auto" w:sz="4" w:space="0"/>
              <w:left w:val="nil"/>
              <w:bottom w:val="single" w:color="auto" w:sz="4" w:space="0"/>
              <w:right w:val="single" w:color="auto" w:sz="4" w:space="0"/>
            </w:tcBorders>
            <w:noWrap w:val="0"/>
            <w:vAlign w:val="center"/>
          </w:tcPr>
          <w:p w14:paraId="17B18962">
            <w:pPr>
              <w:widowControl/>
              <w:jc w:val="left"/>
              <w:rPr>
                <w:rFonts w:hint="eastAsia" w:ascii="宋体" w:hAnsi="宋体" w:eastAsia="宋体" w:cs="宋体"/>
                <w:szCs w:val="21"/>
              </w:rPr>
            </w:pPr>
            <w:r>
              <w:rPr>
                <w:rFonts w:hint="eastAsia" w:ascii="宋体" w:hAnsi="宋体" w:eastAsia="宋体" w:cs="宋体"/>
                <w:szCs w:val="21"/>
              </w:rPr>
              <w:t>小型</w:t>
            </w:r>
          </w:p>
        </w:tc>
        <w:tc>
          <w:tcPr>
            <w:tcW w:w="1009" w:type="dxa"/>
            <w:tcBorders>
              <w:top w:val="single" w:color="auto" w:sz="4" w:space="0"/>
              <w:left w:val="nil"/>
              <w:bottom w:val="single" w:color="auto" w:sz="4" w:space="0"/>
              <w:right w:val="single" w:color="auto" w:sz="4" w:space="0"/>
            </w:tcBorders>
            <w:noWrap w:val="0"/>
            <w:vAlign w:val="center"/>
          </w:tcPr>
          <w:p w14:paraId="6E832065">
            <w:pPr>
              <w:widowControl/>
              <w:jc w:val="left"/>
              <w:rPr>
                <w:rFonts w:hint="eastAsia" w:ascii="宋体" w:hAnsi="宋体" w:eastAsia="宋体" w:cs="宋体"/>
                <w:szCs w:val="21"/>
              </w:rPr>
            </w:pPr>
            <w:r>
              <w:rPr>
                <w:rFonts w:hint="eastAsia" w:ascii="宋体" w:hAnsi="宋体" w:eastAsia="宋体" w:cs="宋体"/>
                <w:szCs w:val="21"/>
              </w:rPr>
              <w:t>微型</w:t>
            </w:r>
          </w:p>
        </w:tc>
      </w:tr>
      <w:tr w14:paraId="1BDCADAD">
        <w:tblPrEx>
          <w:tblCellMar>
            <w:top w:w="0" w:type="dxa"/>
            <w:left w:w="108" w:type="dxa"/>
            <w:bottom w:w="0" w:type="dxa"/>
            <w:right w:w="108" w:type="dxa"/>
          </w:tblCellMar>
        </w:tblPrEx>
        <w:trPr>
          <w:trHeight w:val="220" w:hRule="atLeast"/>
        </w:trPr>
        <w:tc>
          <w:tcPr>
            <w:tcW w:w="1446" w:type="dxa"/>
            <w:tcBorders>
              <w:top w:val="nil"/>
              <w:left w:val="single" w:color="auto" w:sz="4" w:space="0"/>
              <w:bottom w:val="single" w:color="auto" w:sz="4" w:space="0"/>
              <w:right w:val="single" w:color="auto" w:sz="4" w:space="0"/>
            </w:tcBorders>
            <w:noWrap w:val="0"/>
            <w:vAlign w:val="bottom"/>
          </w:tcPr>
          <w:p w14:paraId="2C18D2B8">
            <w:pPr>
              <w:widowControl/>
              <w:jc w:val="center"/>
              <w:rPr>
                <w:rFonts w:hint="eastAsia" w:ascii="宋体" w:hAnsi="宋体" w:eastAsia="宋体" w:cs="宋体"/>
                <w:szCs w:val="21"/>
              </w:rPr>
            </w:pPr>
            <w:r>
              <w:rPr>
                <w:rFonts w:hint="eastAsia" w:ascii="宋体" w:hAnsi="宋体" w:eastAsia="宋体" w:cs="宋体"/>
                <w:szCs w:val="21"/>
              </w:rPr>
              <w:t>农、林、牧、渔</w:t>
            </w:r>
          </w:p>
        </w:tc>
        <w:tc>
          <w:tcPr>
            <w:tcW w:w="1701" w:type="dxa"/>
            <w:tcBorders>
              <w:top w:val="nil"/>
              <w:left w:val="nil"/>
              <w:bottom w:val="single" w:color="auto" w:sz="4" w:space="0"/>
              <w:right w:val="single" w:color="auto" w:sz="4" w:space="0"/>
            </w:tcBorders>
            <w:noWrap w:val="0"/>
            <w:vAlign w:val="center"/>
          </w:tcPr>
          <w:p w14:paraId="0B890AB9">
            <w:pPr>
              <w:widowControl/>
              <w:jc w:val="left"/>
              <w:rPr>
                <w:rFonts w:hint="eastAsia" w:ascii="宋体" w:hAnsi="宋体" w:eastAsia="宋体" w:cs="宋体"/>
                <w:szCs w:val="21"/>
              </w:rPr>
            </w:pPr>
            <w:r>
              <w:rPr>
                <w:rFonts w:hint="eastAsia" w:ascii="宋体" w:hAnsi="宋体" w:eastAsia="宋体" w:cs="宋体"/>
                <w:szCs w:val="21"/>
              </w:rPr>
              <w:t>营业收入（Y）</w:t>
            </w:r>
          </w:p>
        </w:tc>
        <w:tc>
          <w:tcPr>
            <w:tcW w:w="1134" w:type="dxa"/>
            <w:tcBorders>
              <w:top w:val="nil"/>
              <w:left w:val="nil"/>
              <w:bottom w:val="single" w:color="auto" w:sz="4" w:space="0"/>
              <w:right w:val="single" w:color="auto" w:sz="4" w:space="0"/>
            </w:tcBorders>
            <w:noWrap w:val="0"/>
            <w:vAlign w:val="center"/>
          </w:tcPr>
          <w:p w14:paraId="385119BA">
            <w:pPr>
              <w:widowControl/>
              <w:jc w:val="left"/>
              <w:rPr>
                <w:rFonts w:hint="eastAsia" w:ascii="宋体" w:hAnsi="宋体" w:eastAsia="宋体" w:cs="宋体"/>
                <w:szCs w:val="21"/>
              </w:rPr>
            </w:pPr>
            <w:r>
              <w:rPr>
                <w:rFonts w:hint="eastAsia" w:ascii="宋体" w:hAnsi="宋体" w:eastAsia="宋体" w:cs="宋体"/>
                <w:szCs w:val="21"/>
              </w:rPr>
              <w:t>万元</w:t>
            </w:r>
          </w:p>
        </w:tc>
        <w:tc>
          <w:tcPr>
            <w:tcW w:w="1846" w:type="dxa"/>
            <w:tcBorders>
              <w:top w:val="nil"/>
              <w:left w:val="nil"/>
              <w:bottom w:val="single" w:color="auto" w:sz="4" w:space="0"/>
              <w:right w:val="single" w:color="auto" w:sz="4" w:space="0"/>
            </w:tcBorders>
            <w:noWrap w:val="0"/>
            <w:vAlign w:val="center"/>
          </w:tcPr>
          <w:p w14:paraId="4BE281D0">
            <w:pPr>
              <w:widowControl/>
              <w:jc w:val="left"/>
              <w:rPr>
                <w:rFonts w:hint="eastAsia" w:ascii="宋体" w:hAnsi="宋体" w:eastAsia="宋体" w:cs="宋体"/>
                <w:szCs w:val="21"/>
              </w:rPr>
            </w:pPr>
            <w:r>
              <w:rPr>
                <w:rFonts w:hint="eastAsia" w:ascii="宋体" w:hAnsi="宋体" w:eastAsia="宋体" w:cs="宋体"/>
                <w:szCs w:val="21"/>
              </w:rPr>
              <w:t>500≤Y＜20000</w:t>
            </w:r>
          </w:p>
        </w:tc>
        <w:tc>
          <w:tcPr>
            <w:tcW w:w="1570" w:type="dxa"/>
            <w:tcBorders>
              <w:top w:val="nil"/>
              <w:left w:val="nil"/>
              <w:bottom w:val="single" w:color="auto" w:sz="4" w:space="0"/>
              <w:right w:val="single" w:color="auto" w:sz="4" w:space="0"/>
            </w:tcBorders>
            <w:noWrap w:val="0"/>
            <w:vAlign w:val="center"/>
          </w:tcPr>
          <w:p w14:paraId="620B2276">
            <w:pPr>
              <w:widowControl/>
              <w:jc w:val="left"/>
              <w:rPr>
                <w:rFonts w:hint="eastAsia" w:ascii="宋体" w:hAnsi="宋体" w:eastAsia="宋体" w:cs="宋体"/>
                <w:szCs w:val="21"/>
              </w:rPr>
            </w:pPr>
            <w:r>
              <w:rPr>
                <w:rFonts w:hint="eastAsia" w:ascii="宋体" w:hAnsi="宋体" w:eastAsia="宋体" w:cs="宋体"/>
                <w:szCs w:val="21"/>
              </w:rPr>
              <w:t>50≤Y＜500</w:t>
            </w:r>
          </w:p>
        </w:tc>
        <w:tc>
          <w:tcPr>
            <w:tcW w:w="1009" w:type="dxa"/>
            <w:tcBorders>
              <w:top w:val="nil"/>
              <w:left w:val="nil"/>
              <w:bottom w:val="single" w:color="auto" w:sz="4" w:space="0"/>
              <w:right w:val="single" w:color="auto" w:sz="4" w:space="0"/>
            </w:tcBorders>
            <w:noWrap w:val="0"/>
            <w:vAlign w:val="center"/>
          </w:tcPr>
          <w:p w14:paraId="19681701">
            <w:pPr>
              <w:widowControl/>
              <w:jc w:val="left"/>
              <w:rPr>
                <w:rFonts w:hint="eastAsia" w:ascii="宋体" w:hAnsi="宋体" w:eastAsia="宋体" w:cs="宋体"/>
                <w:szCs w:val="21"/>
              </w:rPr>
            </w:pPr>
            <w:r>
              <w:rPr>
                <w:rFonts w:hint="eastAsia" w:ascii="宋体" w:hAnsi="宋体" w:eastAsia="宋体" w:cs="宋体"/>
                <w:szCs w:val="21"/>
              </w:rPr>
              <w:t>Y＜50</w:t>
            </w:r>
          </w:p>
        </w:tc>
      </w:tr>
      <w:tr w14:paraId="72A52E99">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60931399">
            <w:pPr>
              <w:widowControl/>
              <w:jc w:val="center"/>
              <w:rPr>
                <w:rFonts w:hint="eastAsia" w:ascii="宋体" w:hAnsi="宋体" w:eastAsia="宋体" w:cs="宋体"/>
                <w:szCs w:val="21"/>
              </w:rPr>
            </w:pPr>
            <w:r>
              <w:rPr>
                <w:rFonts w:hint="eastAsia" w:ascii="宋体" w:hAnsi="宋体" w:eastAsia="宋体" w:cs="宋体"/>
                <w:szCs w:val="21"/>
              </w:rPr>
              <w:t>工业</w:t>
            </w:r>
          </w:p>
        </w:tc>
        <w:tc>
          <w:tcPr>
            <w:tcW w:w="1701" w:type="dxa"/>
            <w:tcBorders>
              <w:top w:val="nil"/>
              <w:left w:val="nil"/>
              <w:bottom w:val="single" w:color="auto" w:sz="4" w:space="0"/>
              <w:right w:val="single" w:color="auto" w:sz="4" w:space="0"/>
            </w:tcBorders>
            <w:noWrap w:val="0"/>
            <w:vAlign w:val="center"/>
          </w:tcPr>
          <w:p w14:paraId="237EDD54">
            <w:pPr>
              <w:widowControl/>
              <w:jc w:val="left"/>
              <w:rPr>
                <w:rFonts w:hint="eastAsia" w:ascii="宋体" w:hAnsi="宋体" w:eastAsia="宋体" w:cs="宋体"/>
                <w:szCs w:val="21"/>
              </w:rPr>
            </w:pPr>
            <w:r>
              <w:rPr>
                <w:rFonts w:hint="eastAsia" w:ascii="宋体" w:hAnsi="宋体" w:eastAsia="宋体" w:cs="宋体"/>
                <w:szCs w:val="21"/>
              </w:rPr>
              <w:t>从业人员（X）</w:t>
            </w:r>
          </w:p>
        </w:tc>
        <w:tc>
          <w:tcPr>
            <w:tcW w:w="1134" w:type="dxa"/>
            <w:tcBorders>
              <w:top w:val="nil"/>
              <w:left w:val="nil"/>
              <w:bottom w:val="single" w:color="auto" w:sz="4" w:space="0"/>
              <w:right w:val="single" w:color="auto" w:sz="4" w:space="0"/>
            </w:tcBorders>
            <w:noWrap w:val="0"/>
            <w:vAlign w:val="center"/>
          </w:tcPr>
          <w:p w14:paraId="2FF484C6">
            <w:pPr>
              <w:widowControl/>
              <w:jc w:val="left"/>
              <w:rPr>
                <w:rFonts w:hint="eastAsia" w:ascii="宋体" w:hAnsi="宋体" w:eastAsia="宋体" w:cs="宋体"/>
                <w:szCs w:val="21"/>
              </w:rPr>
            </w:pPr>
            <w:r>
              <w:rPr>
                <w:rFonts w:hint="eastAsia" w:ascii="宋体" w:hAnsi="宋体" w:eastAsia="宋体" w:cs="宋体"/>
                <w:szCs w:val="21"/>
              </w:rPr>
              <w:t>人</w:t>
            </w:r>
          </w:p>
        </w:tc>
        <w:tc>
          <w:tcPr>
            <w:tcW w:w="1846" w:type="dxa"/>
            <w:tcBorders>
              <w:top w:val="nil"/>
              <w:left w:val="nil"/>
              <w:bottom w:val="single" w:color="auto" w:sz="4" w:space="0"/>
              <w:right w:val="single" w:color="auto" w:sz="4" w:space="0"/>
            </w:tcBorders>
            <w:noWrap w:val="0"/>
            <w:vAlign w:val="center"/>
          </w:tcPr>
          <w:p w14:paraId="25F7F122">
            <w:pPr>
              <w:widowControl/>
              <w:jc w:val="left"/>
              <w:rPr>
                <w:rFonts w:hint="eastAsia" w:ascii="宋体" w:hAnsi="宋体" w:eastAsia="宋体" w:cs="宋体"/>
                <w:szCs w:val="21"/>
              </w:rPr>
            </w:pPr>
            <w:r>
              <w:rPr>
                <w:rFonts w:hint="eastAsia" w:ascii="宋体" w:hAnsi="宋体" w:eastAsia="宋体" w:cs="宋体"/>
                <w:szCs w:val="21"/>
              </w:rPr>
              <w:t>300≤X＜1000</w:t>
            </w:r>
          </w:p>
        </w:tc>
        <w:tc>
          <w:tcPr>
            <w:tcW w:w="1570" w:type="dxa"/>
            <w:tcBorders>
              <w:top w:val="nil"/>
              <w:left w:val="nil"/>
              <w:bottom w:val="single" w:color="auto" w:sz="4" w:space="0"/>
              <w:right w:val="single" w:color="auto" w:sz="4" w:space="0"/>
            </w:tcBorders>
            <w:noWrap w:val="0"/>
            <w:vAlign w:val="center"/>
          </w:tcPr>
          <w:p w14:paraId="266F62C9">
            <w:pPr>
              <w:widowControl/>
              <w:jc w:val="left"/>
              <w:rPr>
                <w:rFonts w:hint="eastAsia" w:ascii="宋体" w:hAnsi="宋体" w:eastAsia="宋体" w:cs="宋体"/>
                <w:szCs w:val="21"/>
              </w:rPr>
            </w:pPr>
            <w:r>
              <w:rPr>
                <w:rFonts w:hint="eastAsia" w:ascii="宋体" w:hAnsi="宋体" w:eastAsia="宋体" w:cs="宋体"/>
                <w:szCs w:val="21"/>
              </w:rPr>
              <w:t>20≤X＜300</w:t>
            </w:r>
          </w:p>
        </w:tc>
        <w:tc>
          <w:tcPr>
            <w:tcW w:w="1009" w:type="dxa"/>
            <w:tcBorders>
              <w:top w:val="nil"/>
              <w:left w:val="nil"/>
              <w:bottom w:val="single" w:color="auto" w:sz="4" w:space="0"/>
              <w:right w:val="single" w:color="auto" w:sz="4" w:space="0"/>
            </w:tcBorders>
            <w:noWrap w:val="0"/>
            <w:vAlign w:val="center"/>
          </w:tcPr>
          <w:p w14:paraId="39CF3CEC">
            <w:pPr>
              <w:widowControl/>
              <w:jc w:val="left"/>
              <w:rPr>
                <w:rFonts w:hint="eastAsia" w:ascii="宋体" w:hAnsi="宋体" w:eastAsia="宋体" w:cs="宋体"/>
                <w:szCs w:val="21"/>
              </w:rPr>
            </w:pPr>
            <w:r>
              <w:rPr>
                <w:rFonts w:hint="eastAsia" w:ascii="宋体" w:hAnsi="宋体" w:eastAsia="宋体" w:cs="宋体"/>
                <w:szCs w:val="21"/>
              </w:rPr>
              <w:t>X＜20</w:t>
            </w:r>
          </w:p>
        </w:tc>
      </w:tr>
      <w:tr w14:paraId="4EB629FC">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2A795390">
            <w:pPr>
              <w:widowControl/>
              <w:jc w:val="left"/>
              <w:rPr>
                <w:rFonts w:hint="eastAsia" w:ascii="宋体" w:hAnsi="宋体" w:eastAsia="宋体" w:cs="宋体"/>
                <w:szCs w:val="21"/>
              </w:rPr>
            </w:pPr>
          </w:p>
        </w:tc>
        <w:tc>
          <w:tcPr>
            <w:tcW w:w="1701" w:type="dxa"/>
            <w:tcBorders>
              <w:top w:val="nil"/>
              <w:left w:val="nil"/>
              <w:bottom w:val="single" w:color="auto" w:sz="4" w:space="0"/>
              <w:right w:val="single" w:color="auto" w:sz="4" w:space="0"/>
            </w:tcBorders>
            <w:noWrap w:val="0"/>
            <w:vAlign w:val="center"/>
          </w:tcPr>
          <w:p w14:paraId="2B0AC98B">
            <w:pPr>
              <w:widowControl/>
              <w:jc w:val="left"/>
              <w:rPr>
                <w:rFonts w:hint="eastAsia" w:ascii="宋体" w:hAnsi="宋体" w:eastAsia="宋体" w:cs="宋体"/>
                <w:szCs w:val="21"/>
              </w:rPr>
            </w:pPr>
            <w:r>
              <w:rPr>
                <w:rFonts w:hint="eastAsia" w:ascii="宋体" w:hAnsi="宋体" w:eastAsia="宋体" w:cs="宋体"/>
                <w:szCs w:val="21"/>
              </w:rPr>
              <w:t>营业收入（Y）</w:t>
            </w:r>
          </w:p>
        </w:tc>
        <w:tc>
          <w:tcPr>
            <w:tcW w:w="1134" w:type="dxa"/>
            <w:tcBorders>
              <w:top w:val="nil"/>
              <w:left w:val="nil"/>
              <w:bottom w:val="single" w:color="auto" w:sz="4" w:space="0"/>
              <w:right w:val="single" w:color="auto" w:sz="4" w:space="0"/>
            </w:tcBorders>
            <w:noWrap w:val="0"/>
            <w:vAlign w:val="center"/>
          </w:tcPr>
          <w:p w14:paraId="0F112BB3">
            <w:pPr>
              <w:widowControl/>
              <w:jc w:val="left"/>
              <w:rPr>
                <w:rFonts w:hint="eastAsia" w:ascii="宋体" w:hAnsi="宋体" w:eastAsia="宋体" w:cs="宋体"/>
                <w:szCs w:val="21"/>
              </w:rPr>
            </w:pPr>
            <w:r>
              <w:rPr>
                <w:rFonts w:hint="eastAsia" w:ascii="宋体" w:hAnsi="宋体" w:eastAsia="宋体" w:cs="宋体"/>
                <w:szCs w:val="21"/>
              </w:rPr>
              <w:t>万元</w:t>
            </w:r>
          </w:p>
        </w:tc>
        <w:tc>
          <w:tcPr>
            <w:tcW w:w="1846" w:type="dxa"/>
            <w:tcBorders>
              <w:top w:val="nil"/>
              <w:left w:val="nil"/>
              <w:bottom w:val="single" w:color="auto" w:sz="4" w:space="0"/>
              <w:right w:val="single" w:color="auto" w:sz="4" w:space="0"/>
            </w:tcBorders>
            <w:noWrap w:val="0"/>
            <w:vAlign w:val="center"/>
          </w:tcPr>
          <w:p w14:paraId="2A8F3B26">
            <w:pPr>
              <w:widowControl/>
              <w:jc w:val="left"/>
              <w:rPr>
                <w:rFonts w:hint="eastAsia" w:ascii="宋体" w:hAnsi="宋体" w:eastAsia="宋体" w:cs="宋体"/>
                <w:szCs w:val="21"/>
              </w:rPr>
            </w:pPr>
            <w:r>
              <w:rPr>
                <w:rFonts w:hint="eastAsia" w:ascii="宋体" w:hAnsi="宋体" w:eastAsia="宋体" w:cs="宋体"/>
                <w:szCs w:val="21"/>
              </w:rPr>
              <w:t>2000≤Y＜40000</w:t>
            </w:r>
          </w:p>
        </w:tc>
        <w:tc>
          <w:tcPr>
            <w:tcW w:w="1570" w:type="dxa"/>
            <w:tcBorders>
              <w:top w:val="nil"/>
              <w:left w:val="nil"/>
              <w:bottom w:val="single" w:color="auto" w:sz="4" w:space="0"/>
              <w:right w:val="single" w:color="auto" w:sz="4" w:space="0"/>
            </w:tcBorders>
            <w:noWrap w:val="0"/>
            <w:vAlign w:val="center"/>
          </w:tcPr>
          <w:p w14:paraId="4488EA58">
            <w:pPr>
              <w:widowControl/>
              <w:jc w:val="left"/>
              <w:rPr>
                <w:rFonts w:hint="eastAsia" w:ascii="宋体" w:hAnsi="宋体" w:eastAsia="宋体" w:cs="宋体"/>
                <w:szCs w:val="21"/>
              </w:rPr>
            </w:pPr>
            <w:r>
              <w:rPr>
                <w:rFonts w:hint="eastAsia" w:ascii="宋体" w:hAnsi="宋体" w:eastAsia="宋体" w:cs="宋体"/>
                <w:szCs w:val="21"/>
              </w:rPr>
              <w:t>300≤Y＜2000</w:t>
            </w:r>
          </w:p>
        </w:tc>
        <w:tc>
          <w:tcPr>
            <w:tcW w:w="1009" w:type="dxa"/>
            <w:tcBorders>
              <w:top w:val="nil"/>
              <w:left w:val="nil"/>
              <w:bottom w:val="single" w:color="auto" w:sz="4" w:space="0"/>
              <w:right w:val="single" w:color="auto" w:sz="4" w:space="0"/>
            </w:tcBorders>
            <w:noWrap w:val="0"/>
            <w:vAlign w:val="center"/>
          </w:tcPr>
          <w:p w14:paraId="7671336D">
            <w:pPr>
              <w:widowControl/>
              <w:jc w:val="left"/>
              <w:rPr>
                <w:rFonts w:hint="eastAsia" w:ascii="宋体" w:hAnsi="宋体" w:eastAsia="宋体" w:cs="宋体"/>
                <w:szCs w:val="21"/>
              </w:rPr>
            </w:pPr>
            <w:r>
              <w:rPr>
                <w:rFonts w:hint="eastAsia" w:ascii="宋体" w:hAnsi="宋体" w:eastAsia="宋体" w:cs="宋体"/>
                <w:szCs w:val="21"/>
              </w:rPr>
              <w:t>Y＜300</w:t>
            </w:r>
          </w:p>
        </w:tc>
      </w:tr>
      <w:tr w14:paraId="1BBC0EF9">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041480C6">
            <w:pPr>
              <w:widowControl/>
              <w:jc w:val="center"/>
              <w:rPr>
                <w:rFonts w:hint="eastAsia" w:ascii="宋体" w:hAnsi="宋体" w:eastAsia="宋体" w:cs="宋体"/>
                <w:szCs w:val="21"/>
              </w:rPr>
            </w:pPr>
            <w:r>
              <w:rPr>
                <w:rFonts w:hint="eastAsia" w:ascii="宋体" w:hAnsi="宋体" w:eastAsia="宋体" w:cs="宋体"/>
                <w:szCs w:val="21"/>
              </w:rPr>
              <w:t>建筑业</w:t>
            </w:r>
          </w:p>
        </w:tc>
        <w:tc>
          <w:tcPr>
            <w:tcW w:w="1701" w:type="dxa"/>
            <w:tcBorders>
              <w:top w:val="nil"/>
              <w:left w:val="nil"/>
              <w:bottom w:val="single" w:color="auto" w:sz="4" w:space="0"/>
              <w:right w:val="single" w:color="auto" w:sz="4" w:space="0"/>
            </w:tcBorders>
            <w:noWrap w:val="0"/>
            <w:vAlign w:val="center"/>
          </w:tcPr>
          <w:p w14:paraId="4BE01D67">
            <w:pPr>
              <w:widowControl/>
              <w:jc w:val="left"/>
              <w:rPr>
                <w:rFonts w:hint="eastAsia" w:ascii="宋体" w:hAnsi="宋体" w:eastAsia="宋体" w:cs="宋体"/>
                <w:szCs w:val="21"/>
              </w:rPr>
            </w:pPr>
            <w:r>
              <w:rPr>
                <w:rFonts w:hint="eastAsia" w:ascii="宋体" w:hAnsi="宋体" w:eastAsia="宋体" w:cs="宋体"/>
                <w:szCs w:val="21"/>
              </w:rPr>
              <w:t>营业收入（Y）</w:t>
            </w:r>
          </w:p>
        </w:tc>
        <w:tc>
          <w:tcPr>
            <w:tcW w:w="1134" w:type="dxa"/>
            <w:tcBorders>
              <w:top w:val="nil"/>
              <w:left w:val="nil"/>
              <w:bottom w:val="single" w:color="auto" w:sz="4" w:space="0"/>
              <w:right w:val="single" w:color="auto" w:sz="4" w:space="0"/>
            </w:tcBorders>
            <w:noWrap w:val="0"/>
            <w:vAlign w:val="center"/>
          </w:tcPr>
          <w:p w14:paraId="20192846">
            <w:pPr>
              <w:widowControl/>
              <w:jc w:val="left"/>
              <w:rPr>
                <w:rFonts w:hint="eastAsia" w:ascii="宋体" w:hAnsi="宋体" w:eastAsia="宋体" w:cs="宋体"/>
                <w:szCs w:val="21"/>
              </w:rPr>
            </w:pPr>
            <w:r>
              <w:rPr>
                <w:rFonts w:hint="eastAsia" w:ascii="宋体" w:hAnsi="宋体" w:eastAsia="宋体" w:cs="宋体"/>
                <w:szCs w:val="21"/>
              </w:rPr>
              <w:t>万元</w:t>
            </w:r>
          </w:p>
        </w:tc>
        <w:tc>
          <w:tcPr>
            <w:tcW w:w="1846" w:type="dxa"/>
            <w:tcBorders>
              <w:top w:val="nil"/>
              <w:left w:val="nil"/>
              <w:bottom w:val="single" w:color="auto" w:sz="4" w:space="0"/>
              <w:right w:val="single" w:color="auto" w:sz="4" w:space="0"/>
            </w:tcBorders>
            <w:noWrap w:val="0"/>
            <w:vAlign w:val="center"/>
          </w:tcPr>
          <w:p w14:paraId="44063C60">
            <w:pPr>
              <w:widowControl/>
              <w:jc w:val="left"/>
              <w:rPr>
                <w:rFonts w:hint="eastAsia" w:ascii="宋体" w:hAnsi="宋体" w:eastAsia="宋体" w:cs="宋体"/>
                <w:szCs w:val="21"/>
              </w:rPr>
            </w:pPr>
            <w:r>
              <w:rPr>
                <w:rFonts w:hint="eastAsia" w:ascii="宋体" w:hAnsi="宋体" w:eastAsia="宋体" w:cs="宋体"/>
                <w:szCs w:val="21"/>
              </w:rPr>
              <w:t>6000≤Y＜80000</w:t>
            </w:r>
          </w:p>
        </w:tc>
        <w:tc>
          <w:tcPr>
            <w:tcW w:w="1570" w:type="dxa"/>
            <w:tcBorders>
              <w:top w:val="nil"/>
              <w:left w:val="nil"/>
              <w:bottom w:val="single" w:color="auto" w:sz="4" w:space="0"/>
              <w:right w:val="single" w:color="auto" w:sz="4" w:space="0"/>
            </w:tcBorders>
            <w:noWrap w:val="0"/>
            <w:vAlign w:val="center"/>
          </w:tcPr>
          <w:p w14:paraId="5D1EEF56">
            <w:pPr>
              <w:widowControl/>
              <w:jc w:val="left"/>
              <w:rPr>
                <w:rFonts w:hint="eastAsia" w:ascii="宋体" w:hAnsi="宋体" w:eastAsia="宋体" w:cs="宋体"/>
                <w:szCs w:val="21"/>
              </w:rPr>
            </w:pPr>
            <w:r>
              <w:rPr>
                <w:rFonts w:hint="eastAsia" w:ascii="宋体" w:hAnsi="宋体" w:eastAsia="宋体" w:cs="宋体"/>
                <w:szCs w:val="21"/>
              </w:rPr>
              <w:t>300≤Y＜6000</w:t>
            </w:r>
          </w:p>
        </w:tc>
        <w:tc>
          <w:tcPr>
            <w:tcW w:w="1009" w:type="dxa"/>
            <w:tcBorders>
              <w:top w:val="nil"/>
              <w:left w:val="nil"/>
              <w:bottom w:val="single" w:color="auto" w:sz="4" w:space="0"/>
              <w:right w:val="single" w:color="auto" w:sz="4" w:space="0"/>
            </w:tcBorders>
            <w:noWrap w:val="0"/>
            <w:vAlign w:val="center"/>
          </w:tcPr>
          <w:p w14:paraId="155FC36C">
            <w:pPr>
              <w:widowControl/>
              <w:jc w:val="left"/>
              <w:rPr>
                <w:rFonts w:hint="eastAsia" w:ascii="宋体" w:hAnsi="宋体" w:eastAsia="宋体" w:cs="宋体"/>
                <w:szCs w:val="21"/>
              </w:rPr>
            </w:pPr>
            <w:r>
              <w:rPr>
                <w:rFonts w:hint="eastAsia" w:ascii="宋体" w:hAnsi="宋体" w:eastAsia="宋体" w:cs="宋体"/>
                <w:szCs w:val="21"/>
              </w:rPr>
              <w:t>Y＜300</w:t>
            </w:r>
          </w:p>
        </w:tc>
      </w:tr>
      <w:tr w14:paraId="46E3BA0E">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5FF082E4">
            <w:pPr>
              <w:widowControl/>
              <w:jc w:val="left"/>
              <w:rPr>
                <w:rFonts w:hint="eastAsia" w:ascii="宋体" w:hAnsi="宋体" w:eastAsia="宋体" w:cs="宋体"/>
                <w:szCs w:val="21"/>
              </w:rPr>
            </w:pPr>
          </w:p>
        </w:tc>
        <w:tc>
          <w:tcPr>
            <w:tcW w:w="1701" w:type="dxa"/>
            <w:tcBorders>
              <w:top w:val="nil"/>
              <w:left w:val="nil"/>
              <w:bottom w:val="single" w:color="auto" w:sz="4" w:space="0"/>
              <w:right w:val="single" w:color="auto" w:sz="4" w:space="0"/>
            </w:tcBorders>
            <w:noWrap w:val="0"/>
            <w:vAlign w:val="center"/>
          </w:tcPr>
          <w:p w14:paraId="40CFD5B7">
            <w:pPr>
              <w:widowControl/>
              <w:jc w:val="left"/>
              <w:rPr>
                <w:rFonts w:hint="eastAsia" w:ascii="宋体" w:hAnsi="宋体" w:eastAsia="宋体" w:cs="宋体"/>
                <w:szCs w:val="21"/>
              </w:rPr>
            </w:pPr>
            <w:r>
              <w:rPr>
                <w:rFonts w:hint="eastAsia" w:ascii="宋体" w:hAnsi="宋体" w:eastAsia="宋体" w:cs="宋体"/>
                <w:szCs w:val="21"/>
              </w:rPr>
              <w:t>资产总额（Z）</w:t>
            </w:r>
          </w:p>
        </w:tc>
        <w:tc>
          <w:tcPr>
            <w:tcW w:w="1134" w:type="dxa"/>
            <w:tcBorders>
              <w:top w:val="nil"/>
              <w:left w:val="nil"/>
              <w:bottom w:val="single" w:color="auto" w:sz="4" w:space="0"/>
              <w:right w:val="single" w:color="auto" w:sz="4" w:space="0"/>
            </w:tcBorders>
            <w:noWrap w:val="0"/>
            <w:vAlign w:val="center"/>
          </w:tcPr>
          <w:p w14:paraId="2229DA77">
            <w:pPr>
              <w:widowControl/>
              <w:jc w:val="left"/>
              <w:rPr>
                <w:rFonts w:hint="eastAsia" w:ascii="宋体" w:hAnsi="宋体" w:eastAsia="宋体" w:cs="宋体"/>
                <w:szCs w:val="21"/>
              </w:rPr>
            </w:pPr>
            <w:r>
              <w:rPr>
                <w:rFonts w:hint="eastAsia" w:ascii="宋体" w:hAnsi="宋体" w:eastAsia="宋体" w:cs="宋体"/>
                <w:szCs w:val="21"/>
              </w:rPr>
              <w:t>万元</w:t>
            </w:r>
          </w:p>
        </w:tc>
        <w:tc>
          <w:tcPr>
            <w:tcW w:w="1846" w:type="dxa"/>
            <w:tcBorders>
              <w:top w:val="nil"/>
              <w:left w:val="nil"/>
              <w:bottom w:val="single" w:color="auto" w:sz="4" w:space="0"/>
              <w:right w:val="single" w:color="auto" w:sz="4" w:space="0"/>
            </w:tcBorders>
            <w:noWrap w:val="0"/>
            <w:vAlign w:val="center"/>
          </w:tcPr>
          <w:p w14:paraId="627D21A2">
            <w:pPr>
              <w:widowControl/>
              <w:jc w:val="left"/>
              <w:rPr>
                <w:rFonts w:hint="eastAsia" w:ascii="宋体" w:hAnsi="宋体" w:eastAsia="宋体" w:cs="宋体"/>
                <w:szCs w:val="21"/>
              </w:rPr>
            </w:pPr>
            <w:r>
              <w:rPr>
                <w:rFonts w:hint="eastAsia" w:ascii="宋体" w:hAnsi="宋体" w:eastAsia="宋体" w:cs="宋体"/>
                <w:szCs w:val="21"/>
              </w:rPr>
              <w:t>5000≤Z＜80000</w:t>
            </w:r>
          </w:p>
        </w:tc>
        <w:tc>
          <w:tcPr>
            <w:tcW w:w="1570" w:type="dxa"/>
            <w:tcBorders>
              <w:top w:val="nil"/>
              <w:left w:val="nil"/>
              <w:bottom w:val="single" w:color="auto" w:sz="4" w:space="0"/>
              <w:right w:val="single" w:color="auto" w:sz="4" w:space="0"/>
            </w:tcBorders>
            <w:noWrap w:val="0"/>
            <w:vAlign w:val="center"/>
          </w:tcPr>
          <w:p w14:paraId="17EF86E7">
            <w:pPr>
              <w:widowControl/>
              <w:jc w:val="left"/>
              <w:rPr>
                <w:rFonts w:hint="eastAsia" w:ascii="宋体" w:hAnsi="宋体" w:eastAsia="宋体" w:cs="宋体"/>
                <w:szCs w:val="21"/>
              </w:rPr>
            </w:pPr>
            <w:r>
              <w:rPr>
                <w:rFonts w:hint="eastAsia" w:ascii="宋体" w:hAnsi="宋体" w:eastAsia="宋体" w:cs="宋体"/>
                <w:szCs w:val="21"/>
              </w:rPr>
              <w:t>300≤Z＜5000</w:t>
            </w:r>
          </w:p>
        </w:tc>
        <w:tc>
          <w:tcPr>
            <w:tcW w:w="1009" w:type="dxa"/>
            <w:tcBorders>
              <w:top w:val="nil"/>
              <w:left w:val="nil"/>
              <w:bottom w:val="single" w:color="auto" w:sz="4" w:space="0"/>
              <w:right w:val="single" w:color="auto" w:sz="4" w:space="0"/>
            </w:tcBorders>
            <w:noWrap w:val="0"/>
            <w:vAlign w:val="center"/>
          </w:tcPr>
          <w:p w14:paraId="14CA10E7">
            <w:pPr>
              <w:widowControl/>
              <w:jc w:val="left"/>
              <w:rPr>
                <w:rFonts w:hint="eastAsia" w:ascii="宋体" w:hAnsi="宋体" w:eastAsia="宋体" w:cs="宋体"/>
                <w:szCs w:val="21"/>
              </w:rPr>
            </w:pPr>
            <w:r>
              <w:rPr>
                <w:rFonts w:hint="eastAsia" w:ascii="宋体" w:hAnsi="宋体" w:eastAsia="宋体" w:cs="宋体"/>
                <w:szCs w:val="21"/>
              </w:rPr>
              <w:t>Z＜300</w:t>
            </w:r>
          </w:p>
        </w:tc>
      </w:tr>
      <w:tr w14:paraId="446EDF1D">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1692D8E7">
            <w:pPr>
              <w:widowControl/>
              <w:ind w:firstLine="315" w:firstLineChars="150"/>
              <w:rPr>
                <w:rFonts w:hint="eastAsia" w:ascii="宋体" w:hAnsi="宋体" w:eastAsia="宋体" w:cs="宋体"/>
                <w:szCs w:val="21"/>
              </w:rPr>
            </w:pPr>
            <w:r>
              <w:rPr>
                <w:rFonts w:hint="eastAsia" w:ascii="宋体" w:hAnsi="宋体" w:eastAsia="宋体" w:cs="宋体"/>
                <w:szCs w:val="21"/>
              </w:rPr>
              <w:t>批发业</w:t>
            </w:r>
          </w:p>
        </w:tc>
        <w:tc>
          <w:tcPr>
            <w:tcW w:w="1701" w:type="dxa"/>
            <w:tcBorders>
              <w:top w:val="nil"/>
              <w:left w:val="nil"/>
              <w:bottom w:val="single" w:color="auto" w:sz="4" w:space="0"/>
              <w:right w:val="single" w:color="auto" w:sz="4" w:space="0"/>
            </w:tcBorders>
            <w:noWrap w:val="0"/>
            <w:vAlign w:val="center"/>
          </w:tcPr>
          <w:p w14:paraId="09E9B43B">
            <w:pPr>
              <w:widowControl/>
              <w:jc w:val="left"/>
              <w:rPr>
                <w:rFonts w:hint="eastAsia" w:ascii="宋体" w:hAnsi="宋体" w:eastAsia="宋体" w:cs="宋体"/>
                <w:szCs w:val="21"/>
              </w:rPr>
            </w:pPr>
            <w:r>
              <w:rPr>
                <w:rFonts w:hint="eastAsia" w:ascii="宋体" w:hAnsi="宋体" w:eastAsia="宋体" w:cs="宋体"/>
                <w:szCs w:val="21"/>
              </w:rPr>
              <w:t>从业人员（X）</w:t>
            </w:r>
          </w:p>
        </w:tc>
        <w:tc>
          <w:tcPr>
            <w:tcW w:w="1134" w:type="dxa"/>
            <w:tcBorders>
              <w:top w:val="nil"/>
              <w:left w:val="nil"/>
              <w:bottom w:val="single" w:color="auto" w:sz="4" w:space="0"/>
              <w:right w:val="single" w:color="auto" w:sz="4" w:space="0"/>
            </w:tcBorders>
            <w:noWrap w:val="0"/>
            <w:vAlign w:val="center"/>
          </w:tcPr>
          <w:p w14:paraId="52127F74">
            <w:pPr>
              <w:widowControl/>
              <w:jc w:val="left"/>
              <w:rPr>
                <w:rFonts w:hint="eastAsia" w:ascii="宋体" w:hAnsi="宋体" w:eastAsia="宋体" w:cs="宋体"/>
                <w:szCs w:val="21"/>
              </w:rPr>
            </w:pPr>
            <w:r>
              <w:rPr>
                <w:rFonts w:hint="eastAsia" w:ascii="宋体" w:hAnsi="宋体" w:eastAsia="宋体" w:cs="宋体"/>
                <w:szCs w:val="21"/>
              </w:rPr>
              <w:t>人</w:t>
            </w:r>
          </w:p>
        </w:tc>
        <w:tc>
          <w:tcPr>
            <w:tcW w:w="1846" w:type="dxa"/>
            <w:tcBorders>
              <w:top w:val="nil"/>
              <w:left w:val="nil"/>
              <w:bottom w:val="single" w:color="auto" w:sz="4" w:space="0"/>
              <w:right w:val="single" w:color="auto" w:sz="4" w:space="0"/>
            </w:tcBorders>
            <w:noWrap w:val="0"/>
            <w:vAlign w:val="center"/>
          </w:tcPr>
          <w:p w14:paraId="03E9A250">
            <w:pPr>
              <w:widowControl/>
              <w:jc w:val="left"/>
              <w:rPr>
                <w:rFonts w:hint="eastAsia" w:ascii="宋体" w:hAnsi="宋体" w:eastAsia="宋体" w:cs="宋体"/>
                <w:szCs w:val="21"/>
              </w:rPr>
            </w:pPr>
            <w:r>
              <w:rPr>
                <w:rFonts w:hint="eastAsia" w:ascii="宋体" w:hAnsi="宋体" w:eastAsia="宋体" w:cs="宋体"/>
                <w:szCs w:val="21"/>
              </w:rPr>
              <w:t>20≤X＜200</w:t>
            </w:r>
          </w:p>
        </w:tc>
        <w:tc>
          <w:tcPr>
            <w:tcW w:w="1570" w:type="dxa"/>
            <w:tcBorders>
              <w:top w:val="nil"/>
              <w:left w:val="nil"/>
              <w:bottom w:val="single" w:color="auto" w:sz="4" w:space="0"/>
              <w:right w:val="single" w:color="auto" w:sz="4" w:space="0"/>
            </w:tcBorders>
            <w:noWrap w:val="0"/>
            <w:vAlign w:val="center"/>
          </w:tcPr>
          <w:p w14:paraId="18F5BFBC">
            <w:pPr>
              <w:widowControl/>
              <w:jc w:val="left"/>
              <w:rPr>
                <w:rFonts w:hint="eastAsia" w:ascii="宋体" w:hAnsi="宋体" w:eastAsia="宋体" w:cs="宋体"/>
                <w:szCs w:val="21"/>
              </w:rPr>
            </w:pPr>
            <w:r>
              <w:rPr>
                <w:rFonts w:hint="eastAsia" w:ascii="宋体" w:hAnsi="宋体" w:eastAsia="宋体" w:cs="宋体"/>
                <w:szCs w:val="21"/>
              </w:rPr>
              <w:t>5≤X＜20</w:t>
            </w:r>
          </w:p>
        </w:tc>
        <w:tc>
          <w:tcPr>
            <w:tcW w:w="1009" w:type="dxa"/>
            <w:tcBorders>
              <w:top w:val="nil"/>
              <w:left w:val="nil"/>
              <w:bottom w:val="single" w:color="auto" w:sz="4" w:space="0"/>
              <w:right w:val="single" w:color="auto" w:sz="4" w:space="0"/>
            </w:tcBorders>
            <w:noWrap w:val="0"/>
            <w:vAlign w:val="center"/>
          </w:tcPr>
          <w:p w14:paraId="3BD8191F">
            <w:pPr>
              <w:widowControl/>
              <w:jc w:val="left"/>
              <w:rPr>
                <w:rFonts w:hint="eastAsia" w:ascii="宋体" w:hAnsi="宋体" w:eastAsia="宋体" w:cs="宋体"/>
                <w:szCs w:val="21"/>
              </w:rPr>
            </w:pPr>
            <w:r>
              <w:rPr>
                <w:rFonts w:hint="eastAsia" w:ascii="宋体" w:hAnsi="宋体" w:eastAsia="宋体" w:cs="宋体"/>
                <w:szCs w:val="21"/>
              </w:rPr>
              <w:t>X＜5</w:t>
            </w:r>
          </w:p>
        </w:tc>
      </w:tr>
      <w:tr w14:paraId="3CD568FE">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31C7714F">
            <w:pPr>
              <w:widowControl/>
              <w:jc w:val="left"/>
              <w:rPr>
                <w:rFonts w:hint="eastAsia" w:ascii="宋体" w:hAnsi="宋体" w:eastAsia="宋体" w:cs="宋体"/>
                <w:szCs w:val="21"/>
              </w:rPr>
            </w:pPr>
          </w:p>
        </w:tc>
        <w:tc>
          <w:tcPr>
            <w:tcW w:w="1701" w:type="dxa"/>
            <w:tcBorders>
              <w:top w:val="nil"/>
              <w:left w:val="nil"/>
              <w:bottom w:val="single" w:color="auto" w:sz="4" w:space="0"/>
              <w:right w:val="single" w:color="auto" w:sz="4" w:space="0"/>
            </w:tcBorders>
            <w:noWrap w:val="0"/>
            <w:vAlign w:val="center"/>
          </w:tcPr>
          <w:p w14:paraId="0BB40242">
            <w:pPr>
              <w:widowControl/>
              <w:jc w:val="left"/>
              <w:rPr>
                <w:rFonts w:hint="eastAsia" w:ascii="宋体" w:hAnsi="宋体" w:eastAsia="宋体" w:cs="宋体"/>
                <w:szCs w:val="21"/>
              </w:rPr>
            </w:pPr>
            <w:r>
              <w:rPr>
                <w:rFonts w:hint="eastAsia" w:ascii="宋体" w:hAnsi="宋体" w:eastAsia="宋体" w:cs="宋体"/>
                <w:szCs w:val="21"/>
              </w:rPr>
              <w:t>营业收入（Y）</w:t>
            </w:r>
          </w:p>
        </w:tc>
        <w:tc>
          <w:tcPr>
            <w:tcW w:w="1134" w:type="dxa"/>
            <w:tcBorders>
              <w:top w:val="nil"/>
              <w:left w:val="nil"/>
              <w:bottom w:val="single" w:color="auto" w:sz="4" w:space="0"/>
              <w:right w:val="single" w:color="auto" w:sz="4" w:space="0"/>
            </w:tcBorders>
            <w:noWrap w:val="0"/>
            <w:vAlign w:val="center"/>
          </w:tcPr>
          <w:p w14:paraId="61D660F5">
            <w:pPr>
              <w:widowControl/>
              <w:jc w:val="left"/>
              <w:rPr>
                <w:rFonts w:hint="eastAsia" w:ascii="宋体" w:hAnsi="宋体" w:eastAsia="宋体" w:cs="宋体"/>
                <w:szCs w:val="21"/>
              </w:rPr>
            </w:pPr>
            <w:r>
              <w:rPr>
                <w:rFonts w:hint="eastAsia" w:ascii="宋体" w:hAnsi="宋体" w:eastAsia="宋体" w:cs="宋体"/>
                <w:szCs w:val="21"/>
              </w:rPr>
              <w:t>万元</w:t>
            </w:r>
          </w:p>
        </w:tc>
        <w:tc>
          <w:tcPr>
            <w:tcW w:w="1846" w:type="dxa"/>
            <w:tcBorders>
              <w:top w:val="nil"/>
              <w:left w:val="nil"/>
              <w:bottom w:val="single" w:color="auto" w:sz="4" w:space="0"/>
              <w:right w:val="single" w:color="auto" w:sz="4" w:space="0"/>
            </w:tcBorders>
            <w:noWrap w:val="0"/>
            <w:vAlign w:val="center"/>
          </w:tcPr>
          <w:p w14:paraId="097E5F83">
            <w:pPr>
              <w:widowControl/>
              <w:jc w:val="left"/>
              <w:rPr>
                <w:rFonts w:hint="eastAsia" w:ascii="宋体" w:hAnsi="宋体" w:eastAsia="宋体" w:cs="宋体"/>
                <w:szCs w:val="21"/>
              </w:rPr>
            </w:pPr>
            <w:r>
              <w:rPr>
                <w:rFonts w:hint="eastAsia" w:ascii="宋体" w:hAnsi="宋体" w:eastAsia="宋体" w:cs="宋体"/>
                <w:szCs w:val="21"/>
              </w:rPr>
              <w:t>5000≤Y＜40000</w:t>
            </w:r>
          </w:p>
        </w:tc>
        <w:tc>
          <w:tcPr>
            <w:tcW w:w="1570" w:type="dxa"/>
            <w:tcBorders>
              <w:top w:val="nil"/>
              <w:left w:val="nil"/>
              <w:bottom w:val="single" w:color="auto" w:sz="4" w:space="0"/>
              <w:right w:val="single" w:color="auto" w:sz="4" w:space="0"/>
            </w:tcBorders>
            <w:noWrap w:val="0"/>
            <w:vAlign w:val="center"/>
          </w:tcPr>
          <w:p w14:paraId="57A26344">
            <w:pPr>
              <w:widowControl/>
              <w:jc w:val="left"/>
              <w:rPr>
                <w:rFonts w:hint="eastAsia" w:ascii="宋体" w:hAnsi="宋体" w:eastAsia="宋体" w:cs="宋体"/>
                <w:szCs w:val="21"/>
              </w:rPr>
            </w:pPr>
            <w:r>
              <w:rPr>
                <w:rFonts w:hint="eastAsia" w:ascii="宋体" w:hAnsi="宋体" w:eastAsia="宋体" w:cs="宋体"/>
                <w:szCs w:val="21"/>
              </w:rPr>
              <w:t>1000≤Y＜5000</w:t>
            </w:r>
          </w:p>
        </w:tc>
        <w:tc>
          <w:tcPr>
            <w:tcW w:w="1009" w:type="dxa"/>
            <w:tcBorders>
              <w:top w:val="nil"/>
              <w:left w:val="nil"/>
              <w:bottom w:val="single" w:color="auto" w:sz="4" w:space="0"/>
              <w:right w:val="single" w:color="auto" w:sz="4" w:space="0"/>
            </w:tcBorders>
            <w:noWrap w:val="0"/>
            <w:vAlign w:val="center"/>
          </w:tcPr>
          <w:p w14:paraId="02D49E31">
            <w:pPr>
              <w:widowControl/>
              <w:jc w:val="left"/>
              <w:rPr>
                <w:rFonts w:hint="eastAsia" w:ascii="宋体" w:hAnsi="宋体" w:eastAsia="宋体" w:cs="宋体"/>
                <w:szCs w:val="21"/>
              </w:rPr>
            </w:pPr>
            <w:r>
              <w:rPr>
                <w:rFonts w:hint="eastAsia" w:ascii="宋体" w:hAnsi="宋体" w:eastAsia="宋体" w:cs="宋体"/>
                <w:szCs w:val="21"/>
              </w:rPr>
              <w:t>Y＜1000</w:t>
            </w:r>
          </w:p>
        </w:tc>
      </w:tr>
      <w:tr w14:paraId="1E5AD5F8">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32B64620">
            <w:pPr>
              <w:widowControl/>
              <w:jc w:val="center"/>
              <w:rPr>
                <w:rFonts w:hint="eastAsia" w:ascii="宋体" w:hAnsi="宋体" w:eastAsia="宋体" w:cs="宋体"/>
                <w:szCs w:val="21"/>
              </w:rPr>
            </w:pPr>
            <w:r>
              <w:rPr>
                <w:rFonts w:hint="eastAsia" w:ascii="宋体" w:hAnsi="宋体" w:eastAsia="宋体" w:cs="宋体"/>
                <w:szCs w:val="21"/>
              </w:rPr>
              <w:t>零售业</w:t>
            </w:r>
          </w:p>
        </w:tc>
        <w:tc>
          <w:tcPr>
            <w:tcW w:w="1701" w:type="dxa"/>
            <w:tcBorders>
              <w:top w:val="nil"/>
              <w:left w:val="nil"/>
              <w:bottom w:val="single" w:color="auto" w:sz="4" w:space="0"/>
              <w:right w:val="single" w:color="auto" w:sz="4" w:space="0"/>
            </w:tcBorders>
            <w:noWrap w:val="0"/>
            <w:vAlign w:val="center"/>
          </w:tcPr>
          <w:p w14:paraId="151781B6">
            <w:pPr>
              <w:widowControl/>
              <w:jc w:val="left"/>
              <w:rPr>
                <w:rFonts w:hint="eastAsia" w:ascii="宋体" w:hAnsi="宋体" w:eastAsia="宋体" w:cs="宋体"/>
                <w:szCs w:val="21"/>
              </w:rPr>
            </w:pPr>
            <w:r>
              <w:rPr>
                <w:rFonts w:hint="eastAsia" w:ascii="宋体" w:hAnsi="宋体" w:eastAsia="宋体" w:cs="宋体"/>
                <w:szCs w:val="21"/>
              </w:rPr>
              <w:t>从业人员（X）</w:t>
            </w:r>
          </w:p>
        </w:tc>
        <w:tc>
          <w:tcPr>
            <w:tcW w:w="1134" w:type="dxa"/>
            <w:tcBorders>
              <w:top w:val="nil"/>
              <w:left w:val="nil"/>
              <w:bottom w:val="single" w:color="auto" w:sz="4" w:space="0"/>
              <w:right w:val="single" w:color="auto" w:sz="4" w:space="0"/>
            </w:tcBorders>
            <w:noWrap w:val="0"/>
            <w:vAlign w:val="center"/>
          </w:tcPr>
          <w:p w14:paraId="6F01E80E">
            <w:pPr>
              <w:widowControl/>
              <w:jc w:val="left"/>
              <w:rPr>
                <w:rFonts w:hint="eastAsia" w:ascii="宋体" w:hAnsi="宋体" w:eastAsia="宋体" w:cs="宋体"/>
                <w:szCs w:val="21"/>
              </w:rPr>
            </w:pPr>
            <w:r>
              <w:rPr>
                <w:rFonts w:hint="eastAsia" w:ascii="宋体" w:hAnsi="宋体" w:eastAsia="宋体" w:cs="宋体"/>
                <w:szCs w:val="21"/>
              </w:rPr>
              <w:t>人</w:t>
            </w:r>
          </w:p>
        </w:tc>
        <w:tc>
          <w:tcPr>
            <w:tcW w:w="1846" w:type="dxa"/>
            <w:tcBorders>
              <w:top w:val="nil"/>
              <w:left w:val="nil"/>
              <w:bottom w:val="single" w:color="auto" w:sz="4" w:space="0"/>
              <w:right w:val="single" w:color="auto" w:sz="4" w:space="0"/>
            </w:tcBorders>
            <w:noWrap w:val="0"/>
            <w:vAlign w:val="center"/>
          </w:tcPr>
          <w:p w14:paraId="559F4F01">
            <w:pPr>
              <w:widowControl/>
              <w:jc w:val="left"/>
              <w:rPr>
                <w:rFonts w:hint="eastAsia" w:ascii="宋体" w:hAnsi="宋体" w:eastAsia="宋体" w:cs="宋体"/>
                <w:szCs w:val="21"/>
              </w:rPr>
            </w:pPr>
            <w:r>
              <w:rPr>
                <w:rFonts w:hint="eastAsia" w:ascii="宋体" w:hAnsi="宋体" w:eastAsia="宋体" w:cs="宋体"/>
                <w:szCs w:val="21"/>
              </w:rPr>
              <w:t>50≤X＜300</w:t>
            </w:r>
          </w:p>
        </w:tc>
        <w:tc>
          <w:tcPr>
            <w:tcW w:w="1570" w:type="dxa"/>
            <w:tcBorders>
              <w:top w:val="nil"/>
              <w:left w:val="nil"/>
              <w:bottom w:val="single" w:color="auto" w:sz="4" w:space="0"/>
              <w:right w:val="single" w:color="auto" w:sz="4" w:space="0"/>
            </w:tcBorders>
            <w:noWrap w:val="0"/>
            <w:vAlign w:val="center"/>
          </w:tcPr>
          <w:p w14:paraId="19DB4625">
            <w:pPr>
              <w:widowControl/>
              <w:jc w:val="left"/>
              <w:rPr>
                <w:rFonts w:hint="eastAsia" w:ascii="宋体" w:hAnsi="宋体" w:eastAsia="宋体" w:cs="宋体"/>
                <w:szCs w:val="21"/>
              </w:rPr>
            </w:pPr>
            <w:r>
              <w:rPr>
                <w:rFonts w:hint="eastAsia" w:ascii="宋体" w:hAnsi="宋体" w:eastAsia="宋体" w:cs="宋体"/>
                <w:szCs w:val="21"/>
              </w:rPr>
              <w:t>10≤X＜50</w:t>
            </w:r>
          </w:p>
        </w:tc>
        <w:tc>
          <w:tcPr>
            <w:tcW w:w="1009" w:type="dxa"/>
            <w:tcBorders>
              <w:top w:val="nil"/>
              <w:left w:val="nil"/>
              <w:bottom w:val="single" w:color="auto" w:sz="4" w:space="0"/>
              <w:right w:val="single" w:color="auto" w:sz="4" w:space="0"/>
            </w:tcBorders>
            <w:noWrap w:val="0"/>
            <w:vAlign w:val="center"/>
          </w:tcPr>
          <w:p w14:paraId="7543A198">
            <w:pPr>
              <w:widowControl/>
              <w:jc w:val="left"/>
              <w:rPr>
                <w:rFonts w:hint="eastAsia" w:ascii="宋体" w:hAnsi="宋体" w:eastAsia="宋体" w:cs="宋体"/>
                <w:szCs w:val="21"/>
              </w:rPr>
            </w:pPr>
            <w:r>
              <w:rPr>
                <w:rFonts w:hint="eastAsia" w:ascii="宋体" w:hAnsi="宋体" w:eastAsia="宋体" w:cs="宋体"/>
                <w:szCs w:val="21"/>
              </w:rPr>
              <w:t>X＜10</w:t>
            </w:r>
          </w:p>
        </w:tc>
      </w:tr>
      <w:tr w14:paraId="79A473C3">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7F454537">
            <w:pPr>
              <w:widowControl/>
              <w:jc w:val="left"/>
              <w:rPr>
                <w:rFonts w:hint="eastAsia" w:ascii="宋体" w:hAnsi="宋体" w:eastAsia="宋体" w:cs="宋体"/>
                <w:szCs w:val="21"/>
              </w:rPr>
            </w:pPr>
          </w:p>
        </w:tc>
        <w:tc>
          <w:tcPr>
            <w:tcW w:w="1701" w:type="dxa"/>
            <w:tcBorders>
              <w:top w:val="nil"/>
              <w:left w:val="nil"/>
              <w:bottom w:val="single" w:color="auto" w:sz="4" w:space="0"/>
              <w:right w:val="single" w:color="auto" w:sz="4" w:space="0"/>
            </w:tcBorders>
            <w:noWrap w:val="0"/>
            <w:vAlign w:val="center"/>
          </w:tcPr>
          <w:p w14:paraId="7AE28C9B">
            <w:pPr>
              <w:widowControl/>
              <w:jc w:val="left"/>
              <w:rPr>
                <w:rFonts w:hint="eastAsia" w:ascii="宋体" w:hAnsi="宋体" w:eastAsia="宋体" w:cs="宋体"/>
                <w:szCs w:val="21"/>
              </w:rPr>
            </w:pPr>
            <w:r>
              <w:rPr>
                <w:rFonts w:hint="eastAsia" w:ascii="宋体" w:hAnsi="宋体" w:eastAsia="宋体" w:cs="宋体"/>
                <w:szCs w:val="21"/>
              </w:rPr>
              <w:t>营业收入（Y）</w:t>
            </w:r>
          </w:p>
        </w:tc>
        <w:tc>
          <w:tcPr>
            <w:tcW w:w="1134" w:type="dxa"/>
            <w:tcBorders>
              <w:top w:val="nil"/>
              <w:left w:val="nil"/>
              <w:bottom w:val="single" w:color="auto" w:sz="4" w:space="0"/>
              <w:right w:val="single" w:color="auto" w:sz="4" w:space="0"/>
            </w:tcBorders>
            <w:noWrap w:val="0"/>
            <w:vAlign w:val="center"/>
          </w:tcPr>
          <w:p w14:paraId="17EEFDEE">
            <w:pPr>
              <w:widowControl/>
              <w:jc w:val="left"/>
              <w:rPr>
                <w:rFonts w:hint="eastAsia" w:ascii="宋体" w:hAnsi="宋体" w:eastAsia="宋体" w:cs="宋体"/>
                <w:szCs w:val="21"/>
              </w:rPr>
            </w:pPr>
            <w:r>
              <w:rPr>
                <w:rFonts w:hint="eastAsia" w:ascii="宋体" w:hAnsi="宋体" w:eastAsia="宋体" w:cs="宋体"/>
                <w:szCs w:val="21"/>
              </w:rPr>
              <w:t>万元</w:t>
            </w:r>
          </w:p>
        </w:tc>
        <w:tc>
          <w:tcPr>
            <w:tcW w:w="1846" w:type="dxa"/>
            <w:tcBorders>
              <w:top w:val="nil"/>
              <w:left w:val="nil"/>
              <w:bottom w:val="single" w:color="auto" w:sz="4" w:space="0"/>
              <w:right w:val="single" w:color="auto" w:sz="4" w:space="0"/>
            </w:tcBorders>
            <w:noWrap w:val="0"/>
            <w:vAlign w:val="center"/>
          </w:tcPr>
          <w:p w14:paraId="34A95FD5">
            <w:pPr>
              <w:widowControl/>
              <w:jc w:val="left"/>
              <w:rPr>
                <w:rFonts w:hint="eastAsia" w:ascii="宋体" w:hAnsi="宋体" w:eastAsia="宋体" w:cs="宋体"/>
                <w:szCs w:val="21"/>
              </w:rPr>
            </w:pPr>
            <w:r>
              <w:rPr>
                <w:rFonts w:hint="eastAsia" w:ascii="宋体" w:hAnsi="宋体" w:eastAsia="宋体" w:cs="宋体"/>
                <w:szCs w:val="21"/>
              </w:rPr>
              <w:t>500≤Y＜20000</w:t>
            </w:r>
          </w:p>
        </w:tc>
        <w:tc>
          <w:tcPr>
            <w:tcW w:w="1570" w:type="dxa"/>
            <w:tcBorders>
              <w:top w:val="nil"/>
              <w:left w:val="nil"/>
              <w:bottom w:val="single" w:color="auto" w:sz="4" w:space="0"/>
              <w:right w:val="single" w:color="auto" w:sz="4" w:space="0"/>
            </w:tcBorders>
            <w:noWrap w:val="0"/>
            <w:vAlign w:val="center"/>
          </w:tcPr>
          <w:p w14:paraId="6F7938F7">
            <w:pPr>
              <w:widowControl/>
              <w:jc w:val="left"/>
              <w:rPr>
                <w:rFonts w:hint="eastAsia" w:ascii="宋体" w:hAnsi="宋体" w:eastAsia="宋体" w:cs="宋体"/>
                <w:szCs w:val="21"/>
              </w:rPr>
            </w:pPr>
            <w:r>
              <w:rPr>
                <w:rFonts w:hint="eastAsia" w:ascii="宋体" w:hAnsi="宋体" w:eastAsia="宋体" w:cs="宋体"/>
                <w:szCs w:val="21"/>
              </w:rPr>
              <w:t>100≤Y＜500</w:t>
            </w:r>
          </w:p>
        </w:tc>
        <w:tc>
          <w:tcPr>
            <w:tcW w:w="1009" w:type="dxa"/>
            <w:tcBorders>
              <w:top w:val="nil"/>
              <w:left w:val="nil"/>
              <w:bottom w:val="single" w:color="auto" w:sz="4" w:space="0"/>
              <w:right w:val="single" w:color="auto" w:sz="4" w:space="0"/>
            </w:tcBorders>
            <w:noWrap w:val="0"/>
            <w:vAlign w:val="center"/>
          </w:tcPr>
          <w:p w14:paraId="17F87382">
            <w:pPr>
              <w:widowControl/>
              <w:jc w:val="left"/>
              <w:rPr>
                <w:rFonts w:hint="eastAsia" w:ascii="宋体" w:hAnsi="宋体" w:eastAsia="宋体" w:cs="宋体"/>
                <w:szCs w:val="21"/>
              </w:rPr>
            </w:pPr>
            <w:r>
              <w:rPr>
                <w:rFonts w:hint="eastAsia" w:ascii="宋体" w:hAnsi="宋体" w:eastAsia="宋体" w:cs="宋体"/>
                <w:szCs w:val="21"/>
              </w:rPr>
              <w:t>Y＜100</w:t>
            </w:r>
          </w:p>
        </w:tc>
      </w:tr>
      <w:tr w14:paraId="08FF01E4">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2A118608">
            <w:pPr>
              <w:widowControl/>
              <w:jc w:val="center"/>
              <w:rPr>
                <w:rFonts w:hint="eastAsia" w:ascii="宋体" w:hAnsi="宋体" w:eastAsia="宋体" w:cs="宋体"/>
                <w:szCs w:val="21"/>
              </w:rPr>
            </w:pPr>
            <w:r>
              <w:rPr>
                <w:rFonts w:hint="eastAsia" w:ascii="宋体" w:hAnsi="宋体" w:eastAsia="宋体" w:cs="宋体"/>
                <w:szCs w:val="21"/>
              </w:rPr>
              <w:t>交通运输业</w:t>
            </w:r>
          </w:p>
        </w:tc>
        <w:tc>
          <w:tcPr>
            <w:tcW w:w="1701" w:type="dxa"/>
            <w:tcBorders>
              <w:top w:val="nil"/>
              <w:left w:val="nil"/>
              <w:bottom w:val="single" w:color="auto" w:sz="4" w:space="0"/>
              <w:right w:val="single" w:color="auto" w:sz="4" w:space="0"/>
            </w:tcBorders>
            <w:noWrap w:val="0"/>
            <w:vAlign w:val="center"/>
          </w:tcPr>
          <w:p w14:paraId="291384C7">
            <w:pPr>
              <w:widowControl/>
              <w:jc w:val="left"/>
              <w:rPr>
                <w:rFonts w:hint="eastAsia" w:ascii="宋体" w:hAnsi="宋体" w:eastAsia="宋体" w:cs="宋体"/>
                <w:szCs w:val="21"/>
              </w:rPr>
            </w:pPr>
            <w:r>
              <w:rPr>
                <w:rFonts w:hint="eastAsia" w:ascii="宋体" w:hAnsi="宋体" w:eastAsia="宋体" w:cs="宋体"/>
                <w:szCs w:val="21"/>
              </w:rPr>
              <w:t>从业人员（X）</w:t>
            </w:r>
          </w:p>
        </w:tc>
        <w:tc>
          <w:tcPr>
            <w:tcW w:w="1134" w:type="dxa"/>
            <w:tcBorders>
              <w:top w:val="nil"/>
              <w:left w:val="nil"/>
              <w:bottom w:val="single" w:color="auto" w:sz="4" w:space="0"/>
              <w:right w:val="single" w:color="auto" w:sz="4" w:space="0"/>
            </w:tcBorders>
            <w:noWrap w:val="0"/>
            <w:vAlign w:val="center"/>
          </w:tcPr>
          <w:p w14:paraId="3F791CC6">
            <w:pPr>
              <w:widowControl/>
              <w:jc w:val="left"/>
              <w:rPr>
                <w:rFonts w:hint="eastAsia" w:ascii="宋体" w:hAnsi="宋体" w:eastAsia="宋体" w:cs="宋体"/>
                <w:szCs w:val="21"/>
              </w:rPr>
            </w:pPr>
            <w:r>
              <w:rPr>
                <w:rFonts w:hint="eastAsia" w:ascii="宋体" w:hAnsi="宋体" w:eastAsia="宋体" w:cs="宋体"/>
                <w:szCs w:val="21"/>
              </w:rPr>
              <w:t>人</w:t>
            </w:r>
          </w:p>
        </w:tc>
        <w:tc>
          <w:tcPr>
            <w:tcW w:w="1846" w:type="dxa"/>
            <w:tcBorders>
              <w:top w:val="nil"/>
              <w:left w:val="nil"/>
              <w:bottom w:val="single" w:color="auto" w:sz="4" w:space="0"/>
              <w:right w:val="single" w:color="auto" w:sz="4" w:space="0"/>
            </w:tcBorders>
            <w:noWrap w:val="0"/>
            <w:vAlign w:val="center"/>
          </w:tcPr>
          <w:p w14:paraId="78C16FF7">
            <w:pPr>
              <w:widowControl/>
              <w:jc w:val="left"/>
              <w:rPr>
                <w:rFonts w:hint="eastAsia" w:ascii="宋体" w:hAnsi="宋体" w:eastAsia="宋体" w:cs="宋体"/>
                <w:szCs w:val="21"/>
              </w:rPr>
            </w:pPr>
            <w:r>
              <w:rPr>
                <w:rFonts w:hint="eastAsia" w:ascii="宋体" w:hAnsi="宋体" w:eastAsia="宋体" w:cs="宋体"/>
                <w:szCs w:val="21"/>
              </w:rPr>
              <w:t>300≤X＜1000</w:t>
            </w:r>
          </w:p>
        </w:tc>
        <w:tc>
          <w:tcPr>
            <w:tcW w:w="1570" w:type="dxa"/>
            <w:tcBorders>
              <w:top w:val="nil"/>
              <w:left w:val="nil"/>
              <w:bottom w:val="single" w:color="auto" w:sz="4" w:space="0"/>
              <w:right w:val="single" w:color="auto" w:sz="4" w:space="0"/>
            </w:tcBorders>
            <w:noWrap w:val="0"/>
            <w:vAlign w:val="center"/>
          </w:tcPr>
          <w:p w14:paraId="2F0EADEB">
            <w:pPr>
              <w:widowControl/>
              <w:jc w:val="left"/>
              <w:rPr>
                <w:rFonts w:hint="eastAsia" w:ascii="宋体" w:hAnsi="宋体" w:eastAsia="宋体" w:cs="宋体"/>
                <w:szCs w:val="21"/>
              </w:rPr>
            </w:pPr>
            <w:r>
              <w:rPr>
                <w:rFonts w:hint="eastAsia" w:ascii="宋体" w:hAnsi="宋体" w:eastAsia="宋体" w:cs="宋体"/>
                <w:szCs w:val="21"/>
              </w:rPr>
              <w:t>20≤X＜300</w:t>
            </w:r>
          </w:p>
        </w:tc>
        <w:tc>
          <w:tcPr>
            <w:tcW w:w="1009" w:type="dxa"/>
            <w:tcBorders>
              <w:top w:val="nil"/>
              <w:left w:val="nil"/>
              <w:bottom w:val="single" w:color="auto" w:sz="4" w:space="0"/>
              <w:right w:val="single" w:color="auto" w:sz="4" w:space="0"/>
            </w:tcBorders>
            <w:noWrap w:val="0"/>
            <w:vAlign w:val="center"/>
          </w:tcPr>
          <w:p w14:paraId="2F110923">
            <w:pPr>
              <w:widowControl/>
              <w:jc w:val="left"/>
              <w:rPr>
                <w:rFonts w:hint="eastAsia" w:ascii="宋体" w:hAnsi="宋体" w:eastAsia="宋体" w:cs="宋体"/>
                <w:szCs w:val="21"/>
              </w:rPr>
            </w:pPr>
            <w:r>
              <w:rPr>
                <w:rFonts w:hint="eastAsia" w:ascii="宋体" w:hAnsi="宋体" w:eastAsia="宋体" w:cs="宋体"/>
                <w:szCs w:val="21"/>
              </w:rPr>
              <w:t>X＜20</w:t>
            </w:r>
          </w:p>
        </w:tc>
      </w:tr>
      <w:tr w14:paraId="665AB2D6">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621B3E2B">
            <w:pPr>
              <w:widowControl/>
              <w:jc w:val="left"/>
              <w:rPr>
                <w:rFonts w:hint="eastAsia" w:ascii="宋体" w:hAnsi="宋体" w:eastAsia="宋体" w:cs="宋体"/>
                <w:szCs w:val="21"/>
              </w:rPr>
            </w:pPr>
          </w:p>
        </w:tc>
        <w:tc>
          <w:tcPr>
            <w:tcW w:w="1701" w:type="dxa"/>
            <w:tcBorders>
              <w:top w:val="nil"/>
              <w:left w:val="nil"/>
              <w:bottom w:val="single" w:color="auto" w:sz="4" w:space="0"/>
              <w:right w:val="single" w:color="auto" w:sz="4" w:space="0"/>
            </w:tcBorders>
            <w:noWrap w:val="0"/>
            <w:vAlign w:val="center"/>
          </w:tcPr>
          <w:p w14:paraId="6CDD1838">
            <w:pPr>
              <w:widowControl/>
              <w:jc w:val="left"/>
              <w:rPr>
                <w:rFonts w:hint="eastAsia" w:ascii="宋体" w:hAnsi="宋体" w:eastAsia="宋体" w:cs="宋体"/>
                <w:szCs w:val="21"/>
              </w:rPr>
            </w:pPr>
            <w:r>
              <w:rPr>
                <w:rFonts w:hint="eastAsia" w:ascii="宋体" w:hAnsi="宋体" w:eastAsia="宋体" w:cs="宋体"/>
                <w:szCs w:val="21"/>
              </w:rPr>
              <w:t>营业收入（Y）</w:t>
            </w:r>
          </w:p>
        </w:tc>
        <w:tc>
          <w:tcPr>
            <w:tcW w:w="1134" w:type="dxa"/>
            <w:tcBorders>
              <w:top w:val="nil"/>
              <w:left w:val="nil"/>
              <w:bottom w:val="single" w:color="auto" w:sz="4" w:space="0"/>
              <w:right w:val="single" w:color="auto" w:sz="4" w:space="0"/>
            </w:tcBorders>
            <w:noWrap w:val="0"/>
            <w:vAlign w:val="center"/>
          </w:tcPr>
          <w:p w14:paraId="38579E99">
            <w:pPr>
              <w:widowControl/>
              <w:jc w:val="left"/>
              <w:rPr>
                <w:rFonts w:hint="eastAsia" w:ascii="宋体" w:hAnsi="宋体" w:eastAsia="宋体" w:cs="宋体"/>
                <w:szCs w:val="21"/>
              </w:rPr>
            </w:pPr>
            <w:r>
              <w:rPr>
                <w:rFonts w:hint="eastAsia" w:ascii="宋体" w:hAnsi="宋体" w:eastAsia="宋体" w:cs="宋体"/>
                <w:szCs w:val="21"/>
              </w:rPr>
              <w:t>万元</w:t>
            </w:r>
          </w:p>
        </w:tc>
        <w:tc>
          <w:tcPr>
            <w:tcW w:w="1846" w:type="dxa"/>
            <w:tcBorders>
              <w:top w:val="nil"/>
              <w:left w:val="nil"/>
              <w:bottom w:val="single" w:color="auto" w:sz="4" w:space="0"/>
              <w:right w:val="single" w:color="auto" w:sz="4" w:space="0"/>
            </w:tcBorders>
            <w:noWrap w:val="0"/>
            <w:vAlign w:val="center"/>
          </w:tcPr>
          <w:p w14:paraId="68E76ED2">
            <w:pPr>
              <w:widowControl/>
              <w:jc w:val="left"/>
              <w:rPr>
                <w:rFonts w:hint="eastAsia" w:ascii="宋体" w:hAnsi="宋体" w:eastAsia="宋体" w:cs="宋体"/>
                <w:szCs w:val="21"/>
              </w:rPr>
            </w:pPr>
            <w:r>
              <w:rPr>
                <w:rFonts w:hint="eastAsia" w:ascii="宋体" w:hAnsi="宋体" w:eastAsia="宋体" w:cs="宋体"/>
                <w:szCs w:val="21"/>
              </w:rPr>
              <w:t>3000≤Y＜30000</w:t>
            </w:r>
          </w:p>
        </w:tc>
        <w:tc>
          <w:tcPr>
            <w:tcW w:w="1570" w:type="dxa"/>
            <w:tcBorders>
              <w:top w:val="nil"/>
              <w:left w:val="nil"/>
              <w:bottom w:val="single" w:color="auto" w:sz="4" w:space="0"/>
              <w:right w:val="single" w:color="auto" w:sz="4" w:space="0"/>
            </w:tcBorders>
            <w:noWrap w:val="0"/>
            <w:vAlign w:val="center"/>
          </w:tcPr>
          <w:p w14:paraId="11A6C8F3">
            <w:pPr>
              <w:widowControl/>
              <w:jc w:val="left"/>
              <w:rPr>
                <w:rFonts w:hint="eastAsia" w:ascii="宋体" w:hAnsi="宋体" w:eastAsia="宋体" w:cs="宋体"/>
                <w:szCs w:val="21"/>
              </w:rPr>
            </w:pPr>
            <w:r>
              <w:rPr>
                <w:rFonts w:hint="eastAsia" w:ascii="宋体" w:hAnsi="宋体" w:eastAsia="宋体" w:cs="宋体"/>
                <w:szCs w:val="21"/>
              </w:rPr>
              <w:t>200≤Y＜3000</w:t>
            </w:r>
          </w:p>
        </w:tc>
        <w:tc>
          <w:tcPr>
            <w:tcW w:w="1009" w:type="dxa"/>
            <w:tcBorders>
              <w:top w:val="nil"/>
              <w:left w:val="nil"/>
              <w:bottom w:val="single" w:color="auto" w:sz="4" w:space="0"/>
              <w:right w:val="single" w:color="auto" w:sz="4" w:space="0"/>
            </w:tcBorders>
            <w:noWrap w:val="0"/>
            <w:vAlign w:val="center"/>
          </w:tcPr>
          <w:p w14:paraId="6DFB3388">
            <w:pPr>
              <w:widowControl/>
              <w:jc w:val="left"/>
              <w:rPr>
                <w:rFonts w:hint="eastAsia" w:ascii="宋体" w:hAnsi="宋体" w:eastAsia="宋体" w:cs="宋体"/>
                <w:szCs w:val="21"/>
              </w:rPr>
            </w:pPr>
            <w:r>
              <w:rPr>
                <w:rFonts w:hint="eastAsia" w:ascii="宋体" w:hAnsi="宋体" w:eastAsia="宋体" w:cs="宋体"/>
                <w:szCs w:val="21"/>
              </w:rPr>
              <w:t>Y＜200</w:t>
            </w:r>
          </w:p>
        </w:tc>
      </w:tr>
      <w:tr w14:paraId="1CBFBDBE">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53EAB90C">
            <w:pPr>
              <w:widowControl/>
              <w:jc w:val="center"/>
              <w:rPr>
                <w:rFonts w:hint="eastAsia" w:ascii="宋体" w:hAnsi="宋体" w:eastAsia="宋体" w:cs="宋体"/>
                <w:szCs w:val="21"/>
              </w:rPr>
            </w:pPr>
            <w:r>
              <w:rPr>
                <w:rFonts w:hint="eastAsia" w:ascii="宋体" w:hAnsi="宋体" w:eastAsia="宋体" w:cs="宋体"/>
                <w:szCs w:val="21"/>
              </w:rPr>
              <w:t>仓储业</w:t>
            </w:r>
          </w:p>
        </w:tc>
        <w:tc>
          <w:tcPr>
            <w:tcW w:w="1701" w:type="dxa"/>
            <w:tcBorders>
              <w:top w:val="nil"/>
              <w:left w:val="nil"/>
              <w:bottom w:val="single" w:color="auto" w:sz="4" w:space="0"/>
              <w:right w:val="single" w:color="auto" w:sz="4" w:space="0"/>
            </w:tcBorders>
            <w:noWrap w:val="0"/>
            <w:vAlign w:val="center"/>
          </w:tcPr>
          <w:p w14:paraId="574AE989">
            <w:pPr>
              <w:widowControl/>
              <w:jc w:val="left"/>
              <w:rPr>
                <w:rFonts w:hint="eastAsia" w:ascii="宋体" w:hAnsi="宋体" w:eastAsia="宋体" w:cs="宋体"/>
                <w:szCs w:val="21"/>
              </w:rPr>
            </w:pPr>
            <w:r>
              <w:rPr>
                <w:rFonts w:hint="eastAsia" w:ascii="宋体" w:hAnsi="宋体" w:eastAsia="宋体" w:cs="宋体"/>
                <w:szCs w:val="21"/>
              </w:rPr>
              <w:t>从业人员（X）</w:t>
            </w:r>
          </w:p>
        </w:tc>
        <w:tc>
          <w:tcPr>
            <w:tcW w:w="1134" w:type="dxa"/>
            <w:tcBorders>
              <w:top w:val="nil"/>
              <w:left w:val="nil"/>
              <w:bottom w:val="single" w:color="auto" w:sz="4" w:space="0"/>
              <w:right w:val="single" w:color="auto" w:sz="4" w:space="0"/>
            </w:tcBorders>
            <w:noWrap w:val="0"/>
            <w:vAlign w:val="center"/>
          </w:tcPr>
          <w:p w14:paraId="3FA9BB13">
            <w:pPr>
              <w:widowControl/>
              <w:jc w:val="left"/>
              <w:rPr>
                <w:rFonts w:hint="eastAsia" w:ascii="宋体" w:hAnsi="宋体" w:eastAsia="宋体" w:cs="宋体"/>
                <w:szCs w:val="21"/>
              </w:rPr>
            </w:pPr>
            <w:r>
              <w:rPr>
                <w:rFonts w:hint="eastAsia" w:ascii="宋体" w:hAnsi="宋体" w:eastAsia="宋体" w:cs="宋体"/>
                <w:szCs w:val="21"/>
              </w:rPr>
              <w:t>人</w:t>
            </w:r>
          </w:p>
        </w:tc>
        <w:tc>
          <w:tcPr>
            <w:tcW w:w="1846" w:type="dxa"/>
            <w:tcBorders>
              <w:top w:val="nil"/>
              <w:left w:val="nil"/>
              <w:bottom w:val="single" w:color="auto" w:sz="4" w:space="0"/>
              <w:right w:val="single" w:color="auto" w:sz="4" w:space="0"/>
            </w:tcBorders>
            <w:noWrap w:val="0"/>
            <w:vAlign w:val="center"/>
          </w:tcPr>
          <w:p w14:paraId="403A94D4">
            <w:pPr>
              <w:widowControl/>
              <w:jc w:val="left"/>
              <w:rPr>
                <w:rFonts w:hint="eastAsia" w:ascii="宋体" w:hAnsi="宋体" w:eastAsia="宋体" w:cs="宋体"/>
                <w:szCs w:val="21"/>
              </w:rPr>
            </w:pPr>
            <w:r>
              <w:rPr>
                <w:rFonts w:hint="eastAsia" w:ascii="宋体" w:hAnsi="宋体" w:eastAsia="宋体" w:cs="宋体"/>
                <w:szCs w:val="21"/>
              </w:rPr>
              <w:t>100≤X＜200</w:t>
            </w:r>
          </w:p>
        </w:tc>
        <w:tc>
          <w:tcPr>
            <w:tcW w:w="1570" w:type="dxa"/>
            <w:tcBorders>
              <w:top w:val="nil"/>
              <w:left w:val="nil"/>
              <w:bottom w:val="single" w:color="auto" w:sz="4" w:space="0"/>
              <w:right w:val="single" w:color="auto" w:sz="4" w:space="0"/>
            </w:tcBorders>
            <w:noWrap w:val="0"/>
            <w:vAlign w:val="center"/>
          </w:tcPr>
          <w:p w14:paraId="038FCE91">
            <w:pPr>
              <w:widowControl/>
              <w:jc w:val="left"/>
              <w:rPr>
                <w:rFonts w:hint="eastAsia" w:ascii="宋体" w:hAnsi="宋体" w:eastAsia="宋体" w:cs="宋体"/>
                <w:szCs w:val="21"/>
              </w:rPr>
            </w:pPr>
            <w:r>
              <w:rPr>
                <w:rFonts w:hint="eastAsia" w:ascii="宋体" w:hAnsi="宋体" w:eastAsia="宋体" w:cs="宋体"/>
                <w:szCs w:val="21"/>
              </w:rPr>
              <w:t>20≤X＜100</w:t>
            </w:r>
          </w:p>
        </w:tc>
        <w:tc>
          <w:tcPr>
            <w:tcW w:w="1009" w:type="dxa"/>
            <w:tcBorders>
              <w:top w:val="nil"/>
              <w:left w:val="nil"/>
              <w:bottom w:val="single" w:color="auto" w:sz="4" w:space="0"/>
              <w:right w:val="single" w:color="auto" w:sz="4" w:space="0"/>
            </w:tcBorders>
            <w:noWrap w:val="0"/>
            <w:vAlign w:val="center"/>
          </w:tcPr>
          <w:p w14:paraId="60A58535">
            <w:pPr>
              <w:widowControl/>
              <w:jc w:val="left"/>
              <w:rPr>
                <w:rFonts w:hint="eastAsia" w:ascii="宋体" w:hAnsi="宋体" w:eastAsia="宋体" w:cs="宋体"/>
                <w:szCs w:val="21"/>
              </w:rPr>
            </w:pPr>
            <w:r>
              <w:rPr>
                <w:rFonts w:hint="eastAsia" w:ascii="宋体" w:hAnsi="宋体" w:eastAsia="宋体" w:cs="宋体"/>
                <w:szCs w:val="21"/>
              </w:rPr>
              <w:t>X＜20</w:t>
            </w:r>
          </w:p>
        </w:tc>
      </w:tr>
      <w:tr w14:paraId="6DF47128">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70F9D63B">
            <w:pPr>
              <w:widowControl/>
              <w:jc w:val="left"/>
              <w:rPr>
                <w:rFonts w:hint="eastAsia" w:ascii="宋体" w:hAnsi="宋体" w:eastAsia="宋体" w:cs="宋体"/>
                <w:szCs w:val="21"/>
              </w:rPr>
            </w:pPr>
          </w:p>
        </w:tc>
        <w:tc>
          <w:tcPr>
            <w:tcW w:w="1701" w:type="dxa"/>
            <w:tcBorders>
              <w:top w:val="nil"/>
              <w:left w:val="nil"/>
              <w:bottom w:val="single" w:color="auto" w:sz="4" w:space="0"/>
              <w:right w:val="single" w:color="auto" w:sz="4" w:space="0"/>
            </w:tcBorders>
            <w:noWrap w:val="0"/>
            <w:vAlign w:val="center"/>
          </w:tcPr>
          <w:p w14:paraId="085211B8">
            <w:pPr>
              <w:widowControl/>
              <w:jc w:val="left"/>
              <w:rPr>
                <w:rFonts w:hint="eastAsia" w:ascii="宋体" w:hAnsi="宋体" w:eastAsia="宋体" w:cs="宋体"/>
                <w:szCs w:val="21"/>
              </w:rPr>
            </w:pPr>
            <w:r>
              <w:rPr>
                <w:rFonts w:hint="eastAsia" w:ascii="宋体" w:hAnsi="宋体" w:eastAsia="宋体" w:cs="宋体"/>
                <w:szCs w:val="21"/>
              </w:rPr>
              <w:t>营业收入（Y）</w:t>
            </w:r>
          </w:p>
        </w:tc>
        <w:tc>
          <w:tcPr>
            <w:tcW w:w="1134" w:type="dxa"/>
            <w:tcBorders>
              <w:top w:val="nil"/>
              <w:left w:val="nil"/>
              <w:bottom w:val="single" w:color="auto" w:sz="4" w:space="0"/>
              <w:right w:val="single" w:color="auto" w:sz="4" w:space="0"/>
            </w:tcBorders>
            <w:noWrap w:val="0"/>
            <w:vAlign w:val="center"/>
          </w:tcPr>
          <w:p w14:paraId="04F94B6E">
            <w:pPr>
              <w:widowControl/>
              <w:jc w:val="left"/>
              <w:rPr>
                <w:rFonts w:hint="eastAsia" w:ascii="宋体" w:hAnsi="宋体" w:eastAsia="宋体" w:cs="宋体"/>
                <w:szCs w:val="21"/>
              </w:rPr>
            </w:pPr>
            <w:r>
              <w:rPr>
                <w:rFonts w:hint="eastAsia" w:ascii="宋体" w:hAnsi="宋体" w:eastAsia="宋体" w:cs="宋体"/>
                <w:szCs w:val="21"/>
              </w:rPr>
              <w:t>万元</w:t>
            </w:r>
          </w:p>
        </w:tc>
        <w:tc>
          <w:tcPr>
            <w:tcW w:w="1846" w:type="dxa"/>
            <w:tcBorders>
              <w:top w:val="nil"/>
              <w:left w:val="nil"/>
              <w:bottom w:val="single" w:color="auto" w:sz="4" w:space="0"/>
              <w:right w:val="single" w:color="auto" w:sz="4" w:space="0"/>
            </w:tcBorders>
            <w:noWrap w:val="0"/>
            <w:vAlign w:val="center"/>
          </w:tcPr>
          <w:p w14:paraId="5D751E33">
            <w:pPr>
              <w:widowControl/>
              <w:jc w:val="left"/>
              <w:rPr>
                <w:rFonts w:hint="eastAsia" w:ascii="宋体" w:hAnsi="宋体" w:eastAsia="宋体" w:cs="宋体"/>
                <w:szCs w:val="21"/>
              </w:rPr>
            </w:pPr>
            <w:r>
              <w:rPr>
                <w:rFonts w:hint="eastAsia" w:ascii="宋体" w:hAnsi="宋体" w:eastAsia="宋体" w:cs="宋体"/>
                <w:szCs w:val="21"/>
              </w:rPr>
              <w:t>1000≤Y＜30000</w:t>
            </w:r>
          </w:p>
        </w:tc>
        <w:tc>
          <w:tcPr>
            <w:tcW w:w="1570" w:type="dxa"/>
            <w:tcBorders>
              <w:top w:val="nil"/>
              <w:left w:val="nil"/>
              <w:bottom w:val="single" w:color="auto" w:sz="4" w:space="0"/>
              <w:right w:val="single" w:color="auto" w:sz="4" w:space="0"/>
            </w:tcBorders>
            <w:noWrap w:val="0"/>
            <w:vAlign w:val="center"/>
          </w:tcPr>
          <w:p w14:paraId="31130391">
            <w:pPr>
              <w:widowControl/>
              <w:jc w:val="left"/>
              <w:rPr>
                <w:rFonts w:hint="eastAsia" w:ascii="宋体" w:hAnsi="宋体" w:eastAsia="宋体" w:cs="宋体"/>
                <w:szCs w:val="21"/>
              </w:rPr>
            </w:pPr>
            <w:r>
              <w:rPr>
                <w:rFonts w:hint="eastAsia" w:ascii="宋体" w:hAnsi="宋体" w:eastAsia="宋体" w:cs="宋体"/>
                <w:szCs w:val="21"/>
              </w:rPr>
              <w:t>100≤Y＜1000</w:t>
            </w:r>
          </w:p>
        </w:tc>
        <w:tc>
          <w:tcPr>
            <w:tcW w:w="1009" w:type="dxa"/>
            <w:tcBorders>
              <w:top w:val="nil"/>
              <w:left w:val="nil"/>
              <w:bottom w:val="single" w:color="auto" w:sz="4" w:space="0"/>
              <w:right w:val="single" w:color="auto" w:sz="4" w:space="0"/>
            </w:tcBorders>
            <w:noWrap w:val="0"/>
            <w:vAlign w:val="center"/>
          </w:tcPr>
          <w:p w14:paraId="69CFE117">
            <w:pPr>
              <w:widowControl/>
              <w:jc w:val="left"/>
              <w:rPr>
                <w:rFonts w:hint="eastAsia" w:ascii="宋体" w:hAnsi="宋体" w:eastAsia="宋体" w:cs="宋体"/>
                <w:szCs w:val="21"/>
              </w:rPr>
            </w:pPr>
            <w:r>
              <w:rPr>
                <w:rFonts w:hint="eastAsia" w:ascii="宋体" w:hAnsi="宋体" w:eastAsia="宋体" w:cs="宋体"/>
                <w:szCs w:val="21"/>
              </w:rPr>
              <w:t>Y＜100</w:t>
            </w:r>
          </w:p>
        </w:tc>
      </w:tr>
      <w:tr w14:paraId="252F2D68">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2442777A">
            <w:pPr>
              <w:widowControl/>
              <w:jc w:val="center"/>
              <w:rPr>
                <w:rFonts w:hint="eastAsia" w:ascii="宋体" w:hAnsi="宋体" w:eastAsia="宋体" w:cs="宋体"/>
                <w:szCs w:val="21"/>
              </w:rPr>
            </w:pPr>
            <w:r>
              <w:rPr>
                <w:rFonts w:hint="eastAsia" w:ascii="宋体" w:hAnsi="宋体" w:eastAsia="宋体" w:cs="宋体"/>
                <w:szCs w:val="21"/>
              </w:rPr>
              <w:t>邮政业</w:t>
            </w:r>
          </w:p>
        </w:tc>
        <w:tc>
          <w:tcPr>
            <w:tcW w:w="1701" w:type="dxa"/>
            <w:tcBorders>
              <w:top w:val="nil"/>
              <w:left w:val="nil"/>
              <w:bottom w:val="single" w:color="auto" w:sz="4" w:space="0"/>
              <w:right w:val="single" w:color="auto" w:sz="4" w:space="0"/>
            </w:tcBorders>
            <w:noWrap w:val="0"/>
            <w:vAlign w:val="center"/>
          </w:tcPr>
          <w:p w14:paraId="6AE019AA">
            <w:pPr>
              <w:widowControl/>
              <w:jc w:val="left"/>
              <w:rPr>
                <w:rFonts w:hint="eastAsia" w:ascii="宋体" w:hAnsi="宋体" w:eastAsia="宋体" w:cs="宋体"/>
                <w:szCs w:val="21"/>
              </w:rPr>
            </w:pPr>
            <w:r>
              <w:rPr>
                <w:rFonts w:hint="eastAsia" w:ascii="宋体" w:hAnsi="宋体" w:eastAsia="宋体" w:cs="宋体"/>
                <w:szCs w:val="21"/>
              </w:rPr>
              <w:t>从业人员（X）</w:t>
            </w:r>
          </w:p>
        </w:tc>
        <w:tc>
          <w:tcPr>
            <w:tcW w:w="1134" w:type="dxa"/>
            <w:tcBorders>
              <w:top w:val="nil"/>
              <w:left w:val="nil"/>
              <w:bottom w:val="single" w:color="auto" w:sz="4" w:space="0"/>
              <w:right w:val="single" w:color="auto" w:sz="4" w:space="0"/>
            </w:tcBorders>
            <w:noWrap w:val="0"/>
            <w:vAlign w:val="center"/>
          </w:tcPr>
          <w:p w14:paraId="37D062F1">
            <w:pPr>
              <w:widowControl/>
              <w:jc w:val="left"/>
              <w:rPr>
                <w:rFonts w:hint="eastAsia" w:ascii="宋体" w:hAnsi="宋体" w:eastAsia="宋体" w:cs="宋体"/>
                <w:szCs w:val="21"/>
              </w:rPr>
            </w:pPr>
            <w:r>
              <w:rPr>
                <w:rFonts w:hint="eastAsia" w:ascii="宋体" w:hAnsi="宋体" w:eastAsia="宋体" w:cs="宋体"/>
                <w:szCs w:val="21"/>
              </w:rPr>
              <w:t>人</w:t>
            </w:r>
          </w:p>
        </w:tc>
        <w:tc>
          <w:tcPr>
            <w:tcW w:w="1846" w:type="dxa"/>
            <w:tcBorders>
              <w:top w:val="nil"/>
              <w:left w:val="nil"/>
              <w:bottom w:val="single" w:color="auto" w:sz="4" w:space="0"/>
              <w:right w:val="single" w:color="auto" w:sz="4" w:space="0"/>
            </w:tcBorders>
            <w:noWrap w:val="0"/>
            <w:vAlign w:val="center"/>
          </w:tcPr>
          <w:p w14:paraId="255846D5">
            <w:pPr>
              <w:widowControl/>
              <w:jc w:val="left"/>
              <w:rPr>
                <w:rFonts w:hint="eastAsia" w:ascii="宋体" w:hAnsi="宋体" w:eastAsia="宋体" w:cs="宋体"/>
                <w:szCs w:val="21"/>
              </w:rPr>
            </w:pPr>
            <w:r>
              <w:rPr>
                <w:rFonts w:hint="eastAsia" w:ascii="宋体" w:hAnsi="宋体" w:eastAsia="宋体" w:cs="宋体"/>
                <w:szCs w:val="21"/>
              </w:rPr>
              <w:t>300≤X＜1000</w:t>
            </w:r>
          </w:p>
        </w:tc>
        <w:tc>
          <w:tcPr>
            <w:tcW w:w="1570" w:type="dxa"/>
            <w:tcBorders>
              <w:top w:val="nil"/>
              <w:left w:val="nil"/>
              <w:bottom w:val="single" w:color="auto" w:sz="4" w:space="0"/>
              <w:right w:val="single" w:color="auto" w:sz="4" w:space="0"/>
            </w:tcBorders>
            <w:noWrap w:val="0"/>
            <w:vAlign w:val="center"/>
          </w:tcPr>
          <w:p w14:paraId="7458FF95">
            <w:pPr>
              <w:widowControl/>
              <w:jc w:val="left"/>
              <w:rPr>
                <w:rFonts w:hint="eastAsia" w:ascii="宋体" w:hAnsi="宋体" w:eastAsia="宋体" w:cs="宋体"/>
                <w:szCs w:val="21"/>
              </w:rPr>
            </w:pPr>
            <w:r>
              <w:rPr>
                <w:rFonts w:hint="eastAsia" w:ascii="宋体" w:hAnsi="宋体" w:eastAsia="宋体" w:cs="宋体"/>
                <w:szCs w:val="21"/>
              </w:rPr>
              <w:t>20≤X＜300</w:t>
            </w:r>
          </w:p>
        </w:tc>
        <w:tc>
          <w:tcPr>
            <w:tcW w:w="1009" w:type="dxa"/>
            <w:tcBorders>
              <w:top w:val="nil"/>
              <w:left w:val="nil"/>
              <w:bottom w:val="single" w:color="auto" w:sz="4" w:space="0"/>
              <w:right w:val="single" w:color="auto" w:sz="4" w:space="0"/>
            </w:tcBorders>
            <w:noWrap w:val="0"/>
            <w:vAlign w:val="center"/>
          </w:tcPr>
          <w:p w14:paraId="46179683">
            <w:pPr>
              <w:widowControl/>
              <w:jc w:val="left"/>
              <w:rPr>
                <w:rFonts w:hint="eastAsia" w:ascii="宋体" w:hAnsi="宋体" w:eastAsia="宋体" w:cs="宋体"/>
                <w:szCs w:val="21"/>
              </w:rPr>
            </w:pPr>
            <w:r>
              <w:rPr>
                <w:rFonts w:hint="eastAsia" w:ascii="宋体" w:hAnsi="宋体" w:eastAsia="宋体" w:cs="宋体"/>
                <w:szCs w:val="21"/>
              </w:rPr>
              <w:t>X＜20</w:t>
            </w:r>
          </w:p>
        </w:tc>
      </w:tr>
      <w:tr w14:paraId="479601A2">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45944E03">
            <w:pPr>
              <w:widowControl/>
              <w:jc w:val="left"/>
              <w:rPr>
                <w:rFonts w:hint="eastAsia" w:ascii="宋体" w:hAnsi="宋体" w:eastAsia="宋体" w:cs="宋体"/>
                <w:szCs w:val="21"/>
              </w:rPr>
            </w:pPr>
          </w:p>
        </w:tc>
        <w:tc>
          <w:tcPr>
            <w:tcW w:w="1701" w:type="dxa"/>
            <w:tcBorders>
              <w:top w:val="nil"/>
              <w:left w:val="nil"/>
              <w:bottom w:val="single" w:color="auto" w:sz="4" w:space="0"/>
              <w:right w:val="single" w:color="auto" w:sz="4" w:space="0"/>
            </w:tcBorders>
            <w:noWrap w:val="0"/>
            <w:vAlign w:val="center"/>
          </w:tcPr>
          <w:p w14:paraId="489DF135">
            <w:pPr>
              <w:widowControl/>
              <w:jc w:val="left"/>
              <w:rPr>
                <w:rFonts w:hint="eastAsia" w:ascii="宋体" w:hAnsi="宋体" w:eastAsia="宋体" w:cs="宋体"/>
                <w:szCs w:val="21"/>
              </w:rPr>
            </w:pPr>
            <w:r>
              <w:rPr>
                <w:rFonts w:hint="eastAsia" w:ascii="宋体" w:hAnsi="宋体" w:eastAsia="宋体" w:cs="宋体"/>
                <w:szCs w:val="21"/>
              </w:rPr>
              <w:t>营业收入（Y）</w:t>
            </w:r>
          </w:p>
        </w:tc>
        <w:tc>
          <w:tcPr>
            <w:tcW w:w="1134" w:type="dxa"/>
            <w:tcBorders>
              <w:top w:val="nil"/>
              <w:left w:val="nil"/>
              <w:bottom w:val="single" w:color="auto" w:sz="4" w:space="0"/>
              <w:right w:val="single" w:color="auto" w:sz="4" w:space="0"/>
            </w:tcBorders>
            <w:noWrap w:val="0"/>
            <w:vAlign w:val="center"/>
          </w:tcPr>
          <w:p w14:paraId="1265FD66">
            <w:pPr>
              <w:widowControl/>
              <w:jc w:val="left"/>
              <w:rPr>
                <w:rFonts w:hint="eastAsia" w:ascii="宋体" w:hAnsi="宋体" w:eastAsia="宋体" w:cs="宋体"/>
                <w:szCs w:val="21"/>
              </w:rPr>
            </w:pPr>
            <w:r>
              <w:rPr>
                <w:rFonts w:hint="eastAsia" w:ascii="宋体" w:hAnsi="宋体" w:eastAsia="宋体" w:cs="宋体"/>
                <w:szCs w:val="21"/>
              </w:rPr>
              <w:t>万元</w:t>
            </w:r>
          </w:p>
        </w:tc>
        <w:tc>
          <w:tcPr>
            <w:tcW w:w="1846" w:type="dxa"/>
            <w:tcBorders>
              <w:top w:val="nil"/>
              <w:left w:val="nil"/>
              <w:bottom w:val="single" w:color="auto" w:sz="4" w:space="0"/>
              <w:right w:val="single" w:color="auto" w:sz="4" w:space="0"/>
            </w:tcBorders>
            <w:noWrap w:val="0"/>
            <w:vAlign w:val="center"/>
          </w:tcPr>
          <w:p w14:paraId="435D5605">
            <w:pPr>
              <w:widowControl/>
              <w:jc w:val="left"/>
              <w:rPr>
                <w:rFonts w:hint="eastAsia" w:ascii="宋体" w:hAnsi="宋体" w:eastAsia="宋体" w:cs="宋体"/>
                <w:szCs w:val="21"/>
              </w:rPr>
            </w:pPr>
            <w:r>
              <w:rPr>
                <w:rFonts w:hint="eastAsia" w:ascii="宋体" w:hAnsi="宋体" w:eastAsia="宋体" w:cs="宋体"/>
                <w:szCs w:val="21"/>
              </w:rPr>
              <w:t>2000≤Y＜30000</w:t>
            </w:r>
          </w:p>
        </w:tc>
        <w:tc>
          <w:tcPr>
            <w:tcW w:w="1570" w:type="dxa"/>
            <w:tcBorders>
              <w:top w:val="nil"/>
              <w:left w:val="nil"/>
              <w:bottom w:val="single" w:color="auto" w:sz="4" w:space="0"/>
              <w:right w:val="single" w:color="auto" w:sz="4" w:space="0"/>
            </w:tcBorders>
            <w:noWrap w:val="0"/>
            <w:vAlign w:val="center"/>
          </w:tcPr>
          <w:p w14:paraId="532D8127">
            <w:pPr>
              <w:widowControl/>
              <w:jc w:val="left"/>
              <w:rPr>
                <w:rFonts w:hint="eastAsia" w:ascii="宋体" w:hAnsi="宋体" w:eastAsia="宋体" w:cs="宋体"/>
                <w:szCs w:val="21"/>
              </w:rPr>
            </w:pPr>
            <w:r>
              <w:rPr>
                <w:rFonts w:hint="eastAsia" w:ascii="宋体" w:hAnsi="宋体" w:eastAsia="宋体" w:cs="宋体"/>
                <w:szCs w:val="21"/>
              </w:rPr>
              <w:t>100≤Y＜2000</w:t>
            </w:r>
          </w:p>
        </w:tc>
        <w:tc>
          <w:tcPr>
            <w:tcW w:w="1009" w:type="dxa"/>
            <w:tcBorders>
              <w:top w:val="nil"/>
              <w:left w:val="nil"/>
              <w:bottom w:val="single" w:color="auto" w:sz="4" w:space="0"/>
              <w:right w:val="single" w:color="auto" w:sz="4" w:space="0"/>
            </w:tcBorders>
            <w:noWrap w:val="0"/>
            <w:vAlign w:val="center"/>
          </w:tcPr>
          <w:p w14:paraId="34B114F2">
            <w:pPr>
              <w:widowControl/>
              <w:jc w:val="left"/>
              <w:rPr>
                <w:rFonts w:hint="eastAsia" w:ascii="宋体" w:hAnsi="宋体" w:eastAsia="宋体" w:cs="宋体"/>
                <w:szCs w:val="21"/>
              </w:rPr>
            </w:pPr>
            <w:r>
              <w:rPr>
                <w:rFonts w:hint="eastAsia" w:ascii="宋体" w:hAnsi="宋体" w:eastAsia="宋体" w:cs="宋体"/>
                <w:szCs w:val="21"/>
              </w:rPr>
              <w:t>Y＜100</w:t>
            </w:r>
          </w:p>
        </w:tc>
      </w:tr>
      <w:tr w14:paraId="30CBB3E1">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3F649322">
            <w:pPr>
              <w:widowControl/>
              <w:jc w:val="center"/>
              <w:rPr>
                <w:rFonts w:hint="eastAsia" w:ascii="宋体" w:hAnsi="宋体" w:eastAsia="宋体" w:cs="宋体"/>
                <w:szCs w:val="21"/>
              </w:rPr>
            </w:pPr>
            <w:r>
              <w:rPr>
                <w:rFonts w:hint="eastAsia" w:ascii="宋体" w:hAnsi="宋体" w:eastAsia="宋体" w:cs="宋体"/>
                <w:szCs w:val="21"/>
              </w:rPr>
              <w:t>住宿业</w:t>
            </w:r>
          </w:p>
        </w:tc>
        <w:tc>
          <w:tcPr>
            <w:tcW w:w="1701" w:type="dxa"/>
            <w:tcBorders>
              <w:top w:val="nil"/>
              <w:left w:val="nil"/>
              <w:bottom w:val="single" w:color="auto" w:sz="4" w:space="0"/>
              <w:right w:val="single" w:color="auto" w:sz="4" w:space="0"/>
            </w:tcBorders>
            <w:noWrap w:val="0"/>
            <w:vAlign w:val="center"/>
          </w:tcPr>
          <w:p w14:paraId="280291C8">
            <w:pPr>
              <w:widowControl/>
              <w:jc w:val="left"/>
              <w:rPr>
                <w:rFonts w:hint="eastAsia" w:ascii="宋体" w:hAnsi="宋体" w:eastAsia="宋体" w:cs="宋体"/>
                <w:szCs w:val="21"/>
              </w:rPr>
            </w:pPr>
            <w:r>
              <w:rPr>
                <w:rFonts w:hint="eastAsia" w:ascii="宋体" w:hAnsi="宋体" w:eastAsia="宋体" w:cs="宋体"/>
                <w:szCs w:val="21"/>
              </w:rPr>
              <w:t>从业人员（X）</w:t>
            </w:r>
          </w:p>
        </w:tc>
        <w:tc>
          <w:tcPr>
            <w:tcW w:w="1134" w:type="dxa"/>
            <w:tcBorders>
              <w:top w:val="nil"/>
              <w:left w:val="nil"/>
              <w:bottom w:val="single" w:color="auto" w:sz="4" w:space="0"/>
              <w:right w:val="single" w:color="auto" w:sz="4" w:space="0"/>
            </w:tcBorders>
            <w:noWrap w:val="0"/>
            <w:vAlign w:val="center"/>
          </w:tcPr>
          <w:p w14:paraId="4608DE56">
            <w:pPr>
              <w:widowControl/>
              <w:jc w:val="left"/>
              <w:rPr>
                <w:rFonts w:hint="eastAsia" w:ascii="宋体" w:hAnsi="宋体" w:eastAsia="宋体" w:cs="宋体"/>
                <w:szCs w:val="21"/>
              </w:rPr>
            </w:pPr>
            <w:r>
              <w:rPr>
                <w:rFonts w:hint="eastAsia" w:ascii="宋体" w:hAnsi="宋体" w:eastAsia="宋体" w:cs="宋体"/>
                <w:szCs w:val="21"/>
              </w:rPr>
              <w:t>人</w:t>
            </w:r>
          </w:p>
        </w:tc>
        <w:tc>
          <w:tcPr>
            <w:tcW w:w="1846" w:type="dxa"/>
            <w:tcBorders>
              <w:top w:val="nil"/>
              <w:left w:val="nil"/>
              <w:bottom w:val="single" w:color="auto" w:sz="4" w:space="0"/>
              <w:right w:val="single" w:color="auto" w:sz="4" w:space="0"/>
            </w:tcBorders>
            <w:noWrap w:val="0"/>
            <w:vAlign w:val="center"/>
          </w:tcPr>
          <w:p w14:paraId="46E2CAC8">
            <w:pPr>
              <w:widowControl/>
              <w:jc w:val="left"/>
              <w:rPr>
                <w:rFonts w:hint="eastAsia" w:ascii="宋体" w:hAnsi="宋体" w:eastAsia="宋体" w:cs="宋体"/>
                <w:szCs w:val="21"/>
              </w:rPr>
            </w:pPr>
            <w:r>
              <w:rPr>
                <w:rFonts w:hint="eastAsia" w:ascii="宋体" w:hAnsi="宋体" w:eastAsia="宋体" w:cs="宋体"/>
                <w:szCs w:val="21"/>
              </w:rPr>
              <w:t>100≤X＜300</w:t>
            </w:r>
          </w:p>
        </w:tc>
        <w:tc>
          <w:tcPr>
            <w:tcW w:w="1570" w:type="dxa"/>
            <w:tcBorders>
              <w:top w:val="nil"/>
              <w:left w:val="nil"/>
              <w:bottom w:val="single" w:color="auto" w:sz="4" w:space="0"/>
              <w:right w:val="single" w:color="auto" w:sz="4" w:space="0"/>
            </w:tcBorders>
            <w:noWrap w:val="0"/>
            <w:vAlign w:val="center"/>
          </w:tcPr>
          <w:p w14:paraId="2D576EDB">
            <w:pPr>
              <w:widowControl/>
              <w:jc w:val="left"/>
              <w:rPr>
                <w:rFonts w:hint="eastAsia" w:ascii="宋体" w:hAnsi="宋体" w:eastAsia="宋体" w:cs="宋体"/>
                <w:szCs w:val="21"/>
              </w:rPr>
            </w:pPr>
            <w:r>
              <w:rPr>
                <w:rFonts w:hint="eastAsia" w:ascii="宋体" w:hAnsi="宋体" w:eastAsia="宋体" w:cs="宋体"/>
                <w:szCs w:val="21"/>
              </w:rPr>
              <w:t>10≤X＜100</w:t>
            </w:r>
          </w:p>
        </w:tc>
        <w:tc>
          <w:tcPr>
            <w:tcW w:w="1009" w:type="dxa"/>
            <w:tcBorders>
              <w:top w:val="nil"/>
              <w:left w:val="nil"/>
              <w:bottom w:val="single" w:color="auto" w:sz="4" w:space="0"/>
              <w:right w:val="single" w:color="auto" w:sz="4" w:space="0"/>
            </w:tcBorders>
            <w:noWrap w:val="0"/>
            <w:vAlign w:val="center"/>
          </w:tcPr>
          <w:p w14:paraId="454D7266">
            <w:pPr>
              <w:widowControl/>
              <w:jc w:val="left"/>
              <w:rPr>
                <w:rFonts w:hint="eastAsia" w:ascii="宋体" w:hAnsi="宋体" w:eastAsia="宋体" w:cs="宋体"/>
                <w:szCs w:val="21"/>
              </w:rPr>
            </w:pPr>
            <w:r>
              <w:rPr>
                <w:rFonts w:hint="eastAsia" w:ascii="宋体" w:hAnsi="宋体" w:eastAsia="宋体" w:cs="宋体"/>
                <w:szCs w:val="21"/>
              </w:rPr>
              <w:t>X＜10</w:t>
            </w:r>
          </w:p>
        </w:tc>
      </w:tr>
      <w:tr w14:paraId="7CEC825F">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58BF564D">
            <w:pPr>
              <w:widowControl/>
              <w:jc w:val="left"/>
              <w:rPr>
                <w:rFonts w:hint="eastAsia" w:ascii="宋体" w:hAnsi="宋体" w:eastAsia="宋体" w:cs="宋体"/>
                <w:szCs w:val="21"/>
              </w:rPr>
            </w:pPr>
          </w:p>
        </w:tc>
        <w:tc>
          <w:tcPr>
            <w:tcW w:w="1701" w:type="dxa"/>
            <w:tcBorders>
              <w:top w:val="nil"/>
              <w:left w:val="nil"/>
              <w:bottom w:val="single" w:color="auto" w:sz="4" w:space="0"/>
              <w:right w:val="single" w:color="auto" w:sz="4" w:space="0"/>
            </w:tcBorders>
            <w:noWrap w:val="0"/>
            <w:vAlign w:val="center"/>
          </w:tcPr>
          <w:p w14:paraId="5AD1C4DA">
            <w:pPr>
              <w:widowControl/>
              <w:jc w:val="left"/>
              <w:rPr>
                <w:rFonts w:hint="eastAsia" w:ascii="宋体" w:hAnsi="宋体" w:eastAsia="宋体" w:cs="宋体"/>
                <w:szCs w:val="21"/>
              </w:rPr>
            </w:pPr>
            <w:r>
              <w:rPr>
                <w:rFonts w:hint="eastAsia" w:ascii="宋体" w:hAnsi="宋体" w:eastAsia="宋体" w:cs="宋体"/>
                <w:szCs w:val="21"/>
              </w:rPr>
              <w:t>营业收入（Y）</w:t>
            </w:r>
          </w:p>
        </w:tc>
        <w:tc>
          <w:tcPr>
            <w:tcW w:w="1134" w:type="dxa"/>
            <w:tcBorders>
              <w:top w:val="nil"/>
              <w:left w:val="nil"/>
              <w:bottom w:val="single" w:color="auto" w:sz="4" w:space="0"/>
              <w:right w:val="single" w:color="auto" w:sz="4" w:space="0"/>
            </w:tcBorders>
            <w:noWrap w:val="0"/>
            <w:vAlign w:val="center"/>
          </w:tcPr>
          <w:p w14:paraId="7421B508">
            <w:pPr>
              <w:widowControl/>
              <w:jc w:val="left"/>
              <w:rPr>
                <w:rFonts w:hint="eastAsia" w:ascii="宋体" w:hAnsi="宋体" w:eastAsia="宋体" w:cs="宋体"/>
                <w:szCs w:val="21"/>
              </w:rPr>
            </w:pPr>
            <w:r>
              <w:rPr>
                <w:rFonts w:hint="eastAsia" w:ascii="宋体" w:hAnsi="宋体" w:eastAsia="宋体" w:cs="宋体"/>
                <w:szCs w:val="21"/>
              </w:rPr>
              <w:t>万元</w:t>
            </w:r>
          </w:p>
        </w:tc>
        <w:tc>
          <w:tcPr>
            <w:tcW w:w="1846" w:type="dxa"/>
            <w:tcBorders>
              <w:top w:val="nil"/>
              <w:left w:val="nil"/>
              <w:bottom w:val="single" w:color="auto" w:sz="4" w:space="0"/>
              <w:right w:val="single" w:color="auto" w:sz="4" w:space="0"/>
            </w:tcBorders>
            <w:noWrap w:val="0"/>
            <w:vAlign w:val="center"/>
          </w:tcPr>
          <w:p w14:paraId="185ACEF7">
            <w:pPr>
              <w:widowControl/>
              <w:jc w:val="left"/>
              <w:rPr>
                <w:rFonts w:hint="eastAsia" w:ascii="宋体" w:hAnsi="宋体" w:eastAsia="宋体" w:cs="宋体"/>
                <w:szCs w:val="21"/>
              </w:rPr>
            </w:pPr>
            <w:r>
              <w:rPr>
                <w:rFonts w:hint="eastAsia" w:ascii="宋体" w:hAnsi="宋体" w:eastAsia="宋体" w:cs="宋体"/>
                <w:szCs w:val="21"/>
              </w:rPr>
              <w:t>2000≤Y＜10000</w:t>
            </w:r>
          </w:p>
        </w:tc>
        <w:tc>
          <w:tcPr>
            <w:tcW w:w="1570" w:type="dxa"/>
            <w:tcBorders>
              <w:top w:val="nil"/>
              <w:left w:val="nil"/>
              <w:bottom w:val="single" w:color="auto" w:sz="4" w:space="0"/>
              <w:right w:val="single" w:color="auto" w:sz="4" w:space="0"/>
            </w:tcBorders>
            <w:noWrap w:val="0"/>
            <w:vAlign w:val="center"/>
          </w:tcPr>
          <w:p w14:paraId="77D2056C">
            <w:pPr>
              <w:widowControl/>
              <w:jc w:val="left"/>
              <w:rPr>
                <w:rFonts w:hint="eastAsia" w:ascii="宋体" w:hAnsi="宋体" w:eastAsia="宋体" w:cs="宋体"/>
                <w:szCs w:val="21"/>
              </w:rPr>
            </w:pPr>
            <w:r>
              <w:rPr>
                <w:rFonts w:hint="eastAsia" w:ascii="宋体" w:hAnsi="宋体" w:eastAsia="宋体" w:cs="宋体"/>
                <w:szCs w:val="21"/>
              </w:rPr>
              <w:t>100≤Y＜2000</w:t>
            </w:r>
          </w:p>
        </w:tc>
        <w:tc>
          <w:tcPr>
            <w:tcW w:w="1009" w:type="dxa"/>
            <w:tcBorders>
              <w:top w:val="nil"/>
              <w:left w:val="nil"/>
              <w:bottom w:val="single" w:color="auto" w:sz="4" w:space="0"/>
              <w:right w:val="single" w:color="auto" w:sz="4" w:space="0"/>
            </w:tcBorders>
            <w:noWrap w:val="0"/>
            <w:vAlign w:val="center"/>
          </w:tcPr>
          <w:p w14:paraId="2357D582">
            <w:pPr>
              <w:widowControl/>
              <w:jc w:val="left"/>
              <w:rPr>
                <w:rFonts w:hint="eastAsia" w:ascii="宋体" w:hAnsi="宋体" w:eastAsia="宋体" w:cs="宋体"/>
                <w:szCs w:val="21"/>
              </w:rPr>
            </w:pPr>
            <w:r>
              <w:rPr>
                <w:rFonts w:hint="eastAsia" w:ascii="宋体" w:hAnsi="宋体" w:eastAsia="宋体" w:cs="宋体"/>
                <w:szCs w:val="21"/>
              </w:rPr>
              <w:t>Y＜100</w:t>
            </w:r>
          </w:p>
        </w:tc>
      </w:tr>
      <w:tr w14:paraId="56FCB69F">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172EFD4E">
            <w:pPr>
              <w:widowControl/>
              <w:jc w:val="center"/>
              <w:rPr>
                <w:rFonts w:hint="eastAsia" w:ascii="宋体" w:hAnsi="宋体" w:eastAsia="宋体" w:cs="宋体"/>
                <w:szCs w:val="21"/>
              </w:rPr>
            </w:pPr>
            <w:r>
              <w:rPr>
                <w:rFonts w:hint="eastAsia" w:ascii="宋体" w:hAnsi="宋体" w:eastAsia="宋体" w:cs="宋体"/>
                <w:szCs w:val="21"/>
              </w:rPr>
              <w:t>餐饮业</w:t>
            </w:r>
          </w:p>
        </w:tc>
        <w:tc>
          <w:tcPr>
            <w:tcW w:w="1701" w:type="dxa"/>
            <w:tcBorders>
              <w:top w:val="nil"/>
              <w:left w:val="nil"/>
              <w:bottom w:val="single" w:color="auto" w:sz="4" w:space="0"/>
              <w:right w:val="single" w:color="auto" w:sz="4" w:space="0"/>
            </w:tcBorders>
            <w:noWrap w:val="0"/>
            <w:vAlign w:val="center"/>
          </w:tcPr>
          <w:p w14:paraId="2D6C3E34">
            <w:pPr>
              <w:widowControl/>
              <w:jc w:val="left"/>
              <w:rPr>
                <w:rFonts w:hint="eastAsia" w:ascii="宋体" w:hAnsi="宋体" w:eastAsia="宋体" w:cs="宋体"/>
                <w:szCs w:val="21"/>
              </w:rPr>
            </w:pPr>
            <w:r>
              <w:rPr>
                <w:rFonts w:hint="eastAsia" w:ascii="宋体" w:hAnsi="宋体" w:eastAsia="宋体" w:cs="宋体"/>
                <w:szCs w:val="21"/>
              </w:rPr>
              <w:t>从业人员（X）</w:t>
            </w:r>
          </w:p>
        </w:tc>
        <w:tc>
          <w:tcPr>
            <w:tcW w:w="1134" w:type="dxa"/>
            <w:tcBorders>
              <w:top w:val="nil"/>
              <w:left w:val="nil"/>
              <w:bottom w:val="single" w:color="auto" w:sz="4" w:space="0"/>
              <w:right w:val="single" w:color="auto" w:sz="4" w:space="0"/>
            </w:tcBorders>
            <w:noWrap w:val="0"/>
            <w:vAlign w:val="center"/>
          </w:tcPr>
          <w:p w14:paraId="4DFA8378">
            <w:pPr>
              <w:widowControl/>
              <w:jc w:val="left"/>
              <w:rPr>
                <w:rFonts w:hint="eastAsia" w:ascii="宋体" w:hAnsi="宋体" w:eastAsia="宋体" w:cs="宋体"/>
                <w:szCs w:val="21"/>
              </w:rPr>
            </w:pPr>
            <w:r>
              <w:rPr>
                <w:rFonts w:hint="eastAsia" w:ascii="宋体" w:hAnsi="宋体" w:eastAsia="宋体" w:cs="宋体"/>
                <w:szCs w:val="21"/>
              </w:rPr>
              <w:t>人</w:t>
            </w:r>
          </w:p>
        </w:tc>
        <w:tc>
          <w:tcPr>
            <w:tcW w:w="1846" w:type="dxa"/>
            <w:tcBorders>
              <w:top w:val="nil"/>
              <w:left w:val="nil"/>
              <w:bottom w:val="single" w:color="auto" w:sz="4" w:space="0"/>
              <w:right w:val="single" w:color="auto" w:sz="4" w:space="0"/>
            </w:tcBorders>
            <w:noWrap w:val="0"/>
            <w:vAlign w:val="center"/>
          </w:tcPr>
          <w:p w14:paraId="6811DBAC">
            <w:pPr>
              <w:widowControl/>
              <w:jc w:val="left"/>
              <w:rPr>
                <w:rFonts w:hint="eastAsia" w:ascii="宋体" w:hAnsi="宋体" w:eastAsia="宋体" w:cs="宋体"/>
                <w:szCs w:val="21"/>
              </w:rPr>
            </w:pPr>
            <w:r>
              <w:rPr>
                <w:rFonts w:hint="eastAsia" w:ascii="宋体" w:hAnsi="宋体" w:eastAsia="宋体" w:cs="宋体"/>
                <w:szCs w:val="21"/>
              </w:rPr>
              <w:t>100≤X＜300</w:t>
            </w:r>
          </w:p>
        </w:tc>
        <w:tc>
          <w:tcPr>
            <w:tcW w:w="1570" w:type="dxa"/>
            <w:tcBorders>
              <w:top w:val="nil"/>
              <w:left w:val="nil"/>
              <w:bottom w:val="single" w:color="auto" w:sz="4" w:space="0"/>
              <w:right w:val="single" w:color="auto" w:sz="4" w:space="0"/>
            </w:tcBorders>
            <w:noWrap w:val="0"/>
            <w:vAlign w:val="center"/>
          </w:tcPr>
          <w:p w14:paraId="61055578">
            <w:pPr>
              <w:widowControl/>
              <w:jc w:val="left"/>
              <w:rPr>
                <w:rFonts w:hint="eastAsia" w:ascii="宋体" w:hAnsi="宋体" w:eastAsia="宋体" w:cs="宋体"/>
                <w:szCs w:val="21"/>
              </w:rPr>
            </w:pPr>
            <w:r>
              <w:rPr>
                <w:rFonts w:hint="eastAsia" w:ascii="宋体" w:hAnsi="宋体" w:eastAsia="宋体" w:cs="宋体"/>
                <w:szCs w:val="21"/>
              </w:rPr>
              <w:t>10≤X＜100</w:t>
            </w:r>
          </w:p>
        </w:tc>
        <w:tc>
          <w:tcPr>
            <w:tcW w:w="1009" w:type="dxa"/>
            <w:tcBorders>
              <w:top w:val="nil"/>
              <w:left w:val="nil"/>
              <w:bottom w:val="single" w:color="auto" w:sz="4" w:space="0"/>
              <w:right w:val="single" w:color="auto" w:sz="4" w:space="0"/>
            </w:tcBorders>
            <w:noWrap w:val="0"/>
            <w:vAlign w:val="center"/>
          </w:tcPr>
          <w:p w14:paraId="43B5AA37">
            <w:pPr>
              <w:widowControl/>
              <w:jc w:val="left"/>
              <w:rPr>
                <w:rFonts w:hint="eastAsia" w:ascii="宋体" w:hAnsi="宋体" w:eastAsia="宋体" w:cs="宋体"/>
                <w:szCs w:val="21"/>
              </w:rPr>
            </w:pPr>
            <w:r>
              <w:rPr>
                <w:rFonts w:hint="eastAsia" w:ascii="宋体" w:hAnsi="宋体" w:eastAsia="宋体" w:cs="宋体"/>
                <w:szCs w:val="21"/>
              </w:rPr>
              <w:t>X＜10</w:t>
            </w:r>
          </w:p>
        </w:tc>
      </w:tr>
      <w:tr w14:paraId="34ED2176">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205D741E">
            <w:pPr>
              <w:widowControl/>
              <w:jc w:val="left"/>
              <w:rPr>
                <w:rFonts w:hint="eastAsia" w:ascii="宋体" w:hAnsi="宋体" w:eastAsia="宋体" w:cs="宋体"/>
                <w:szCs w:val="21"/>
              </w:rPr>
            </w:pPr>
          </w:p>
        </w:tc>
        <w:tc>
          <w:tcPr>
            <w:tcW w:w="1701" w:type="dxa"/>
            <w:tcBorders>
              <w:top w:val="nil"/>
              <w:left w:val="nil"/>
              <w:bottom w:val="single" w:color="auto" w:sz="4" w:space="0"/>
              <w:right w:val="single" w:color="auto" w:sz="4" w:space="0"/>
            </w:tcBorders>
            <w:noWrap w:val="0"/>
            <w:vAlign w:val="center"/>
          </w:tcPr>
          <w:p w14:paraId="56792C84">
            <w:pPr>
              <w:widowControl/>
              <w:jc w:val="left"/>
              <w:rPr>
                <w:rFonts w:hint="eastAsia" w:ascii="宋体" w:hAnsi="宋体" w:eastAsia="宋体" w:cs="宋体"/>
                <w:szCs w:val="21"/>
              </w:rPr>
            </w:pPr>
            <w:r>
              <w:rPr>
                <w:rFonts w:hint="eastAsia" w:ascii="宋体" w:hAnsi="宋体" w:eastAsia="宋体" w:cs="宋体"/>
                <w:szCs w:val="21"/>
              </w:rPr>
              <w:t>营业收入（Y）</w:t>
            </w:r>
          </w:p>
        </w:tc>
        <w:tc>
          <w:tcPr>
            <w:tcW w:w="1134" w:type="dxa"/>
            <w:tcBorders>
              <w:top w:val="nil"/>
              <w:left w:val="nil"/>
              <w:bottom w:val="single" w:color="auto" w:sz="4" w:space="0"/>
              <w:right w:val="single" w:color="auto" w:sz="4" w:space="0"/>
            </w:tcBorders>
            <w:noWrap w:val="0"/>
            <w:vAlign w:val="center"/>
          </w:tcPr>
          <w:p w14:paraId="631209A1">
            <w:pPr>
              <w:widowControl/>
              <w:jc w:val="left"/>
              <w:rPr>
                <w:rFonts w:hint="eastAsia" w:ascii="宋体" w:hAnsi="宋体" w:eastAsia="宋体" w:cs="宋体"/>
                <w:szCs w:val="21"/>
              </w:rPr>
            </w:pPr>
            <w:r>
              <w:rPr>
                <w:rFonts w:hint="eastAsia" w:ascii="宋体" w:hAnsi="宋体" w:eastAsia="宋体" w:cs="宋体"/>
                <w:szCs w:val="21"/>
              </w:rPr>
              <w:t>万元</w:t>
            </w:r>
          </w:p>
        </w:tc>
        <w:tc>
          <w:tcPr>
            <w:tcW w:w="1846" w:type="dxa"/>
            <w:tcBorders>
              <w:top w:val="nil"/>
              <w:left w:val="nil"/>
              <w:bottom w:val="single" w:color="auto" w:sz="4" w:space="0"/>
              <w:right w:val="single" w:color="auto" w:sz="4" w:space="0"/>
            </w:tcBorders>
            <w:noWrap w:val="0"/>
            <w:vAlign w:val="center"/>
          </w:tcPr>
          <w:p w14:paraId="7202C489">
            <w:pPr>
              <w:widowControl/>
              <w:jc w:val="left"/>
              <w:rPr>
                <w:rFonts w:hint="eastAsia" w:ascii="宋体" w:hAnsi="宋体" w:eastAsia="宋体" w:cs="宋体"/>
                <w:szCs w:val="21"/>
              </w:rPr>
            </w:pPr>
            <w:r>
              <w:rPr>
                <w:rFonts w:hint="eastAsia" w:ascii="宋体" w:hAnsi="宋体" w:eastAsia="宋体" w:cs="宋体"/>
                <w:szCs w:val="21"/>
              </w:rPr>
              <w:t>2000≤Y＜10000</w:t>
            </w:r>
          </w:p>
        </w:tc>
        <w:tc>
          <w:tcPr>
            <w:tcW w:w="1570" w:type="dxa"/>
            <w:tcBorders>
              <w:top w:val="nil"/>
              <w:left w:val="nil"/>
              <w:bottom w:val="single" w:color="auto" w:sz="4" w:space="0"/>
              <w:right w:val="single" w:color="auto" w:sz="4" w:space="0"/>
            </w:tcBorders>
            <w:noWrap w:val="0"/>
            <w:vAlign w:val="center"/>
          </w:tcPr>
          <w:p w14:paraId="37C8DF51">
            <w:pPr>
              <w:widowControl/>
              <w:jc w:val="left"/>
              <w:rPr>
                <w:rFonts w:hint="eastAsia" w:ascii="宋体" w:hAnsi="宋体" w:eastAsia="宋体" w:cs="宋体"/>
                <w:szCs w:val="21"/>
              </w:rPr>
            </w:pPr>
            <w:r>
              <w:rPr>
                <w:rFonts w:hint="eastAsia" w:ascii="宋体" w:hAnsi="宋体" w:eastAsia="宋体" w:cs="宋体"/>
                <w:szCs w:val="21"/>
              </w:rPr>
              <w:t>100≤Y＜2000</w:t>
            </w:r>
          </w:p>
        </w:tc>
        <w:tc>
          <w:tcPr>
            <w:tcW w:w="1009" w:type="dxa"/>
            <w:tcBorders>
              <w:top w:val="nil"/>
              <w:left w:val="nil"/>
              <w:bottom w:val="single" w:color="auto" w:sz="4" w:space="0"/>
              <w:right w:val="single" w:color="auto" w:sz="4" w:space="0"/>
            </w:tcBorders>
            <w:noWrap w:val="0"/>
            <w:vAlign w:val="center"/>
          </w:tcPr>
          <w:p w14:paraId="04FEFAC6">
            <w:pPr>
              <w:widowControl/>
              <w:jc w:val="left"/>
              <w:rPr>
                <w:rFonts w:hint="eastAsia" w:ascii="宋体" w:hAnsi="宋体" w:eastAsia="宋体" w:cs="宋体"/>
                <w:szCs w:val="21"/>
              </w:rPr>
            </w:pPr>
            <w:r>
              <w:rPr>
                <w:rFonts w:hint="eastAsia" w:ascii="宋体" w:hAnsi="宋体" w:eastAsia="宋体" w:cs="宋体"/>
                <w:szCs w:val="21"/>
              </w:rPr>
              <w:t>Y＜100</w:t>
            </w:r>
          </w:p>
        </w:tc>
      </w:tr>
      <w:tr w14:paraId="17AF6D34">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0BBAAA85">
            <w:pPr>
              <w:widowControl/>
              <w:jc w:val="center"/>
              <w:rPr>
                <w:rFonts w:hint="eastAsia" w:ascii="宋体" w:hAnsi="宋体" w:eastAsia="宋体" w:cs="宋体"/>
                <w:szCs w:val="21"/>
              </w:rPr>
            </w:pPr>
            <w:r>
              <w:rPr>
                <w:rFonts w:hint="eastAsia" w:ascii="宋体" w:hAnsi="宋体" w:eastAsia="宋体" w:cs="宋体"/>
                <w:szCs w:val="21"/>
              </w:rPr>
              <w:t>信息传输业</w:t>
            </w:r>
          </w:p>
        </w:tc>
        <w:tc>
          <w:tcPr>
            <w:tcW w:w="1701" w:type="dxa"/>
            <w:tcBorders>
              <w:top w:val="nil"/>
              <w:left w:val="nil"/>
              <w:bottom w:val="single" w:color="auto" w:sz="4" w:space="0"/>
              <w:right w:val="single" w:color="auto" w:sz="4" w:space="0"/>
            </w:tcBorders>
            <w:noWrap w:val="0"/>
            <w:vAlign w:val="center"/>
          </w:tcPr>
          <w:p w14:paraId="5A302865">
            <w:pPr>
              <w:widowControl/>
              <w:jc w:val="left"/>
              <w:rPr>
                <w:rFonts w:hint="eastAsia" w:ascii="宋体" w:hAnsi="宋体" w:eastAsia="宋体" w:cs="宋体"/>
                <w:szCs w:val="21"/>
              </w:rPr>
            </w:pPr>
            <w:r>
              <w:rPr>
                <w:rFonts w:hint="eastAsia" w:ascii="宋体" w:hAnsi="宋体" w:eastAsia="宋体" w:cs="宋体"/>
                <w:szCs w:val="21"/>
              </w:rPr>
              <w:t>从业人员（X）</w:t>
            </w:r>
          </w:p>
        </w:tc>
        <w:tc>
          <w:tcPr>
            <w:tcW w:w="1134" w:type="dxa"/>
            <w:tcBorders>
              <w:top w:val="nil"/>
              <w:left w:val="nil"/>
              <w:bottom w:val="single" w:color="auto" w:sz="4" w:space="0"/>
              <w:right w:val="single" w:color="auto" w:sz="4" w:space="0"/>
            </w:tcBorders>
            <w:noWrap w:val="0"/>
            <w:vAlign w:val="center"/>
          </w:tcPr>
          <w:p w14:paraId="1404609C">
            <w:pPr>
              <w:widowControl/>
              <w:jc w:val="left"/>
              <w:rPr>
                <w:rFonts w:hint="eastAsia" w:ascii="宋体" w:hAnsi="宋体" w:eastAsia="宋体" w:cs="宋体"/>
                <w:szCs w:val="21"/>
              </w:rPr>
            </w:pPr>
            <w:r>
              <w:rPr>
                <w:rFonts w:hint="eastAsia" w:ascii="宋体" w:hAnsi="宋体" w:eastAsia="宋体" w:cs="宋体"/>
                <w:szCs w:val="21"/>
              </w:rPr>
              <w:t>人</w:t>
            </w:r>
          </w:p>
        </w:tc>
        <w:tc>
          <w:tcPr>
            <w:tcW w:w="1846" w:type="dxa"/>
            <w:tcBorders>
              <w:top w:val="nil"/>
              <w:left w:val="nil"/>
              <w:bottom w:val="single" w:color="auto" w:sz="4" w:space="0"/>
              <w:right w:val="single" w:color="auto" w:sz="4" w:space="0"/>
            </w:tcBorders>
            <w:noWrap w:val="0"/>
            <w:vAlign w:val="center"/>
          </w:tcPr>
          <w:p w14:paraId="3352B155">
            <w:pPr>
              <w:widowControl/>
              <w:jc w:val="left"/>
              <w:rPr>
                <w:rFonts w:hint="eastAsia" w:ascii="宋体" w:hAnsi="宋体" w:eastAsia="宋体" w:cs="宋体"/>
                <w:szCs w:val="21"/>
              </w:rPr>
            </w:pPr>
            <w:r>
              <w:rPr>
                <w:rFonts w:hint="eastAsia" w:ascii="宋体" w:hAnsi="宋体" w:eastAsia="宋体" w:cs="宋体"/>
                <w:szCs w:val="21"/>
              </w:rPr>
              <w:t>100≤X＜2000</w:t>
            </w:r>
          </w:p>
        </w:tc>
        <w:tc>
          <w:tcPr>
            <w:tcW w:w="1570" w:type="dxa"/>
            <w:tcBorders>
              <w:top w:val="nil"/>
              <w:left w:val="nil"/>
              <w:bottom w:val="single" w:color="auto" w:sz="4" w:space="0"/>
              <w:right w:val="single" w:color="auto" w:sz="4" w:space="0"/>
            </w:tcBorders>
            <w:noWrap w:val="0"/>
            <w:vAlign w:val="center"/>
          </w:tcPr>
          <w:p w14:paraId="084E5A0A">
            <w:pPr>
              <w:widowControl/>
              <w:jc w:val="left"/>
              <w:rPr>
                <w:rFonts w:hint="eastAsia" w:ascii="宋体" w:hAnsi="宋体" w:eastAsia="宋体" w:cs="宋体"/>
                <w:szCs w:val="21"/>
              </w:rPr>
            </w:pPr>
            <w:r>
              <w:rPr>
                <w:rFonts w:hint="eastAsia" w:ascii="宋体" w:hAnsi="宋体" w:eastAsia="宋体" w:cs="宋体"/>
                <w:szCs w:val="21"/>
              </w:rPr>
              <w:t>10≤X＜100</w:t>
            </w:r>
          </w:p>
        </w:tc>
        <w:tc>
          <w:tcPr>
            <w:tcW w:w="1009" w:type="dxa"/>
            <w:tcBorders>
              <w:top w:val="nil"/>
              <w:left w:val="nil"/>
              <w:bottom w:val="single" w:color="auto" w:sz="4" w:space="0"/>
              <w:right w:val="single" w:color="auto" w:sz="4" w:space="0"/>
            </w:tcBorders>
            <w:noWrap w:val="0"/>
            <w:vAlign w:val="center"/>
          </w:tcPr>
          <w:p w14:paraId="1E12B152">
            <w:pPr>
              <w:widowControl/>
              <w:jc w:val="left"/>
              <w:rPr>
                <w:rFonts w:hint="eastAsia" w:ascii="宋体" w:hAnsi="宋体" w:eastAsia="宋体" w:cs="宋体"/>
                <w:szCs w:val="21"/>
              </w:rPr>
            </w:pPr>
            <w:r>
              <w:rPr>
                <w:rFonts w:hint="eastAsia" w:ascii="宋体" w:hAnsi="宋体" w:eastAsia="宋体" w:cs="宋体"/>
                <w:szCs w:val="21"/>
              </w:rPr>
              <w:t>X＜10</w:t>
            </w:r>
          </w:p>
        </w:tc>
      </w:tr>
      <w:tr w14:paraId="73A4653D">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0593DA16">
            <w:pPr>
              <w:widowControl/>
              <w:jc w:val="left"/>
              <w:rPr>
                <w:rFonts w:hint="eastAsia" w:ascii="宋体" w:hAnsi="宋体" w:eastAsia="宋体" w:cs="宋体"/>
                <w:szCs w:val="21"/>
              </w:rPr>
            </w:pPr>
          </w:p>
        </w:tc>
        <w:tc>
          <w:tcPr>
            <w:tcW w:w="1701" w:type="dxa"/>
            <w:tcBorders>
              <w:top w:val="nil"/>
              <w:left w:val="nil"/>
              <w:bottom w:val="single" w:color="auto" w:sz="4" w:space="0"/>
              <w:right w:val="single" w:color="auto" w:sz="4" w:space="0"/>
            </w:tcBorders>
            <w:noWrap w:val="0"/>
            <w:vAlign w:val="center"/>
          </w:tcPr>
          <w:p w14:paraId="54EB897E">
            <w:pPr>
              <w:widowControl/>
              <w:jc w:val="left"/>
              <w:rPr>
                <w:rFonts w:hint="eastAsia" w:ascii="宋体" w:hAnsi="宋体" w:eastAsia="宋体" w:cs="宋体"/>
                <w:szCs w:val="21"/>
              </w:rPr>
            </w:pPr>
            <w:r>
              <w:rPr>
                <w:rFonts w:hint="eastAsia" w:ascii="宋体" w:hAnsi="宋体" w:eastAsia="宋体" w:cs="宋体"/>
                <w:szCs w:val="21"/>
              </w:rPr>
              <w:t>营业收入（Y）</w:t>
            </w:r>
          </w:p>
        </w:tc>
        <w:tc>
          <w:tcPr>
            <w:tcW w:w="1134" w:type="dxa"/>
            <w:tcBorders>
              <w:top w:val="nil"/>
              <w:left w:val="nil"/>
              <w:bottom w:val="single" w:color="auto" w:sz="4" w:space="0"/>
              <w:right w:val="single" w:color="auto" w:sz="4" w:space="0"/>
            </w:tcBorders>
            <w:noWrap w:val="0"/>
            <w:vAlign w:val="center"/>
          </w:tcPr>
          <w:p w14:paraId="74734B6A">
            <w:pPr>
              <w:widowControl/>
              <w:jc w:val="left"/>
              <w:rPr>
                <w:rFonts w:hint="eastAsia" w:ascii="宋体" w:hAnsi="宋体" w:eastAsia="宋体" w:cs="宋体"/>
                <w:szCs w:val="21"/>
              </w:rPr>
            </w:pPr>
            <w:r>
              <w:rPr>
                <w:rFonts w:hint="eastAsia" w:ascii="宋体" w:hAnsi="宋体" w:eastAsia="宋体" w:cs="宋体"/>
                <w:szCs w:val="21"/>
              </w:rPr>
              <w:t>万元</w:t>
            </w:r>
          </w:p>
        </w:tc>
        <w:tc>
          <w:tcPr>
            <w:tcW w:w="1846" w:type="dxa"/>
            <w:tcBorders>
              <w:top w:val="nil"/>
              <w:left w:val="nil"/>
              <w:bottom w:val="single" w:color="auto" w:sz="4" w:space="0"/>
              <w:right w:val="single" w:color="auto" w:sz="4" w:space="0"/>
            </w:tcBorders>
            <w:noWrap w:val="0"/>
            <w:vAlign w:val="center"/>
          </w:tcPr>
          <w:p w14:paraId="0B0E3F6F">
            <w:pPr>
              <w:widowControl/>
              <w:jc w:val="left"/>
              <w:rPr>
                <w:rFonts w:hint="eastAsia" w:ascii="宋体" w:hAnsi="宋体" w:eastAsia="宋体" w:cs="宋体"/>
                <w:szCs w:val="21"/>
              </w:rPr>
            </w:pPr>
            <w:r>
              <w:rPr>
                <w:rFonts w:hint="eastAsia" w:ascii="宋体" w:hAnsi="宋体" w:eastAsia="宋体" w:cs="宋体"/>
                <w:szCs w:val="21"/>
              </w:rPr>
              <w:t>1000≤Y＜100000</w:t>
            </w:r>
          </w:p>
        </w:tc>
        <w:tc>
          <w:tcPr>
            <w:tcW w:w="1570" w:type="dxa"/>
            <w:tcBorders>
              <w:top w:val="nil"/>
              <w:left w:val="nil"/>
              <w:bottom w:val="single" w:color="auto" w:sz="4" w:space="0"/>
              <w:right w:val="single" w:color="auto" w:sz="4" w:space="0"/>
            </w:tcBorders>
            <w:noWrap w:val="0"/>
            <w:vAlign w:val="center"/>
          </w:tcPr>
          <w:p w14:paraId="679217BA">
            <w:pPr>
              <w:widowControl/>
              <w:jc w:val="left"/>
              <w:rPr>
                <w:rFonts w:hint="eastAsia" w:ascii="宋体" w:hAnsi="宋体" w:eastAsia="宋体" w:cs="宋体"/>
                <w:szCs w:val="21"/>
              </w:rPr>
            </w:pPr>
            <w:r>
              <w:rPr>
                <w:rFonts w:hint="eastAsia" w:ascii="宋体" w:hAnsi="宋体" w:eastAsia="宋体" w:cs="宋体"/>
                <w:szCs w:val="21"/>
              </w:rPr>
              <w:t>100≤Y＜1000</w:t>
            </w:r>
          </w:p>
        </w:tc>
        <w:tc>
          <w:tcPr>
            <w:tcW w:w="1009" w:type="dxa"/>
            <w:tcBorders>
              <w:top w:val="nil"/>
              <w:left w:val="nil"/>
              <w:bottom w:val="single" w:color="auto" w:sz="4" w:space="0"/>
              <w:right w:val="single" w:color="auto" w:sz="4" w:space="0"/>
            </w:tcBorders>
            <w:noWrap w:val="0"/>
            <w:vAlign w:val="center"/>
          </w:tcPr>
          <w:p w14:paraId="00AC4A7C">
            <w:pPr>
              <w:widowControl/>
              <w:jc w:val="left"/>
              <w:rPr>
                <w:rFonts w:hint="eastAsia" w:ascii="宋体" w:hAnsi="宋体" w:eastAsia="宋体" w:cs="宋体"/>
                <w:szCs w:val="21"/>
              </w:rPr>
            </w:pPr>
            <w:r>
              <w:rPr>
                <w:rFonts w:hint="eastAsia" w:ascii="宋体" w:hAnsi="宋体" w:eastAsia="宋体" w:cs="宋体"/>
                <w:szCs w:val="21"/>
              </w:rPr>
              <w:t>Y＜100</w:t>
            </w:r>
          </w:p>
        </w:tc>
      </w:tr>
      <w:tr w14:paraId="25E45146">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2801CF1A">
            <w:pPr>
              <w:widowControl/>
              <w:jc w:val="center"/>
              <w:rPr>
                <w:rFonts w:hint="eastAsia" w:ascii="宋体" w:hAnsi="宋体" w:eastAsia="宋体" w:cs="宋体"/>
                <w:szCs w:val="21"/>
              </w:rPr>
            </w:pPr>
            <w:r>
              <w:rPr>
                <w:rFonts w:hint="eastAsia" w:ascii="宋体" w:hAnsi="宋体" w:eastAsia="宋体" w:cs="宋体"/>
                <w:szCs w:val="21"/>
              </w:rPr>
              <w:t>软件和信息技术服务业</w:t>
            </w:r>
          </w:p>
        </w:tc>
        <w:tc>
          <w:tcPr>
            <w:tcW w:w="1701" w:type="dxa"/>
            <w:tcBorders>
              <w:top w:val="nil"/>
              <w:left w:val="nil"/>
              <w:bottom w:val="single" w:color="auto" w:sz="4" w:space="0"/>
              <w:right w:val="single" w:color="auto" w:sz="4" w:space="0"/>
            </w:tcBorders>
            <w:noWrap w:val="0"/>
            <w:vAlign w:val="center"/>
          </w:tcPr>
          <w:p w14:paraId="737EF99E">
            <w:pPr>
              <w:widowControl/>
              <w:jc w:val="left"/>
              <w:rPr>
                <w:rFonts w:hint="eastAsia" w:ascii="宋体" w:hAnsi="宋体" w:eastAsia="宋体" w:cs="宋体"/>
                <w:szCs w:val="21"/>
              </w:rPr>
            </w:pPr>
            <w:r>
              <w:rPr>
                <w:rFonts w:hint="eastAsia" w:ascii="宋体" w:hAnsi="宋体" w:eastAsia="宋体" w:cs="宋体"/>
                <w:szCs w:val="21"/>
              </w:rPr>
              <w:t>从业人员（X）</w:t>
            </w:r>
          </w:p>
        </w:tc>
        <w:tc>
          <w:tcPr>
            <w:tcW w:w="1134" w:type="dxa"/>
            <w:tcBorders>
              <w:top w:val="nil"/>
              <w:left w:val="nil"/>
              <w:bottom w:val="single" w:color="auto" w:sz="4" w:space="0"/>
              <w:right w:val="single" w:color="auto" w:sz="4" w:space="0"/>
            </w:tcBorders>
            <w:noWrap w:val="0"/>
            <w:vAlign w:val="center"/>
          </w:tcPr>
          <w:p w14:paraId="53ED3605">
            <w:pPr>
              <w:widowControl/>
              <w:jc w:val="left"/>
              <w:rPr>
                <w:rFonts w:hint="eastAsia" w:ascii="宋体" w:hAnsi="宋体" w:eastAsia="宋体" w:cs="宋体"/>
                <w:szCs w:val="21"/>
              </w:rPr>
            </w:pPr>
            <w:r>
              <w:rPr>
                <w:rFonts w:hint="eastAsia" w:ascii="宋体" w:hAnsi="宋体" w:eastAsia="宋体" w:cs="宋体"/>
                <w:szCs w:val="21"/>
              </w:rPr>
              <w:t>人</w:t>
            </w:r>
          </w:p>
        </w:tc>
        <w:tc>
          <w:tcPr>
            <w:tcW w:w="1846" w:type="dxa"/>
            <w:tcBorders>
              <w:top w:val="nil"/>
              <w:left w:val="nil"/>
              <w:bottom w:val="single" w:color="auto" w:sz="4" w:space="0"/>
              <w:right w:val="single" w:color="auto" w:sz="4" w:space="0"/>
            </w:tcBorders>
            <w:noWrap w:val="0"/>
            <w:vAlign w:val="center"/>
          </w:tcPr>
          <w:p w14:paraId="2CBFCAE1">
            <w:pPr>
              <w:widowControl/>
              <w:jc w:val="left"/>
              <w:rPr>
                <w:rFonts w:hint="eastAsia" w:ascii="宋体" w:hAnsi="宋体" w:eastAsia="宋体" w:cs="宋体"/>
                <w:szCs w:val="21"/>
              </w:rPr>
            </w:pPr>
            <w:r>
              <w:rPr>
                <w:rFonts w:hint="eastAsia" w:ascii="宋体" w:hAnsi="宋体" w:eastAsia="宋体" w:cs="宋体"/>
                <w:szCs w:val="21"/>
              </w:rPr>
              <w:t>100≤X＜300</w:t>
            </w:r>
          </w:p>
        </w:tc>
        <w:tc>
          <w:tcPr>
            <w:tcW w:w="1570" w:type="dxa"/>
            <w:tcBorders>
              <w:top w:val="nil"/>
              <w:left w:val="nil"/>
              <w:bottom w:val="single" w:color="auto" w:sz="4" w:space="0"/>
              <w:right w:val="single" w:color="auto" w:sz="4" w:space="0"/>
            </w:tcBorders>
            <w:noWrap w:val="0"/>
            <w:vAlign w:val="center"/>
          </w:tcPr>
          <w:p w14:paraId="2EADA8EE">
            <w:pPr>
              <w:widowControl/>
              <w:jc w:val="left"/>
              <w:rPr>
                <w:rFonts w:hint="eastAsia" w:ascii="宋体" w:hAnsi="宋体" w:eastAsia="宋体" w:cs="宋体"/>
                <w:szCs w:val="21"/>
              </w:rPr>
            </w:pPr>
            <w:r>
              <w:rPr>
                <w:rFonts w:hint="eastAsia" w:ascii="宋体" w:hAnsi="宋体" w:eastAsia="宋体" w:cs="宋体"/>
                <w:szCs w:val="21"/>
              </w:rPr>
              <w:t>10≤X＜100</w:t>
            </w:r>
          </w:p>
        </w:tc>
        <w:tc>
          <w:tcPr>
            <w:tcW w:w="1009" w:type="dxa"/>
            <w:tcBorders>
              <w:top w:val="nil"/>
              <w:left w:val="nil"/>
              <w:bottom w:val="single" w:color="auto" w:sz="4" w:space="0"/>
              <w:right w:val="single" w:color="auto" w:sz="4" w:space="0"/>
            </w:tcBorders>
            <w:noWrap w:val="0"/>
            <w:vAlign w:val="center"/>
          </w:tcPr>
          <w:p w14:paraId="40F640FA">
            <w:pPr>
              <w:widowControl/>
              <w:jc w:val="left"/>
              <w:rPr>
                <w:rFonts w:hint="eastAsia" w:ascii="宋体" w:hAnsi="宋体" w:eastAsia="宋体" w:cs="宋体"/>
                <w:szCs w:val="21"/>
              </w:rPr>
            </w:pPr>
            <w:r>
              <w:rPr>
                <w:rFonts w:hint="eastAsia" w:ascii="宋体" w:hAnsi="宋体" w:eastAsia="宋体" w:cs="宋体"/>
                <w:szCs w:val="21"/>
              </w:rPr>
              <w:t>X＜10</w:t>
            </w:r>
          </w:p>
        </w:tc>
      </w:tr>
      <w:tr w14:paraId="4FDC97D5">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0A529930">
            <w:pPr>
              <w:widowControl/>
              <w:jc w:val="left"/>
              <w:rPr>
                <w:rFonts w:hint="eastAsia" w:ascii="宋体" w:hAnsi="宋体" w:eastAsia="宋体" w:cs="宋体"/>
                <w:szCs w:val="21"/>
              </w:rPr>
            </w:pPr>
          </w:p>
        </w:tc>
        <w:tc>
          <w:tcPr>
            <w:tcW w:w="1701" w:type="dxa"/>
            <w:tcBorders>
              <w:top w:val="nil"/>
              <w:left w:val="nil"/>
              <w:bottom w:val="single" w:color="auto" w:sz="4" w:space="0"/>
              <w:right w:val="single" w:color="auto" w:sz="4" w:space="0"/>
            </w:tcBorders>
            <w:noWrap w:val="0"/>
            <w:vAlign w:val="center"/>
          </w:tcPr>
          <w:p w14:paraId="7E6CF628">
            <w:pPr>
              <w:widowControl/>
              <w:jc w:val="left"/>
              <w:rPr>
                <w:rFonts w:hint="eastAsia" w:ascii="宋体" w:hAnsi="宋体" w:eastAsia="宋体" w:cs="宋体"/>
                <w:szCs w:val="21"/>
              </w:rPr>
            </w:pPr>
            <w:r>
              <w:rPr>
                <w:rFonts w:hint="eastAsia" w:ascii="宋体" w:hAnsi="宋体" w:eastAsia="宋体" w:cs="宋体"/>
                <w:szCs w:val="21"/>
              </w:rPr>
              <w:t>营业收入（Y）</w:t>
            </w:r>
          </w:p>
        </w:tc>
        <w:tc>
          <w:tcPr>
            <w:tcW w:w="1134" w:type="dxa"/>
            <w:tcBorders>
              <w:top w:val="nil"/>
              <w:left w:val="nil"/>
              <w:bottom w:val="single" w:color="auto" w:sz="4" w:space="0"/>
              <w:right w:val="single" w:color="auto" w:sz="4" w:space="0"/>
            </w:tcBorders>
            <w:noWrap w:val="0"/>
            <w:vAlign w:val="center"/>
          </w:tcPr>
          <w:p w14:paraId="1423A9CD">
            <w:pPr>
              <w:widowControl/>
              <w:jc w:val="left"/>
              <w:rPr>
                <w:rFonts w:hint="eastAsia" w:ascii="宋体" w:hAnsi="宋体" w:eastAsia="宋体" w:cs="宋体"/>
                <w:szCs w:val="21"/>
              </w:rPr>
            </w:pPr>
            <w:r>
              <w:rPr>
                <w:rFonts w:hint="eastAsia" w:ascii="宋体" w:hAnsi="宋体" w:eastAsia="宋体" w:cs="宋体"/>
                <w:szCs w:val="21"/>
              </w:rPr>
              <w:t>万元</w:t>
            </w:r>
          </w:p>
        </w:tc>
        <w:tc>
          <w:tcPr>
            <w:tcW w:w="1846" w:type="dxa"/>
            <w:tcBorders>
              <w:top w:val="nil"/>
              <w:left w:val="nil"/>
              <w:bottom w:val="single" w:color="auto" w:sz="4" w:space="0"/>
              <w:right w:val="single" w:color="auto" w:sz="4" w:space="0"/>
            </w:tcBorders>
            <w:noWrap w:val="0"/>
            <w:vAlign w:val="center"/>
          </w:tcPr>
          <w:p w14:paraId="103E8DA2">
            <w:pPr>
              <w:widowControl/>
              <w:jc w:val="left"/>
              <w:rPr>
                <w:rFonts w:hint="eastAsia" w:ascii="宋体" w:hAnsi="宋体" w:eastAsia="宋体" w:cs="宋体"/>
                <w:szCs w:val="21"/>
              </w:rPr>
            </w:pPr>
            <w:r>
              <w:rPr>
                <w:rFonts w:hint="eastAsia" w:ascii="宋体" w:hAnsi="宋体" w:eastAsia="宋体" w:cs="宋体"/>
                <w:szCs w:val="21"/>
              </w:rPr>
              <w:t>1000≤Y＜10000</w:t>
            </w:r>
          </w:p>
        </w:tc>
        <w:tc>
          <w:tcPr>
            <w:tcW w:w="1570" w:type="dxa"/>
            <w:tcBorders>
              <w:top w:val="nil"/>
              <w:left w:val="nil"/>
              <w:bottom w:val="single" w:color="auto" w:sz="4" w:space="0"/>
              <w:right w:val="single" w:color="auto" w:sz="4" w:space="0"/>
            </w:tcBorders>
            <w:noWrap w:val="0"/>
            <w:vAlign w:val="center"/>
          </w:tcPr>
          <w:p w14:paraId="60DAD6E8">
            <w:pPr>
              <w:widowControl/>
              <w:jc w:val="left"/>
              <w:rPr>
                <w:rFonts w:hint="eastAsia" w:ascii="宋体" w:hAnsi="宋体" w:eastAsia="宋体" w:cs="宋体"/>
                <w:szCs w:val="21"/>
              </w:rPr>
            </w:pPr>
            <w:r>
              <w:rPr>
                <w:rFonts w:hint="eastAsia" w:ascii="宋体" w:hAnsi="宋体" w:eastAsia="宋体" w:cs="宋体"/>
                <w:szCs w:val="21"/>
              </w:rPr>
              <w:t>50≤Y＜1000</w:t>
            </w:r>
          </w:p>
        </w:tc>
        <w:tc>
          <w:tcPr>
            <w:tcW w:w="1009" w:type="dxa"/>
            <w:tcBorders>
              <w:top w:val="nil"/>
              <w:left w:val="nil"/>
              <w:bottom w:val="single" w:color="auto" w:sz="4" w:space="0"/>
              <w:right w:val="single" w:color="auto" w:sz="4" w:space="0"/>
            </w:tcBorders>
            <w:noWrap w:val="0"/>
            <w:vAlign w:val="center"/>
          </w:tcPr>
          <w:p w14:paraId="248735AE">
            <w:pPr>
              <w:widowControl/>
              <w:jc w:val="left"/>
              <w:rPr>
                <w:rFonts w:hint="eastAsia" w:ascii="宋体" w:hAnsi="宋体" w:eastAsia="宋体" w:cs="宋体"/>
                <w:szCs w:val="21"/>
              </w:rPr>
            </w:pPr>
            <w:r>
              <w:rPr>
                <w:rFonts w:hint="eastAsia" w:ascii="宋体" w:hAnsi="宋体" w:eastAsia="宋体" w:cs="宋体"/>
                <w:szCs w:val="21"/>
              </w:rPr>
              <w:t>Y＜50</w:t>
            </w:r>
          </w:p>
        </w:tc>
      </w:tr>
      <w:tr w14:paraId="754BCD43">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296D7117">
            <w:pPr>
              <w:widowControl/>
              <w:jc w:val="center"/>
              <w:rPr>
                <w:rFonts w:hint="eastAsia" w:ascii="宋体" w:hAnsi="宋体" w:eastAsia="宋体" w:cs="宋体"/>
                <w:szCs w:val="21"/>
              </w:rPr>
            </w:pPr>
            <w:r>
              <w:rPr>
                <w:rFonts w:hint="eastAsia" w:ascii="宋体" w:hAnsi="宋体" w:eastAsia="宋体" w:cs="宋体"/>
                <w:szCs w:val="21"/>
              </w:rPr>
              <w:t>房地产开发经营</w:t>
            </w:r>
          </w:p>
        </w:tc>
        <w:tc>
          <w:tcPr>
            <w:tcW w:w="1701" w:type="dxa"/>
            <w:tcBorders>
              <w:top w:val="nil"/>
              <w:left w:val="nil"/>
              <w:bottom w:val="single" w:color="auto" w:sz="4" w:space="0"/>
              <w:right w:val="single" w:color="auto" w:sz="4" w:space="0"/>
            </w:tcBorders>
            <w:noWrap w:val="0"/>
            <w:vAlign w:val="center"/>
          </w:tcPr>
          <w:p w14:paraId="293C4FC3">
            <w:pPr>
              <w:widowControl/>
              <w:jc w:val="left"/>
              <w:rPr>
                <w:rFonts w:hint="eastAsia" w:ascii="宋体" w:hAnsi="宋体" w:eastAsia="宋体" w:cs="宋体"/>
                <w:szCs w:val="21"/>
              </w:rPr>
            </w:pPr>
            <w:r>
              <w:rPr>
                <w:rFonts w:hint="eastAsia" w:ascii="宋体" w:hAnsi="宋体" w:eastAsia="宋体" w:cs="宋体"/>
                <w:szCs w:val="21"/>
              </w:rPr>
              <w:t>营业收入（Y）</w:t>
            </w:r>
          </w:p>
        </w:tc>
        <w:tc>
          <w:tcPr>
            <w:tcW w:w="1134" w:type="dxa"/>
            <w:tcBorders>
              <w:top w:val="nil"/>
              <w:left w:val="nil"/>
              <w:bottom w:val="single" w:color="auto" w:sz="4" w:space="0"/>
              <w:right w:val="single" w:color="auto" w:sz="4" w:space="0"/>
            </w:tcBorders>
            <w:noWrap w:val="0"/>
            <w:vAlign w:val="center"/>
          </w:tcPr>
          <w:p w14:paraId="5DBB0AEF">
            <w:pPr>
              <w:widowControl/>
              <w:jc w:val="left"/>
              <w:rPr>
                <w:rFonts w:hint="eastAsia" w:ascii="宋体" w:hAnsi="宋体" w:eastAsia="宋体" w:cs="宋体"/>
                <w:szCs w:val="21"/>
              </w:rPr>
            </w:pPr>
            <w:r>
              <w:rPr>
                <w:rFonts w:hint="eastAsia" w:ascii="宋体" w:hAnsi="宋体" w:eastAsia="宋体" w:cs="宋体"/>
                <w:szCs w:val="21"/>
              </w:rPr>
              <w:t>万元</w:t>
            </w:r>
          </w:p>
        </w:tc>
        <w:tc>
          <w:tcPr>
            <w:tcW w:w="1846" w:type="dxa"/>
            <w:tcBorders>
              <w:top w:val="nil"/>
              <w:left w:val="nil"/>
              <w:bottom w:val="single" w:color="auto" w:sz="4" w:space="0"/>
              <w:right w:val="single" w:color="auto" w:sz="4" w:space="0"/>
            </w:tcBorders>
            <w:noWrap w:val="0"/>
            <w:vAlign w:val="center"/>
          </w:tcPr>
          <w:p w14:paraId="351B1F5B">
            <w:pPr>
              <w:widowControl/>
              <w:jc w:val="left"/>
              <w:rPr>
                <w:rFonts w:hint="eastAsia" w:ascii="宋体" w:hAnsi="宋体" w:eastAsia="宋体" w:cs="宋体"/>
                <w:szCs w:val="21"/>
              </w:rPr>
            </w:pPr>
            <w:r>
              <w:rPr>
                <w:rFonts w:hint="eastAsia" w:ascii="宋体" w:hAnsi="宋体" w:eastAsia="宋体" w:cs="宋体"/>
                <w:szCs w:val="21"/>
              </w:rPr>
              <w:t>1000≤Y＜200000</w:t>
            </w:r>
          </w:p>
        </w:tc>
        <w:tc>
          <w:tcPr>
            <w:tcW w:w="1570" w:type="dxa"/>
            <w:tcBorders>
              <w:top w:val="nil"/>
              <w:left w:val="nil"/>
              <w:bottom w:val="single" w:color="auto" w:sz="4" w:space="0"/>
              <w:right w:val="single" w:color="auto" w:sz="4" w:space="0"/>
            </w:tcBorders>
            <w:noWrap w:val="0"/>
            <w:vAlign w:val="center"/>
          </w:tcPr>
          <w:p w14:paraId="1FF97848">
            <w:pPr>
              <w:widowControl/>
              <w:jc w:val="left"/>
              <w:rPr>
                <w:rFonts w:hint="eastAsia" w:ascii="宋体" w:hAnsi="宋体" w:eastAsia="宋体" w:cs="宋体"/>
                <w:szCs w:val="21"/>
              </w:rPr>
            </w:pPr>
            <w:r>
              <w:rPr>
                <w:rFonts w:hint="eastAsia" w:ascii="宋体" w:hAnsi="宋体" w:eastAsia="宋体" w:cs="宋体"/>
                <w:szCs w:val="21"/>
              </w:rPr>
              <w:t>100≤X＜1000</w:t>
            </w:r>
          </w:p>
        </w:tc>
        <w:tc>
          <w:tcPr>
            <w:tcW w:w="1009" w:type="dxa"/>
            <w:tcBorders>
              <w:top w:val="nil"/>
              <w:left w:val="nil"/>
              <w:bottom w:val="single" w:color="auto" w:sz="4" w:space="0"/>
              <w:right w:val="single" w:color="auto" w:sz="4" w:space="0"/>
            </w:tcBorders>
            <w:noWrap w:val="0"/>
            <w:vAlign w:val="center"/>
          </w:tcPr>
          <w:p w14:paraId="54D26D05">
            <w:pPr>
              <w:widowControl/>
              <w:jc w:val="left"/>
              <w:rPr>
                <w:rFonts w:hint="eastAsia" w:ascii="宋体" w:hAnsi="宋体" w:eastAsia="宋体" w:cs="宋体"/>
                <w:szCs w:val="21"/>
              </w:rPr>
            </w:pPr>
            <w:r>
              <w:rPr>
                <w:rFonts w:hint="eastAsia" w:ascii="宋体" w:hAnsi="宋体" w:eastAsia="宋体" w:cs="宋体"/>
                <w:szCs w:val="21"/>
              </w:rPr>
              <w:t>X＜100</w:t>
            </w:r>
          </w:p>
        </w:tc>
      </w:tr>
      <w:tr w14:paraId="7837A945">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6ECDAA1C">
            <w:pPr>
              <w:widowControl/>
              <w:jc w:val="left"/>
              <w:rPr>
                <w:rFonts w:hint="eastAsia" w:ascii="宋体" w:hAnsi="宋体" w:eastAsia="宋体" w:cs="宋体"/>
                <w:szCs w:val="21"/>
              </w:rPr>
            </w:pPr>
          </w:p>
        </w:tc>
        <w:tc>
          <w:tcPr>
            <w:tcW w:w="1701" w:type="dxa"/>
            <w:tcBorders>
              <w:top w:val="nil"/>
              <w:left w:val="nil"/>
              <w:bottom w:val="single" w:color="auto" w:sz="4" w:space="0"/>
              <w:right w:val="single" w:color="auto" w:sz="4" w:space="0"/>
            </w:tcBorders>
            <w:noWrap w:val="0"/>
            <w:vAlign w:val="center"/>
          </w:tcPr>
          <w:p w14:paraId="72451D98">
            <w:pPr>
              <w:widowControl/>
              <w:jc w:val="left"/>
              <w:rPr>
                <w:rFonts w:hint="eastAsia" w:ascii="宋体" w:hAnsi="宋体" w:eastAsia="宋体" w:cs="宋体"/>
                <w:szCs w:val="21"/>
              </w:rPr>
            </w:pPr>
            <w:r>
              <w:rPr>
                <w:rFonts w:hint="eastAsia" w:ascii="宋体" w:hAnsi="宋体" w:eastAsia="宋体" w:cs="宋体"/>
                <w:szCs w:val="21"/>
              </w:rPr>
              <w:t>资产总额（Z）</w:t>
            </w:r>
          </w:p>
        </w:tc>
        <w:tc>
          <w:tcPr>
            <w:tcW w:w="1134" w:type="dxa"/>
            <w:tcBorders>
              <w:top w:val="nil"/>
              <w:left w:val="nil"/>
              <w:bottom w:val="single" w:color="auto" w:sz="4" w:space="0"/>
              <w:right w:val="single" w:color="auto" w:sz="4" w:space="0"/>
            </w:tcBorders>
            <w:noWrap w:val="0"/>
            <w:vAlign w:val="center"/>
          </w:tcPr>
          <w:p w14:paraId="6197C0B3">
            <w:pPr>
              <w:widowControl/>
              <w:jc w:val="left"/>
              <w:rPr>
                <w:rFonts w:hint="eastAsia" w:ascii="宋体" w:hAnsi="宋体" w:eastAsia="宋体" w:cs="宋体"/>
                <w:szCs w:val="21"/>
              </w:rPr>
            </w:pPr>
            <w:r>
              <w:rPr>
                <w:rFonts w:hint="eastAsia" w:ascii="宋体" w:hAnsi="宋体" w:eastAsia="宋体" w:cs="宋体"/>
                <w:szCs w:val="21"/>
              </w:rPr>
              <w:t>万元</w:t>
            </w:r>
          </w:p>
        </w:tc>
        <w:tc>
          <w:tcPr>
            <w:tcW w:w="1846" w:type="dxa"/>
            <w:tcBorders>
              <w:top w:val="nil"/>
              <w:left w:val="nil"/>
              <w:bottom w:val="single" w:color="auto" w:sz="4" w:space="0"/>
              <w:right w:val="single" w:color="auto" w:sz="4" w:space="0"/>
            </w:tcBorders>
            <w:noWrap w:val="0"/>
            <w:vAlign w:val="center"/>
          </w:tcPr>
          <w:p w14:paraId="6B59A3F5">
            <w:pPr>
              <w:widowControl/>
              <w:jc w:val="left"/>
              <w:rPr>
                <w:rFonts w:hint="eastAsia" w:ascii="宋体" w:hAnsi="宋体" w:eastAsia="宋体" w:cs="宋体"/>
                <w:szCs w:val="21"/>
              </w:rPr>
            </w:pPr>
            <w:r>
              <w:rPr>
                <w:rFonts w:hint="eastAsia" w:ascii="宋体" w:hAnsi="宋体" w:eastAsia="宋体" w:cs="宋体"/>
                <w:szCs w:val="21"/>
              </w:rPr>
              <w:t>5000≤Z＜10000</w:t>
            </w:r>
          </w:p>
        </w:tc>
        <w:tc>
          <w:tcPr>
            <w:tcW w:w="1570" w:type="dxa"/>
            <w:tcBorders>
              <w:top w:val="nil"/>
              <w:left w:val="nil"/>
              <w:bottom w:val="single" w:color="auto" w:sz="4" w:space="0"/>
              <w:right w:val="single" w:color="auto" w:sz="4" w:space="0"/>
            </w:tcBorders>
            <w:noWrap w:val="0"/>
            <w:vAlign w:val="center"/>
          </w:tcPr>
          <w:p w14:paraId="3571BEEF">
            <w:pPr>
              <w:widowControl/>
              <w:jc w:val="left"/>
              <w:rPr>
                <w:rFonts w:hint="eastAsia" w:ascii="宋体" w:hAnsi="宋体" w:eastAsia="宋体" w:cs="宋体"/>
                <w:szCs w:val="21"/>
              </w:rPr>
            </w:pPr>
            <w:r>
              <w:rPr>
                <w:rFonts w:hint="eastAsia" w:ascii="宋体" w:hAnsi="宋体" w:eastAsia="宋体" w:cs="宋体"/>
                <w:szCs w:val="21"/>
              </w:rPr>
              <w:t>2000≤Y＜5000</w:t>
            </w:r>
          </w:p>
        </w:tc>
        <w:tc>
          <w:tcPr>
            <w:tcW w:w="1009" w:type="dxa"/>
            <w:tcBorders>
              <w:top w:val="nil"/>
              <w:left w:val="nil"/>
              <w:bottom w:val="single" w:color="auto" w:sz="4" w:space="0"/>
              <w:right w:val="single" w:color="auto" w:sz="4" w:space="0"/>
            </w:tcBorders>
            <w:noWrap w:val="0"/>
            <w:vAlign w:val="center"/>
          </w:tcPr>
          <w:p w14:paraId="79CFE430">
            <w:pPr>
              <w:widowControl/>
              <w:jc w:val="left"/>
              <w:rPr>
                <w:rFonts w:hint="eastAsia" w:ascii="宋体" w:hAnsi="宋体" w:eastAsia="宋体" w:cs="宋体"/>
                <w:szCs w:val="21"/>
              </w:rPr>
            </w:pPr>
            <w:r>
              <w:rPr>
                <w:rFonts w:hint="eastAsia" w:ascii="宋体" w:hAnsi="宋体" w:eastAsia="宋体" w:cs="宋体"/>
                <w:szCs w:val="21"/>
              </w:rPr>
              <w:t>Y＜2000</w:t>
            </w:r>
          </w:p>
        </w:tc>
      </w:tr>
      <w:tr w14:paraId="70AD33BE">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249EB696">
            <w:pPr>
              <w:widowControl/>
              <w:jc w:val="center"/>
              <w:rPr>
                <w:rFonts w:hint="eastAsia" w:ascii="宋体" w:hAnsi="宋体" w:eastAsia="宋体" w:cs="宋体"/>
                <w:szCs w:val="21"/>
              </w:rPr>
            </w:pPr>
            <w:r>
              <w:rPr>
                <w:rFonts w:hint="eastAsia" w:ascii="宋体" w:hAnsi="宋体" w:eastAsia="宋体" w:cs="宋体"/>
                <w:szCs w:val="21"/>
              </w:rPr>
              <w:t>物业管理</w:t>
            </w:r>
          </w:p>
        </w:tc>
        <w:tc>
          <w:tcPr>
            <w:tcW w:w="1701" w:type="dxa"/>
            <w:tcBorders>
              <w:top w:val="nil"/>
              <w:left w:val="nil"/>
              <w:bottom w:val="single" w:color="auto" w:sz="4" w:space="0"/>
              <w:right w:val="single" w:color="auto" w:sz="4" w:space="0"/>
            </w:tcBorders>
            <w:noWrap w:val="0"/>
            <w:vAlign w:val="center"/>
          </w:tcPr>
          <w:p w14:paraId="2158178B">
            <w:pPr>
              <w:widowControl/>
              <w:jc w:val="left"/>
              <w:rPr>
                <w:rFonts w:hint="eastAsia" w:ascii="宋体" w:hAnsi="宋体" w:eastAsia="宋体" w:cs="宋体"/>
                <w:szCs w:val="21"/>
              </w:rPr>
            </w:pPr>
            <w:r>
              <w:rPr>
                <w:rFonts w:hint="eastAsia" w:ascii="宋体" w:hAnsi="宋体" w:eastAsia="宋体" w:cs="宋体"/>
                <w:szCs w:val="21"/>
              </w:rPr>
              <w:t>从业人员（X）</w:t>
            </w:r>
          </w:p>
        </w:tc>
        <w:tc>
          <w:tcPr>
            <w:tcW w:w="1134" w:type="dxa"/>
            <w:tcBorders>
              <w:top w:val="nil"/>
              <w:left w:val="nil"/>
              <w:bottom w:val="single" w:color="auto" w:sz="4" w:space="0"/>
              <w:right w:val="single" w:color="auto" w:sz="4" w:space="0"/>
            </w:tcBorders>
            <w:noWrap w:val="0"/>
            <w:vAlign w:val="center"/>
          </w:tcPr>
          <w:p w14:paraId="335A60EF">
            <w:pPr>
              <w:widowControl/>
              <w:jc w:val="left"/>
              <w:rPr>
                <w:rFonts w:hint="eastAsia" w:ascii="宋体" w:hAnsi="宋体" w:eastAsia="宋体" w:cs="宋体"/>
                <w:szCs w:val="21"/>
              </w:rPr>
            </w:pPr>
            <w:r>
              <w:rPr>
                <w:rFonts w:hint="eastAsia" w:ascii="宋体" w:hAnsi="宋体" w:eastAsia="宋体" w:cs="宋体"/>
                <w:szCs w:val="21"/>
              </w:rPr>
              <w:t>人</w:t>
            </w:r>
          </w:p>
        </w:tc>
        <w:tc>
          <w:tcPr>
            <w:tcW w:w="1846" w:type="dxa"/>
            <w:tcBorders>
              <w:top w:val="nil"/>
              <w:left w:val="nil"/>
              <w:bottom w:val="single" w:color="auto" w:sz="4" w:space="0"/>
              <w:right w:val="single" w:color="auto" w:sz="4" w:space="0"/>
            </w:tcBorders>
            <w:noWrap w:val="0"/>
            <w:vAlign w:val="center"/>
          </w:tcPr>
          <w:p w14:paraId="4C03A881">
            <w:pPr>
              <w:widowControl/>
              <w:jc w:val="left"/>
              <w:rPr>
                <w:rFonts w:hint="eastAsia" w:ascii="宋体" w:hAnsi="宋体" w:eastAsia="宋体" w:cs="宋体"/>
                <w:szCs w:val="21"/>
              </w:rPr>
            </w:pPr>
            <w:r>
              <w:rPr>
                <w:rFonts w:hint="eastAsia" w:ascii="宋体" w:hAnsi="宋体" w:eastAsia="宋体" w:cs="宋体"/>
                <w:szCs w:val="21"/>
              </w:rPr>
              <w:t>300≤X＜1000</w:t>
            </w:r>
          </w:p>
        </w:tc>
        <w:tc>
          <w:tcPr>
            <w:tcW w:w="1570" w:type="dxa"/>
            <w:tcBorders>
              <w:top w:val="nil"/>
              <w:left w:val="nil"/>
              <w:bottom w:val="single" w:color="auto" w:sz="4" w:space="0"/>
              <w:right w:val="single" w:color="auto" w:sz="4" w:space="0"/>
            </w:tcBorders>
            <w:noWrap w:val="0"/>
            <w:vAlign w:val="center"/>
          </w:tcPr>
          <w:p w14:paraId="60CEBA54">
            <w:pPr>
              <w:widowControl/>
              <w:jc w:val="left"/>
              <w:rPr>
                <w:rFonts w:hint="eastAsia" w:ascii="宋体" w:hAnsi="宋体" w:eastAsia="宋体" w:cs="宋体"/>
                <w:szCs w:val="21"/>
              </w:rPr>
            </w:pPr>
            <w:r>
              <w:rPr>
                <w:rFonts w:hint="eastAsia" w:ascii="宋体" w:hAnsi="宋体" w:eastAsia="宋体" w:cs="宋体"/>
                <w:szCs w:val="21"/>
              </w:rPr>
              <w:t>100≤X＜300</w:t>
            </w:r>
          </w:p>
        </w:tc>
        <w:tc>
          <w:tcPr>
            <w:tcW w:w="1009" w:type="dxa"/>
            <w:tcBorders>
              <w:top w:val="nil"/>
              <w:left w:val="nil"/>
              <w:bottom w:val="single" w:color="auto" w:sz="4" w:space="0"/>
              <w:right w:val="single" w:color="auto" w:sz="4" w:space="0"/>
            </w:tcBorders>
            <w:noWrap w:val="0"/>
            <w:vAlign w:val="center"/>
          </w:tcPr>
          <w:p w14:paraId="54B04AD3">
            <w:pPr>
              <w:widowControl/>
              <w:jc w:val="left"/>
              <w:rPr>
                <w:rFonts w:hint="eastAsia" w:ascii="宋体" w:hAnsi="宋体" w:eastAsia="宋体" w:cs="宋体"/>
                <w:szCs w:val="21"/>
              </w:rPr>
            </w:pPr>
            <w:r>
              <w:rPr>
                <w:rFonts w:hint="eastAsia" w:ascii="宋体" w:hAnsi="宋体" w:eastAsia="宋体" w:cs="宋体"/>
                <w:szCs w:val="21"/>
              </w:rPr>
              <w:t>X＜100</w:t>
            </w:r>
          </w:p>
        </w:tc>
      </w:tr>
      <w:tr w14:paraId="44413EC5">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74746659">
            <w:pPr>
              <w:widowControl/>
              <w:jc w:val="left"/>
              <w:rPr>
                <w:rFonts w:hint="eastAsia" w:ascii="宋体" w:hAnsi="宋体" w:eastAsia="宋体" w:cs="宋体"/>
                <w:szCs w:val="21"/>
              </w:rPr>
            </w:pPr>
          </w:p>
        </w:tc>
        <w:tc>
          <w:tcPr>
            <w:tcW w:w="1701" w:type="dxa"/>
            <w:tcBorders>
              <w:top w:val="nil"/>
              <w:left w:val="nil"/>
              <w:bottom w:val="single" w:color="auto" w:sz="4" w:space="0"/>
              <w:right w:val="single" w:color="auto" w:sz="4" w:space="0"/>
            </w:tcBorders>
            <w:noWrap w:val="0"/>
            <w:vAlign w:val="center"/>
          </w:tcPr>
          <w:p w14:paraId="2C37B174">
            <w:pPr>
              <w:widowControl/>
              <w:jc w:val="left"/>
              <w:rPr>
                <w:rFonts w:hint="eastAsia" w:ascii="宋体" w:hAnsi="宋体" w:eastAsia="宋体" w:cs="宋体"/>
                <w:szCs w:val="21"/>
              </w:rPr>
            </w:pPr>
            <w:r>
              <w:rPr>
                <w:rFonts w:hint="eastAsia" w:ascii="宋体" w:hAnsi="宋体" w:eastAsia="宋体" w:cs="宋体"/>
                <w:szCs w:val="21"/>
              </w:rPr>
              <w:t>营业收入（Y）</w:t>
            </w:r>
          </w:p>
        </w:tc>
        <w:tc>
          <w:tcPr>
            <w:tcW w:w="1134" w:type="dxa"/>
            <w:tcBorders>
              <w:top w:val="nil"/>
              <w:left w:val="nil"/>
              <w:bottom w:val="single" w:color="auto" w:sz="4" w:space="0"/>
              <w:right w:val="single" w:color="auto" w:sz="4" w:space="0"/>
            </w:tcBorders>
            <w:noWrap w:val="0"/>
            <w:vAlign w:val="center"/>
          </w:tcPr>
          <w:p w14:paraId="77E7645C">
            <w:pPr>
              <w:widowControl/>
              <w:jc w:val="left"/>
              <w:rPr>
                <w:rFonts w:hint="eastAsia" w:ascii="宋体" w:hAnsi="宋体" w:eastAsia="宋体" w:cs="宋体"/>
                <w:szCs w:val="21"/>
              </w:rPr>
            </w:pPr>
            <w:r>
              <w:rPr>
                <w:rFonts w:hint="eastAsia" w:ascii="宋体" w:hAnsi="宋体" w:eastAsia="宋体" w:cs="宋体"/>
                <w:szCs w:val="21"/>
              </w:rPr>
              <w:t>万元</w:t>
            </w:r>
          </w:p>
        </w:tc>
        <w:tc>
          <w:tcPr>
            <w:tcW w:w="1846" w:type="dxa"/>
            <w:tcBorders>
              <w:top w:val="nil"/>
              <w:left w:val="nil"/>
              <w:bottom w:val="single" w:color="auto" w:sz="4" w:space="0"/>
              <w:right w:val="single" w:color="auto" w:sz="4" w:space="0"/>
            </w:tcBorders>
            <w:noWrap w:val="0"/>
            <w:vAlign w:val="center"/>
          </w:tcPr>
          <w:p w14:paraId="576ACE19">
            <w:pPr>
              <w:widowControl/>
              <w:jc w:val="left"/>
              <w:rPr>
                <w:rFonts w:hint="eastAsia" w:ascii="宋体" w:hAnsi="宋体" w:eastAsia="宋体" w:cs="宋体"/>
                <w:szCs w:val="21"/>
              </w:rPr>
            </w:pPr>
            <w:r>
              <w:rPr>
                <w:rFonts w:hint="eastAsia" w:ascii="宋体" w:hAnsi="宋体" w:eastAsia="宋体" w:cs="宋体"/>
                <w:szCs w:val="21"/>
              </w:rPr>
              <w:t>1000≤Y＜5000</w:t>
            </w:r>
          </w:p>
        </w:tc>
        <w:tc>
          <w:tcPr>
            <w:tcW w:w="1570" w:type="dxa"/>
            <w:tcBorders>
              <w:top w:val="nil"/>
              <w:left w:val="nil"/>
              <w:bottom w:val="single" w:color="auto" w:sz="4" w:space="0"/>
              <w:right w:val="single" w:color="auto" w:sz="4" w:space="0"/>
            </w:tcBorders>
            <w:noWrap w:val="0"/>
            <w:vAlign w:val="center"/>
          </w:tcPr>
          <w:p w14:paraId="36341244">
            <w:pPr>
              <w:widowControl/>
              <w:jc w:val="left"/>
              <w:rPr>
                <w:rFonts w:hint="eastAsia" w:ascii="宋体" w:hAnsi="宋体" w:eastAsia="宋体" w:cs="宋体"/>
                <w:szCs w:val="21"/>
              </w:rPr>
            </w:pPr>
            <w:r>
              <w:rPr>
                <w:rFonts w:hint="eastAsia" w:ascii="宋体" w:hAnsi="宋体" w:eastAsia="宋体" w:cs="宋体"/>
                <w:szCs w:val="21"/>
              </w:rPr>
              <w:t>500≤Y＜1000</w:t>
            </w:r>
          </w:p>
        </w:tc>
        <w:tc>
          <w:tcPr>
            <w:tcW w:w="1009" w:type="dxa"/>
            <w:tcBorders>
              <w:top w:val="nil"/>
              <w:left w:val="nil"/>
              <w:bottom w:val="single" w:color="auto" w:sz="4" w:space="0"/>
              <w:right w:val="single" w:color="auto" w:sz="4" w:space="0"/>
            </w:tcBorders>
            <w:noWrap w:val="0"/>
            <w:vAlign w:val="center"/>
          </w:tcPr>
          <w:p w14:paraId="0DC02842">
            <w:pPr>
              <w:widowControl/>
              <w:jc w:val="left"/>
              <w:rPr>
                <w:rFonts w:hint="eastAsia" w:ascii="宋体" w:hAnsi="宋体" w:eastAsia="宋体" w:cs="宋体"/>
                <w:szCs w:val="21"/>
              </w:rPr>
            </w:pPr>
            <w:r>
              <w:rPr>
                <w:rFonts w:hint="eastAsia" w:ascii="宋体" w:hAnsi="宋体" w:eastAsia="宋体" w:cs="宋体"/>
                <w:szCs w:val="21"/>
              </w:rPr>
              <w:t>Y＜500</w:t>
            </w:r>
          </w:p>
        </w:tc>
      </w:tr>
      <w:tr w14:paraId="1481BA0C">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26AFB851">
            <w:pPr>
              <w:widowControl/>
              <w:jc w:val="center"/>
              <w:rPr>
                <w:rFonts w:hint="eastAsia" w:ascii="宋体" w:hAnsi="宋体" w:eastAsia="宋体" w:cs="宋体"/>
                <w:szCs w:val="21"/>
              </w:rPr>
            </w:pPr>
            <w:r>
              <w:rPr>
                <w:rFonts w:hint="eastAsia" w:ascii="宋体" w:hAnsi="宋体" w:eastAsia="宋体" w:cs="宋体"/>
                <w:szCs w:val="21"/>
              </w:rPr>
              <w:t>租赁和商务服务业</w:t>
            </w:r>
          </w:p>
        </w:tc>
        <w:tc>
          <w:tcPr>
            <w:tcW w:w="1701" w:type="dxa"/>
            <w:tcBorders>
              <w:top w:val="nil"/>
              <w:left w:val="nil"/>
              <w:bottom w:val="single" w:color="auto" w:sz="4" w:space="0"/>
              <w:right w:val="single" w:color="auto" w:sz="4" w:space="0"/>
            </w:tcBorders>
            <w:noWrap w:val="0"/>
            <w:vAlign w:val="center"/>
          </w:tcPr>
          <w:p w14:paraId="54EDA4B1">
            <w:pPr>
              <w:widowControl/>
              <w:jc w:val="left"/>
              <w:rPr>
                <w:rFonts w:hint="eastAsia" w:ascii="宋体" w:hAnsi="宋体" w:eastAsia="宋体" w:cs="宋体"/>
                <w:szCs w:val="21"/>
              </w:rPr>
            </w:pPr>
            <w:r>
              <w:rPr>
                <w:rFonts w:hint="eastAsia" w:ascii="宋体" w:hAnsi="宋体" w:eastAsia="宋体" w:cs="宋体"/>
                <w:szCs w:val="21"/>
              </w:rPr>
              <w:t>从业人员（X）</w:t>
            </w:r>
          </w:p>
        </w:tc>
        <w:tc>
          <w:tcPr>
            <w:tcW w:w="1134" w:type="dxa"/>
            <w:tcBorders>
              <w:top w:val="nil"/>
              <w:left w:val="nil"/>
              <w:bottom w:val="single" w:color="auto" w:sz="4" w:space="0"/>
              <w:right w:val="single" w:color="auto" w:sz="4" w:space="0"/>
            </w:tcBorders>
            <w:noWrap w:val="0"/>
            <w:vAlign w:val="center"/>
          </w:tcPr>
          <w:p w14:paraId="70607749">
            <w:pPr>
              <w:widowControl/>
              <w:jc w:val="left"/>
              <w:rPr>
                <w:rFonts w:hint="eastAsia" w:ascii="宋体" w:hAnsi="宋体" w:eastAsia="宋体" w:cs="宋体"/>
                <w:szCs w:val="21"/>
              </w:rPr>
            </w:pPr>
            <w:r>
              <w:rPr>
                <w:rFonts w:hint="eastAsia" w:ascii="宋体" w:hAnsi="宋体" w:eastAsia="宋体" w:cs="宋体"/>
                <w:szCs w:val="21"/>
              </w:rPr>
              <w:t>人</w:t>
            </w:r>
          </w:p>
        </w:tc>
        <w:tc>
          <w:tcPr>
            <w:tcW w:w="1846" w:type="dxa"/>
            <w:tcBorders>
              <w:top w:val="nil"/>
              <w:left w:val="nil"/>
              <w:bottom w:val="single" w:color="auto" w:sz="4" w:space="0"/>
              <w:right w:val="single" w:color="auto" w:sz="4" w:space="0"/>
            </w:tcBorders>
            <w:noWrap w:val="0"/>
            <w:vAlign w:val="center"/>
          </w:tcPr>
          <w:p w14:paraId="4FD47B72">
            <w:pPr>
              <w:widowControl/>
              <w:jc w:val="left"/>
              <w:rPr>
                <w:rFonts w:hint="eastAsia" w:ascii="宋体" w:hAnsi="宋体" w:eastAsia="宋体" w:cs="宋体"/>
                <w:szCs w:val="21"/>
              </w:rPr>
            </w:pPr>
            <w:r>
              <w:rPr>
                <w:rFonts w:hint="eastAsia" w:ascii="宋体" w:hAnsi="宋体" w:eastAsia="宋体" w:cs="宋体"/>
                <w:szCs w:val="21"/>
              </w:rPr>
              <w:t>100≤X＜300</w:t>
            </w:r>
          </w:p>
        </w:tc>
        <w:tc>
          <w:tcPr>
            <w:tcW w:w="1570" w:type="dxa"/>
            <w:tcBorders>
              <w:top w:val="nil"/>
              <w:left w:val="nil"/>
              <w:bottom w:val="single" w:color="auto" w:sz="4" w:space="0"/>
              <w:right w:val="single" w:color="auto" w:sz="4" w:space="0"/>
            </w:tcBorders>
            <w:noWrap w:val="0"/>
            <w:vAlign w:val="center"/>
          </w:tcPr>
          <w:p w14:paraId="7274C857">
            <w:pPr>
              <w:widowControl/>
              <w:jc w:val="left"/>
              <w:rPr>
                <w:rFonts w:hint="eastAsia" w:ascii="宋体" w:hAnsi="宋体" w:eastAsia="宋体" w:cs="宋体"/>
                <w:szCs w:val="21"/>
              </w:rPr>
            </w:pPr>
            <w:r>
              <w:rPr>
                <w:rFonts w:hint="eastAsia" w:ascii="宋体" w:hAnsi="宋体" w:eastAsia="宋体" w:cs="宋体"/>
                <w:szCs w:val="21"/>
              </w:rPr>
              <w:t>10≤X＜100</w:t>
            </w:r>
          </w:p>
        </w:tc>
        <w:tc>
          <w:tcPr>
            <w:tcW w:w="1009" w:type="dxa"/>
            <w:tcBorders>
              <w:top w:val="nil"/>
              <w:left w:val="nil"/>
              <w:bottom w:val="single" w:color="auto" w:sz="4" w:space="0"/>
              <w:right w:val="single" w:color="auto" w:sz="4" w:space="0"/>
            </w:tcBorders>
            <w:noWrap w:val="0"/>
            <w:vAlign w:val="center"/>
          </w:tcPr>
          <w:p w14:paraId="72B4295E">
            <w:pPr>
              <w:widowControl/>
              <w:jc w:val="left"/>
              <w:rPr>
                <w:rFonts w:hint="eastAsia" w:ascii="宋体" w:hAnsi="宋体" w:eastAsia="宋体" w:cs="宋体"/>
                <w:szCs w:val="21"/>
              </w:rPr>
            </w:pPr>
            <w:r>
              <w:rPr>
                <w:rFonts w:hint="eastAsia" w:ascii="宋体" w:hAnsi="宋体" w:eastAsia="宋体" w:cs="宋体"/>
                <w:szCs w:val="21"/>
              </w:rPr>
              <w:t>X＜10</w:t>
            </w:r>
          </w:p>
        </w:tc>
      </w:tr>
      <w:tr w14:paraId="43C9E1FC">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66A780AE">
            <w:pPr>
              <w:widowControl/>
              <w:jc w:val="left"/>
              <w:rPr>
                <w:rFonts w:hint="eastAsia" w:ascii="宋体" w:hAnsi="宋体" w:eastAsia="宋体" w:cs="宋体"/>
                <w:szCs w:val="21"/>
              </w:rPr>
            </w:pPr>
          </w:p>
        </w:tc>
        <w:tc>
          <w:tcPr>
            <w:tcW w:w="1701" w:type="dxa"/>
            <w:tcBorders>
              <w:top w:val="nil"/>
              <w:left w:val="nil"/>
              <w:bottom w:val="single" w:color="auto" w:sz="4" w:space="0"/>
              <w:right w:val="single" w:color="auto" w:sz="4" w:space="0"/>
            </w:tcBorders>
            <w:noWrap w:val="0"/>
            <w:vAlign w:val="center"/>
          </w:tcPr>
          <w:p w14:paraId="00391804">
            <w:pPr>
              <w:widowControl/>
              <w:jc w:val="left"/>
              <w:rPr>
                <w:rFonts w:hint="eastAsia" w:ascii="宋体" w:hAnsi="宋体" w:eastAsia="宋体" w:cs="宋体"/>
                <w:szCs w:val="21"/>
              </w:rPr>
            </w:pPr>
            <w:r>
              <w:rPr>
                <w:rFonts w:hint="eastAsia" w:ascii="宋体" w:hAnsi="宋体" w:eastAsia="宋体" w:cs="宋体"/>
                <w:szCs w:val="21"/>
              </w:rPr>
              <w:t>资产总额（Z）</w:t>
            </w:r>
          </w:p>
        </w:tc>
        <w:tc>
          <w:tcPr>
            <w:tcW w:w="1134" w:type="dxa"/>
            <w:tcBorders>
              <w:top w:val="nil"/>
              <w:left w:val="nil"/>
              <w:bottom w:val="single" w:color="auto" w:sz="4" w:space="0"/>
              <w:right w:val="single" w:color="auto" w:sz="4" w:space="0"/>
            </w:tcBorders>
            <w:noWrap w:val="0"/>
            <w:vAlign w:val="center"/>
          </w:tcPr>
          <w:p w14:paraId="4548E829">
            <w:pPr>
              <w:widowControl/>
              <w:jc w:val="left"/>
              <w:rPr>
                <w:rFonts w:hint="eastAsia" w:ascii="宋体" w:hAnsi="宋体" w:eastAsia="宋体" w:cs="宋体"/>
                <w:szCs w:val="21"/>
              </w:rPr>
            </w:pPr>
            <w:r>
              <w:rPr>
                <w:rFonts w:hint="eastAsia" w:ascii="宋体" w:hAnsi="宋体" w:eastAsia="宋体" w:cs="宋体"/>
                <w:szCs w:val="21"/>
              </w:rPr>
              <w:t>万元</w:t>
            </w:r>
          </w:p>
        </w:tc>
        <w:tc>
          <w:tcPr>
            <w:tcW w:w="1846" w:type="dxa"/>
            <w:tcBorders>
              <w:top w:val="nil"/>
              <w:left w:val="nil"/>
              <w:bottom w:val="single" w:color="auto" w:sz="4" w:space="0"/>
              <w:right w:val="single" w:color="auto" w:sz="4" w:space="0"/>
            </w:tcBorders>
            <w:noWrap w:val="0"/>
            <w:vAlign w:val="center"/>
          </w:tcPr>
          <w:p w14:paraId="6AF24999">
            <w:pPr>
              <w:widowControl/>
              <w:jc w:val="left"/>
              <w:rPr>
                <w:rFonts w:hint="eastAsia" w:ascii="宋体" w:hAnsi="宋体" w:eastAsia="宋体" w:cs="宋体"/>
                <w:szCs w:val="21"/>
              </w:rPr>
            </w:pPr>
            <w:r>
              <w:rPr>
                <w:rFonts w:hint="eastAsia" w:ascii="宋体" w:hAnsi="宋体" w:eastAsia="宋体" w:cs="宋体"/>
                <w:szCs w:val="21"/>
              </w:rPr>
              <w:t>8000≤Z＜120000</w:t>
            </w:r>
          </w:p>
        </w:tc>
        <w:tc>
          <w:tcPr>
            <w:tcW w:w="1570" w:type="dxa"/>
            <w:tcBorders>
              <w:top w:val="nil"/>
              <w:left w:val="nil"/>
              <w:bottom w:val="single" w:color="auto" w:sz="4" w:space="0"/>
              <w:right w:val="single" w:color="auto" w:sz="4" w:space="0"/>
            </w:tcBorders>
            <w:noWrap w:val="0"/>
            <w:vAlign w:val="center"/>
          </w:tcPr>
          <w:p w14:paraId="27D27CC1">
            <w:pPr>
              <w:widowControl/>
              <w:jc w:val="left"/>
              <w:rPr>
                <w:rFonts w:hint="eastAsia" w:ascii="宋体" w:hAnsi="宋体" w:eastAsia="宋体" w:cs="宋体"/>
                <w:szCs w:val="21"/>
              </w:rPr>
            </w:pPr>
            <w:r>
              <w:rPr>
                <w:rFonts w:hint="eastAsia" w:ascii="宋体" w:hAnsi="宋体" w:eastAsia="宋体" w:cs="宋体"/>
                <w:szCs w:val="21"/>
              </w:rPr>
              <w:t>100≤Z＜8000</w:t>
            </w:r>
          </w:p>
        </w:tc>
        <w:tc>
          <w:tcPr>
            <w:tcW w:w="1009" w:type="dxa"/>
            <w:tcBorders>
              <w:top w:val="nil"/>
              <w:left w:val="nil"/>
              <w:bottom w:val="single" w:color="auto" w:sz="4" w:space="0"/>
              <w:right w:val="single" w:color="auto" w:sz="4" w:space="0"/>
            </w:tcBorders>
            <w:noWrap w:val="0"/>
            <w:vAlign w:val="center"/>
          </w:tcPr>
          <w:p w14:paraId="3BA8DCC2">
            <w:pPr>
              <w:widowControl/>
              <w:jc w:val="left"/>
              <w:rPr>
                <w:rFonts w:hint="eastAsia" w:ascii="宋体" w:hAnsi="宋体" w:eastAsia="宋体" w:cs="宋体"/>
                <w:szCs w:val="21"/>
              </w:rPr>
            </w:pPr>
            <w:r>
              <w:rPr>
                <w:rFonts w:hint="eastAsia" w:ascii="宋体" w:hAnsi="宋体" w:eastAsia="宋体" w:cs="宋体"/>
                <w:szCs w:val="21"/>
              </w:rPr>
              <w:t>Y＜100</w:t>
            </w:r>
          </w:p>
        </w:tc>
      </w:tr>
      <w:tr w14:paraId="67595ADF">
        <w:tblPrEx>
          <w:tblCellMar>
            <w:top w:w="0" w:type="dxa"/>
            <w:left w:w="108" w:type="dxa"/>
            <w:bottom w:w="0" w:type="dxa"/>
            <w:right w:w="108" w:type="dxa"/>
          </w:tblCellMar>
        </w:tblPrEx>
        <w:trPr>
          <w:trHeight w:val="220" w:hRule="atLeast"/>
        </w:trPr>
        <w:tc>
          <w:tcPr>
            <w:tcW w:w="1446" w:type="dxa"/>
            <w:tcBorders>
              <w:top w:val="nil"/>
              <w:left w:val="single" w:color="auto" w:sz="4" w:space="0"/>
              <w:bottom w:val="single" w:color="auto" w:sz="4" w:space="0"/>
              <w:right w:val="single" w:color="auto" w:sz="4" w:space="0"/>
            </w:tcBorders>
            <w:noWrap w:val="0"/>
            <w:vAlign w:val="bottom"/>
          </w:tcPr>
          <w:p w14:paraId="709B3E21">
            <w:pPr>
              <w:widowControl/>
              <w:jc w:val="center"/>
              <w:rPr>
                <w:rFonts w:hint="eastAsia" w:ascii="宋体" w:hAnsi="宋体" w:eastAsia="宋体" w:cs="宋体"/>
                <w:szCs w:val="21"/>
              </w:rPr>
            </w:pPr>
            <w:r>
              <w:rPr>
                <w:rFonts w:hint="eastAsia" w:ascii="宋体" w:hAnsi="宋体" w:eastAsia="宋体" w:cs="宋体"/>
                <w:szCs w:val="21"/>
              </w:rPr>
              <w:t>其他未列明行业</w:t>
            </w:r>
          </w:p>
        </w:tc>
        <w:tc>
          <w:tcPr>
            <w:tcW w:w="1701" w:type="dxa"/>
            <w:tcBorders>
              <w:top w:val="nil"/>
              <w:left w:val="nil"/>
              <w:bottom w:val="single" w:color="auto" w:sz="4" w:space="0"/>
              <w:right w:val="single" w:color="auto" w:sz="4" w:space="0"/>
            </w:tcBorders>
            <w:noWrap w:val="0"/>
            <w:vAlign w:val="center"/>
          </w:tcPr>
          <w:p w14:paraId="15255352">
            <w:pPr>
              <w:widowControl/>
              <w:jc w:val="left"/>
              <w:rPr>
                <w:rFonts w:hint="eastAsia" w:ascii="宋体" w:hAnsi="宋体" w:eastAsia="宋体" w:cs="宋体"/>
                <w:szCs w:val="21"/>
              </w:rPr>
            </w:pPr>
            <w:r>
              <w:rPr>
                <w:rFonts w:hint="eastAsia" w:ascii="宋体" w:hAnsi="宋体" w:eastAsia="宋体" w:cs="宋体"/>
                <w:szCs w:val="21"/>
              </w:rPr>
              <w:t>从业人员（X）</w:t>
            </w:r>
          </w:p>
        </w:tc>
        <w:tc>
          <w:tcPr>
            <w:tcW w:w="1134" w:type="dxa"/>
            <w:tcBorders>
              <w:top w:val="nil"/>
              <w:left w:val="nil"/>
              <w:bottom w:val="single" w:color="auto" w:sz="4" w:space="0"/>
              <w:right w:val="single" w:color="auto" w:sz="4" w:space="0"/>
            </w:tcBorders>
            <w:noWrap w:val="0"/>
            <w:vAlign w:val="center"/>
          </w:tcPr>
          <w:p w14:paraId="57C6C339">
            <w:pPr>
              <w:widowControl/>
              <w:jc w:val="left"/>
              <w:rPr>
                <w:rFonts w:hint="eastAsia" w:ascii="宋体" w:hAnsi="宋体" w:eastAsia="宋体" w:cs="宋体"/>
                <w:szCs w:val="21"/>
              </w:rPr>
            </w:pPr>
            <w:r>
              <w:rPr>
                <w:rFonts w:hint="eastAsia" w:ascii="宋体" w:hAnsi="宋体" w:eastAsia="宋体" w:cs="宋体"/>
                <w:szCs w:val="21"/>
              </w:rPr>
              <w:t>人</w:t>
            </w:r>
          </w:p>
        </w:tc>
        <w:tc>
          <w:tcPr>
            <w:tcW w:w="1846" w:type="dxa"/>
            <w:tcBorders>
              <w:top w:val="nil"/>
              <w:left w:val="nil"/>
              <w:bottom w:val="single" w:color="auto" w:sz="4" w:space="0"/>
              <w:right w:val="single" w:color="auto" w:sz="4" w:space="0"/>
            </w:tcBorders>
            <w:noWrap w:val="0"/>
            <w:vAlign w:val="center"/>
          </w:tcPr>
          <w:p w14:paraId="4F57BF28">
            <w:pPr>
              <w:widowControl/>
              <w:jc w:val="left"/>
              <w:rPr>
                <w:rFonts w:hint="eastAsia" w:ascii="宋体" w:hAnsi="宋体" w:eastAsia="宋体" w:cs="宋体"/>
                <w:szCs w:val="21"/>
              </w:rPr>
            </w:pPr>
            <w:r>
              <w:rPr>
                <w:rFonts w:hint="eastAsia" w:ascii="宋体" w:hAnsi="宋体" w:eastAsia="宋体" w:cs="宋体"/>
                <w:szCs w:val="21"/>
              </w:rPr>
              <w:t>100≤X＜300</w:t>
            </w:r>
          </w:p>
        </w:tc>
        <w:tc>
          <w:tcPr>
            <w:tcW w:w="1570" w:type="dxa"/>
            <w:tcBorders>
              <w:top w:val="nil"/>
              <w:left w:val="nil"/>
              <w:bottom w:val="single" w:color="auto" w:sz="4" w:space="0"/>
              <w:right w:val="single" w:color="auto" w:sz="4" w:space="0"/>
            </w:tcBorders>
            <w:noWrap w:val="0"/>
            <w:vAlign w:val="center"/>
          </w:tcPr>
          <w:p w14:paraId="7C859E39">
            <w:pPr>
              <w:widowControl/>
              <w:jc w:val="left"/>
              <w:rPr>
                <w:rFonts w:hint="eastAsia" w:ascii="宋体" w:hAnsi="宋体" w:eastAsia="宋体" w:cs="宋体"/>
                <w:szCs w:val="21"/>
              </w:rPr>
            </w:pPr>
            <w:r>
              <w:rPr>
                <w:rFonts w:hint="eastAsia" w:ascii="宋体" w:hAnsi="宋体" w:eastAsia="宋体" w:cs="宋体"/>
                <w:szCs w:val="21"/>
              </w:rPr>
              <w:t>10≤X＜100</w:t>
            </w:r>
          </w:p>
        </w:tc>
        <w:tc>
          <w:tcPr>
            <w:tcW w:w="1009" w:type="dxa"/>
            <w:tcBorders>
              <w:top w:val="nil"/>
              <w:left w:val="nil"/>
              <w:bottom w:val="single" w:color="auto" w:sz="4" w:space="0"/>
              <w:right w:val="single" w:color="auto" w:sz="4" w:space="0"/>
            </w:tcBorders>
            <w:noWrap w:val="0"/>
            <w:vAlign w:val="center"/>
          </w:tcPr>
          <w:p w14:paraId="730A8B8D">
            <w:pPr>
              <w:widowControl/>
              <w:jc w:val="left"/>
              <w:rPr>
                <w:rFonts w:hint="eastAsia" w:ascii="宋体" w:hAnsi="宋体" w:eastAsia="宋体" w:cs="宋体"/>
                <w:szCs w:val="21"/>
              </w:rPr>
            </w:pPr>
            <w:r>
              <w:rPr>
                <w:rFonts w:hint="eastAsia" w:ascii="宋体" w:hAnsi="宋体" w:eastAsia="宋体" w:cs="宋体"/>
                <w:szCs w:val="21"/>
              </w:rPr>
              <w:t>X＜10</w:t>
            </w:r>
          </w:p>
        </w:tc>
      </w:tr>
    </w:tbl>
    <w:p w14:paraId="22654F55">
      <w:pPr>
        <w:spacing w:line="360" w:lineRule="auto"/>
        <w:ind w:firstLine="525" w:firstLineChars="250"/>
        <w:rPr>
          <w:rFonts w:hint="eastAsia" w:ascii="宋体" w:hAnsi="宋体" w:eastAsia="宋体" w:cs="宋体"/>
          <w:szCs w:val="21"/>
        </w:rPr>
      </w:pPr>
      <w:r>
        <w:rPr>
          <w:rFonts w:hint="eastAsia" w:ascii="宋体" w:hAnsi="宋体" w:eastAsia="宋体" w:cs="宋体"/>
          <w:szCs w:val="21"/>
        </w:rPr>
        <w:t>说明：上述标准参照《关于印发中小企业划型标准规定的通知》（工信部联企业[2011]300号），大型、中型和小型企业须同时满足所列指标的下限，否则下划一档；微型企业只须满足所列指标中的一项即可。</w:t>
      </w:r>
    </w:p>
    <w:bookmarkEnd w:id="23"/>
    <w:p w14:paraId="23F2B48F">
      <w:pPr>
        <w:spacing w:line="312" w:lineRule="auto"/>
        <w:ind w:firstLine="420" w:firstLineChars="200"/>
        <w:jc w:val="left"/>
        <w:rPr>
          <w:rFonts w:hint="eastAsia" w:ascii="宋体" w:hAnsi="宋体" w:eastAsia="宋体" w:cs="宋体"/>
          <w:bCs/>
          <w:kern w:val="0"/>
          <w:szCs w:val="21"/>
        </w:rPr>
        <w:sectPr>
          <w:headerReference r:id="rId14" w:type="first"/>
          <w:headerReference r:id="rId13" w:type="default"/>
          <w:pgSz w:w="11906" w:h="16838"/>
          <w:pgMar w:top="1418" w:right="1417" w:bottom="1417" w:left="1418" w:header="851" w:footer="992" w:gutter="0"/>
          <w:cols w:space="720" w:num="1"/>
          <w:docGrid w:linePitch="312" w:charSpace="0"/>
        </w:sectPr>
      </w:pPr>
    </w:p>
    <w:bookmarkEnd w:id="24"/>
    <w:p w14:paraId="23BDB977">
      <w:pPr>
        <w:pStyle w:val="2"/>
        <w:keepNext/>
        <w:keepLines/>
        <w:pageBreakBefore w:val="0"/>
        <w:widowControl w:val="0"/>
        <w:kinsoku/>
        <w:wordWrap/>
        <w:overflowPunct/>
        <w:topLinePunct w:val="0"/>
        <w:autoSpaceDE/>
        <w:autoSpaceDN/>
        <w:bidi w:val="0"/>
        <w:adjustRightInd/>
        <w:snapToGrid/>
        <w:spacing w:before="120" w:after="120" w:line="360" w:lineRule="auto"/>
        <w:jc w:val="center"/>
        <w:textAlignment w:val="auto"/>
        <w:rPr>
          <w:sz w:val="32"/>
          <w:szCs w:val="32"/>
        </w:rPr>
      </w:pPr>
      <w:bookmarkStart w:id="25" w:name="_Toc24560"/>
      <w:r>
        <w:rPr>
          <w:rFonts w:hint="eastAsia"/>
          <w:sz w:val="32"/>
          <w:szCs w:val="32"/>
        </w:rPr>
        <w:t>第</w:t>
      </w:r>
      <w:r>
        <w:rPr>
          <w:rFonts w:hint="eastAsia"/>
          <w:sz w:val="32"/>
          <w:szCs w:val="32"/>
          <w:lang w:val="en-US" w:eastAsia="zh-CN"/>
        </w:rPr>
        <w:t>三</w:t>
      </w:r>
      <w:r>
        <w:rPr>
          <w:rFonts w:hint="eastAsia"/>
          <w:sz w:val="32"/>
          <w:szCs w:val="32"/>
        </w:rPr>
        <w:t>章 工程量清单及图纸</w:t>
      </w:r>
      <w:bookmarkEnd w:id="25"/>
    </w:p>
    <w:p w14:paraId="7015B525">
      <w:pPr>
        <w:spacing w:line="312" w:lineRule="auto"/>
        <w:ind w:firstLine="562" w:firstLineChars="200"/>
        <w:jc w:val="left"/>
        <w:outlineLvl w:val="1"/>
        <w:rPr>
          <w:rFonts w:hint="eastAsia" w:ascii="宋体" w:hAnsi="宋体" w:eastAsia="宋体" w:cs="宋体"/>
          <w:b/>
          <w:kern w:val="0"/>
          <w:sz w:val="28"/>
          <w:szCs w:val="28"/>
        </w:rPr>
      </w:pPr>
      <w:r>
        <w:rPr>
          <w:rFonts w:hint="eastAsia" w:ascii="宋体" w:hAnsi="宋体" w:eastAsia="宋体" w:cs="宋体"/>
          <w:b/>
          <w:kern w:val="0"/>
          <w:sz w:val="28"/>
          <w:szCs w:val="28"/>
        </w:rPr>
        <w:t>一、工程量清单</w:t>
      </w:r>
    </w:p>
    <w:p w14:paraId="6EEAAF9F">
      <w:pPr>
        <w:spacing w:line="312" w:lineRule="auto"/>
        <w:ind w:firstLine="422" w:firstLineChars="200"/>
        <w:jc w:val="left"/>
        <w:rPr>
          <w:rFonts w:hint="eastAsia" w:ascii="宋体" w:hAnsi="宋体" w:eastAsia="宋体" w:cs="宋体"/>
          <w:b/>
          <w:bCs/>
          <w:kern w:val="0"/>
          <w:szCs w:val="21"/>
        </w:rPr>
      </w:pPr>
      <w:r>
        <w:rPr>
          <w:rFonts w:hint="eastAsia" w:ascii="宋体" w:hAnsi="宋体" w:eastAsia="宋体" w:cs="宋体"/>
          <w:b/>
          <w:bCs/>
          <w:kern w:val="0"/>
          <w:szCs w:val="21"/>
        </w:rPr>
        <w:t>1.工程量清单说明</w:t>
      </w:r>
    </w:p>
    <w:p w14:paraId="34D0339D">
      <w:pPr>
        <w:spacing w:line="360" w:lineRule="auto"/>
        <w:ind w:firstLine="420" w:firstLineChars="200"/>
        <w:rPr>
          <w:rFonts w:hint="eastAsia" w:ascii="宋体" w:hAnsi="宋体" w:eastAsia="宋体" w:cs="宋体"/>
        </w:rPr>
      </w:pPr>
      <w:r>
        <w:rPr>
          <w:rFonts w:hint="eastAsia" w:ascii="宋体" w:hAnsi="宋体" w:eastAsia="宋体" w:cs="宋体"/>
        </w:rPr>
        <w:t>1.1本工程量清单依据</w:t>
      </w:r>
      <w:r>
        <w:rPr>
          <w:rFonts w:hint="eastAsia" w:ascii="宋体" w:hAnsi="宋体" w:eastAsia="宋体" w:cs="宋体"/>
          <w:color w:val="auto"/>
        </w:rPr>
        <w:t>《建设工程工程量清单计价规范（GB50500-2013）广西实施细则》（以下简称“《计价规范》”）、《工程量清单计算规范（GB50854~50862-2013）》及广西实施细则（修订本）（以下简称“《计算规范》”）、《关于建筑业实施营业税改征增值税后广西壮族自治区建设工程计价依据调整的通知》（桂建标〔2016〕17号）</w:t>
      </w:r>
      <w:r>
        <w:rPr>
          <w:rFonts w:hint="eastAsia" w:ascii="宋体" w:hAnsi="宋体" w:eastAsia="宋体" w:cs="宋体"/>
          <w:color w:val="auto"/>
          <w:kern w:val="0"/>
        </w:rPr>
        <w:t>、</w:t>
      </w:r>
      <w:r>
        <w:rPr>
          <w:rFonts w:hint="eastAsia" w:ascii="宋体" w:hAnsi="宋体" w:eastAsia="宋体" w:cs="宋体"/>
          <w:kern w:val="0"/>
        </w:rPr>
        <w:t>招</w:t>
      </w:r>
      <w:r>
        <w:rPr>
          <w:rFonts w:hint="eastAsia" w:ascii="宋体" w:hAnsi="宋体" w:eastAsia="宋体" w:cs="宋体"/>
        </w:rPr>
        <w:t>标文件、施工图等编制。计算规范中没有的清单项目，应在本章第1.4款约定。</w:t>
      </w:r>
    </w:p>
    <w:p w14:paraId="3790A399">
      <w:pPr>
        <w:spacing w:line="360" w:lineRule="auto"/>
        <w:ind w:firstLine="420" w:firstLineChars="200"/>
        <w:rPr>
          <w:rFonts w:hint="eastAsia" w:ascii="宋体" w:hAnsi="宋体" w:eastAsia="宋体" w:cs="宋体"/>
        </w:rPr>
      </w:pPr>
      <w:r>
        <w:rPr>
          <w:rFonts w:hint="eastAsia" w:ascii="宋体" w:hAnsi="宋体" w:eastAsia="宋体" w:cs="宋体"/>
        </w:rPr>
        <w:t>1.2 工程量清单应与供应商须知、合同协议条款、合同的通用条款、合同专用条款、技术规范及图纸等文件一起结合使用。</w:t>
      </w:r>
    </w:p>
    <w:p w14:paraId="1A7B2BCD">
      <w:pPr>
        <w:spacing w:line="360" w:lineRule="auto"/>
        <w:ind w:firstLine="420" w:firstLineChars="200"/>
        <w:rPr>
          <w:rFonts w:hint="eastAsia" w:ascii="宋体" w:hAnsi="宋体" w:eastAsia="宋体" w:cs="宋体"/>
        </w:rPr>
      </w:pPr>
      <w:r>
        <w:rPr>
          <w:rFonts w:hint="eastAsia" w:ascii="宋体" w:hAnsi="宋体" w:eastAsia="宋体" w:cs="宋体"/>
        </w:rPr>
        <w:t>1.3 工程量清单是采购文件的组成部分，是工程量清单计价的基础，作为编制控制价、响应报价、计算或调整工程量、索赔等的依据之一。</w:t>
      </w:r>
    </w:p>
    <w:p w14:paraId="02D0E9D3">
      <w:pPr>
        <w:spacing w:line="360" w:lineRule="auto"/>
        <w:ind w:firstLine="420" w:firstLineChars="200"/>
        <w:rPr>
          <w:rFonts w:hint="eastAsia" w:ascii="宋体" w:hAnsi="宋体" w:eastAsia="宋体" w:cs="宋体"/>
        </w:rPr>
      </w:pPr>
      <w:r>
        <w:rPr>
          <w:rFonts w:hint="eastAsia" w:ascii="宋体" w:hAnsi="宋体" w:eastAsia="宋体" w:cs="宋体"/>
        </w:rPr>
        <w:t>1.4 补充清单项目的特征、计量单位、工程量计算规则及工作内容说明如</w:t>
      </w:r>
      <w:r>
        <w:rPr>
          <w:rFonts w:hint="eastAsia" w:ascii="宋体" w:hAnsi="宋体" w:eastAsia="宋体" w:cs="宋体"/>
          <w:color w:val="auto"/>
        </w:rPr>
        <w:t>下：</w:t>
      </w:r>
      <w:r>
        <w:rPr>
          <w:rFonts w:hint="eastAsia" w:ascii="宋体" w:hAnsi="宋体" w:eastAsia="宋体" w:cs="宋体"/>
          <w:color w:val="auto"/>
          <w:u w:val="single"/>
        </w:rPr>
        <w:t xml:space="preserve">  </w:t>
      </w:r>
      <w:r>
        <w:rPr>
          <w:rFonts w:hint="eastAsia" w:ascii="宋体" w:hAnsi="宋体" w:eastAsia="宋体" w:cs="宋体"/>
          <w:color w:val="auto"/>
          <w:highlight w:val="none"/>
          <w:u w:val="single"/>
          <w:lang w:val="en-US" w:eastAsia="zh-CN"/>
        </w:rPr>
        <w:t>无</w:t>
      </w:r>
      <w:r>
        <w:rPr>
          <w:rFonts w:hint="eastAsia" w:ascii="宋体" w:hAnsi="宋体" w:eastAsia="宋体" w:cs="宋体"/>
          <w:color w:val="auto"/>
          <w:u w:val="single"/>
        </w:rPr>
        <w:t xml:space="preserve"> </w:t>
      </w:r>
      <w:r>
        <w:rPr>
          <w:rFonts w:hint="eastAsia" w:ascii="宋体" w:hAnsi="宋体" w:eastAsia="宋体" w:cs="宋体"/>
        </w:rPr>
        <w:t>。</w:t>
      </w:r>
    </w:p>
    <w:p w14:paraId="56A95791">
      <w:pPr>
        <w:pStyle w:val="11"/>
        <w:spacing w:line="360" w:lineRule="auto"/>
        <w:ind w:firstLine="420" w:firstLineChars="200"/>
        <w:rPr>
          <w:rFonts w:hint="eastAsia" w:ascii="宋体" w:hAnsi="宋体" w:eastAsia="宋体" w:cs="宋体"/>
        </w:rPr>
      </w:pPr>
      <w:r>
        <w:rPr>
          <w:rFonts w:hint="eastAsia" w:ascii="宋体" w:hAnsi="宋体" w:eastAsia="宋体" w:cs="宋体"/>
        </w:rPr>
        <w:t>1.5 《允许调整主要材料和工程设备一览表》（表-22，表格编号为计价规范相应表格编号，下同）作为项目实施过程中材料和设备价格风险调整依据。</w:t>
      </w:r>
    </w:p>
    <w:p w14:paraId="3A8B6CA9">
      <w:pPr>
        <w:pStyle w:val="11"/>
        <w:spacing w:line="360" w:lineRule="auto"/>
        <w:ind w:firstLine="420" w:firstLineChars="200"/>
        <w:rPr>
          <w:rFonts w:hint="eastAsia" w:ascii="宋体" w:hAnsi="宋体" w:eastAsia="宋体" w:cs="宋体"/>
        </w:rPr>
      </w:pPr>
      <w:r>
        <w:rPr>
          <w:rFonts w:hint="eastAsia" w:ascii="宋体" w:hAnsi="宋体" w:eastAsia="宋体" w:cs="宋体"/>
        </w:rPr>
        <w:t>1.6 本工程暂列金额</w:t>
      </w:r>
      <w:r>
        <w:rPr>
          <w:rFonts w:hint="eastAsia" w:ascii="宋体" w:hAnsi="宋体" w:eastAsia="宋体" w:cs="宋体"/>
          <w:highlight w:val="none"/>
        </w:rPr>
        <w:t>（约按合同造价</w:t>
      </w:r>
      <w:r>
        <w:rPr>
          <w:rFonts w:hint="eastAsia" w:ascii="宋体" w:hAnsi="宋体" w:eastAsia="宋体" w:cs="宋体"/>
          <w:highlight w:val="none"/>
          <w:u w:val="single"/>
        </w:rPr>
        <w:t xml:space="preserve"> </w:t>
      </w:r>
      <w:r>
        <w:rPr>
          <w:rFonts w:hint="eastAsia" w:ascii="宋体" w:hAnsi="宋体" w:eastAsia="宋体" w:cs="宋体"/>
          <w:highlight w:val="none"/>
          <w:u w:val="single"/>
          <w:lang w:val="en-US" w:eastAsia="zh-CN"/>
        </w:rPr>
        <w:t>/</w:t>
      </w:r>
      <w:r>
        <w:rPr>
          <w:rFonts w:hint="eastAsia" w:ascii="宋体" w:hAnsi="宋体" w:eastAsia="宋体" w:cs="宋体"/>
          <w:highlight w:val="none"/>
          <w:u w:val="single"/>
        </w:rPr>
        <w:t xml:space="preserve"> </w:t>
      </w:r>
      <w:r>
        <w:rPr>
          <w:rFonts w:hint="eastAsia" w:ascii="宋体" w:hAnsi="宋体" w:eastAsia="宋体" w:cs="宋体"/>
          <w:highlight w:val="none"/>
        </w:rPr>
        <w:t>%计算）</w:t>
      </w:r>
      <w:r>
        <w:rPr>
          <w:rFonts w:hint="eastAsia" w:ascii="宋体" w:hAnsi="宋体" w:eastAsia="宋体" w:cs="宋体"/>
          <w:color w:val="auto"/>
          <w:highlight w:val="none"/>
        </w:rPr>
        <w:t>，共</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85000.00</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元</w:t>
      </w:r>
      <w:r>
        <w:rPr>
          <w:rFonts w:hint="eastAsia" w:ascii="宋体" w:hAnsi="宋体" w:eastAsia="宋体" w:cs="宋体"/>
        </w:rPr>
        <w:t>，作为合同签订时尚未确定或者不可预见但施工中可能发生的费用。</w:t>
      </w:r>
    </w:p>
    <w:p w14:paraId="0BAD7905">
      <w:pPr>
        <w:pStyle w:val="11"/>
        <w:spacing w:line="360" w:lineRule="auto"/>
        <w:ind w:firstLine="420" w:firstLineChars="200"/>
        <w:rPr>
          <w:rFonts w:hint="eastAsia" w:ascii="宋体" w:hAnsi="宋体" w:eastAsia="宋体" w:cs="宋体"/>
        </w:rPr>
      </w:pPr>
      <w:r>
        <w:rPr>
          <w:rFonts w:hint="eastAsia" w:ascii="宋体" w:hAnsi="宋体" w:eastAsia="宋体" w:cs="宋体"/>
        </w:rPr>
        <w:t>1.7 本工程发包人提供的材料和设备详见《发包人提供的主要材料和工程设备一览表》（表-21）。</w:t>
      </w:r>
    </w:p>
    <w:p w14:paraId="7B0172E8">
      <w:pPr>
        <w:spacing w:line="360" w:lineRule="auto"/>
        <w:ind w:firstLine="420" w:firstLineChars="200"/>
        <w:rPr>
          <w:rFonts w:hint="eastAsia" w:ascii="宋体" w:hAnsi="宋体" w:eastAsia="宋体" w:cs="宋体"/>
        </w:rPr>
      </w:pPr>
      <w:r>
        <w:rPr>
          <w:rFonts w:hint="eastAsia" w:ascii="宋体" w:hAnsi="宋体" w:eastAsia="宋体" w:cs="宋体"/>
        </w:rPr>
        <w:t>1.8 本工程部分材料和设备在招标时作为暂估价计列，结算按实调整，具体内容详见《材料（工程设备）暂估单价及调整表》（表12-2）。</w:t>
      </w:r>
    </w:p>
    <w:p w14:paraId="7A1535F6">
      <w:pPr>
        <w:spacing w:line="360" w:lineRule="auto"/>
        <w:ind w:firstLine="420" w:firstLineChars="200"/>
        <w:rPr>
          <w:rFonts w:hint="eastAsia" w:ascii="宋体" w:hAnsi="宋体" w:eastAsia="宋体" w:cs="宋体"/>
        </w:rPr>
      </w:pPr>
      <w:r>
        <w:rPr>
          <w:rFonts w:hint="eastAsia" w:ascii="宋体" w:hAnsi="宋体" w:eastAsia="宋体" w:cs="宋体"/>
        </w:rPr>
        <w:t>1.9 招标时暂估专业工程的价款属于暂估价，结算按实调整，具体内容详见《专业工程暂估价及结算价表》（表12-3）。</w:t>
      </w:r>
    </w:p>
    <w:p w14:paraId="00D36028">
      <w:pPr>
        <w:spacing w:line="360" w:lineRule="auto"/>
        <w:ind w:firstLine="420" w:firstLineChars="200"/>
        <w:rPr>
          <w:rFonts w:hint="eastAsia" w:ascii="宋体" w:hAnsi="宋体" w:eastAsia="宋体" w:cs="宋体"/>
        </w:rPr>
      </w:pPr>
      <w:r>
        <w:rPr>
          <w:rFonts w:hint="eastAsia" w:ascii="宋体" w:hAnsi="宋体" w:eastAsia="宋体" w:cs="宋体"/>
        </w:rPr>
        <w:t>1.10 本工程量清单编码处标注“*”号的清单项目作为主要清单项目，需要</w:t>
      </w:r>
      <w:r>
        <w:rPr>
          <w:rFonts w:hint="eastAsia" w:ascii="宋体" w:hAnsi="宋体" w:eastAsia="宋体" w:cs="宋体"/>
          <w:lang w:val="en-US" w:eastAsia="zh-CN"/>
        </w:rPr>
        <w:t>供应商</w:t>
      </w:r>
      <w:r>
        <w:rPr>
          <w:rFonts w:hint="eastAsia" w:ascii="宋体" w:hAnsi="宋体" w:eastAsia="宋体" w:cs="宋体"/>
        </w:rPr>
        <w:t>提供《主要清单项目工料机分析表》（表-10）。</w:t>
      </w:r>
    </w:p>
    <w:p w14:paraId="5E5F128B">
      <w:pPr>
        <w:spacing w:line="360" w:lineRule="auto"/>
        <w:ind w:firstLine="420" w:firstLineChars="200"/>
        <w:rPr>
          <w:rFonts w:hint="eastAsia" w:ascii="宋体" w:hAnsi="宋体" w:eastAsia="宋体" w:cs="宋体"/>
        </w:rPr>
      </w:pPr>
      <w:r>
        <w:rPr>
          <w:rFonts w:hint="eastAsia" w:ascii="宋体" w:hAnsi="宋体" w:eastAsia="宋体" w:cs="宋体"/>
        </w:rPr>
        <w:t>1.11 其它需要说明的问题：</w:t>
      </w:r>
      <w:r>
        <w:rPr>
          <w:rFonts w:hint="eastAsia" w:ascii="宋体" w:hAnsi="宋体" w:eastAsia="宋体" w:cs="宋体"/>
          <w:color w:val="auto"/>
          <w:u w:val="single"/>
        </w:rPr>
        <w:t xml:space="preserve">  </w:t>
      </w:r>
      <w:r>
        <w:rPr>
          <w:rFonts w:hint="eastAsia" w:ascii="宋体" w:hAnsi="宋体" w:eastAsia="宋体" w:cs="宋体"/>
          <w:color w:val="auto"/>
          <w:highlight w:val="none"/>
          <w:u w:val="single"/>
          <w:lang w:val="en-US" w:eastAsia="zh-CN"/>
        </w:rPr>
        <w:t>无</w:t>
      </w:r>
      <w:r>
        <w:rPr>
          <w:rFonts w:hint="eastAsia" w:ascii="宋体" w:hAnsi="宋体" w:eastAsia="宋体" w:cs="宋体"/>
          <w:color w:val="auto"/>
          <w:u w:val="single"/>
        </w:rPr>
        <w:t xml:space="preserve">   </w:t>
      </w:r>
      <w:r>
        <w:rPr>
          <w:rFonts w:hint="eastAsia" w:ascii="宋体" w:hAnsi="宋体" w:eastAsia="宋体" w:cs="宋体"/>
          <w:color w:val="auto"/>
        </w:rPr>
        <w:t>。</w:t>
      </w:r>
    </w:p>
    <w:p w14:paraId="62B04C6D">
      <w:pPr>
        <w:spacing w:line="312" w:lineRule="auto"/>
        <w:ind w:firstLine="422" w:firstLineChars="200"/>
        <w:jc w:val="left"/>
        <w:rPr>
          <w:rFonts w:hint="eastAsia" w:ascii="宋体" w:hAnsi="宋体" w:eastAsia="宋体" w:cs="宋体"/>
          <w:b/>
          <w:bCs/>
          <w:kern w:val="0"/>
          <w:szCs w:val="21"/>
        </w:rPr>
      </w:pPr>
      <w:r>
        <w:rPr>
          <w:rFonts w:hint="eastAsia" w:ascii="宋体" w:hAnsi="宋体" w:eastAsia="宋体" w:cs="宋体"/>
          <w:b/>
          <w:bCs/>
          <w:kern w:val="0"/>
          <w:szCs w:val="21"/>
        </w:rPr>
        <w:t>2.本工程预算金额评审依据</w:t>
      </w:r>
    </w:p>
    <w:p w14:paraId="39093E63">
      <w:pPr>
        <w:spacing w:line="360" w:lineRule="auto"/>
        <w:ind w:firstLine="420" w:firstLineChars="200"/>
        <w:rPr>
          <w:rFonts w:hint="eastAsia" w:ascii="宋体" w:hAnsi="宋体" w:eastAsia="宋体" w:cs="宋体"/>
        </w:rPr>
      </w:pPr>
      <w:r>
        <w:rPr>
          <w:rFonts w:hint="eastAsia" w:ascii="宋体" w:hAnsi="宋体" w:eastAsia="宋体" w:cs="宋体"/>
        </w:rPr>
        <w:t>2.1编制依据：</w:t>
      </w:r>
    </w:p>
    <w:p w14:paraId="504E83A7">
      <w:pPr>
        <w:spacing w:line="360" w:lineRule="auto"/>
        <w:ind w:firstLine="420" w:firstLineChars="200"/>
        <w:rPr>
          <w:rFonts w:hint="eastAsia" w:ascii="宋体" w:hAnsi="宋体" w:eastAsia="宋体" w:cs="宋体"/>
          <w:color w:val="auto"/>
        </w:rPr>
      </w:pPr>
      <w:r>
        <w:rPr>
          <w:rFonts w:hint="eastAsia" w:ascii="宋体" w:hAnsi="宋体" w:eastAsia="宋体" w:cs="宋体"/>
        </w:rPr>
        <w:t>（1）《计价规范》及《计算规范》、</w:t>
      </w:r>
      <w:r>
        <w:rPr>
          <w:rFonts w:hint="eastAsia" w:ascii="宋体" w:hAnsi="宋体" w:eastAsia="宋体" w:cs="宋体"/>
          <w:kern w:val="0"/>
        </w:rPr>
        <w:t>《关于建筑</w:t>
      </w:r>
      <w:r>
        <w:rPr>
          <w:rFonts w:hint="eastAsia" w:ascii="宋体" w:hAnsi="宋体" w:eastAsia="宋体" w:cs="宋体"/>
          <w:color w:val="auto"/>
          <w:kern w:val="0"/>
        </w:rPr>
        <w:t>业实施营业税改征增值税后广西壮族自治区建设工程计价依据调整的通知》（桂建标〔2016〕17号）等</w:t>
      </w:r>
      <w:r>
        <w:rPr>
          <w:rFonts w:hint="eastAsia" w:ascii="宋体" w:hAnsi="宋体" w:eastAsia="宋体" w:cs="宋体"/>
          <w:color w:val="auto"/>
        </w:rPr>
        <w:t>；</w:t>
      </w:r>
    </w:p>
    <w:p w14:paraId="7BA34381">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（2）自治区住房城乡建设行政主管部门颁发的计价定额及有关规定：</w:t>
      </w:r>
      <w:r>
        <w:rPr>
          <w:rFonts w:hint="eastAsia" w:ascii="宋体" w:hAnsi="宋体" w:eastAsia="宋体" w:cs="宋体"/>
          <w:color w:val="auto"/>
          <w:u w:val="single"/>
        </w:rPr>
        <w:t xml:space="preserve"> </w:t>
      </w:r>
      <w:r>
        <w:rPr>
          <w:rFonts w:hint="eastAsia" w:ascii="宋体" w:hAnsi="宋体" w:eastAsia="宋体" w:cs="宋体"/>
          <w:color w:val="auto"/>
          <w:u w:val="single"/>
          <w:lang w:val="en-US" w:eastAsia="zh-CN"/>
        </w:rPr>
        <w:t>详见招标控制价编制说明</w:t>
      </w:r>
      <w:r>
        <w:rPr>
          <w:rFonts w:hint="eastAsia" w:ascii="宋体" w:hAnsi="宋体" w:eastAsia="宋体" w:cs="宋体"/>
          <w:color w:val="auto"/>
          <w:u w:val="single"/>
        </w:rPr>
        <w:t xml:space="preserve"> </w:t>
      </w:r>
      <w:r>
        <w:rPr>
          <w:rFonts w:hint="eastAsia" w:ascii="宋体" w:hAnsi="宋体" w:eastAsia="宋体" w:cs="宋体"/>
          <w:color w:val="auto"/>
        </w:rPr>
        <w:t>。</w:t>
      </w:r>
    </w:p>
    <w:p w14:paraId="77364616">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（3）建设工程设计文件及相关资料：</w:t>
      </w:r>
      <w:r>
        <w:rPr>
          <w:rFonts w:hint="eastAsia" w:ascii="宋体" w:hAnsi="宋体" w:eastAsia="宋体" w:cs="宋体"/>
          <w:color w:val="auto"/>
          <w:u w:val="single"/>
        </w:rPr>
        <w:t xml:space="preserve">   </w:t>
      </w:r>
      <w:r>
        <w:rPr>
          <w:rFonts w:hint="eastAsia" w:ascii="宋体" w:hAnsi="宋体" w:eastAsia="宋体" w:cs="宋体"/>
          <w:color w:val="auto"/>
          <w:u w:val="single"/>
          <w:lang w:val="en-US" w:eastAsia="zh-CN"/>
        </w:rPr>
        <w:t>详见施工图纸</w:t>
      </w:r>
      <w:r>
        <w:rPr>
          <w:rFonts w:hint="eastAsia" w:ascii="宋体" w:hAnsi="宋体" w:eastAsia="宋体" w:cs="宋体"/>
          <w:color w:val="auto"/>
          <w:u w:val="single"/>
        </w:rPr>
        <w:t xml:space="preserve">   </w:t>
      </w:r>
      <w:r>
        <w:rPr>
          <w:rFonts w:hint="eastAsia" w:ascii="宋体" w:hAnsi="宋体" w:eastAsia="宋体" w:cs="宋体"/>
          <w:color w:val="auto"/>
        </w:rPr>
        <w:t xml:space="preserve">。 </w:t>
      </w:r>
    </w:p>
    <w:p w14:paraId="7D509C8A">
      <w:pPr>
        <w:spacing w:line="360" w:lineRule="auto"/>
        <w:ind w:firstLine="420" w:firstLineChars="200"/>
        <w:rPr>
          <w:rFonts w:hint="eastAsia" w:ascii="宋体" w:hAnsi="宋体" w:eastAsia="宋体" w:cs="宋体"/>
        </w:rPr>
      </w:pPr>
      <w:r>
        <w:rPr>
          <w:rFonts w:hint="eastAsia" w:ascii="宋体" w:hAnsi="宋体" w:eastAsia="宋体" w:cs="宋体"/>
        </w:rPr>
        <w:t>（4）本工程采购文件及工程量清单；</w:t>
      </w:r>
    </w:p>
    <w:p w14:paraId="1B273DB0">
      <w:pPr>
        <w:spacing w:line="360" w:lineRule="auto"/>
        <w:ind w:firstLine="420" w:firstLineChars="200"/>
        <w:rPr>
          <w:rFonts w:hint="eastAsia" w:ascii="宋体" w:hAnsi="宋体" w:eastAsia="宋体" w:cs="宋体"/>
        </w:rPr>
      </w:pPr>
      <w:r>
        <w:rPr>
          <w:rFonts w:hint="eastAsia" w:ascii="宋体" w:hAnsi="宋体" w:eastAsia="宋体" w:cs="宋体"/>
        </w:rPr>
        <w:t>（5）与建设项目相关的标准、规范、技术资料；</w:t>
      </w:r>
    </w:p>
    <w:p w14:paraId="5997655F">
      <w:pPr>
        <w:spacing w:line="360" w:lineRule="auto"/>
        <w:ind w:firstLine="420" w:firstLineChars="200"/>
        <w:rPr>
          <w:rFonts w:hint="eastAsia" w:ascii="宋体" w:hAnsi="宋体" w:eastAsia="宋体" w:cs="宋体"/>
        </w:rPr>
      </w:pPr>
      <w:r>
        <w:rPr>
          <w:rFonts w:hint="eastAsia" w:ascii="宋体" w:hAnsi="宋体" w:eastAsia="宋体" w:cs="宋体"/>
        </w:rPr>
        <w:t>（6）施工现场情况、工程特点及常规施工方案；</w:t>
      </w:r>
    </w:p>
    <w:p w14:paraId="7384B660">
      <w:pPr>
        <w:spacing w:line="360" w:lineRule="auto"/>
        <w:ind w:firstLine="420" w:firstLineChars="200"/>
        <w:rPr>
          <w:rFonts w:hint="eastAsia" w:ascii="宋体" w:hAnsi="宋体" w:eastAsia="宋体" w:cs="宋体"/>
          <w:color w:val="auto"/>
        </w:rPr>
      </w:pPr>
      <w:r>
        <w:rPr>
          <w:rFonts w:hint="eastAsia" w:ascii="宋体" w:hAnsi="宋体" w:eastAsia="宋体" w:cs="宋体"/>
        </w:rPr>
        <w:t>（7）材料价格信息：</w:t>
      </w:r>
      <w:r>
        <w:rPr>
          <w:rFonts w:hint="eastAsia" w:ascii="宋体" w:hAnsi="宋体" w:eastAsia="宋体" w:cs="宋体"/>
          <w:color w:val="auto"/>
          <w:highlight w:val="none"/>
        </w:rPr>
        <w:t>材料价格主要按照</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柳州</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市建设工程造价管理机构发布的工程造价信息</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2026</w:t>
      </w:r>
      <w:r>
        <w:rPr>
          <w:rFonts w:hint="eastAsia" w:ascii="宋体" w:hAnsi="宋体" w:eastAsia="宋体" w:cs="宋体"/>
          <w:color w:val="auto"/>
          <w:highlight w:val="none"/>
        </w:rPr>
        <w:t>年第</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3</w:t>
      </w:r>
      <w:r>
        <w:rPr>
          <w:rFonts w:hint="eastAsia" w:ascii="宋体" w:hAnsi="宋体" w:eastAsia="宋体" w:cs="宋体"/>
          <w:color w:val="auto"/>
          <w:highlight w:val="none"/>
        </w:rPr>
        <w:t>期</w:t>
      </w:r>
      <w:r>
        <w:rPr>
          <w:rFonts w:hint="eastAsia" w:ascii="宋体" w:hAnsi="宋体" w:eastAsia="宋体" w:cs="宋体"/>
          <w:color w:val="auto"/>
        </w:rPr>
        <w:t>，不足部分参考市场定价。</w:t>
      </w:r>
    </w:p>
    <w:p w14:paraId="370912AB">
      <w:pPr>
        <w:spacing w:line="360" w:lineRule="auto"/>
        <w:ind w:firstLine="420" w:firstLineChars="200"/>
        <w:rPr>
          <w:rFonts w:hint="eastAsia" w:ascii="宋体" w:hAnsi="宋体" w:eastAsia="宋体" w:cs="宋体"/>
        </w:rPr>
      </w:pPr>
      <w:r>
        <w:rPr>
          <w:rFonts w:hint="eastAsia" w:ascii="宋体" w:hAnsi="宋体" w:eastAsia="宋体" w:cs="宋体"/>
        </w:rPr>
        <w:t>2.2 分部分项及单价措施项目综合单价应包括采购文件中采购人要求成交供应商所承担的风险内容及其范围（幅度）产生的风险费用。</w:t>
      </w:r>
    </w:p>
    <w:p w14:paraId="5914AE49">
      <w:pPr>
        <w:spacing w:line="360" w:lineRule="auto"/>
        <w:ind w:firstLine="420"/>
        <w:rPr>
          <w:rFonts w:hint="eastAsia" w:ascii="宋体" w:hAnsi="宋体" w:eastAsia="宋体" w:cs="宋体"/>
        </w:rPr>
      </w:pPr>
      <w:r>
        <w:rPr>
          <w:rFonts w:hint="eastAsia" w:ascii="宋体" w:hAnsi="宋体" w:eastAsia="宋体" w:cs="宋体"/>
        </w:rPr>
        <w:t>2.3 总价措施项目应根据拟定的采购文件和常规施工方案按《计价规范》和《计算规范》规定编制。</w:t>
      </w:r>
    </w:p>
    <w:p w14:paraId="5FF20BD7">
      <w:pPr>
        <w:spacing w:line="360" w:lineRule="auto"/>
        <w:ind w:firstLine="420" w:firstLineChars="200"/>
        <w:rPr>
          <w:rFonts w:hint="eastAsia" w:ascii="宋体" w:hAnsi="宋体" w:eastAsia="宋体" w:cs="宋体"/>
        </w:rPr>
      </w:pPr>
      <w:r>
        <w:rPr>
          <w:rFonts w:hint="eastAsia" w:ascii="宋体" w:hAnsi="宋体" w:eastAsia="宋体" w:cs="宋体"/>
        </w:rPr>
        <w:t>2.4 其他项目费应按下列规定报价：</w:t>
      </w:r>
    </w:p>
    <w:p w14:paraId="55AE7100">
      <w:pPr>
        <w:spacing w:line="360" w:lineRule="auto"/>
        <w:ind w:firstLine="420" w:firstLineChars="200"/>
        <w:rPr>
          <w:rFonts w:hint="eastAsia" w:ascii="宋体" w:hAnsi="宋体" w:eastAsia="宋体" w:cs="宋体"/>
        </w:rPr>
      </w:pPr>
      <w:r>
        <w:rPr>
          <w:rFonts w:hint="eastAsia" w:ascii="宋体" w:hAnsi="宋体" w:eastAsia="宋体" w:cs="宋体"/>
        </w:rPr>
        <w:t>（1）暂列金额应按招标工程量清单中列出的金额填写；</w:t>
      </w:r>
    </w:p>
    <w:p w14:paraId="50ACF5D8">
      <w:pPr>
        <w:pStyle w:val="21"/>
        <w:spacing w:line="360" w:lineRule="auto"/>
        <w:ind w:firstLine="420" w:firstLineChars="200"/>
        <w:rPr>
          <w:rFonts w:hint="eastAsia" w:ascii="宋体" w:hAnsi="宋体" w:eastAsia="宋体" w:cs="宋体"/>
        </w:rPr>
      </w:pPr>
      <w:r>
        <w:rPr>
          <w:rFonts w:hint="eastAsia" w:ascii="宋体" w:hAnsi="宋体" w:eastAsia="宋体" w:cs="宋体"/>
        </w:rPr>
        <w:t>（2）材料、工程设备暂估价应按招标工程量清单中列出的单价计入综合单价；</w:t>
      </w:r>
    </w:p>
    <w:p w14:paraId="441C021A">
      <w:pPr>
        <w:spacing w:line="360" w:lineRule="auto"/>
        <w:ind w:firstLine="420" w:firstLineChars="200"/>
        <w:rPr>
          <w:rFonts w:hint="eastAsia" w:ascii="宋体" w:hAnsi="宋体" w:eastAsia="宋体" w:cs="宋体"/>
        </w:rPr>
      </w:pPr>
      <w:r>
        <w:rPr>
          <w:rFonts w:hint="eastAsia" w:ascii="宋体" w:hAnsi="宋体" w:eastAsia="宋体" w:cs="宋体"/>
        </w:rPr>
        <w:t>（3）专业工程暂估价应按工程量清单中列出的金额填写；</w:t>
      </w:r>
    </w:p>
    <w:p w14:paraId="075A02E5">
      <w:pPr>
        <w:spacing w:line="360" w:lineRule="auto"/>
        <w:ind w:firstLine="420" w:firstLineChars="200"/>
        <w:rPr>
          <w:rFonts w:hint="eastAsia" w:ascii="宋体" w:hAnsi="宋体" w:eastAsia="宋体" w:cs="宋体"/>
        </w:rPr>
      </w:pPr>
      <w:r>
        <w:rPr>
          <w:rFonts w:hint="eastAsia" w:ascii="宋体" w:hAnsi="宋体" w:eastAsia="宋体" w:cs="宋体"/>
        </w:rPr>
        <w:t>（4）计日工应按工程量清单中列出的项目和数量，根据工程特点和有关计价依据确定的综合单价计算；</w:t>
      </w:r>
    </w:p>
    <w:p w14:paraId="246509E0">
      <w:pPr>
        <w:spacing w:line="360" w:lineRule="auto"/>
        <w:ind w:firstLine="420" w:firstLineChars="200"/>
        <w:rPr>
          <w:rFonts w:hint="eastAsia" w:ascii="宋体" w:hAnsi="宋体" w:eastAsia="宋体" w:cs="宋体"/>
        </w:rPr>
      </w:pPr>
      <w:r>
        <w:rPr>
          <w:rFonts w:hint="eastAsia" w:ascii="宋体" w:hAnsi="宋体" w:eastAsia="宋体" w:cs="宋体"/>
        </w:rPr>
        <w:t>（5）总承包服务费应根据招标工程量清单列出的内容和要求，按自治区住房城乡建设行政主管部门颁发的计价定额及有关规定计算。</w:t>
      </w:r>
    </w:p>
    <w:p w14:paraId="42D4BE6A">
      <w:pPr>
        <w:spacing w:line="360" w:lineRule="auto"/>
        <w:ind w:firstLine="420" w:firstLineChars="200"/>
        <w:rPr>
          <w:rFonts w:hint="eastAsia" w:ascii="宋体" w:hAnsi="宋体" w:eastAsia="宋体" w:cs="宋体"/>
        </w:rPr>
      </w:pPr>
      <w:r>
        <w:rPr>
          <w:rFonts w:hint="eastAsia" w:ascii="宋体" w:hAnsi="宋体" w:eastAsia="宋体" w:cs="宋体"/>
        </w:rPr>
        <w:t>（6）对建设单位创建优质工程的，鼓励在控制价和预算中按我区工程建设定额规定计列工程优质费，并明确工程优质费不可竞争。</w:t>
      </w:r>
    </w:p>
    <w:p w14:paraId="084D76E2">
      <w:pPr>
        <w:spacing w:line="360" w:lineRule="auto"/>
        <w:ind w:firstLine="420" w:firstLineChars="200"/>
        <w:rPr>
          <w:rFonts w:hint="eastAsia" w:ascii="宋体" w:hAnsi="宋体" w:eastAsia="宋体" w:cs="宋体"/>
        </w:rPr>
      </w:pPr>
      <w:r>
        <w:rPr>
          <w:rFonts w:hint="eastAsia" w:ascii="宋体" w:hAnsi="宋体" w:eastAsia="宋体" w:cs="宋体"/>
        </w:rPr>
        <w:t>2.5 规费和增值税应按规定确定，作为不可竞争费用。</w:t>
      </w:r>
    </w:p>
    <w:p w14:paraId="14722874">
      <w:pPr>
        <w:spacing w:line="360" w:lineRule="auto"/>
        <w:ind w:firstLine="420" w:firstLineChars="200"/>
        <w:rPr>
          <w:rFonts w:hint="eastAsia" w:ascii="宋体" w:hAnsi="宋体" w:eastAsia="宋体" w:cs="宋体"/>
        </w:rPr>
      </w:pPr>
      <w:r>
        <w:rPr>
          <w:rFonts w:hint="eastAsia" w:ascii="宋体" w:hAnsi="宋体" w:eastAsia="宋体" w:cs="宋体"/>
        </w:rPr>
        <w:t>2.6 其它需要说明的问题：</w:t>
      </w:r>
      <w:r>
        <w:rPr>
          <w:rFonts w:hint="eastAsia" w:ascii="宋体" w:hAnsi="宋体" w:eastAsia="宋体" w:cs="宋体"/>
          <w:u w:val="single"/>
        </w:rPr>
        <w:t xml:space="preserve"> </w:t>
      </w:r>
      <w:r>
        <w:rPr>
          <w:rFonts w:hint="eastAsia" w:ascii="宋体" w:hAnsi="宋体" w:eastAsia="宋体" w:cs="宋体"/>
          <w:highlight w:val="none"/>
          <w:u w:val="single"/>
        </w:rPr>
        <w:t>安全生产责任保险费应按招标工程量清单中给出的安责险暂估价的具体金额填写，不得调整。</w:t>
      </w:r>
      <w:r>
        <w:rPr>
          <w:rFonts w:hint="eastAsia" w:ascii="宋体" w:hAnsi="宋体" w:eastAsia="宋体" w:cs="宋体"/>
          <w:u w:val="single"/>
        </w:rPr>
        <w:t xml:space="preserve">  </w:t>
      </w:r>
    </w:p>
    <w:p w14:paraId="5A8F1F42">
      <w:pPr>
        <w:spacing w:line="312" w:lineRule="auto"/>
        <w:ind w:firstLine="422" w:firstLineChars="200"/>
        <w:jc w:val="left"/>
        <w:rPr>
          <w:rFonts w:hint="eastAsia" w:ascii="宋体" w:hAnsi="宋体" w:eastAsia="宋体" w:cs="宋体"/>
          <w:b/>
          <w:bCs/>
          <w:kern w:val="0"/>
          <w:szCs w:val="21"/>
        </w:rPr>
      </w:pPr>
      <w:r>
        <w:rPr>
          <w:rFonts w:hint="eastAsia" w:ascii="宋体" w:hAnsi="宋体" w:eastAsia="宋体" w:cs="宋体"/>
          <w:b/>
          <w:bCs/>
          <w:kern w:val="0"/>
          <w:szCs w:val="21"/>
        </w:rPr>
        <w:t>3.响应报价（已标价工程量清单）编制说明</w:t>
      </w:r>
    </w:p>
    <w:p w14:paraId="51D1E926">
      <w:pPr>
        <w:spacing w:line="312" w:lineRule="auto"/>
        <w:ind w:firstLine="420" w:firstLineChars="200"/>
        <w:jc w:val="left"/>
        <w:rPr>
          <w:rFonts w:hint="eastAsia" w:ascii="宋体" w:hAnsi="宋体" w:eastAsia="宋体" w:cs="宋体"/>
          <w:bCs/>
          <w:kern w:val="0"/>
          <w:szCs w:val="21"/>
        </w:rPr>
      </w:pPr>
      <w:r>
        <w:rPr>
          <w:rFonts w:hint="eastAsia" w:ascii="宋体" w:hAnsi="宋体" w:eastAsia="宋体" w:cs="宋体"/>
          <w:bCs/>
          <w:kern w:val="0"/>
          <w:szCs w:val="21"/>
        </w:rPr>
        <w:t>3.1供应商应依据采购文件、工程量清单以及《计价规范》、《计算规范》自主报价，自主报价不得违反计价规范强制性条文规定。供应商不得采用总价让利或以百分比让利等形式进行报价，任何优惠（或降价、让利）均应反映在相应清单项目的综合单价中。同时，不得出现任意一项单价重大让利，不得以自有机械闲置、自有材料等不计成本为由低于工程成本报价。</w:t>
      </w:r>
    </w:p>
    <w:p w14:paraId="524E3C3D">
      <w:pPr>
        <w:spacing w:line="312" w:lineRule="auto"/>
        <w:ind w:firstLine="420" w:firstLineChars="200"/>
        <w:jc w:val="left"/>
        <w:rPr>
          <w:rFonts w:hint="eastAsia" w:ascii="宋体" w:hAnsi="宋体" w:eastAsia="宋体" w:cs="宋体"/>
          <w:bCs/>
          <w:kern w:val="0"/>
          <w:szCs w:val="21"/>
        </w:rPr>
      </w:pPr>
      <w:r>
        <w:rPr>
          <w:rFonts w:hint="eastAsia" w:ascii="宋体" w:hAnsi="宋体" w:eastAsia="宋体" w:cs="宋体"/>
          <w:bCs/>
          <w:kern w:val="0"/>
          <w:szCs w:val="21"/>
        </w:rPr>
        <w:t>3.2供应商应按工程量清单填报价格。项目编码、项目名称、项目特征、计量单位、已标价工程量必须与工程量清单一致，供应商不得对工程量清单项目进行增减调整。</w:t>
      </w:r>
    </w:p>
    <w:p w14:paraId="67E64BFC">
      <w:pPr>
        <w:spacing w:line="312" w:lineRule="auto"/>
        <w:ind w:firstLine="420" w:firstLineChars="200"/>
        <w:jc w:val="left"/>
        <w:rPr>
          <w:rFonts w:hint="eastAsia" w:ascii="宋体" w:hAnsi="宋体" w:eastAsia="宋体" w:cs="宋体"/>
          <w:bCs/>
          <w:kern w:val="0"/>
          <w:szCs w:val="21"/>
        </w:rPr>
      </w:pPr>
      <w:r>
        <w:rPr>
          <w:rFonts w:hint="eastAsia" w:ascii="宋体" w:hAnsi="宋体" w:eastAsia="宋体" w:cs="宋体"/>
          <w:bCs/>
          <w:kern w:val="0"/>
          <w:szCs w:val="21"/>
        </w:rPr>
        <w:t>3.3综合单价中应包含采购文件中划分的应由供应商承担的风险范围及其费用。</w:t>
      </w:r>
    </w:p>
    <w:p w14:paraId="0B9B8D32">
      <w:pPr>
        <w:spacing w:line="312" w:lineRule="auto"/>
        <w:ind w:firstLine="420" w:firstLineChars="200"/>
        <w:jc w:val="left"/>
        <w:rPr>
          <w:rFonts w:hint="eastAsia" w:ascii="宋体" w:hAnsi="宋体" w:eastAsia="宋体" w:cs="宋体"/>
          <w:bCs/>
          <w:kern w:val="0"/>
          <w:szCs w:val="21"/>
        </w:rPr>
      </w:pPr>
      <w:r>
        <w:rPr>
          <w:rFonts w:hint="eastAsia" w:ascii="宋体" w:hAnsi="宋体" w:eastAsia="宋体" w:cs="宋体"/>
          <w:bCs/>
          <w:kern w:val="0"/>
          <w:szCs w:val="21"/>
        </w:rPr>
        <w:t>3.4分部分项工程项目和单价措施项目，应根据采购文件和工程量清单项目中的特征描述确定综合单价计算。如出现工程量清单特征描述与设计图纸不符时，供应商应以工程量清单的项目特征描述为准，确定响应报价的综合单价。</w:t>
      </w:r>
    </w:p>
    <w:p w14:paraId="76C8AC1C">
      <w:pPr>
        <w:spacing w:line="312" w:lineRule="auto"/>
        <w:ind w:firstLine="420" w:firstLineChars="200"/>
        <w:jc w:val="left"/>
        <w:rPr>
          <w:rFonts w:hint="eastAsia" w:ascii="宋体" w:hAnsi="宋体" w:eastAsia="宋体" w:cs="宋体"/>
          <w:bCs/>
          <w:kern w:val="0"/>
          <w:szCs w:val="21"/>
        </w:rPr>
      </w:pPr>
      <w:r>
        <w:rPr>
          <w:rFonts w:hint="eastAsia" w:ascii="宋体" w:hAnsi="宋体" w:eastAsia="宋体" w:cs="宋体"/>
          <w:bCs/>
          <w:kern w:val="0"/>
          <w:szCs w:val="21"/>
        </w:rPr>
        <w:t>3.5总价措施项目的金额应根据采购文件及拟定的施工组织设计或施工方案，按计价规范的规定自主确定。但安全文明施工费按国家、省级或行业建设主管部门的有关规定执行，作为不竞争费用单列。</w:t>
      </w:r>
    </w:p>
    <w:p w14:paraId="0E561551">
      <w:pPr>
        <w:spacing w:line="312" w:lineRule="auto"/>
        <w:ind w:firstLine="420" w:firstLineChars="200"/>
        <w:jc w:val="left"/>
        <w:rPr>
          <w:rFonts w:hint="eastAsia" w:ascii="宋体" w:hAnsi="宋体" w:eastAsia="宋体" w:cs="宋体"/>
          <w:bCs/>
          <w:kern w:val="0"/>
          <w:szCs w:val="21"/>
        </w:rPr>
      </w:pPr>
      <w:r>
        <w:rPr>
          <w:rFonts w:hint="eastAsia" w:ascii="宋体" w:hAnsi="宋体" w:eastAsia="宋体" w:cs="宋体"/>
          <w:bCs/>
          <w:kern w:val="0"/>
          <w:szCs w:val="21"/>
        </w:rPr>
        <w:t>3.6其他项目费应按下列规定报价：</w:t>
      </w:r>
    </w:p>
    <w:p w14:paraId="50A0735B">
      <w:pPr>
        <w:spacing w:line="312" w:lineRule="auto"/>
        <w:ind w:firstLine="420" w:firstLineChars="200"/>
        <w:jc w:val="left"/>
        <w:rPr>
          <w:rFonts w:hint="eastAsia" w:ascii="宋体" w:hAnsi="宋体" w:eastAsia="宋体" w:cs="宋体"/>
          <w:bCs/>
          <w:kern w:val="0"/>
          <w:szCs w:val="21"/>
        </w:rPr>
      </w:pPr>
      <w:r>
        <w:rPr>
          <w:rFonts w:hint="eastAsia" w:ascii="宋体" w:hAnsi="宋体" w:eastAsia="宋体" w:cs="宋体"/>
          <w:bCs/>
          <w:kern w:val="0"/>
          <w:szCs w:val="21"/>
        </w:rPr>
        <w:t>（1）暂列金额应按工程量清单中列出的金额填写；</w:t>
      </w:r>
    </w:p>
    <w:p w14:paraId="2E040706">
      <w:pPr>
        <w:spacing w:line="312" w:lineRule="auto"/>
        <w:ind w:firstLine="420" w:firstLineChars="200"/>
        <w:jc w:val="left"/>
        <w:rPr>
          <w:rFonts w:hint="eastAsia" w:ascii="宋体" w:hAnsi="宋体" w:eastAsia="宋体" w:cs="宋体"/>
          <w:bCs/>
          <w:kern w:val="0"/>
          <w:szCs w:val="21"/>
        </w:rPr>
      </w:pPr>
      <w:r>
        <w:rPr>
          <w:rFonts w:hint="eastAsia" w:ascii="宋体" w:hAnsi="宋体" w:eastAsia="宋体" w:cs="宋体"/>
          <w:bCs/>
          <w:kern w:val="0"/>
          <w:szCs w:val="21"/>
        </w:rPr>
        <w:t>（2）材料、工程设备暂估价应按工程量清单中列出的单价计入综合单价；</w:t>
      </w:r>
    </w:p>
    <w:p w14:paraId="29F52655">
      <w:pPr>
        <w:spacing w:line="312" w:lineRule="auto"/>
        <w:ind w:firstLine="420" w:firstLineChars="200"/>
        <w:jc w:val="left"/>
        <w:rPr>
          <w:rFonts w:hint="eastAsia" w:ascii="宋体" w:hAnsi="宋体" w:eastAsia="宋体" w:cs="宋体"/>
          <w:bCs/>
          <w:kern w:val="0"/>
          <w:szCs w:val="21"/>
        </w:rPr>
      </w:pPr>
      <w:r>
        <w:rPr>
          <w:rFonts w:hint="eastAsia" w:ascii="宋体" w:hAnsi="宋体" w:eastAsia="宋体" w:cs="宋体"/>
          <w:bCs/>
          <w:kern w:val="0"/>
          <w:szCs w:val="21"/>
        </w:rPr>
        <w:t>（3）专业工程暂估价应按工程量清单中列出的金额填写；</w:t>
      </w:r>
    </w:p>
    <w:p w14:paraId="4A506B17">
      <w:pPr>
        <w:spacing w:line="312" w:lineRule="auto"/>
        <w:ind w:firstLine="420" w:firstLineChars="200"/>
        <w:jc w:val="left"/>
        <w:rPr>
          <w:rFonts w:hint="eastAsia" w:ascii="宋体" w:hAnsi="宋体" w:eastAsia="宋体" w:cs="宋体"/>
          <w:bCs/>
          <w:kern w:val="0"/>
          <w:szCs w:val="21"/>
        </w:rPr>
      </w:pPr>
      <w:r>
        <w:rPr>
          <w:rFonts w:hint="eastAsia" w:ascii="宋体" w:hAnsi="宋体" w:eastAsia="宋体" w:cs="宋体"/>
          <w:bCs/>
          <w:kern w:val="0"/>
          <w:szCs w:val="21"/>
        </w:rPr>
        <w:t>（4）计日工应按工程量清单中列出的项目和估算数量，自主确定综合单价并计算计日工总额；计日工单价均不含规费和税金；</w:t>
      </w:r>
    </w:p>
    <w:p w14:paraId="5A2AC342">
      <w:pPr>
        <w:spacing w:line="360" w:lineRule="auto"/>
        <w:ind w:firstLine="420" w:firstLineChars="200"/>
        <w:rPr>
          <w:rFonts w:hint="eastAsia" w:ascii="宋体" w:hAnsi="宋体" w:eastAsia="宋体" w:cs="宋体"/>
          <w:bCs/>
          <w:kern w:val="0"/>
          <w:szCs w:val="21"/>
        </w:rPr>
      </w:pPr>
      <w:r>
        <w:rPr>
          <w:rFonts w:hint="eastAsia" w:ascii="宋体" w:hAnsi="宋体" w:eastAsia="宋体" w:cs="宋体"/>
          <w:bCs/>
          <w:kern w:val="0"/>
          <w:szCs w:val="21"/>
        </w:rPr>
        <w:t>（5）总承包服务费应根据工程量清单中列出的内容和供应材料、设备情况，按照采购人提出的协调、配合与服务要求和施工现场管理需要自主确定。</w:t>
      </w:r>
    </w:p>
    <w:p w14:paraId="48C7DC29">
      <w:pPr>
        <w:spacing w:line="360" w:lineRule="auto"/>
        <w:ind w:firstLine="420" w:firstLineChars="200"/>
        <w:rPr>
          <w:rFonts w:hint="eastAsia" w:ascii="宋体" w:hAnsi="宋体" w:eastAsia="宋体" w:cs="宋体"/>
        </w:rPr>
      </w:pPr>
      <w:r>
        <w:rPr>
          <w:rFonts w:hint="eastAsia" w:ascii="宋体" w:hAnsi="宋体" w:eastAsia="宋体" w:cs="宋体"/>
        </w:rPr>
        <w:t>（6）对建设单位创建优质工程的，鼓励在控制价和预算中按我区工程建设定额规定计列工程优质费，并明确工程优质费不可竞争。</w:t>
      </w:r>
    </w:p>
    <w:p w14:paraId="68320AED">
      <w:pPr>
        <w:spacing w:line="312" w:lineRule="auto"/>
        <w:ind w:firstLine="420" w:firstLineChars="200"/>
        <w:jc w:val="left"/>
        <w:rPr>
          <w:rFonts w:hint="eastAsia" w:ascii="宋体" w:hAnsi="宋体" w:eastAsia="宋体" w:cs="宋体"/>
          <w:bCs/>
          <w:kern w:val="0"/>
          <w:szCs w:val="21"/>
        </w:rPr>
      </w:pPr>
      <w:r>
        <w:rPr>
          <w:rFonts w:hint="eastAsia" w:ascii="宋体" w:hAnsi="宋体" w:eastAsia="宋体" w:cs="宋体"/>
          <w:bCs/>
          <w:kern w:val="0"/>
          <w:szCs w:val="21"/>
        </w:rPr>
        <w:t>3.7规费和增值税应按规定确定，作为不可竞争费用。</w:t>
      </w:r>
    </w:p>
    <w:p w14:paraId="10300C37">
      <w:pPr>
        <w:spacing w:line="312" w:lineRule="auto"/>
        <w:ind w:firstLine="420" w:firstLineChars="200"/>
        <w:jc w:val="left"/>
        <w:rPr>
          <w:rFonts w:hint="eastAsia" w:ascii="宋体" w:hAnsi="宋体" w:eastAsia="宋体" w:cs="宋体"/>
          <w:bCs/>
          <w:kern w:val="0"/>
          <w:szCs w:val="21"/>
        </w:rPr>
      </w:pPr>
      <w:r>
        <w:rPr>
          <w:rFonts w:hint="eastAsia" w:ascii="宋体" w:hAnsi="宋体" w:eastAsia="宋体" w:cs="宋体"/>
          <w:bCs/>
          <w:kern w:val="0"/>
          <w:szCs w:val="21"/>
        </w:rPr>
        <w:t>3.8工程量清单与计价表中列明的所有需要填写的单价和合价的项目，供应商均应填写且只允许有一个报价。未填写单价和合价的项目，视为此项费用已包含在已标价工程量清单中其他项目的单价和合价之中。竣工结算时，此项目不得重新组价予以调整。</w:t>
      </w:r>
    </w:p>
    <w:p w14:paraId="37091004">
      <w:pPr>
        <w:spacing w:line="312" w:lineRule="auto"/>
        <w:ind w:firstLine="420" w:firstLineChars="200"/>
        <w:jc w:val="left"/>
        <w:rPr>
          <w:rFonts w:hint="eastAsia" w:ascii="宋体" w:hAnsi="宋体" w:eastAsia="宋体" w:cs="宋体"/>
          <w:bCs/>
          <w:kern w:val="0"/>
          <w:szCs w:val="21"/>
        </w:rPr>
      </w:pPr>
      <w:r>
        <w:rPr>
          <w:rFonts w:hint="eastAsia" w:ascii="宋体" w:hAnsi="宋体" w:eastAsia="宋体" w:cs="宋体"/>
          <w:bCs/>
          <w:kern w:val="0"/>
          <w:szCs w:val="21"/>
        </w:rPr>
        <w:t>3.9响应总价应当与分部分项工程费、措施项目费、其他项目费和规费、增值税的合计金额一致。</w:t>
      </w:r>
    </w:p>
    <w:p w14:paraId="0195C5C3">
      <w:pPr>
        <w:spacing w:line="312" w:lineRule="auto"/>
        <w:ind w:firstLine="420" w:firstLineChars="200"/>
        <w:jc w:val="left"/>
        <w:rPr>
          <w:rFonts w:hint="eastAsia" w:ascii="宋体" w:hAnsi="宋体" w:eastAsia="宋体" w:cs="宋体"/>
          <w:bCs/>
          <w:kern w:val="0"/>
          <w:szCs w:val="21"/>
        </w:rPr>
      </w:pPr>
      <w:r>
        <w:rPr>
          <w:rFonts w:hint="eastAsia" w:ascii="宋体" w:hAnsi="宋体" w:eastAsia="宋体" w:cs="宋体"/>
          <w:bCs/>
          <w:kern w:val="0"/>
          <w:szCs w:val="21"/>
        </w:rPr>
        <w:t>3.10供应商应按《</w:t>
      </w:r>
      <w:r>
        <w:rPr>
          <w:rFonts w:hint="eastAsia" w:ascii="宋体" w:hAnsi="宋体" w:eastAsia="宋体" w:cs="宋体"/>
        </w:rPr>
        <w:t>允许调整主要材料和工程设备一览表</w:t>
      </w:r>
      <w:r>
        <w:rPr>
          <w:rFonts w:hint="eastAsia" w:ascii="宋体" w:hAnsi="宋体" w:eastAsia="宋体" w:cs="宋体"/>
          <w:bCs/>
          <w:kern w:val="0"/>
          <w:szCs w:val="21"/>
        </w:rPr>
        <w:t>》的内容填报，不得擅自调整材料和设备名称型号规格、单位、风险系数、基准单价。</w:t>
      </w:r>
    </w:p>
    <w:p w14:paraId="46BB20AA">
      <w:pPr>
        <w:spacing w:line="312" w:lineRule="auto"/>
        <w:ind w:firstLine="420" w:firstLineChars="200"/>
        <w:jc w:val="left"/>
        <w:rPr>
          <w:rFonts w:hint="eastAsia" w:ascii="宋体" w:hAnsi="宋体" w:eastAsia="宋体" w:cs="宋体"/>
          <w:bCs/>
          <w:kern w:val="0"/>
          <w:szCs w:val="21"/>
        </w:rPr>
      </w:pPr>
      <w:r>
        <w:rPr>
          <w:rFonts w:hint="eastAsia" w:ascii="宋体" w:hAnsi="宋体" w:eastAsia="宋体" w:cs="宋体"/>
          <w:bCs/>
          <w:kern w:val="0"/>
          <w:szCs w:val="21"/>
        </w:rPr>
        <w:t>3.11响应报价表格按本工程工程量清单表格要求填写，并应按采购文件的要求，附上《工程量清单综合单价分析表》和《主要清单项目工料机分析表》。</w:t>
      </w:r>
    </w:p>
    <w:p w14:paraId="1FCC3844">
      <w:pPr>
        <w:spacing w:line="312" w:lineRule="auto"/>
        <w:ind w:firstLine="420" w:firstLineChars="200"/>
        <w:jc w:val="left"/>
        <w:rPr>
          <w:rFonts w:hint="eastAsia" w:ascii="宋体" w:hAnsi="宋体" w:eastAsia="宋体" w:cs="宋体"/>
          <w:bCs/>
          <w:kern w:val="0"/>
          <w:szCs w:val="21"/>
        </w:rPr>
      </w:pPr>
      <w:r>
        <w:rPr>
          <w:rFonts w:hint="eastAsia" w:ascii="宋体" w:hAnsi="宋体" w:eastAsia="宋体" w:cs="宋体"/>
          <w:bCs/>
          <w:kern w:val="0"/>
          <w:szCs w:val="21"/>
        </w:rPr>
        <w:t>未尽事宜详见本工程工程量清单、预算金额编制说明以及现行《计价规范》等有关规定执行。</w:t>
      </w:r>
    </w:p>
    <w:p w14:paraId="540098F9">
      <w:pPr>
        <w:spacing w:line="312" w:lineRule="auto"/>
        <w:ind w:firstLine="562" w:firstLineChars="200"/>
        <w:jc w:val="left"/>
        <w:outlineLvl w:val="1"/>
        <w:rPr>
          <w:rFonts w:hint="eastAsia" w:ascii="宋体" w:hAnsi="宋体" w:eastAsia="宋体" w:cs="宋体"/>
          <w:b/>
          <w:kern w:val="0"/>
          <w:sz w:val="28"/>
          <w:szCs w:val="28"/>
        </w:rPr>
      </w:pPr>
      <w:r>
        <w:rPr>
          <w:rFonts w:hint="eastAsia" w:ascii="宋体" w:hAnsi="宋体" w:eastAsia="宋体" w:cs="宋体"/>
          <w:b/>
          <w:kern w:val="0"/>
          <w:sz w:val="28"/>
          <w:szCs w:val="28"/>
        </w:rPr>
        <w:t>三、图纸</w:t>
      </w:r>
    </w:p>
    <w:p w14:paraId="2FFDA901">
      <w:pPr>
        <w:spacing w:line="312" w:lineRule="auto"/>
        <w:ind w:firstLine="420" w:firstLineChars="200"/>
        <w:jc w:val="left"/>
        <w:rPr>
          <w:rFonts w:hint="eastAsia" w:ascii="宋体" w:hAnsi="宋体" w:eastAsia="宋体" w:cs="宋体"/>
          <w:bCs/>
          <w:kern w:val="0"/>
          <w:szCs w:val="21"/>
        </w:rPr>
      </w:pPr>
      <w:r>
        <w:rPr>
          <w:rFonts w:hint="eastAsia" w:ascii="宋体" w:hAnsi="宋体" w:eastAsia="宋体" w:cs="宋体"/>
          <w:bCs/>
          <w:kern w:val="0"/>
          <w:szCs w:val="21"/>
        </w:rPr>
        <w:t>图纸详见本采购文件附件。</w:t>
      </w:r>
    </w:p>
    <w:p w14:paraId="3CAACC12">
      <w:pPr>
        <w:spacing w:line="312" w:lineRule="auto"/>
        <w:ind w:firstLine="562" w:firstLineChars="200"/>
        <w:jc w:val="left"/>
        <w:outlineLvl w:val="1"/>
        <w:rPr>
          <w:rFonts w:hint="eastAsia" w:ascii="宋体" w:hAnsi="宋体" w:eastAsia="宋体" w:cs="宋体"/>
          <w:b/>
          <w:kern w:val="0"/>
          <w:sz w:val="28"/>
          <w:szCs w:val="28"/>
          <w:highlight w:val="none"/>
        </w:rPr>
      </w:pPr>
    </w:p>
    <w:bookmarkEnd w:id="22"/>
    <w:p w14:paraId="06761003">
      <w:pPr>
        <w:pStyle w:val="11"/>
        <w:snapToGrid w:val="0"/>
        <w:spacing w:before="120" w:after="120" w:line="320" w:lineRule="exact"/>
        <w:jc w:val="center"/>
        <w:outlineLvl w:val="0"/>
        <w:rPr>
          <w:rFonts w:hint="eastAsia" w:ascii="宋体" w:hAnsi="宋体" w:eastAsia="宋体" w:cs="宋体"/>
          <w:b/>
          <w:bCs/>
          <w:sz w:val="32"/>
          <w:szCs w:val="32"/>
        </w:rPr>
        <w:sectPr>
          <w:pgSz w:w="11906" w:h="16838"/>
          <w:pgMar w:top="1417" w:right="1417" w:bottom="1417" w:left="1418" w:header="851" w:footer="992" w:gutter="0"/>
          <w:cols w:space="720" w:num="1"/>
          <w:titlePg/>
          <w:docGrid w:linePitch="312" w:charSpace="0"/>
        </w:sectPr>
      </w:pPr>
    </w:p>
    <w:p w14:paraId="1E4535A7">
      <w:pPr>
        <w:pStyle w:val="11"/>
        <w:keepNext w:val="0"/>
        <w:keepLines w:val="0"/>
        <w:pageBreakBefore w:val="0"/>
        <w:widowControl w:val="0"/>
        <w:kinsoku/>
        <w:wordWrap/>
        <w:overflowPunct/>
        <w:topLinePunct w:val="0"/>
        <w:autoSpaceDE/>
        <w:autoSpaceDN/>
        <w:bidi w:val="0"/>
        <w:adjustRightInd/>
        <w:snapToGrid w:val="0"/>
        <w:spacing w:before="120" w:after="120" w:line="400" w:lineRule="exact"/>
        <w:jc w:val="center"/>
        <w:textAlignment w:val="auto"/>
        <w:outlineLvl w:val="0"/>
        <w:rPr>
          <w:rFonts w:hint="eastAsia" w:ascii="宋体" w:hAnsi="宋体" w:eastAsia="宋体" w:cs="宋体"/>
          <w:b/>
          <w:bCs/>
          <w:sz w:val="32"/>
          <w:szCs w:val="32"/>
        </w:rPr>
      </w:pPr>
      <w:bookmarkStart w:id="26" w:name="_Toc4824"/>
      <w:r>
        <w:rPr>
          <w:rFonts w:hint="eastAsia" w:ascii="宋体" w:hAnsi="宋体" w:eastAsia="宋体" w:cs="宋体"/>
          <w:b/>
          <w:bCs/>
          <w:sz w:val="32"/>
          <w:szCs w:val="32"/>
        </w:rPr>
        <w:t>第</w:t>
      </w:r>
      <w:r>
        <w:rPr>
          <w:rFonts w:hint="eastAsia" w:hAnsi="宋体" w:cs="宋体"/>
          <w:b/>
          <w:bCs/>
          <w:sz w:val="32"/>
          <w:szCs w:val="32"/>
          <w:highlight w:val="none"/>
          <w:lang w:val="en-US" w:eastAsia="zh-CN"/>
        </w:rPr>
        <w:t>四</w:t>
      </w:r>
      <w:r>
        <w:rPr>
          <w:rFonts w:hint="eastAsia" w:ascii="宋体" w:hAnsi="宋体" w:eastAsia="宋体" w:cs="宋体"/>
          <w:b/>
          <w:bCs/>
          <w:sz w:val="32"/>
          <w:szCs w:val="32"/>
          <w:highlight w:val="none"/>
        </w:rPr>
        <w:t xml:space="preserve">章 </w:t>
      </w:r>
      <w:r>
        <w:rPr>
          <w:rFonts w:hint="eastAsia" w:ascii="宋体" w:hAnsi="宋体" w:eastAsia="宋体" w:cs="宋体"/>
          <w:b/>
          <w:bCs/>
          <w:sz w:val="32"/>
          <w:szCs w:val="32"/>
        </w:rPr>
        <w:t xml:space="preserve"> 供应商须知</w:t>
      </w:r>
      <w:bookmarkEnd w:id="26"/>
      <w:bookmarkStart w:id="27" w:name="_投标人须知前附表"/>
      <w:bookmarkEnd w:id="27"/>
    </w:p>
    <w:p w14:paraId="5C333D5A">
      <w:pPr>
        <w:pStyle w:val="11"/>
        <w:snapToGrid w:val="0"/>
        <w:spacing w:before="120" w:after="120" w:line="320" w:lineRule="exact"/>
        <w:jc w:val="center"/>
        <w:outlineLvl w:val="1"/>
        <w:rPr>
          <w:rFonts w:hint="eastAsia" w:ascii="宋体" w:hAnsi="宋体" w:eastAsia="宋体" w:cs="宋体"/>
          <w:b/>
          <w:bCs/>
          <w:sz w:val="24"/>
          <w:szCs w:val="24"/>
        </w:rPr>
      </w:pPr>
      <w:bookmarkStart w:id="28" w:name="_Hlk89187839"/>
      <w:r>
        <w:rPr>
          <w:rFonts w:hint="eastAsia" w:ascii="宋体" w:hAnsi="宋体" w:eastAsia="宋体" w:cs="宋体"/>
          <w:b/>
          <w:bCs/>
          <w:sz w:val="24"/>
          <w:szCs w:val="24"/>
        </w:rPr>
        <w:t>供应商须知前附表</w:t>
      </w:r>
    </w:p>
    <w:bookmarkEnd w:id="28"/>
    <w:tbl>
      <w:tblPr>
        <w:tblStyle w:val="15"/>
        <w:tblW w:w="9179"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304"/>
        <w:gridCol w:w="1157"/>
        <w:gridCol w:w="6718"/>
      </w:tblGrid>
      <w:tr w14:paraId="48A2D9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1304" w:type="dxa"/>
            <w:tcBorders>
              <w:top w:val="single" w:color="auto" w:sz="4" w:space="0"/>
              <w:left w:val="single" w:color="auto" w:sz="4" w:space="0"/>
              <w:bottom w:val="single" w:color="auto" w:sz="4" w:space="0"/>
              <w:right w:val="single" w:color="auto" w:sz="4" w:space="0"/>
            </w:tcBorders>
            <w:noWrap w:val="0"/>
            <w:vAlign w:val="center"/>
          </w:tcPr>
          <w:p w14:paraId="266E3C94">
            <w:pPr>
              <w:jc w:val="center"/>
              <w:rPr>
                <w:rFonts w:hint="eastAsia" w:ascii="宋体" w:hAnsi="宋体" w:eastAsia="宋体" w:cs="宋体"/>
                <w:b/>
                <w:szCs w:val="21"/>
              </w:rPr>
            </w:pPr>
            <w:r>
              <w:rPr>
                <w:rFonts w:hint="eastAsia" w:ascii="宋体" w:hAnsi="宋体" w:eastAsia="宋体" w:cs="宋体"/>
                <w:b/>
                <w:szCs w:val="21"/>
              </w:rPr>
              <w:t>条款号</w:t>
            </w:r>
          </w:p>
        </w:tc>
        <w:tc>
          <w:tcPr>
            <w:tcW w:w="1157" w:type="dxa"/>
            <w:tcBorders>
              <w:top w:val="single" w:color="auto" w:sz="4" w:space="0"/>
              <w:left w:val="single" w:color="auto" w:sz="4" w:space="0"/>
              <w:bottom w:val="single" w:color="auto" w:sz="4" w:space="0"/>
              <w:right w:val="single" w:color="auto" w:sz="4" w:space="0"/>
            </w:tcBorders>
            <w:noWrap w:val="0"/>
            <w:vAlign w:val="center"/>
          </w:tcPr>
          <w:p w14:paraId="00CB927C">
            <w:pPr>
              <w:jc w:val="center"/>
              <w:rPr>
                <w:rFonts w:hint="eastAsia" w:ascii="宋体" w:hAnsi="宋体" w:eastAsia="宋体" w:cs="宋体"/>
                <w:b/>
                <w:szCs w:val="21"/>
              </w:rPr>
            </w:pPr>
            <w:r>
              <w:rPr>
                <w:rFonts w:hint="eastAsia" w:ascii="宋体" w:hAnsi="宋体" w:eastAsia="宋体" w:cs="宋体"/>
                <w:b/>
                <w:szCs w:val="21"/>
              </w:rPr>
              <w:t>要点</w:t>
            </w:r>
          </w:p>
        </w:tc>
        <w:tc>
          <w:tcPr>
            <w:tcW w:w="6718" w:type="dxa"/>
            <w:tcBorders>
              <w:top w:val="single" w:color="auto" w:sz="4" w:space="0"/>
              <w:left w:val="single" w:color="auto" w:sz="4" w:space="0"/>
              <w:bottom w:val="single" w:color="auto" w:sz="4" w:space="0"/>
              <w:right w:val="single" w:color="auto" w:sz="4" w:space="0"/>
            </w:tcBorders>
            <w:noWrap w:val="0"/>
            <w:vAlign w:val="center"/>
          </w:tcPr>
          <w:p w14:paraId="0A9846F0">
            <w:pPr>
              <w:jc w:val="center"/>
              <w:rPr>
                <w:rFonts w:hint="eastAsia" w:ascii="宋体" w:hAnsi="宋体" w:eastAsia="宋体" w:cs="宋体"/>
                <w:b/>
                <w:szCs w:val="21"/>
              </w:rPr>
            </w:pPr>
            <w:r>
              <w:rPr>
                <w:rFonts w:hint="eastAsia" w:ascii="宋体" w:hAnsi="宋体" w:eastAsia="宋体" w:cs="宋体"/>
                <w:b/>
                <w:szCs w:val="21"/>
              </w:rPr>
              <w:t>内容、要求</w:t>
            </w:r>
          </w:p>
        </w:tc>
      </w:tr>
      <w:tr w14:paraId="11915B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04" w:type="dxa"/>
            <w:tcBorders>
              <w:top w:val="single" w:color="auto" w:sz="4" w:space="0"/>
              <w:left w:val="single" w:color="auto" w:sz="4" w:space="0"/>
              <w:bottom w:val="single" w:color="auto" w:sz="4" w:space="0"/>
              <w:right w:val="single" w:color="auto" w:sz="4" w:space="0"/>
            </w:tcBorders>
            <w:noWrap w:val="0"/>
            <w:vAlign w:val="center"/>
          </w:tcPr>
          <w:p w14:paraId="1164DED6">
            <w:pPr>
              <w:spacing w:line="300" w:lineRule="exact"/>
              <w:jc w:val="center"/>
              <w:rPr>
                <w:rFonts w:hint="eastAsia" w:ascii="宋体" w:hAnsi="宋体" w:eastAsia="宋体" w:cs="宋体"/>
                <w:szCs w:val="21"/>
              </w:rPr>
            </w:pPr>
            <w:r>
              <w:rPr>
                <w:rFonts w:hint="eastAsia" w:ascii="宋体" w:hAnsi="宋体" w:eastAsia="宋体" w:cs="宋体"/>
                <w:b/>
                <w:szCs w:val="21"/>
              </w:rPr>
              <w:t>1.3.1</w:t>
            </w:r>
          </w:p>
        </w:tc>
        <w:tc>
          <w:tcPr>
            <w:tcW w:w="1157" w:type="dxa"/>
            <w:tcBorders>
              <w:top w:val="single" w:color="auto" w:sz="4" w:space="0"/>
              <w:left w:val="single" w:color="auto" w:sz="4" w:space="0"/>
              <w:bottom w:val="single" w:color="auto" w:sz="4" w:space="0"/>
              <w:right w:val="single" w:color="auto" w:sz="4" w:space="0"/>
            </w:tcBorders>
            <w:noWrap w:val="0"/>
            <w:vAlign w:val="center"/>
          </w:tcPr>
          <w:p w14:paraId="17786246">
            <w:pPr>
              <w:spacing w:line="300" w:lineRule="exact"/>
              <w:jc w:val="center"/>
              <w:rPr>
                <w:rFonts w:hint="eastAsia" w:ascii="宋体" w:hAnsi="宋体" w:eastAsia="宋体" w:cs="宋体"/>
                <w:szCs w:val="21"/>
              </w:rPr>
            </w:pPr>
            <w:r>
              <w:rPr>
                <w:rFonts w:hint="eastAsia" w:ascii="宋体" w:hAnsi="宋体" w:eastAsia="宋体" w:cs="宋体"/>
                <w:szCs w:val="21"/>
              </w:rPr>
              <w:t>项目基本信息</w:t>
            </w:r>
          </w:p>
        </w:tc>
        <w:tc>
          <w:tcPr>
            <w:tcW w:w="6718" w:type="dxa"/>
            <w:tcBorders>
              <w:top w:val="single" w:color="auto" w:sz="4" w:space="0"/>
              <w:left w:val="single" w:color="auto" w:sz="4" w:space="0"/>
              <w:bottom w:val="single" w:color="auto" w:sz="4" w:space="0"/>
              <w:right w:val="single" w:color="auto" w:sz="4" w:space="0"/>
            </w:tcBorders>
            <w:noWrap w:val="0"/>
            <w:vAlign w:val="center"/>
          </w:tcPr>
          <w:p w14:paraId="4A90204B">
            <w:pPr>
              <w:spacing w:line="300" w:lineRule="exact"/>
              <w:jc w:val="left"/>
              <w:rPr>
                <w:rFonts w:hint="eastAsia" w:ascii="宋体" w:hAnsi="宋体" w:eastAsia="宋体" w:cs="宋体"/>
                <w:szCs w:val="21"/>
                <w:lang w:val="en-US" w:eastAsia="zh-CN"/>
              </w:rPr>
            </w:pPr>
            <w:r>
              <w:rPr>
                <w:rFonts w:hint="eastAsia" w:ascii="宋体" w:hAnsi="宋体" w:eastAsia="宋体" w:cs="宋体"/>
                <w:szCs w:val="21"/>
              </w:rPr>
              <w:t>项目名称：</w:t>
            </w:r>
            <w:r>
              <w:rPr>
                <w:rFonts w:hint="eastAsia" w:ascii="宋体" w:hAnsi="宋体" w:eastAsia="宋体" w:cs="宋体"/>
                <w:kern w:val="0"/>
                <w:szCs w:val="21"/>
              </w:rPr>
              <w:t>柳州市人民医院眼科手术室装修改造工</w:t>
            </w:r>
            <w:r>
              <w:rPr>
                <w:rFonts w:hint="eastAsia" w:ascii="宋体" w:hAnsi="宋体" w:cs="宋体"/>
                <w:kern w:val="0"/>
                <w:szCs w:val="21"/>
                <w:lang w:val="en-US" w:eastAsia="zh-CN"/>
              </w:rPr>
              <w:t>程</w:t>
            </w:r>
          </w:p>
          <w:p w14:paraId="7B628723">
            <w:pPr>
              <w:spacing w:line="300" w:lineRule="exact"/>
              <w:jc w:val="left"/>
              <w:rPr>
                <w:rFonts w:hint="eastAsia" w:ascii="宋体" w:hAnsi="宋体" w:eastAsia="宋体" w:cs="宋体"/>
                <w:color w:val="auto"/>
                <w:szCs w:val="21"/>
                <w:lang w:eastAsia="zh-CN"/>
              </w:rPr>
            </w:pPr>
            <w:r>
              <w:rPr>
                <w:rFonts w:hint="eastAsia" w:ascii="宋体" w:hAnsi="宋体" w:eastAsia="宋体" w:cs="宋体"/>
                <w:szCs w:val="21"/>
              </w:rPr>
              <w:t>项目编号：</w:t>
            </w:r>
            <w:r>
              <w:rPr>
                <w:rFonts w:hint="eastAsia" w:ascii="宋体" w:hAnsi="宋体" w:cs="宋体"/>
                <w:color w:val="auto"/>
                <w:szCs w:val="21"/>
                <w:lang w:eastAsia="zh-CN"/>
              </w:rPr>
              <w:t>LZZC2026-C2-990422-JDZB</w:t>
            </w:r>
          </w:p>
          <w:p w14:paraId="7452A062">
            <w:pPr>
              <w:spacing w:line="300" w:lineRule="exact"/>
              <w:jc w:val="left"/>
              <w:rPr>
                <w:rFonts w:hint="default" w:ascii="宋体" w:hAnsi="宋体" w:eastAsia="宋体" w:cs="宋体"/>
                <w:szCs w:val="21"/>
                <w:lang w:val="en-US" w:eastAsia="zh-CN"/>
              </w:rPr>
            </w:pPr>
            <w:r>
              <w:rPr>
                <w:rFonts w:hint="eastAsia" w:ascii="宋体" w:hAnsi="宋体" w:eastAsia="宋体" w:cs="宋体"/>
                <w:szCs w:val="21"/>
              </w:rPr>
              <w:t>采购计划号：LZZC2026-C2-01725</w:t>
            </w:r>
            <w:r>
              <w:rPr>
                <w:rFonts w:hint="eastAsia" w:ascii="宋体" w:hAnsi="宋体" w:eastAsia="宋体" w:cs="宋体"/>
                <w:szCs w:val="21"/>
                <w:lang w:val="en-US" w:eastAsia="zh-CN"/>
              </w:rPr>
              <w:t xml:space="preserve"> </w:t>
            </w:r>
          </w:p>
        </w:tc>
      </w:tr>
      <w:tr w14:paraId="1D7BCB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04" w:type="dxa"/>
            <w:tcBorders>
              <w:top w:val="single" w:color="auto" w:sz="4" w:space="0"/>
              <w:left w:val="single" w:color="auto" w:sz="4" w:space="0"/>
              <w:bottom w:val="single" w:color="auto" w:sz="4" w:space="0"/>
              <w:right w:val="single" w:color="auto" w:sz="4" w:space="0"/>
            </w:tcBorders>
            <w:noWrap w:val="0"/>
            <w:vAlign w:val="center"/>
          </w:tcPr>
          <w:p w14:paraId="296A55F8">
            <w:pPr>
              <w:spacing w:line="300" w:lineRule="exact"/>
              <w:jc w:val="center"/>
              <w:rPr>
                <w:rFonts w:hint="eastAsia" w:ascii="宋体" w:hAnsi="宋体" w:eastAsia="宋体" w:cs="宋体"/>
                <w:szCs w:val="21"/>
              </w:rPr>
            </w:pPr>
            <w:r>
              <w:rPr>
                <w:rFonts w:hint="eastAsia" w:ascii="宋体" w:hAnsi="宋体" w:eastAsia="宋体" w:cs="宋体"/>
                <w:b/>
                <w:szCs w:val="21"/>
              </w:rPr>
              <w:t>1.3.1</w:t>
            </w:r>
          </w:p>
        </w:tc>
        <w:tc>
          <w:tcPr>
            <w:tcW w:w="1157" w:type="dxa"/>
            <w:tcBorders>
              <w:top w:val="single" w:color="auto" w:sz="4" w:space="0"/>
              <w:left w:val="single" w:color="auto" w:sz="4" w:space="0"/>
              <w:bottom w:val="single" w:color="auto" w:sz="4" w:space="0"/>
              <w:right w:val="single" w:color="auto" w:sz="4" w:space="0"/>
            </w:tcBorders>
            <w:noWrap w:val="0"/>
            <w:vAlign w:val="center"/>
          </w:tcPr>
          <w:p w14:paraId="7B6BCCEC">
            <w:pPr>
              <w:spacing w:line="300" w:lineRule="exact"/>
              <w:jc w:val="center"/>
              <w:rPr>
                <w:rFonts w:hint="eastAsia" w:ascii="宋体" w:hAnsi="宋体" w:eastAsia="宋体" w:cs="宋体"/>
                <w:szCs w:val="21"/>
              </w:rPr>
            </w:pPr>
            <w:r>
              <w:rPr>
                <w:rFonts w:hint="eastAsia" w:ascii="宋体" w:hAnsi="宋体" w:eastAsia="宋体" w:cs="宋体"/>
                <w:szCs w:val="21"/>
              </w:rPr>
              <w:t>建设地点、建设范围、工期及质量要求</w:t>
            </w:r>
          </w:p>
        </w:tc>
        <w:tc>
          <w:tcPr>
            <w:tcW w:w="6718" w:type="dxa"/>
            <w:tcBorders>
              <w:top w:val="single" w:color="auto" w:sz="4" w:space="0"/>
              <w:left w:val="single" w:color="auto" w:sz="4" w:space="0"/>
              <w:bottom w:val="single" w:color="auto" w:sz="4" w:space="0"/>
              <w:right w:val="single" w:color="auto" w:sz="4" w:space="0"/>
            </w:tcBorders>
            <w:noWrap w:val="0"/>
            <w:vAlign w:val="center"/>
          </w:tcPr>
          <w:p w14:paraId="7598A4B3">
            <w:pPr>
              <w:spacing w:line="300" w:lineRule="exact"/>
              <w:jc w:val="left"/>
              <w:rPr>
                <w:rFonts w:hint="eastAsia" w:ascii="宋体" w:hAnsi="宋体" w:eastAsia="宋体" w:cs="宋体"/>
                <w:color w:val="auto"/>
                <w:szCs w:val="21"/>
              </w:rPr>
            </w:pPr>
            <w:r>
              <w:rPr>
                <w:rFonts w:hint="eastAsia" w:ascii="宋体" w:hAnsi="宋体" w:eastAsia="宋体" w:cs="宋体"/>
                <w:color w:val="auto"/>
                <w:szCs w:val="21"/>
              </w:rPr>
              <w:t>建设地点： 柳州市采购人院内指定地点</w:t>
            </w:r>
          </w:p>
          <w:p w14:paraId="35433D05">
            <w:pPr>
              <w:spacing w:line="300" w:lineRule="exact"/>
              <w:jc w:val="left"/>
              <w:rPr>
                <w:rFonts w:hint="eastAsia" w:ascii="宋体" w:hAnsi="宋体" w:eastAsia="宋体" w:cs="宋体"/>
                <w:color w:val="auto"/>
                <w:szCs w:val="21"/>
                <w:lang w:val="en-US" w:eastAsia="zh-CN"/>
              </w:rPr>
            </w:pPr>
            <w:r>
              <w:rPr>
                <w:rFonts w:hint="eastAsia" w:ascii="宋体" w:hAnsi="宋体" w:eastAsia="宋体" w:cs="宋体"/>
                <w:color w:val="auto"/>
                <w:szCs w:val="21"/>
              </w:rPr>
              <w:t>建设范围：</w:t>
            </w:r>
            <w:r>
              <w:rPr>
                <w:rFonts w:hint="eastAsia" w:ascii="宋体" w:hAnsi="宋体" w:eastAsia="宋体" w:cs="宋体"/>
                <w:color w:val="auto"/>
                <w:kern w:val="0"/>
                <w:szCs w:val="21"/>
                <w:lang w:val="en-US" w:eastAsia="zh-CN"/>
              </w:rPr>
              <w:t>详见施工图纸及工程量清单</w:t>
            </w:r>
          </w:p>
          <w:p w14:paraId="06104FAD">
            <w:pPr>
              <w:spacing w:line="300" w:lineRule="exact"/>
              <w:jc w:val="left"/>
              <w:rPr>
                <w:rFonts w:hint="eastAsia" w:ascii="宋体" w:hAnsi="宋体" w:eastAsia="宋体" w:cs="宋体"/>
                <w:color w:val="auto"/>
                <w:szCs w:val="21"/>
              </w:rPr>
            </w:pPr>
            <w:r>
              <w:rPr>
                <w:rFonts w:hint="eastAsia" w:ascii="宋体" w:hAnsi="宋体" w:eastAsia="宋体" w:cs="宋体"/>
                <w:color w:val="auto"/>
                <w:szCs w:val="21"/>
              </w:rPr>
              <w:t>工期要求：</w:t>
            </w:r>
            <w:r>
              <w:rPr>
                <w:rFonts w:hint="eastAsia" w:ascii="宋体" w:hAnsi="宋体" w:eastAsia="宋体" w:cs="宋体"/>
                <w:color w:val="auto"/>
                <w:szCs w:val="21"/>
                <w:lang w:val="en-US" w:eastAsia="zh-CN"/>
              </w:rPr>
              <w:t>100</w:t>
            </w:r>
            <w:r>
              <w:rPr>
                <w:rFonts w:hint="eastAsia" w:ascii="宋体" w:hAnsi="宋体" w:cs="宋体"/>
                <w:color w:val="auto"/>
                <w:szCs w:val="21"/>
                <w:lang w:val="en-US" w:eastAsia="zh-CN"/>
              </w:rPr>
              <w:t>日历</w:t>
            </w:r>
            <w:r>
              <w:rPr>
                <w:rFonts w:hint="eastAsia" w:ascii="宋体" w:hAnsi="宋体" w:eastAsia="宋体" w:cs="宋体"/>
                <w:color w:val="auto"/>
                <w:szCs w:val="21"/>
              </w:rPr>
              <w:t>天</w:t>
            </w:r>
          </w:p>
          <w:p w14:paraId="7DC0ACBD">
            <w:pPr>
              <w:spacing w:line="300" w:lineRule="exact"/>
              <w:jc w:val="left"/>
              <w:rPr>
                <w:rFonts w:hint="eastAsia" w:ascii="宋体" w:hAnsi="宋体" w:eastAsia="宋体" w:cs="宋体"/>
                <w:szCs w:val="21"/>
              </w:rPr>
            </w:pPr>
            <w:r>
              <w:rPr>
                <w:rFonts w:hint="eastAsia" w:ascii="宋体" w:hAnsi="宋体" w:eastAsia="宋体" w:cs="宋体"/>
                <w:color w:val="auto"/>
                <w:szCs w:val="21"/>
              </w:rPr>
              <w:t>质量要求：合格</w:t>
            </w:r>
          </w:p>
        </w:tc>
      </w:tr>
      <w:tr w14:paraId="69EB4A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04" w:type="dxa"/>
            <w:tcBorders>
              <w:top w:val="single" w:color="auto" w:sz="4" w:space="0"/>
              <w:left w:val="single" w:color="auto" w:sz="4" w:space="0"/>
              <w:bottom w:val="single" w:color="auto" w:sz="4" w:space="0"/>
              <w:right w:val="single" w:color="auto" w:sz="4" w:space="0"/>
            </w:tcBorders>
            <w:noWrap w:val="0"/>
            <w:vAlign w:val="center"/>
          </w:tcPr>
          <w:p w14:paraId="70E9183F">
            <w:pPr>
              <w:spacing w:line="300" w:lineRule="exact"/>
              <w:jc w:val="center"/>
              <w:rPr>
                <w:rFonts w:hint="eastAsia" w:ascii="宋体" w:hAnsi="宋体" w:eastAsia="宋体" w:cs="宋体"/>
                <w:b/>
                <w:szCs w:val="21"/>
              </w:rPr>
            </w:pPr>
            <w:r>
              <w:rPr>
                <w:rFonts w:hint="eastAsia" w:ascii="宋体" w:hAnsi="宋体" w:eastAsia="宋体" w:cs="宋体"/>
                <w:b/>
                <w:szCs w:val="21"/>
              </w:rPr>
              <w:t>1.3.1</w:t>
            </w:r>
          </w:p>
          <w:p w14:paraId="03B9BFCF">
            <w:pPr>
              <w:spacing w:line="300" w:lineRule="exact"/>
              <w:jc w:val="center"/>
              <w:rPr>
                <w:rFonts w:hint="eastAsia" w:ascii="宋体" w:hAnsi="宋体" w:eastAsia="宋体" w:cs="宋体"/>
                <w:szCs w:val="21"/>
              </w:rPr>
            </w:pPr>
          </w:p>
        </w:tc>
        <w:tc>
          <w:tcPr>
            <w:tcW w:w="1157" w:type="dxa"/>
            <w:tcBorders>
              <w:top w:val="single" w:color="auto" w:sz="4" w:space="0"/>
              <w:left w:val="single" w:color="auto" w:sz="4" w:space="0"/>
              <w:bottom w:val="single" w:color="auto" w:sz="4" w:space="0"/>
              <w:right w:val="single" w:color="auto" w:sz="4" w:space="0"/>
            </w:tcBorders>
            <w:noWrap w:val="0"/>
            <w:vAlign w:val="center"/>
          </w:tcPr>
          <w:p w14:paraId="07433EE6">
            <w:pPr>
              <w:spacing w:line="300" w:lineRule="exact"/>
              <w:jc w:val="center"/>
              <w:rPr>
                <w:rFonts w:hint="eastAsia" w:ascii="宋体" w:hAnsi="宋体" w:eastAsia="宋体" w:cs="宋体"/>
                <w:szCs w:val="21"/>
              </w:rPr>
            </w:pPr>
            <w:r>
              <w:rPr>
                <w:rFonts w:hint="eastAsia" w:ascii="宋体" w:hAnsi="宋体" w:eastAsia="宋体" w:cs="宋体"/>
                <w:szCs w:val="21"/>
              </w:rPr>
              <w:t>增值税计税方法</w:t>
            </w:r>
          </w:p>
        </w:tc>
        <w:tc>
          <w:tcPr>
            <w:tcW w:w="6718" w:type="dxa"/>
            <w:tcBorders>
              <w:top w:val="single" w:color="auto" w:sz="4" w:space="0"/>
              <w:left w:val="single" w:color="auto" w:sz="4" w:space="0"/>
              <w:bottom w:val="single" w:color="auto" w:sz="4" w:space="0"/>
              <w:right w:val="single" w:color="auto" w:sz="4" w:space="0"/>
            </w:tcBorders>
            <w:noWrap w:val="0"/>
            <w:vAlign w:val="center"/>
          </w:tcPr>
          <w:p w14:paraId="43D08C6F">
            <w:pPr>
              <w:spacing w:line="300" w:lineRule="exact"/>
              <w:jc w:val="left"/>
              <w:rPr>
                <w:rFonts w:hint="eastAsia" w:ascii="宋体" w:hAnsi="宋体" w:eastAsia="宋体" w:cs="宋体"/>
                <w:color w:val="auto"/>
                <w:szCs w:val="21"/>
              </w:rPr>
            </w:pPr>
            <w:r>
              <w:rPr>
                <w:rFonts w:hint="eastAsia" w:ascii="宋体" w:hAnsi="宋体" w:eastAsia="宋体" w:cs="宋体"/>
                <w:szCs w:val="21"/>
              </w:rPr>
              <w:t>本工程增值税计税方法：</w:t>
            </w:r>
            <w:r>
              <w:rPr>
                <w:rFonts w:hint="eastAsia" w:ascii="宋体" w:hAnsi="宋体" w:eastAsia="宋体" w:cs="宋体"/>
                <w:color w:val="auto"/>
                <w:szCs w:val="21"/>
              </w:rPr>
              <w:sym w:font="Wingdings 2" w:char="F052"/>
            </w:r>
            <w:r>
              <w:rPr>
                <w:rFonts w:hint="eastAsia" w:ascii="宋体" w:hAnsi="宋体" w:eastAsia="宋体" w:cs="宋体"/>
                <w:color w:val="auto"/>
              </w:rPr>
              <w:t>一般计税法</w:t>
            </w:r>
            <w:r>
              <w:rPr>
                <w:rFonts w:hint="eastAsia" w:ascii="宋体" w:hAnsi="宋体" w:eastAsia="宋体" w:cs="宋体"/>
                <w:color w:val="auto"/>
                <w:szCs w:val="21"/>
              </w:rPr>
              <w:t xml:space="preserve">   </w:t>
            </w:r>
            <w:r>
              <w:rPr>
                <w:rFonts w:hint="eastAsia" w:ascii="宋体" w:hAnsi="宋体" w:eastAsia="宋体" w:cs="宋体"/>
                <w:color w:val="auto"/>
                <w:szCs w:val="21"/>
              </w:rPr>
              <w:sym w:font="Wingdings 2" w:char="F0A3"/>
            </w:r>
            <w:r>
              <w:rPr>
                <w:rFonts w:hint="eastAsia" w:ascii="宋体" w:hAnsi="宋体" w:eastAsia="宋体" w:cs="宋体"/>
                <w:color w:val="auto"/>
              </w:rPr>
              <w:t>简易计税法</w:t>
            </w:r>
          </w:p>
          <w:p w14:paraId="429D5ECE">
            <w:pPr>
              <w:spacing w:line="300" w:lineRule="exact"/>
              <w:jc w:val="left"/>
              <w:rPr>
                <w:rFonts w:hint="eastAsia" w:ascii="宋体" w:hAnsi="宋体" w:eastAsia="宋体" w:cs="宋体"/>
              </w:rPr>
            </w:pPr>
            <w:r>
              <w:rPr>
                <w:rFonts w:hint="eastAsia" w:ascii="宋体" w:hAnsi="宋体" w:eastAsia="宋体" w:cs="宋体"/>
                <w:color w:val="000000"/>
              </w:rPr>
              <w:t>注：</w:t>
            </w:r>
            <w:r>
              <w:rPr>
                <w:rFonts w:hint="eastAsia" w:ascii="宋体" w:hAnsi="宋体" w:eastAsia="宋体" w:cs="宋体"/>
              </w:rPr>
              <w:t>根据《关于全面推开营业税改征增值税试点的通知》（财税〔2016〕36号）、《关于建筑服务等营改增试点政策的通知》（财税〔2017〕58号）等国家、自治区现行有关文件规定。</w:t>
            </w:r>
          </w:p>
        </w:tc>
      </w:tr>
      <w:tr w14:paraId="173363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04" w:type="dxa"/>
            <w:tcBorders>
              <w:top w:val="single" w:color="auto" w:sz="4" w:space="0"/>
              <w:left w:val="single" w:color="auto" w:sz="4" w:space="0"/>
              <w:bottom w:val="single" w:color="auto" w:sz="4" w:space="0"/>
              <w:right w:val="single" w:color="auto" w:sz="4" w:space="0"/>
            </w:tcBorders>
            <w:noWrap w:val="0"/>
            <w:vAlign w:val="center"/>
          </w:tcPr>
          <w:p w14:paraId="640DE233">
            <w:pPr>
              <w:spacing w:line="300" w:lineRule="exact"/>
              <w:jc w:val="center"/>
              <w:rPr>
                <w:rFonts w:hint="eastAsia" w:ascii="宋体" w:hAnsi="宋体" w:eastAsia="宋体" w:cs="宋体"/>
                <w:szCs w:val="21"/>
              </w:rPr>
            </w:pPr>
            <w:r>
              <w:rPr>
                <w:rFonts w:hint="eastAsia" w:ascii="宋体" w:hAnsi="宋体" w:eastAsia="宋体" w:cs="宋体"/>
                <w:b/>
                <w:szCs w:val="21"/>
              </w:rPr>
              <w:t>1.3.2</w:t>
            </w:r>
          </w:p>
        </w:tc>
        <w:tc>
          <w:tcPr>
            <w:tcW w:w="1157" w:type="dxa"/>
            <w:tcBorders>
              <w:top w:val="single" w:color="auto" w:sz="4" w:space="0"/>
              <w:left w:val="single" w:color="auto" w:sz="4" w:space="0"/>
              <w:bottom w:val="single" w:color="auto" w:sz="4" w:space="0"/>
              <w:right w:val="single" w:color="auto" w:sz="4" w:space="0"/>
            </w:tcBorders>
            <w:noWrap w:val="0"/>
            <w:vAlign w:val="center"/>
          </w:tcPr>
          <w:p w14:paraId="68EBDDD8">
            <w:pPr>
              <w:spacing w:line="300" w:lineRule="exact"/>
              <w:jc w:val="center"/>
              <w:rPr>
                <w:rFonts w:hint="eastAsia" w:ascii="宋体" w:hAnsi="宋体" w:eastAsia="宋体" w:cs="宋体"/>
                <w:szCs w:val="21"/>
              </w:rPr>
            </w:pPr>
            <w:r>
              <w:rPr>
                <w:rFonts w:hint="eastAsia" w:ascii="宋体" w:hAnsi="宋体" w:eastAsia="宋体" w:cs="宋体"/>
                <w:szCs w:val="21"/>
              </w:rPr>
              <w:t>采购方式</w:t>
            </w:r>
          </w:p>
        </w:tc>
        <w:tc>
          <w:tcPr>
            <w:tcW w:w="6718" w:type="dxa"/>
            <w:tcBorders>
              <w:top w:val="single" w:color="auto" w:sz="4" w:space="0"/>
              <w:left w:val="single" w:color="auto" w:sz="4" w:space="0"/>
              <w:bottom w:val="single" w:color="auto" w:sz="4" w:space="0"/>
              <w:right w:val="single" w:color="auto" w:sz="4" w:space="0"/>
            </w:tcBorders>
            <w:noWrap w:val="0"/>
            <w:vAlign w:val="center"/>
          </w:tcPr>
          <w:p w14:paraId="392A56B4">
            <w:pPr>
              <w:spacing w:line="300" w:lineRule="exact"/>
              <w:jc w:val="left"/>
              <w:rPr>
                <w:rFonts w:hint="eastAsia" w:ascii="宋体" w:hAnsi="宋体" w:eastAsia="宋体" w:cs="宋体"/>
                <w:szCs w:val="21"/>
              </w:rPr>
            </w:pPr>
            <w:r>
              <w:rPr>
                <w:rFonts w:hint="eastAsia" w:ascii="宋体" w:hAnsi="宋体" w:eastAsia="宋体" w:cs="宋体"/>
                <w:szCs w:val="21"/>
              </w:rPr>
              <w:t>竞争性磋商</w:t>
            </w:r>
          </w:p>
        </w:tc>
      </w:tr>
      <w:tr w14:paraId="762D88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04" w:type="dxa"/>
            <w:tcBorders>
              <w:top w:val="single" w:color="auto" w:sz="4" w:space="0"/>
              <w:left w:val="single" w:color="auto" w:sz="4" w:space="0"/>
              <w:bottom w:val="single" w:color="auto" w:sz="4" w:space="0"/>
              <w:right w:val="single" w:color="auto" w:sz="4" w:space="0"/>
            </w:tcBorders>
            <w:noWrap w:val="0"/>
            <w:vAlign w:val="center"/>
          </w:tcPr>
          <w:p w14:paraId="3D230742">
            <w:pPr>
              <w:spacing w:line="300" w:lineRule="exact"/>
              <w:jc w:val="center"/>
              <w:rPr>
                <w:rFonts w:hint="eastAsia" w:ascii="宋体" w:hAnsi="宋体" w:eastAsia="宋体" w:cs="宋体"/>
                <w:b/>
                <w:szCs w:val="21"/>
              </w:rPr>
            </w:pPr>
            <w:r>
              <w:rPr>
                <w:rFonts w:hint="eastAsia" w:ascii="宋体" w:hAnsi="宋体" w:eastAsia="宋体" w:cs="宋体"/>
                <w:b/>
                <w:szCs w:val="21"/>
              </w:rPr>
              <w:t>1.4</w:t>
            </w:r>
          </w:p>
        </w:tc>
        <w:tc>
          <w:tcPr>
            <w:tcW w:w="1157" w:type="dxa"/>
            <w:tcBorders>
              <w:top w:val="single" w:color="auto" w:sz="4" w:space="0"/>
              <w:left w:val="single" w:color="auto" w:sz="4" w:space="0"/>
              <w:bottom w:val="single" w:color="auto" w:sz="4" w:space="0"/>
              <w:right w:val="single" w:color="auto" w:sz="4" w:space="0"/>
            </w:tcBorders>
            <w:noWrap w:val="0"/>
            <w:vAlign w:val="center"/>
          </w:tcPr>
          <w:p w14:paraId="18DE5BC9">
            <w:pPr>
              <w:spacing w:line="300" w:lineRule="exact"/>
              <w:jc w:val="center"/>
              <w:rPr>
                <w:rFonts w:hint="eastAsia" w:ascii="宋体" w:hAnsi="宋体" w:eastAsia="宋体" w:cs="宋体"/>
                <w:szCs w:val="21"/>
                <w:lang w:val="zh-CN"/>
              </w:rPr>
            </w:pPr>
            <w:r>
              <w:rPr>
                <w:rFonts w:hint="eastAsia" w:ascii="宋体" w:hAnsi="宋体" w:eastAsia="宋体" w:cs="宋体"/>
                <w:szCs w:val="21"/>
                <w:lang w:val="zh-CN"/>
              </w:rPr>
              <w:t>促进中小企业发展措施</w:t>
            </w:r>
          </w:p>
        </w:tc>
        <w:tc>
          <w:tcPr>
            <w:tcW w:w="6718" w:type="dxa"/>
            <w:tcBorders>
              <w:top w:val="single" w:color="auto" w:sz="4" w:space="0"/>
              <w:left w:val="single" w:color="auto" w:sz="4" w:space="0"/>
              <w:bottom w:val="single" w:color="auto" w:sz="4" w:space="0"/>
              <w:right w:val="single" w:color="auto" w:sz="4" w:space="0"/>
            </w:tcBorders>
            <w:noWrap w:val="0"/>
            <w:vAlign w:val="center"/>
          </w:tcPr>
          <w:p w14:paraId="66A8DF97">
            <w:pPr>
              <w:spacing w:line="300" w:lineRule="exact"/>
              <w:jc w:val="left"/>
              <w:rPr>
                <w:rFonts w:hint="eastAsia" w:ascii="宋体" w:hAnsi="宋体" w:eastAsia="宋体" w:cs="宋体"/>
                <w:szCs w:val="21"/>
              </w:rPr>
            </w:pPr>
            <w:r>
              <w:rPr>
                <w:rFonts w:hint="eastAsia" w:ascii="宋体" w:hAnsi="宋体" w:eastAsia="宋体" w:cs="宋体"/>
                <w:szCs w:val="21"/>
              </w:rPr>
              <w:t>本项目专门面向中小微企业采购。</w:t>
            </w:r>
          </w:p>
        </w:tc>
      </w:tr>
      <w:tr w14:paraId="26E29C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04" w:type="dxa"/>
            <w:tcBorders>
              <w:top w:val="single" w:color="auto" w:sz="4" w:space="0"/>
              <w:left w:val="single" w:color="auto" w:sz="4" w:space="0"/>
              <w:bottom w:val="single" w:color="auto" w:sz="4" w:space="0"/>
              <w:right w:val="single" w:color="auto" w:sz="4" w:space="0"/>
            </w:tcBorders>
            <w:noWrap w:val="0"/>
            <w:vAlign w:val="center"/>
          </w:tcPr>
          <w:p w14:paraId="3D9E9A1C">
            <w:pPr>
              <w:spacing w:line="300" w:lineRule="exact"/>
              <w:jc w:val="center"/>
              <w:rPr>
                <w:rFonts w:hint="eastAsia" w:ascii="宋体" w:hAnsi="宋体" w:eastAsia="宋体" w:cs="宋体"/>
                <w:szCs w:val="21"/>
              </w:rPr>
            </w:pPr>
            <w:r>
              <w:rPr>
                <w:rFonts w:hint="eastAsia" w:ascii="宋体" w:hAnsi="宋体" w:eastAsia="宋体" w:cs="宋体"/>
                <w:b/>
                <w:szCs w:val="21"/>
              </w:rPr>
              <w:t>1.5.1</w:t>
            </w:r>
          </w:p>
        </w:tc>
        <w:tc>
          <w:tcPr>
            <w:tcW w:w="1157" w:type="dxa"/>
            <w:tcBorders>
              <w:top w:val="single" w:color="auto" w:sz="4" w:space="0"/>
              <w:left w:val="single" w:color="auto" w:sz="4" w:space="0"/>
              <w:bottom w:val="single" w:color="auto" w:sz="4" w:space="0"/>
              <w:right w:val="single" w:color="auto" w:sz="4" w:space="0"/>
            </w:tcBorders>
            <w:noWrap w:val="0"/>
            <w:vAlign w:val="center"/>
          </w:tcPr>
          <w:p w14:paraId="4E8E4FE9">
            <w:pPr>
              <w:spacing w:line="300" w:lineRule="exact"/>
              <w:jc w:val="center"/>
              <w:rPr>
                <w:rFonts w:hint="eastAsia" w:ascii="宋体" w:hAnsi="宋体" w:eastAsia="宋体" w:cs="宋体"/>
                <w:szCs w:val="21"/>
              </w:rPr>
            </w:pPr>
            <w:r>
              <w:rPr>
                <w:rFonts w:hint="eastAsia" w:ascii="宋体" w:hAnsi="宋体" w:eastAsia="宋体" w:cs="宋体"/>
                <w:szCs w:val="21"/>
                <w:lang w:val="zh-CN"/>
              </w:rPr>
              <w:t>供应商资格条件</w:t>
            </w:r>
          </w:p>
        </w:tc>
        <w:tc>
          <w:tcPr>
            <w:tcW w:w="6718" w:type="dxa"/>
            <w:tcBorders>
              <w:top w:val="single" w:color="auto" w:sz="4" w:space="0"/>
              <w:left w:val="single" w:color="auto" w:sz="4" w:space="0"/>
              <w:bottom w:val="single" w:color="auto" w:sz="4" w:space="0"/>
              <w:right w:val="single" w:color="auto" w:sz="4" w:space="0"/>
            </w:tcBorders>
            <w:noWrap w:val="0"/>
            <w:vAlign w:val="center"/>
          </w:tcPr>
          <w:p w14:paraId="49966226">
            <w:pPr>
              <w:spacing w:line="300" w:lineRule="exact"/>
              <w:jc w:val="left"/>
              <w:rPr>
                <w:rFonts w:hint="eastAsia" w:ascii="宋体" w:hAnsi="宋体" w:eastAsia="宋体" w:cs="宋体"/>
                <w:szCs w:val="21"/>
              </w:rPr>
            </w:pPr>
            <w:r>
              <w:rPr>
                <w:rFonts w:hint="eastAsia" w:ascii="宋体" w:hAnsi="宋体" w:eastAsia="宋体" w:cs="宋体"/>
                <w:szCs w:val="21"/>
              </w:rPr>
              <w:t>详见磋商公告。</w:t>
            </w:r>
          </w:p>
        </w:tc>
      </w:tr>
      <w:tr w14:paraId="2CC2C9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04" w:type="dxa"/>
            <w:tcBorders>
              <w:top w:val="single" w:color="auto" w:sz="4" w:space="0"/>
              <w:left w:val="single" w:color="auto" w:sz="4" w:space="0"/>
              <w:bottom w:val="single" w:color="auto" w:sz="4" w:space="0"/>
              <w:right w:val="single" w:color="auto" w:sz="4" w:space="0"/>
            </w:tcBorders>
            <w:noWrap w:val="0"/>
            <w:vAlign w:val="center"/>
          </w:tcPr>
          <w:p w14:paraId="1443CC95">
            <w:pPr>
              <w:spacing w:line="300" w:lineRule="exact"/>
              <w:jc w:val="center"/>
              <w:rPr>
                <w:rFonts w:hint="eastAsia" w:ascii="宋体" w:hAnsi="宋体" w:eastAsia="宋体" w:cs="宋体"/>
                <w:b/>
                <w:szCs w:val="21"/>
              </w:rPr>
            </w:pPr>
            <w:r>
              <w:rPr>
                <w:rFonts w:hint="eastAsia" w:ascii="宋体" w:hAnsi="宋体" w:eastAsia="宋体" w:cs="宋体"/>
                <w:b/>
                <w:szCs w:val="21"/>
              </w:rPr>
              <w:t>1.5.1</w:t>
            </w:r>
          </w:p>
        </w:tc>
        <w:tc>
          <w:tcPr>
            <w:tcW w:w="1157" w:type="dxa"/>
            <w:tcBorders>
              <w:top w:val="single" w:color="auto" w:sz="4" w:space="0"/>
              <w:left w:val="single" w:color="auto" w:sz="4" w:space="0"/>
              <w:bottom w:val="single" w:color="auto" w:sz="4" w:space="0"/>
              <w:right w:val="single" w:color="auto" w:sz="4" w:space="0"/>
            </w:tcBorders>
            <w:noWrap w:val="0"/>
            <w:vAlign w:val="center"/>
          </w:tcPr>
          <w:p w14:paraId="4BB9947A">
            <w:pPr>
              <w:spacing w:line="300" w:lineRule="exact"/>
              <w:jc w:val="center"/>
              <w:rPr>
                <w:rFonts w:hint="eastAsia" w:ascii="宋体" w:hAnsi="宋体" w:eastAsia="宋体" w:cs="宋体"/>
                <w:szCs w:val="21"/>
              </w:rPr>
            </w:pPr>
            <w:r>
              <w:rPr>
                <w:rFonts w:hint="eastAsia" w:ascii="宋体" w:hAnsi="宋体" w:eastAsia="宋体" w:cs="宋体"/>
                <w:szCs w:val="21"/>
              </w:rPr>
              <w:t>供应商不得存在的情形</w:t>
            </w:r>
          </w:p>
        </w:tc>
        <w:tc>
          <w:tcPr>
            <w:tcW w:w="6718" w:type="dxa"/>
            <w:tcBorders>
              <w:top w:val="single" w:color="auto" w:sz="4" w:space="0"/>
              <w:left w:val="single" w:color="auto" w:sz="4" w:space="0"/>
              <w:bottom w:val="single" w:color="auto" w:sz="4" w:space="0"/>
              <w:right w:val="single" w:color="auto" w:sz="4" w:space="0"/>
            </w:tcBorders>
            <w:noWrap w:val="0"/>
            <w:vAlign w:val="center"/>
          </w:tcPr>
          <w:p w14:paraId="5B50C797">
            <w:pPr>
              <w:spacing w:line="300" w:lineRule="exact"/>
              <w:jc w:val="left"/>
              <w:rPr>
                <w:rFonts w:hint="eastAsia" w:ascii="宋体" w:hAnsi="宋体" w:eastAsia="宋体" w:cs="宋体"/>
                <w:szCs w:val="21"/>
              </w:rPr>
            </w:pPr>
            <w:r>
              <w:rPr>
                <w:rFonts w:hint="eastAsia" w:ascii="宋体" w:hAnsi="宋体" w:eastAsia="宋体" w:cs="宋体"/>
                <w:szCs w:val="21"/>
              </w:rPr>
              <w:t>（1）与采购人存在利害关系可能影响采购公正性的法人、其他组织；</w:t>
            </w:r>
          </w:p>
          <w:p w14:paraId="2E03E7A5">
            <w:pPr>
              <w:spacing w:line="300" w:lineRule="exact"/>
              <w:jc w:val="left"/>
              <w:rPr>
                <w:rFonts w:hint="eastAsia" w:ascii="宋体" w:hAnsi="宋体" w:eastAsia="宋体" w:cs="宋体"/>
                <w:szCs w:val="21"/>
              </w:rPr>
            </w:pPr>
            <w:r>
              <w:rPr>
                <w:rFonts w:hint="eastAsia" w:ascii="宋体" w:hAnsi="宋体" w:eastAsia="宋体" w:cs="宋体"/>
                <w:szCs w:val="21"/>
              </w:rPr>
              <w:t>（2）为本标段前期准备提供设计或咨询服务的，但设计施工总承包的除外；</w:t>
            </w:r>
          </w:p>
          <w:p w14:paraId="1CFDFD26">
            <w:pPr>
              <w:spacing w:line="300" w:lineRule="exact"/>
              <w:jc w:val="left"/>
              <w:rPr>
                <w:rFonts w:hint="eastAsia" w:ascii="宋体" w:hAnsi="宋体" w:eastAsia="宋体" w:cs="宋体"/>
                <w:szCs w:val="21"/>
              </w:rPr>
            </w:pPr>
            <w:r>
              <w:rPr>
                <w:rFonts w:hint="eastAsia" w:ascii="宋体" w:hAnsi="宋体" w:eastAsia="宋体" w:cs="宋体"/>
                <w:szCs w:val="21"/>
              </w:rPr>
              <w:t>（3）为本标段的监理人；</w:t>
            </w:r>
          </w:p>
          <w:p w14:paraId="65556128">
            <w:pPr>
              <w:spacing w:line="300" w:lineRule="exact"/>
              <w:jc w:val="left"/>
              <w:rPr>
                <w:rFonts w:hint="eastAsia" w:ascii="宋体" w:hAnsi="宋体" w:eastAsia="宋体" w:cs="宋体"/>
                <w:szCs w:val="21"/>
              </w:rPr>
            </w:pPr>
            <w:r>
              <w:rPr>
                <w:rFonts w:hint="eastAsia" w:ascii="宋体" w:hAnsi="宋体" w:eastAsia="宋体" w:cs="宋体"/>
                <w:szCs w:val="21"/>
              </w:rPr>
              <w:t>（4）为本标段的代建人；</w:t>
            </w:r>
          </w:p>
          <w:p w14:paraId="59D09F3D">
            <w:pPr>
              <w:spacing w:line="300" w:lineRule="exact"/>
              <w:jc w:val="left"/>
              <w:rPr>
                <w:rFonts w:hint="eastAsia" w:ascii="宋体" w:hAnsi="宋体" w:eastAsia="宋体" w:cs="宋体"/>
                <w:szCs w:val="21"/>
              </w:rPr>
            </w:pPr>
            <w:r>
              <w:rPr>
                <w:rFonts w:hint="eastAsia" w:ascii="宋体" w:hAnsi="宋体" w:eastAsia="宋体" w:cs="宋体"/>
                <w:szCs w:val="21"/>
              </w:rPr>
              <w:t>（5）为本标段提供采购代理服务的；</w:t>
            </w:r>
          </w:p>
          <w:p w14:paraId="65DED902">
            <w:pPr>
              <w:spacing w:line="300" w:lineRule="exact"/>
              <w:jc w:val="left"/>
              <w:rPr>
                <w:rFonts w:hint="eastAsia" w:ascii="宋体" w:hAnsi="宋体" w:eastAsia="宋体" w:cs="宋体"/>
                <w:szCs w:val="21"/>
              </w:rPr>
            </w:pPr>
            <w:r>
              <w:rPr>
                <w:rFonts w:hint="eastAsia" w:ascii="宋体" w:hAnsi="宋体" w:eastAsia="宋体" w:cs="宋体"/>
                <w:szCs w:val="21"/>
              </w:rPr>
              <w:t>（6）与本标段的监理人或代建人或采购代理机构同为一个法定代表人的；</w:t>
            </w:r>
          </w:p>
          <w:p w14:paraId="145DCE51">
            <w:pPr>
              <w:spacing w:line="300" w:lineRule="exact"/>
              <w:jc w:val="left"/>
              <w:rPr>
                <w:rFonts w:hint="eastAsia" w:ascii="宋体" w:hAnsi="宋体" w:eastAsia="宋体" w:cs="宋体"/>
                <w:szCs w:val="21"/>
              </w:rPr>
            </w:pPr>
            <w:r>
              <w:rPr>
                <w:rFonts w:hint="eastAsia" w:ascii="宋体" w:hAnsi="宋体" w:eastAsia="宋体" w:cs="宋体"/>
                <w:szCs w:val="21"/>
              </w:rPr>
              <w:t>（7）与本标段的监理人或代建人或采购代理机构相互控股或参股的；</w:t>
            </w:r>
          </w:p>
          <w:p w14:paraId="7D6A8663">
            <w:pPr>
              <w:spacing w:line="300" w:lineRule="exact"/>
              <w:jc w:val="left"/>
              <w:rPr>
                <w:rFonts w:hint="eastAsia" w:ascii="宋体" w:hAnsi="宋体" w:eastAsia="宋体" w:cs="宋体"/>
                <w:szCs w:val="21"/>
              </w:rPr>
            </w:pPr>
            <w:r>
              <w:rPr>
                <w:rFonts w:hint="eastAsia" w:ascii="宋体" w:hAnsi="宋体" w:eastAsia="宋体" w:cs="宋体"/>
                <w:szCs w:val="21"/>
              </w:rPr>
              <w:t>（8）与本标段的监理人或代建人或采购代理机构相互任职或工作的；</w:t>
            </w:r>
          </w:p>
          <w:p w14:paraId="35B4A85B">
            <w:pPr>
              <w:spacing w:line="300" w:lineRule="exact"/>
              <w:jc w:val="left"/>
              <w:rPr>
                <w:rFonts w:hint="eastAsia" w:ascii="宋体" w:hAnsi="宋体" w:eastAsia="宋体" w:cs="宋体"/>
                <w:szCs w:val="21"/>
              </w:rPr>
            </w:pPr>
            <w:r>
              <w:rPr>
                <w:rFonts w:hint="eastAsia" w:ascii="宋体" w:hAnsi="宋体" w:eastAsia="宋体" w:cs="宋体"/>
                <w:szCs w:val="21"/>
              </w:rPr>
              <w:t>（9）吊销或暂扣营业执照、安全生产许可证期间；</w:t>
            </w:r>
          </w:p>
          <w:p w14:paraId="1CA7C429">
            <w:pPr>
              <w:spacing w:line="300" w:lineRule="exact"/>
              <w:jc w:val="left"/>
              <w:rPr>
                <w:rFonts w:hint="eastAsia" w:ascii="宋体" w:hAnsi="宋体" w:eastAsia="宋体" w:cs="宋体"/>
                <w:szCs w:val="21"/>
              </w:rPr>
            </w:pPr>
            <w:r>
              <w:rPr>
                <w:rFonts w:hint="eastAsia" w:ascii="宋体" w:hAnsi="宋体" w:eastAsia="宋体" w:cs="宋体"/>
                <w:szCs w:val="21"/>
              </w:rPr>
              <w:t>（10）在本行政区域被暂停或取消投标资格的；</w:t>
            </w:r>
          </w:p>
          <w:p w14:paraId="6AA13FAE">
            <w:pPr>
              <w:spacing w:line="300" w:lineRule="exact"/>
              <w:jc w:val="left"/>
              <w:rPr>
                <w:rFonts w:hint="eastAsia" w:ascii="宋体" w:hAnsi="宋体" w:eastAsia="宋体" w:cs="宋体"/>
                <w:szCs w:val="21"/>
              </w:rPr>
            </w:pPr>
            <w:r>
              <w:rPr>
                <w:rFonts w:hint="eastAsia" w:ascii="宋体" w:hAnsi="宋体" w:eastAsia="宋体" w:cs="宋体"/>
                <w:szCs w:val="21"/>
              </w:rPr>
              <w:t>（11）财产被接管或基本账户被冻结的；</w:t>
            </w:r>
          </w:p>
          <w:p w14:paraId="6C384C9A">
            <w:pPr>
              <w:spacing w:line="300" w:lineRule="exact"/>
              <w:jc w:val="left"/>
              <w:rPr>
                <w:rFonts w:hint="eastAsia" w:ascii="宋体" w:hAnsi="宋体" w:eastAsia="宋体" w:cs="宋体"/>
                <w:szCs w:val="21"/>
              </w:rPr>
            </w:pPr>
            <w:r>
              <w:rPr>
                <w:rFonts w:hint="eastAsia" w:ascii="宋体" w:hAnsi="宋体" w:eastAsia="宋体" w:cs="宋体"/>
                <w:szCs w:val="21"/>
              </w:rPr>
              <w:t>（12）有骗取中标或严重违约或工程质量安全问题，在本行政区域正处在停业整顿或暂停投标期间的；</w:t>
            </w:r>
          </w:p>
          <w:p w14:paraId="348BEB5E">
            <w:pPr>
              <w:spacing w:line="300" w:lineRule="exact"/>
              <w:jc w:val="left"/>
              <w:rPr>
                <w:rFonts w:hint="eastAsia" w:ascii="宋体" w:hAnsi="宋体" w:eastAsia="宋体" w:cs="宋体"/>
                <w:szCs w:val="21"/>
              </w:rPr>
            </w:pPr>
            <w:r>
              <w:rPr>
                <w:rFonts w:hint="eastAsia" w:ascii="宋体" w:hAnsi="宋体" w:eastAsia="宋体" w:cs="宋体"/>
                <w:szCs w:val="21"/>
              </w:rPr>
              <w:t>（13）被责令停业的。</w:t>
            </w:r>
          </w:p>
        </w:tc>
      </w:tr>
      <w:tr w14:paraId="4678D7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04" w:type="dxa"/>
            <w:tcBorders>
              <w:top w:val="single" w:color="auto" w:sz="4" w:space="0"/>
              <w:left w:val="single" w:color="auto" w:sz="4" w:space="0"/>
              <w:bottom w:val="single" w:color="auto" w:sz="4" w:space="0"/>
              <w:right w:val="single" w:color="auto" w:sz="4" w:space="0"/>
            </w:tcBorders>
            <w:noWrap w:val="0"/>
            <w:vAlign w:val="center"/>
          </w:tcPr>
          <w:p w14:paraId="4E9C1469">
            <w:pPr>
              <w:spacing w:line="300" w:lineRule="exact"/>
              <w:jc w:val="center"/>
              <w:rPr>
                <w:rFonts w:hint="eastAsia" w:ascii="宋体" w:hAnsi="宋体" w:eastAsia="宋体" w:cs="宋体"/>
                <w:b/>
                <w:szCs w:val="21"/>
              </w:rPr>
            </w:pPr>
            <w:r>
              <w:rPr>
                <w:rFonts w:hint="eastAsia" w:ascii="宋体" w:hAnsi="宋体" w:eastAsia="宋体" w:cs="宋体"/>
                <w:b/>
                <w:szCs w:val="21"/>
              </w:rPr>
              <w:t>1.5.3</w:t>
            </w:r>
          </w:p>
        </w:tc>
        <w:tc>
          <w:tcPr>
            <w:tcW w:w="1157" w:type="dxa"/>
            <w:tcBorders>
              <w:top w:val="single" w:color="auto" w:sz="4" w:space="0"/>
              <w:left w:val="single" w:color="auto" w:sz="4" w:space="0"/>
              <w:bottom w:val="single" w:color="auto" w:sz="4" w:space="0"/>
              <w:right w:val="single" w:color="auto" w:sz="4" w:space="0"/>
            </w:tcBorders>
            <w:noWrap w:val="0"/>
            <w:vAlign w:val="center"/>
          </w:tcPr>
          <w:p w14:paraId="260F1DC7">
            <w:pPr>
              <w:spacing w:line="300" w:lineRule="exact"/>
              <w:jc w:val="center"/>
              <w:rPr>
                <w:rFonts w:hint="eastAsia" w:ascii="宋体" w:hAnsi="宋体" w:eastAsia="宋体" w:cs="宋体"/>
                <w:szCs w:val="21"/>
              </w:rPr>
            </w:pPr>
            <w:r>
              <w:rPr>
                <w:rFonts w:hint="eastAsia" w:ascii="宋体" w:hAnsi="宋体" w:eastAsia="宋体" w:cs="宋体"/>
                <w:szCs w:val="21"/>
              </w:rPr>
              <w:t>联合体</w:t>
            </w:r>
          </w:p>
        </w:tc>
        <w:tc>
          <w:tcPr>
            <w:tcW w:w="6718" w:type="dxa"/>
            <w:tcBorders>
              <w:top w:val="single" w:color="auto" w:sz="4" w:space="0"/>
              <w:left w:val="single" w:color="auto" w:sz="4" w:space="0"/>
              <w:bottom w:val="single" w:color="auto" w:sz="4" w:space="0"/>
              <w:right w:val="single" w:color="auto" w:sz="4" w:space="0"/>
            </w:tcBorders>
            <w:noWrap w:val="0"/>
            <w:vAlign w:val="center"/>
          </w:tcPr>
          <w:p w14:paraId="0A2866A3">
            <w:pPr>
              <w:spacing w:line="300" w:lineRule="exact"/>
              <w:jc w:val="left"/>
              <w:rPr>
                <w:rFonts w:hint="eastAsia" w:ascii="宋体" w:hAnsi="宋体" w:eastAsia="宋体" w:cs="宋体"/>
                <w:szCs w:val="21"/>
              </w:rPr>
            </w:pPr>
            <w:r>
              <w:rPr>
                <w:rFonts w:hint="eastAsia" w:ascii="宋体" w:hAnsi="宋体" w:eastAsia="宋体" w:cs="宋体"/>
                <w:szCs w:val="21"/>
              </w:rPr>
              <w:t>是否接受联合体详见磋商公告</w:t>
            </w:r>
          </w:p>
        </w:tc>
      </w:tr>
      <w:tr w14:paraId="241039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04" w:type="dxa"/>
            <w:tcBorders>
              <w:top w:val="single" w:color="auto" w:sz="4" w:space="0"/>
              <w:left w:val="single" w:color="auto" w:sz="4" w:space="0"/>
              <w:bottom w:val="single" w:color="auto" w:sz="4" w:space="0"/>
              <w:right w:val="single" w:color="auto" w:sz="4" w:space="0"/>
            </w:tcBorders>
            <w:noWrap w:val="0"/>
            <w:vAlign w:val="center"/>
          </w:tcPr>
          <w:p w14:paraId="2245343F">
            <w:pPr>
              <w:spacing w:line="300" w:lineRule="exact"/>
              <w:jc w:val="center"/>
              <w:rPr>
                <w:rFonts w:hint="eastAsia" w:ascii="宋体" w:hAnsi="宋体" w:eastAsia="宋体" w:cs="宋体"/>
                <w:szCs w:val="21"/>
              </w:rPr>
            </w:pPr>
            <w:r>
              <w:rPr>
                <w:rFonts w:hint="eastAsia" w:ascii="宋体" w:hAnsi="宋体" w:eastAsia="宋体" w:cs="宋体"/>
                <w:b/>
                <w:szCs w:val="21"/>
              </w:rPr>
              <w:t>1.6</w:t>
            </w:r>
          </w:p>
        </w:tc>
        <w:tc>
          <w:tcPr>
            <w:tcW w:w="1157" w:type="dxa"/>
            <w:tcBorders>
              <w:top w:val="single" w:color="auto" w:sz="4" w:space="0"/>
              <w:left w:val="single" w:color="auto" w:sz="4" w:space="0"/>
              <w:bottom w:val="single" w:color="auto" w:sz="4" w:space="0"/>
              <w:right w:val="single" w:color="auto" w:sz="4" w:space="0"/>
            </w:tcBorders>
            <w:noWrap w:val="0"/>
            <w:vAlign w:val="center"/>
          </w:tcPr>
          <w:p w14:paraId="230B189D">
            <w:pPr>
              <w:spacing w:line="300" w:lineRule="exact"/>
              <w:jc w:val="center"/>
              <w:rPr>
                <w:rFonts w:hint="eastAsia" w:ascii="宋体" w:hAnsi="宋体" w:eastAsia="宋体" w:cs="宋体"/>
                <w:color w:val="auto"/>
                <w:szCs w:val="21"/>
              </w:rPr>
            </w:pPr>
            <w:r>
              <w:rPr>
                <w:rFonts w:hint="eastAsia" w:ascii="宋体" w:hAnsi="宋体" w:eastAsia="宋体" w:cs="宋体"/>
                <w:color w:val="auto"/>
                <w:szCs w:val="21"/>
              </w:rPr>
              <w:t>踏勘</w:t>
            </w:r>
          </w:p>
        </w:tc>
        <w:tc>
          <w:tcPr>
            <w:tcW w:w="6718" w:type="dxa"/>
            <w:tcBorders>
              <w:top w:val="single" w:color="auto" w:sz="4" w:space="0"/>
              <w:left w:val="single" w:color="auto" w:sz="4" w:space="0"/>
              <w:bottom w:val="single" w:color="auto" w:sz="4" w:space="0"/>
              <w:right w:val="single" w:color="auto" w:sz="4" w:space="0"/>
            </w:tcBorders>
            <w:noWrap w:val="0"/>
            <w:vAlign w:val="center"/>
          </w:tcPr>
          <w:p w14:paraId="1AF3EC8A">
            <w:pPr>
              <w:pStyle w:val="8"/>
              <w:rPr>
                <w:rFonts w:hint="eastAsia" w:ascii="宋体" w:hAnsi="宋体" w:eastAsia="宋体" w:cs="宋体"/>
                <w:color w:val="auto"/>
                <w:szCs w:val="21"/>
              </w:rPr>
            </w:pPr>
            <w:r>
              <w:rPr>
                <w:rFonts w:hint="eastAsia" w:ascii="宋体" w:hAnsi="宋体" w:eastAsia="宋体" w:cs="宋体"/>
                <w:color w:val="auto"/>
                <w:szCs w:val="21"/>
                <w:lang w:val="en-US" w:eastAsia="zh-CN"/>
              </w:rPr>
              <w:t>不组织</w:t>
            </w:r>
            <w:r>
              <w:rPr>
                <w:rFonts w:hint="eastAsia" w:ascii="宋体" w:hAnsi="宋体" w:eastAsia="宋体" w:cs="宋体"/>
                <w:color w:val="auto"/>
                <w:szCs w:val="21"/>
              </w:rPr>
              <w:t xml:space="preserve">    </w:t>
            </w:r>
          </w:p>
        </w:tc>
      </w:tr>
      <w:tr w14:paraId="7A9800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04" w:type="dxa"/>
            <w:tcBorders>
              <w:top w:val="single" w:color="auto" w:sz="4" w:space="0"/>
              <w:left w:val="single" w:color="auto" w:sz="4" w:space="0"/>
              <w:bottom w:val="single" w:color="auto" w:sz="4" w:space="0"/>
              <w:right w:val="single" w:color="auto" w:sz="4" w:space="0"/>
            </w:tcBorders>
            <w:noWrap w:val="0"/>
            <w:vAlign w:val="center"/>
          </w:tcPr>
          <w:p w14:paraId="4C7C43B3">
            <w:pPr>
              <w:spacing w:line="300" w:lineRule="exact"/>
              <w:jc w:val="center"/>
              <w:rPr>
                <w:rFonts w:hint="eastAsia" w:ascii="宋体" w:hAnsi="宋体" w:eastAsia="宋体" w:cs="宋体"/>
                <w:b/>
                <w:szCs w:val="21"/>
              </w:rPr>
            </w:pPr>
            <w:r>
              <w:rPr>
                <w:rFonts w:hint="eastAsia" w:ascii="宋体" w:hAnsi="宋体" w:eastAsia="宋体" w:cs="宋体"/>
                <w:b/>
                <w:szCs w:val="21"/>
              </w:rPr>
              <w:t>1.7.1</w:t>
            </w:r>
          </w:p>
        </w:tc>
        <w:tc>
          <w:tcPr>
            <w:tcW w:w="1157" w:type="dxa"/>
            <w:tcBorders>
              <w:top w:val="single" w:color="auto" w:sz="4" w:space="0"/>
              <w:left w:val="single" w:color="auto" w:sz="4" w:space="0"/>
              <w:bottom w:val="single" w:color="auto" w:sz="4" w:space="0"/>
              <w:right w:val="single" w:color="auto" w:sz="4" w:space="0"/>
            </w:tcBorders>
            <w:noWrap w:val="0"/>
            <w:vAlign w:val="center"/>
          </w:tcPr>
          <w:p w14:paraId="7EC5FB2A">
            <w:pPr>
              <w:spacing w:line="300" w:lineRule="exact"/>
              <w:jc w:val="center"/>
              <w:rPr>
                <w:rFonts w:hint="eastAsia" w:ascii="宋体" w:hAnsi="宋体" w:eastAsia="宋体" w:cs="宋体"/>
                <w:szCs w:val="21"/>
              </w:rPr>
            </w:pPr>
            <w:r>
              <w:rPr>
                <w:rFonts w:hint="eastAsia" w:ascii="宋体" w:hAnsi="宋体" w:eastAsia="宋体" w:cs="宋体"/>
                <w:szCs w:val="21"/>
              </w:rPr>
              <w:t>转包</w:t>
            </w:r>
          </w:p>
        </w:tc>
        <w:tc>
          <w:tcPr>
            <w:tcW w:w="6718" w:type="dxa"/>
            <w:tcBorders>
              <w:top w:val="single" w:color="auto" w:sz="4" w:space="0"/>
              <w:left w:val="single" w:color="auto" w:sz="4" w:space="0"/>
              <w:bottom w:val="single" w:color="auto" w:sz="4" w:space="0"/>
              <w:right w:val="single" w:color="auto" w:sz="4" w:space="0"/>
            </w:tcBorders>
            <w:noWrap w:val="0"/>
            <w:vAlign w:val="center"/>
          </w:tcPr>
          <w:p w14:paraId="13D8A324">
            <w:pPr>
              <w:spacing w:line="300" w:lineRule="exact"/>
              <w:jc w:val="left"/>
              <w:rPr>
                <w:rFonts w:hint="eastAsia" w:ascii="宋体" w:hAnsi="宋体" w:eastAsia="宋体" w:cs="宋体"/>
                <w:szCs w:val="21"/>
              </w:rPr>
            </w:pPr>
            <w:r>
              <w:rPr>
                <w:rFonts w:hint="eastAsia" w:ascii="宋体" w:hAnsi="宋体" w:eastAsia="宋体" w:cs="宋体"/>
                <w:szCs w:val="21"/>
              </w:rPr>
              <w:t>本项目不允许转包。</w:t>
            </w:r>
          </w:p>
        </w:tc>
      </w:tr>
      <w:tr w14:paraId="2ABC8C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04" w:type="dxa"/>
            <w:tcBorders>
              <w:top w:val="single" w:color="auto" w:sz="4" w:space="0"/>
              <w:left w:val="single" w:color="auto" w:sz="4" w:space="0"/>
              <w:bottom w:val="single" w:color="auto" w:sz="4" w:space="0"/>
              <w:right w:val="single" w:color="auto" w:sz="4" w:space="0"/>
            </w:tcBorders>
            <w:noWrap w:val="0"/>
            <w:vAlign w:val="center"/>
          </w:tcPr>
          <w:p w14:paraId="3EF8D324">
            <w:pPr>
              <w:spacing w:line="300" w:lineRule="exact"/>
              <w:jc w:val="center"/>
              <w:rPr>
                <w:rFonts w:hint="eastAsia" w:ascii="宋体" w:hAnsi="宋体" w:eastAsia="宋体" w:cs="宋体"/>
                <w:szCs w:val="21"/>
              </w:rPr>
            </w:pPr>
            <w:r>
              <w:rPr>
                <w:rFonts w:hint="eastAsia" w:ascii="宋体" w:hAnsi="宋体" w:eastAsia="宋体" w:cs="宋体"/>
                <w:b/>
                <w:szCs w:val="21"/>
              </w:rPr>
              <w:t>1.7.2</w:t>
            </w:r>
          </w:p>
        </w:tc>
        <w:tc>
          <w:tcPr>
            <w:tcW w:w="1157" w:type="dxa"/>
            <w:tcBorders>
              <w:top w:val="single" w:color="auto" w:sz="4" w:space="0"/>
              <w:left w:val="single" w:color="auto" w:sz="4" w:space="0"/>
              <w:bottom w:val="single" w:color="auto" w:sz="4" w:space="0"/>
              <w:right w:val="single" w:color="auto" w:sz="4" w:space="0"/>
            </w:tcBorders>
            <w:noWrap w:val="0"/>
            <w:vAlign w:val="center"/>
          </w:tcPr>
          <w:p w14:paraId="2E20F68D">
            <w:pPr>
              <w:spacing w:line="300" w:lineRule="exact"/>
              <w:jc w:val="center"/>
              <w:rPr>
                <w:rFonts w:hint="eastAsia" w:ascii="宋体" w:hAnsi="宋体" w:eastAsia="宋体" w:cs="宋体"/>
                <w:szCs w:val="21"/>
              </w:rPr>
            </w:pPr>
            <w:r>
              <w:rPr>
                <w:rFonts w:hint="eastAsia" w:ascii="宋体" w:hAnsi="宋体" w:eastAsia="宋体" w:cs="宋体"/>
                <w:szCs w:val="21"/>
              </w:rPr>
              <w:t>分包</w:t>
            </w:r>
          </w:p>
        </w:tc>
        <w:tc>
          <w:tcPr>
            <w:tcW w:w="6718" w:type="dxa"/>
            <w:tcBorders>
              <w:top w:val="single" w:color="auto" w:sz="4" w:space="0"/>
              <w:left w:val="single" w:color="auto" w:sz="4" w:space="0"/>
              <w:bottom w:val="single" w:color="auto" w:sz="4" w:space="0"/>
              <w:right w:val="single" w:color="auto" w:sz="4" w:space="0"/>
            </w:tcBorders>
            <w:noWrap w:val="0"/>
            <w:vAlign w:val="center"/>
          </w:tcPr>
          <w:p w14:paraId="0B490EE7">
            <w:pPr>
              <w:spacing w:line="300" w:lineRule="exact"/>
              <w:jc w:val="left"/>
              <w:rPr>
                <w:rFonts w:hint="eastAsia" w:ascii="宋体" w:hAnsi="宋体" w:eastAsia="宋体" w:cs="宋体"/>
                <w:szCs w:val="21"/>
              </w:rPr>
            </w:pPr>
            <w:r>
              <w:rPr>
                <w:rFonts w:hint="eastAsia" w:ascii="宋体" w:hAnsi="宋体" w:eastAsia="宋体" w:cs="宋体"/>
                <w:szCs w:val="21"/>
              </w:rPr>
              <w:t>是否接受分包详见磋商公告</w:t>
            </w:r>
          </w:p>
        </w:tc>
      </w:tr>
      <w:tr w14:paraId="7FE5E9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04" w:type="dxa"/>
            <w:tcBorders>
              <w:top w:val="single" w:color="auto" w:sz="4" w:space="0"/>
              <w:left w:val="single" w:color="auto" w:sz="4" w:space="0"/>
              <w:bottom w:val="single" w:color="auto" w:sz="4" w:space="0"/>
              <w:right w:val="single" w:color="auto" w:sz="4" w:space="0"/>
            </w:tcBorders>
            <w:noWrap w:val="0"/>
            <w:vAlign w:val="center"/>
          </w:tcPr>
          <w:p w14:paraId="1B8417A5">
            <w:pPr>
              <w:spacing w:line="300" w:lineRule="exact"/>
              <w:jc w:val="center"/>
              <w:rPr>
                <w:rFonts w:hint="eastAsia" w:ascii="宋体" w:hAnsi="宋体" w:eastAsia="宋体" w:cs="宋体"/>
                <w:szCs w:val="21"/>
              </w:rPr>
            </w:pPr>
            <w:r>
              <w:rPr>
                <w:rFonts w:hint="eastAsia" w:ascii="宋体" w:hAnsi="宋体" w:eastAsia="宋体" w:cs="宋体"/>
                <w:b/>
                <w:szCs w:val="21"/>
              </w:rPr>
              <w:t>2.3</w:t>
            </w:r>
          </w:p>
        </w:tc>
        <w:tc>
          <w:tcPr>
            <w:tcW w:w="1157" w:type="dxa"/>
            <w:tcBorders>
              <w:top w:val="single" w:color="auto" w:sz="4" w:space="0"/>
              <w:left w:val="single" w:color="auto" w:sz="4" w:space="0"/>
              <w:bottom w:val="single" w:color="auto" w:sz="4" w:space="0"/>
              <w:right w:val="single" w:color="auto" w:sz="4" w:space="0"/>
            </w:tcBorders>
            <w:noWrap w:val="0"/>
            <w:vAlign w:val="center"/>
          </w:tcPr>
          <w:p w14:paraId="207E6BAD">
            <w:pPr>
              <w:spacing w:line="300" w:lineRule="exact"/>
              <w:jc w:val="center"/>
              <w:rPr>
                <w:rFonts w:hint="eastAsia" w:ascii="宋体" w:hAnsi="宋体" w:eastAsia="宋体" w:cs="宋体"/>
                <w:szCs w:val="21"/>
              </w:rPr>
            </w:pPr>
            <w:r>
              <w:rPr>
                <w:rFonts w:hint="eastAsia" w:ascii="宋体" w:hAnsi="宋体" w:eastAsia="宋体" w:cs="宋体"/>
                <w:szCs w:val="21"/>
              </w:rPr>
              <w:t>采购文件澄清、修改</w:t>
            </w:r>
          </w:p>
        </w:tc>
        <w:tc>
          <w:tcPr>
            <w:tcW w:w="6718" w:type="dxa"/>
            <w:tcBorders>
              <w:top w:val="single" w:color="auto" w:sz="4" w:space="0"/>
              <w:left w:val="single" w:color="auto" w:sz="4" w:space="0"/>
              <w:bottom w:val="single" w:color="auto" w:sz="4" w:space="0"/>
              <w:right w:val="single" w:color="auto" w:sz="4" w:space="0"/>
            </w:tcBorders>
            <w:noWrap w:val="0"/>
            <w:vAlign w:val="center"/>
          </w:tcPr>
          <w:p w14:paraId="7E1A62B6">
            <w:pPr>
              <w:spacing w:line="300" w:lineRule="exact"/>
              <w:jc w:val="left"/>
              <w:rPr>
                <w:rFonts w:hint="eastAsia" w:ascii="宋体" w:hAnsi="宋体" w:eastAsia="宋体" w:cs="宋体"/>
                <w:szCs w:val="21"/>
              </w:rPr>
            </w:pPr>
            <w:r>
              <w:rPr>
                <w:rFonts w:hint="eastAsia" w:ascii="宋体" w:hAnsi="宋体" w:eastAsia="宋体" w:cs="宋体"/>
                <w:szCs w:val="21"/>
              </w:rPr>
              <w:t>在磋商公告发布媒介发布。</w:t>
            </w:r>
          </w:p>
        </w:tc>
      </w:tr>
      <w:tr w14:paraId="1EB177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04" w:type="dxa"/>
            <w:tcBorders>
              <w:top w:val="single" w:color="auto" w:sz="4" w:space="0"/>
              <w:left w:val="single" w:color="auto" w:sz="4" w:space="0"/>
              <w:bottom w:val="single" w:color="auto" w:sz="4" w:space="0"/>
              <w:right w:val="single" w:color="auto" w:sz="4" w:space="0"/>
            </w:tcBorders>
            <w:noWrap w:val="0"/>
            <w:vAlign w:val="center"/>
          </w:tcPr>
          <w:p w14:paraId="0F09976D">
            <w:pPr>
              <w:spacing w:line="300" w:lineRule="exact"/>
              <w:jc w:val="center"/>
              <w:rPr>
                <w:rFonts w:hint="eastAsia" w:ascii="宋体" w:hAnsi="宋体" w:eastAsia="宋体" w:cs="宋体"/>
                <w:b/>
                <w:szCs w:val="21"/>
              </w:rPr>
            </w:pPr>
            <w:r>
              <w:rPr>
                <w:rFonts w:hint="eastAsia" w:ascii="宋体" w:hAnsi="宋体" w:eastAsia="宋体" w:cs="宋体"/>
                <w:b/>
                <w:szCs w:val="21"/>
              </w:rPr>
              <w:t>2.3</w:t>
            </w:r>
          </w:p>
        </w:tc>
        <w:tc>
          <w:tcPr>
            <w:tcW w:w="1157" w:type="dxa"/>
            <w:tcBorders>
              <w:top w:val="single" w:color="auto" w:sz="4" w:space="0"/>
              <w:left w:val="single" w:color="auto" w:sz="4" w:space="0"/>
              <w:bottom w:val="single" w:color="auto" w:sz="4" w:space="0"/>
              <w:right w:val="single" w:color="auto" w:sz="4" w:space="0"/>
            </w:tcBorders>
            <w:noWrap w:val="0"/>
            <w:vAlign w:val="center"/>
          </w:tcPr>
          <w:p w14:paraId="0038F7B7">
            <w:pPr>
              <w:spacing w:line="300" w:lineRule="exact"/>
              <w:jc w:val="center"/>
              <w:rPr>
                <w:rFonts w:hint="eastAsia" w:ascii="宋体" w:hAnsi="宋体" w:eastAsia="宋体" w:cs="宋体"/>
                <w:szCs w:val="21"/>
              </w:rPr>
            </w:pPr>
            <w:r>
              <w:rPr>
                <w:rFonts w:hint="eastAsia" w:ascii="宋体" w:hAnsi="宋体" w:eastAsia="宋体" w:cs="宋体"/>
                <w:szCs w:val="21"/>
              </w:rPr>
              <w:t>确认收到澄清、修改发布的方式</w:t>
            </w:r>
          </w:p>
        </w:tc>
        <w:tc>
          <w:tcPr>
            <w:tcW w:w="6718" w:type="dxa"/>
            <w:tcBorders>
              <w:top w:val="single" w:color="auto" w:sz="4" w:space="0"/>
              <w:left w:val="single" w:color="auto" w:sz="4" w:space="0"/>
              <w:bottom w:val="single" w:color="auto" w:sz="4" w:space="0"/>
              <w:right w:val="single" w:color="auto" w:sz="4" w:space="0"/>
            </w:tcBorders>
            <w:noWrap w:val="0"/>
            <w:vAlign w:val="center"/>
          </w:tcPr>
          <w:p w14:paraId="37BC04F6">
            <w:pPr>
              <w:spacing w:line="300" w:lineRule="exact"/>
              <w:jc w:val="left"/>
              <w:rPr>
                <w:rFonts w:hint="eastAsia" w:ascii="宋体" w:hAnsi="宋体" w:eastAsia="宋体" w:cs="宋体"/>
                <w:szCs w:val="21"/>
              </w:rPr>
            </w:pPr>
            <w:r>
              <w:rPr>
                <w:rFonts w:hint="eastAsia" w:ascii="宋体" w:hAnsi="宋体" w:eastAsia="宋体" w:cs="宋体"/>
                <w:szCs w:val="21"/>
              </w:rPr>
              <w:t>澄清、修改文件自磋商公告发布媒体发布之日起，视为供应商已收到该澄清、修改。供应商未及时关注磋商公告发布媒体造成的损失，由供应商自行负责。</w:t>
            </w:r>
          </w:p>
        </w:tc>
      </w:tr>
      <w:tr w14:paraId="2086F5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04" w:type="dxa"/>
            <w:tcBorders>
              <w:top w:val="single" w:color="auto" w:sz="4" w:space="0"/>
              <w:left w:val="single" w:color="auto" w:sz="4" w:space="0"/>
              <w:bottom w:val="single" w:color="auto" w:sz="4" w:space="0"/>
              <w:right w:val="single" w:color="auto" w:sz="4" w:space="0"/>
            </w:tcBorders>
            <w:noWrap w:val="0"/>
            <w:vAlign w:val="center"/>
          </w:tcPr>
          <w:p w14:paraId="411E09D7">
            <w:pPr>
              <w:spacing w:line="300" w:lineRule="exact"/>
              <w:jc w:val="center"/>
              <w:rPr>
                <w:rFonts w:hint="eastAsia" w:ascii="宋体" w:hAnsi="宋体" w:eastAsia="宋体" w:cs="宋体"/>
                <w:b/>
                <w:szCs w:val="21"/>
              </w:rPr>
            </w:pPr>
            <w:r>
              <w:rPr>
                <w:rFonts w:hint="eastAsia" w:ascii="宋体" w:hAnsi="宋体" w:eastAsia="宋体" w:cs="宋体"/>
                <w:b/>
                <w:szCs w:val="21"/>
              </w:rPr>
              <w:t>3.4.1</w:t>
            </w:r>
          </w:p>
        </w:tc>
        <w:tc>
          <w:tcPr>
            <w:tcW w:w="1157" w:type="dxa"/>
            <w:tcBorders>
              <w:top w:val="single" w:color="auto" w:sz="4" w:space="0"/>
              <w:left w:val="single" w:color="auto" w:sz="4" w:space="0"/>
              <w:bottom w:val="single" w:color="auto" w:sz="4" w:space="0"/>
              <w:right w:val="single" w:color="auto" w:sz="4" w:space="0"/>
            </w:tcBorders>
            <w:noWrap w:val="0"/>
            <w:vAlign w:val="center"/>
          </w:tcPr>
          <w:p w14:paraId="6B818A4B">
            <w:pPr>
              <w:spacing w:line="300" w:lineRule="exact"/>
              <w:jc w:val="center"/>
              <w:rPr>
                <w:rFonts w:hint="eastAsia" w:ascii="宋体" w:hAnsi="宋体" w:eastAsia="宋体" w:cs="宋体"/>
                <w:szCs w:val="21"/>
              </w:rPr>
            </w:pPr>
            <w:r>
              <w:rPr>
                <w:rFonts w:hint="eastAsia" w:ascii="宋体" w:hAnsi="宋体" w:eastAsia="宋体" w:cs="宋体"/>
                <w:szCs w:val="21"/>
              </w:rPr>
              <w:t>响应有效期</w:t>
            </w:r>
          </w:p>
        </w:tc>
        <w:tc>
          <w:tcPr>
            <w:tcW w:w="6718" w:type="dxa"/>
            <w:tcBorders>
              <w:top w:val="single" w:color="auto" w:sz="4" w:space="0"/>
              <w:left w:val="single" w:color="auto" w:sz="4" w:space="0"/>
              <w:bottom w:val="single" w:color="auto" w:sz="4" w:space="0"/>
              <w:right w:val="single" w:color="auto" w:sz="4" w:space="0"/>
            </w:tcBorders>
            <w:noWrap w:val="0"/>
            <w:vAlign w:val="center"/>
          </w:tcPr>
          <w:p w14:paraId="25501855">
            <w:pPr>
              <w:spacing w:line="300" w:lineRule="exact"/>
              <w:jc w:val="left"/>
              <w:rPr>
                <w:rFonts w:hint="eastAsia" w:ascii="宋体" w:hAnsi="宋体" w:eastAsia="宋体" w:cs="宋体"/>
                <w:szCs w:val="21"/>
              </w:rPr>
            </w:pPr>
            <w:r>
              <w:rPr>
                <w:rFonts w:hint="eastAsia" w:ascii="宋体" w:hAnsi="宋体" w:eastAsia="宋体" w:cs="宋体"/>
                <w:szCs w:val="21"/>
              </w:rPr>
              <w:t>响应截止之日</w:t>
            </w:r>
            <w:r>
              <w:rPr>
                <w:rFonts w:hint="eastAsia" w:ascii="宋体" w:hAnsi="宋体" w:eastAsia="宋体" w:cs="宋体"/>
                <w:color w:val="auto"/>
                <w:szCs w:val="21"/>
              </w:rPr>
              <w:t>起90天</w:t>
            </w:r>
            <w:r>
              <w:rPr>
                <w:rFonts w:hint="eastAsia" w:ascii="宋体" w:hAnsi="宋体" w:eastAsia="宋体" w:cs="宋体"/>
                <w:szCs w:val="21"/>
              </w:rPr>
              <w:t>。</w:t>
            </w:r>
          </w:p>
        </w:tc>
      </w:tr>
      <w:tr w14:paraId="0F8143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04" w:type="dxa"/>
            <w:tcBorders>
              <w:top w:val="single" w:color="auto" w:sz="4" w:space="0"/>
              <w:left w:val="single" w:color="auto" w:sz="4" w:space="0"/>
              <w:bottom w:val="single" w:color="auto" w:sz="4" w:space="0"/>
              <w:right w:val="single" w:color="auto" w:sz="4" w:space="0"/>
            </w:tcBorders>
            <w:noWrap w:val="0"/>
            <w:vAlign w:val="center"/>
          </w:tcPr>
          <w:p w14:paraId="1FD976A0">
            <w:pPr>
              <w:spacing w:line="300" w:lineRule="exact"/>
              <w:jc w:val="center"/>
              <w:rPr>
                <w:rFonts w:hint="eastAsia" w:ascii="宋体" w:hAnsi="宋体" w:eastAsia="宋体" w:cs="宋体"/>
                <w:b/>
                <w:szCs w:val="21"/>
              </w:rPr>
            </w:pPr>
            <w:r>
              <w:rPr>
                <w:rFonts w:hint="eastAsia" w:ascii="宋体" w:hAnsi="宋体" w:eastAsia="宋体" w:cs="宋体"/>
                <w:b/>
                <w:szCs w:val="21"/>
              </w:rPr>
              <w:t>3.5</w:t>
            </w:r>
          </w:p>
        </w:tc>
        <w:tc>
          <w:tcPr>
            <w:tcW w:w="1157" w:type="dxa"/>
            <w:tcBorders>
              <w:top w:val="single" w:color="auto" w:sz="4" w:space="0"/>
              <w:left w:val="single" w:color="auto" w:sz="4" w:space="0"/>
              <w:bottom w:val="single" w:color="auto" w:sz="4" w:space="0"/>
              <w:right w:val="single" w:color="auto" w:sz="4" w:space="0"/>
            </w:tcBorders>
            <w:noWrap w:val="0"/>
            <w:vAlign w:val="center"/>
          </w:tcPr>
          <w:p w14:paraId="72A59EC7">
            <w:pPr>
              <w:spacing w:line="300" w:lineRule="exact"/>
              <w:jc w:val="center"/>
              <w:rPr>
                <w:rFonts w:hint="eastAsia" w:ascii="宋体" w:hAnsi="宋体" w:eastAsia="宋体" w:cs="宋体"/>
                <w:szCs w:val="21"/>
              </w:rPr>
            </w:pPr>
            <w:r>
              <w:rPr>
                <w:rFonts w:hint="eastAsia" w:ascii="宋体" w:hAnsi="宋体" w:eastAsia="宋体" w:cs="宋体"/>
                <w:szCs w:val="21"/>
              </w:rPr>
              <w:t>磋商保证金</w:t>
            </w:r>
          </w:p>
        </w:tc>
        <w:tc>
          <w:tcPr>
            <w:tcW w:w="6718" w:type="dxa"/>
            <w:tcBorders>
              <w:top w:val="single" w:color="auto" w:sz="4" w:space="0"/>
              <w:left w:val="single" w:color="auto" w:sz="4" w:space="0"/>
              <w:bottom w:val="single" w:color="auto" w:sz="4" w:space="0"/>
              <w:right w:val="single" w:color="auto" w:sz="4" w:space="0"/>
            </w:tcBorders>
            <w:noWrap w:val="0"/>
            <w:vAlign w:val="center"/>
          </w:tcPr>
          <w:p w14:paraId="46E1076B">
            <w:pPr>
              <w:spacing w:line="300" w:lineRule="exact"/>
              <w:jc w:val="left"/>
              <w:rPr>
                <w:rFonts w:hint="default" w:ascii="宋体" w:hAnsi="宋体" w:eastAsia="宋体" w:cs="宋体"/>
                <w:b/>
                <w:bCs/>
                <w:szCs w:val="21"/>
                <w:lang w:val="en-US" w:eastAsia="zh-CN"/>
              </w:rPr>
            </w:pPr>
            <w:r>
              <w:rPr>
                <w:rFonts w:hint="eastAsia" w:ascii="宋体" w:hAnsi="宋体" w:eastAsia="宋体" w:cs="宋体"/>
                <w:b/>
                <w:bCs/>
                <w:szCs w:val="21"/>
                <w:lang w:val="en-US" w:eastAsia="zh-CN"/>
              </w:rPr>
              <w:t>本项目不收取磋商保证金。</w:t>
            </w:r>
          </w:p>
        </w:tc>
      </w:tr>
      <w:tr w14:paraId="681084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04" w:type="dxa"/>
            <w:tcBorders>
              <w:top w:val="single" w:color="auto" w:sz="4" w:space="0"/>
              <w:left w:val="single" w:color="auto" w:sz="4" w:space="0"/>
              <w:bottom w:val="single" w:color="auto" w:sz="4" w:space="0"/>
              <w:right w:val="single" w:color="auto" w:sz="4" w:space="0"/>
            </w:tcBorders>
            <w:noWrap w:val="0"/>
            <w:vAlign w:val="center"/>
          </w:tcPr>
          <w:p w14:paraId="309FEA69">
            <w:pPr>
              <w:spacing w:line="300" w:lineRule="exact"/>
              <w:jc w:val="center"/>
              <w:rPr>
                <w:rFonts w:hint="eastAsia" w:ascii="宋体" w:hAnsi="宋体" w:eastAsia="宋体" w:cs="宋体"/>
                <w:b/>
                <w:szCs w:val="21"/>
              </w:rPr>
            </w:pPr>
            <w:r>
              <w:rPr>
                <w:rFonts w:hint="eastAsia" w:ascii="宋体" w:hAnsi="宋体" w:eastAsia="宋体" w:cs="宋体"/>
                <w:b/>
                <w:szCs w:val="21"/>
              </w:rPr>
              <w:t>3.6</w:t>
            </w:r>
          </w:p>
        </w:tc>
        <w:tc>
          <w:tcPr>
            <w:tcW w:w="1157" w:type="dxa"/>
            <w:tcBorders>
              <w:top w:val="single" w:color="auto" w:sz="4" w:space="0"/>
              <w:left w:val="single" w:color="auto" w:sz="4" w:space="0"/>
              <w:bottom w:val="single" w:color="auto" w:sz="4" w:space="0"/>
              <w:right w:val="single" w:color="auto" w:sz="4" w:space="0"/>
            </w:tcBorders>
            <w:noWrap w:val="0"/>
            <w:vAlign w:val="center"/>
          </w:tcPr>
          <w:p w14:paraId="47B973D4">
            <w:pPr>
              <w:spacing w:line="300" w:lineRule="exact"/>
              <w:jc w:val="center"/>
              <w:rPr>
                <w:rFonts w:hint="eastAsia" w:ascii="宋体" w:hAnsi="宋体" w:eastAsia="宋体" w:cs="宋体"/>
                <w:szCs w:val="21"/>
              </w:rPr>
            </w:pPr>
            <w:r>
              <w:rPr>
                <w:rFonts w:hint="eastAsia" w:ascii="宋体" w:hAnsi="宋体" w:eastAsia="宋体" w:cs="宋体"/>
                <w:szCs w:val="21"/>
              </w:rPr>
              <w:t>响应文件的编制</w:t>
            </w:r>
          </w:p>
        </w:tc>
        <w:tc>
          <w:tcPr>
            <w:tcW w:w="6718" w:type="dxa"/>
            <w:tcBorders>
              <w:top w:val="single" w:color="auto" w:sz="4" w:space="0"/>
              <w:left w:val="single" w:color="auto" w:sz="4" w:space="0"/>
              <w:bottom w:val="single" w:color="auto" w:sz="4" w:space="0"/>
              <w:right w:val="single" w:color="auto" w:sz="4" w:space="0"/>
            </w:tcBorders>
            <w:noWrap w:val="0"/>
            <w:vAlign w:val="center"/>
          </w:tcPr>
          <w:p w14:paraId="45BB32D0">
            <w:pPr>
              <w:spacing w:line="300" w:lineRule="exact"/>
              <w:jc w:val="left"/>
              <w:rPr>
                <w:rFonts w:hint="eastAsia" w:ascii="宋体" w:hAnsi="宋体" w:eastAsia="宋体" w:cs="宋体"/>
                <w:szCs w:val="21"/>
              </w:rPr>
            </w:pPr>
            <w:r>
              <w:rPr>
                <w:rFonts w:hint="eastAsia" w:ascii="宋体" w:hAnsi="宋体" w:eastAsia="宋体" w:cs="宋体"/>
                <w:szCs w:val="21"/>
              </w:rPr>
              <w:t>响应文件应按第</w:t>
            </w:r>
            <w:r>
              <w:rPr>
                <w:rFonts w:hint="eastAsia" w:ascii="宋体" w:hAnsi="宋体" w:cs="宋体"/>
                <w:szCs w:val="21"/>
                <w:lang w:val="en-US" w:eastAsia="zh-CN"/>
              </w:rPr>
              <w:t>七</w:t>
            </w:r>
            <w:r>
              <w:rPr>
                <w:rFonts w:hint="eastAsia" w:ascii="宋体" w:hAnsi="宋体" w:eastAsia="宋体" w:cs="宋体"/>
                <w:szCs w:val="21"/>
              </w:rPr>
              <w:t>章响应文件格式分别编制并使用下载的广西政府采购云平台新版客户端制作并上传。</w:t>
            </w:r>
          </w:p>
        </w:tc>
      </w:tr>
      <w:tr w14:paraId="3700A0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04" w:type="dxa"/>
            <w:tcBorders>
              <w:top w:val="single" w:color="auto" w:sz="4" w:space="0"/>
              <w:left w:val="single" w:color="auto" w:sz="4" w:space="0"/>
              <w:bottom w:val="single" w:color="auto" w:sz="4" w:space="0"/>
              <w:right w:val="single" w:color="auto" w:sz="4" w:space="0"/>
            </w:tcBorders>
            <w:noWrap w:val="0"/>
            <w:vAlign w:val="center"/>
          </w:tcPr>
          <w:p w14:paraId="7EF92C38">
            <w:pPr>
              <w:spacing w:line="300" w:lineRule="exact"/>
              <w:jc w:val="center"/>
              <w:rPr>
                <w:rFonts w:hint="eastAsia" w:ascii="宋体" w:hAnsi="宋体" w:eastAsia="宋体" w:cs="宋体"/>
                <w:b/>
                <w:szCs w:val="21"/>
              </w:rPr>
            </w:pPr>
            <w:r>
              <w:rPr>
                <w:rFonts w:hint="eastAsia" w:ascii="宋体" w:hAnsi="宋体" w:eastAsia="宋体" w:cs="宋体"/>
                <w:b/>
                <w:szCs w:val="21"/>
              </w:rPr>
              <w:t>3.7</w:t>
            </w:r>
          </w:p>
        </w:tc>
        <w:tc>
          <w:tcPr>
            <w:tcW w:w="1157" w:type="dxa"/>
            <w:tcBorders>
              <w:top w:val="single" w:color="auto" w:sz="4" w:space="0"/>
              <w:left w:val="single" w:color="auto" w:sz="4" w:space="0"/>
              <w:bottom w:val="single" w:color="auto" w:sz="4" w:space="0"/>
              <w:right w:val="single" w:color="auto" w:sz="4" w:space="0"/>
            </w:tcBorders>
            <w:noWrap w:val="0"/>
            <w:vAlign w:val="center"/>
          </w:tcPr>
          <w:p w14:paraId="45E1492F">
            <w:pPr>
              <w:spacing w:line="300" w:lineRule="exact"/>
              <w:jc w:val="center"/>
              <w:rPr>
                <w:rFonts w:hint="eastAsia" w:ascii="宋体" w:hAnsi="宋体" w:eastAsia="宋体" w:cs="宋体"/>
                <w:szCs w:val="21"/>
              </w:rPr>
            </w:pPr>
            <w:r>
              <w:rPr>
                <w:rFonts w:hint="eastAsia" w:ascii="宋体" w:hAnsi="宋体" w:eastAsia="宋体" w:cs="宋体"/>
                <w:szCs w:val="21"/>
              </w:rPr>
              <w:t>响应文件递交截止时间及截标时间</w:t>
            </w:r>
          </w:p>
        </w:tc>
        <w:tc>
          <w:tcPr>
            <w:tcW w:w="6718" w:type="dxa"/>
            <w:tcBorders>
              <w:top w:val="single" w:color="auto" w:sz="4" w:space="0"/>
              <w:left w:val="single" w:color="auto" w:sz="4" w:space="0"/>
              <w:bottom w:val="single" w:color="auto" w:sz="4" w:space="0"/>
              <w:right w:val="single" w:color="auto" w:sz="4" w:space="0"/>
            </w:tcBorders>
            <w:noWrap w:val="0"/>
            <w:vAlign w:val="center"/>
          </w:tcPr>
          <w:p w14:paraId="2086C321">
            <w:pPr>
              <w:spacing w:line="300" w:lineRule="exact"/>
              <w:jc w:val="left"/>
              <w:rPr>
                <w:rFonts w:hint="eastAsia" w:ascii="宋体" w:hAnsi="宋体" w:eastAsia="宋体" w:cs="宋体"/>
                <w:szCs w:val="21"/>
              </w:rPr>
            </w:pPr>
            <w:r>
              <w:rPr>
                <w:rFonts w:hint="eastAsia" w:ascii="宋体" w:hAnsi="宋体" w:eastAsia="宋体" w:cs="宋体"/>
                <w:kern w:val="0"/>
                <w:szCs w:val="21"/>
              </w:rPr>
              <w:t>见磋商公告要求</w:t>
            </w:r>
            <w:r>
              <w:rPr>
                <w:rFonts w:hint="eastAsia" w:ascii="宋体" w:hAnsi="宋体" w:eastAsia="宋体" w:cs="宋体"/>
                <w:szCs w:val="21"/>
              </w:rPr>
              <w:t>。</w:t>
            </w:r>
          </w:p>
        </w:tc>
      </w:tr>
      <w:tr w14:paraId="511875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04" w:type="dxa"/>
            <w:tcBorders>
              <w:top w:val="single" w:color="auto" w:sz="4" w:space="0"/>
              <w:left w:val="single" w:color="auto" w:sz="4" w:space="0"/>
              <w:bottom w:val="single" w:color="auto" w:sz="4" w:space="0"/>
              <w:right w:val="single" w:color="auto" w:sz="4" w:space="0"/>
            </w:tcBorders>
            <w:noWrap w:val="0"/>
            <w:vAlign w:val="center"/>
          </w:tcPr>
          <w:p w14:paraId="2E351A07">
            <w:pPr>
              <w:spacing w:line="300" w:lineRule="exact"/>
              <w:jc w:val="center"/>
              <w:rPr>
                <w:rFonts w:hint="eastAsia" w:ascii="宋体" w:hAnsi="宋体" w:eastAsia="宋体" w:cs="宋体"/>
                <w:b/>
                <w:szCs w:val="21"/>
              </w:rPr>
            </w:pPr>
            <w:r>
              <w:rPr>
                <w:rFonts w:hint="eastAsia" w:ascii="宋体" w:hAnsi="宋体" w:eastAsia="宋体" w:cs="宋体"/>
                <w:b/>
                <w:szCs w:val="21"/>
              </w:rPr>
              <w:t>4.2</w:t>
            </w:r>
          </w:p>
        </w:tc>
        <w:tc>
          <w:tcPr>
            <w:tcW w:w="1157" w:type="dxa"/>
            <w:tcBorders>
              <w:top w:val="single" w:color="auto" w:sz="4" w:space="0"/>
              <w:left w:val="single" w:color="auto" w:sz="4" w:space="0"/>
              <w:bottom w:val="single" w:color="auto" w:sz="4" w:space="0"/>
              <w:right w:val="single" w:color="auto" w:sz="4" w:space="0"/>
            </w:tcBorders>
            <w:noWrap w:val="0"/>
            <w:vAlign w:val="center"/>
          </w:tcPr>
          <w:p w14:paraId="03A6E514">
            <w:pPr>
              <w:spacing w:line="300" w:lineRule="exact"/>
              <w:jc w:val="center"/>
              <w:rPr>
                <w:rFonts w:hint="eastAsia" w:ascii="宋体" w:hAnsi="宋体" w:eastAsia="宋体" w:cs="宋体"/>
                <w:szCs w:val="20"/>
              </w:rPr>
            </w:pPr>
            <w:r>
              <w:rPr>
                <w:rFonts w:hint="eastAsia" w:ascii="宋体" w:hAnsi="宋体" w:eastAsia="宋体" w:cs="宋体"/>
                <w:szCs w:val="21"/>
              </w:rPr>
              <w:t>备份响应文件</w:t>
            </w:r>
          </w:p>
        </w:tc>
        <w:tc>
          <w:tcPr>
            <w:tcW w:w="6718" w:type="dxa"/>
            <w:tcBorders>
              <w:top w:val="single" w:color="auto" w:sz="4" w:space="0"/>
              <w:left w:val="single" w:color="auto" w:sz="4" w:space="0"/>
              <w:bottom w:val="single" w:color="auto" w:sz="4" w:space="0"/>
              <w:right w:val="single" w:color="auto" w:sz="4" w:space="0"/>
            </w:tcBorders>
            <w:noWrap w:val="0"/>
            <w:vAlign w:val="center"/>
          </w:tcPr>
          <w:p w14:paraId="6C8FFEB4">
            <w:pPr>
              <w:spacing w:line="276" w:lineRule="auto"/>
              <w:rPr>
                <w:rFonts w:hint="eastAsia" w:ascii="宋体" w:hAnsi="宋体" w:eastAsia="宋体" w:cs="宋体"/>
                <w:szCs w:val="21"/>
              </w:rPr>
            </w:pPr>
            <w:r>
              <w:rPr>
                <w:rFonts w:hint="eastAsia" w:ascii="宋体" w:hAnsi="宋体" w:eastAsia="宋体" w:cs="宋体"/>
                <w:szCs w:val="21"/>
              </w:rPr>
              <w:t>本</w:t>
            </w:r>
            <w:r>
              <w:rPr>
                <w:rFonts w:hint="eastAsia" w:ascii="宋体" w:hAnsi="宋体" w:eastAsia="宋体" w:cs="宋体"/>
                <w:color w:val="auto"/>
                <w:szCs w:val="21"/>
              </w:rPr>
              <w:t>项目</w:t>
            </w:r>
            <w:r>
              <w:rPr>
                <w:rFonts w:hint="eastAsia" w:ascii="宋体" w:hAnsi="宋体" w:eastAsia="宋体" w:cs="宋体"/>
                <w:color w:val="auto"/>
                <w:sz w:val="22"/>
                <w:szCs w:val="22"/>
              </w:rPr>
              <w:sym w:font="Wingdings 2" w:char="F052"/>
            </w:r>
            <w:r>
              <w:rPr>
                <w:rFonts w:hint="eastAsia" w:ascii="宋体" w:hAnsi="宋体" w:eastAsia="宋体" w:cs="宋体"/>
                <w:color w:val="auto"/>
                <w:szCs w:val="21"/>
              </w:rPr>
              <w:t>接受   □不接受备份响应文件</w:t>
            </w:r>
          </w:p>
          <w:p w14:paraId="06017F9D">
            <w:pPr>
              <w:rPr>
                <w:rFonts w:hint="eastAsia" w:ascii="宋体" w:hAnsi="宋体" w:eastAsia="宋体" w:cs="宋体"/>
                <w:szCs w:val="21"/>
              </w:rPr>
            </w:pPr>
            <w:r>
              <w:rPr>
                <w:rFonts w:hint="eastAsia" w:ascii="宋体" w:hAnsi="宋体" w:eastAsia="宋体" w:cs="宋体"/>
              </w:rPr>
              <w:t>以</w:t>
            </w:r>
            <w:r>
              <w:rPr>
                <w:rFonts w:hint="eastAsia" w:ascii="宋体" w:hAnsi="宋体" w:eastAsia="宋体" w:cs="宋体"/>
                <w:kern w:val="0"/>
                <w:szCs w:val="21"/>
              </w:rPr>
              <w:t>广西政府采购云平台</w:t>
            </w:r>
            <w:r>
              <w:rPr>
                <w:rFonts w:hint="eastAsia" w:ascii="宋体" w:hAnsi="宋体" w:eastAsia="宋体" w:cs="宋体"/>
              </w:rPr>
              <w:t>自动生成的备份文件为依据，当项目允许接受备份响应文件时，供应商才可以按规定上传备份响应文件。</w:t>
            </w:r>
          </w:p>
        </w:tc>
      </w:tr>
      <w:tr w14:paraId="3D0706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04" w:type="dxa"/>
            <w:tcBorders>
              <w:top w:val="single" w:color="auto" w:sz="4" w:space="0"/>
              <w:left w:val="single" w:color="auto" w:sz="4" w:space="0"/>
              <w:bottom w:val="single" w:color="auto" w:sz="4" w:space="0"/>
              <w:right w:val="single" w:color="auto" w:sz="4" w:space="0"/>
            </w:tcBorders>
            <w:noWrap w:val="0"/>
            <w:vAlign w:val="center"/>
          </w:tcPr>
          <w:p w14:paraId="6AC017A7">
            <w:pPr>
              <w:spacing w:line="300" w:lineRule="exact"/>
              <w:jc w:val="center"/>
              <w:rPr>
                <w:rFonts w:hint="eastAsia" w:ascii="宋体" w:hAnsi="宋体" w:eastAsia="宋体" w:cs="宋体"/>
                <w:b/>
                <w:szCs w:val="21"/>
              </w:rPr>
            </w:pPr>
            <w:r>
              <w:rPr>
                <w:rFonts w:hint="eastAsia" w:ascii="宋体" w:hAnsi="宋体" w:eastAsia="宋体" w:cs="宋体"/>
                <w:b/>
                <w:szCs w:val="21"/>
              </w:rPr>
              <w:t>4.3</w:t>
            </w:r>
          </w:p>
        </w:tc>
        <w:tc>
          <w:tcPr>
            <w:tcW w:w="1157" w:type="dxa"/>
            <w:tcBorders>
              <w:top w:val="single" w:color="auto" w:sz="4" w:space="0"/>
              <w:left w:val="single" w:color="auto" w:sz="4" w:space="0"/>
              <w:bottom w:val="single" w:color="auto" w:sz="4" w:space="0"/>
              <w:right w:val="single" w:color="auto" w:sz="4" w:space="0"/>
            </w:tcBorders>
            <w:noWrap w:val="0"/>
            <w:vAlign w:val="center"/>
          </w:tcPr>
          <w:p w14:paraId="2E163885">
            <w:pPr>
              <w:spacing w:line="300" w:lineRule="exact"/>
              <w:jc w:val="center"/>
              <w:rPr>
                <w:rFonts w:hint="eastAsia" w:ascii="宋体" w:hAnsi="宋体" w:eastAsia="宋体" w:cs="宋体"/>
                <w:szCs w:val="21"/>
              </w:rPr>
            </w:pPr>
            <w:r>
              <w:rPr>
                <w:rFonts w:hint="eastAsia" w:ascii="宋体" w:hAnsi="宋体" w:eastAsia="宋体" w:cs="宋体"/>
                <w:szCs w:val="20"/>
              </w:rPr>
              <w:t>演示</w:t>
            </w:r>
          </w:p>
        </w:tc>
        <w:tc>
          <w:tcPr>
            <w:tcW w:w="6718" w:type="dxa"/>
            <w:tcBorders>
              <w:top w:val="single" w:color="auto" w:sz="4" w:space="0"/>
              <w:left w:val="single" w:color="auto" w:sz="4" w:space="0"/>
              <w:bottom w:val="single" w:color="auto" w:sz="4" w:space="0"/>
              <w:right w:val="single" w:color="auto" w:sz="4" w:space="0"/>
            </w:tcBorders>
            <w:noWrap w:val="0"/>
            <w:vAlign w:val="center"/>
          </w:tcPr>
          <w:p w14:paraId="105B3BF7">
            <w:pPr>
              <w:spacing w:line="276" w:lineRule="auto"/>
              <w:rPr>
                <w:rFonts w:hint="eastAsia" w:ascii="宋体" w:hAnsi="宋体" w:eastAsia="宋体" w:cs="宋体"/>
                <w:color w:val="4472C4"/>
                <w:szCs w:val="21"/>
              </w:rPr>
            </w:pPr>
            <w:r>
              <w:rPr>
                <w:rFonts w:hint="eastAsia" w:ascii="宋体" w:hAnsi="宋体" w:eastAsia="宋体" w:cs="宋体"/>
                <w:szCs w:val="21"/>
              </w:rPr>
              <w:t xml:space="preserve">否  </w:t>
            </w:r>
          </w:p>
        </w:tc>
      </w:tr>
      <w:tr w14:paraId="19FDCE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04" w:type="dxa"/>
            <w:tcBorders>
              <w:top w:val="single" w:color="auto" w:sz="4" w:space="0"/>
              <w:left w:val="single" w:color="auto" w:sz="4" w:space="0"/>
              <w:bottom w:val="single" w:color="auto" w:sz="4" w:space="0"/>
              <w:right w:val="single" w:color="auto" w:sz="4" w:space="0"/>
            </w:tcBorders>
            <w:noWrap w:val="0"/>
            <w:vAlign w:val="center"/>
          </w:tcPr>
          <w:p w14:paraId="624264ED">
            <w:pPr>
              <w:spacing w:line="300" w:lineRule="exact"/>
              <w:jc w:val="center"/>
              <w:rPr>
                <w:rFonts w:hint="eastAsia" w:ascii="宋体" w:hAnsi="宋体" w:eastAsia="宋体" w:cs="宋体"/>
                <w:b/>
                <w:szCs w:val="21"/>
              </w:rPr>
            </w:pPr>
            <w:r>
              <w:rPr>
                <w:rFonts w:hint="eastAsia" w:ascii="宋体" w:hAnsi="宋体" w:eastAsia="宋体" w:cs="宋体"/>
                <w:b/>
                <w:szCs w:val="21"/>
              </w:rPr>
              <w:t>4.4</w:t>
            </w:r>
          </w:p>
        </w:tc>
        <w:tc>
          <w:tcPr>
            <w:tcW w:w="1157" w:type="dxa"/>
            <w:tcBorders>
              <w:top w:val="single" w:color="auto" w:sz="4" w:space="0"/>
              <w:left w:val="single" w:color="auto" w:sz="4" w:space="0"/>
              <w:bottom w:val="single" w:color="auto" w:sz="4" w:space="0"/>
              <w:right w:val="single" w:color="auto" w:sz="4" w:space="0"/>
            </w:tcBorders>
            <w:noWrap w:val="0"/>
            <w:vAlign w:val="center"/>
          </w:tcPr>
          <w:p w14:paraId="2A128A31">
            <w:pPr>
              <w:spacing w:line="300" w:lineRule="exact"/>
              <w:jc w:val="center"/>
              <w:rPr>
                <w:rFonts w:hint="eastAsia" w:ascii="宋体" w:hAnsi="宋体" w:eastAsia="宋体" w:cs="宋体"/>
                <w:szCs w:val="21"/>
              </w:rPr>
            </w:pPr>
            <w:r>
              <w:rPr>
                <w:rFonts w:hint="eastAsia" w:ascii="宋体" w:hAnsi="宋体" w:eastAsia="宋体" w:cs="宋体"/>
                <w:szCs w:val="20"/>
              </w:rPr>
              <w:t>样品</w:t>
            </w:r>
          </w:p>
        </w:tc>
        <w:tc>
          <w:tcPr>
            <w:tcW w:w="6718" w:type="dxa"/>
            <w:tcBorders>
              <w:top w:val="single" w:color="auto" w:sz="4" w:space="0"/>
              <w:left w:val="single" w:color="auto" w:sz="4" w:space="0"/>
              <w:bottom w:val="single" w:color="auto" w:sz="4" w:space="0"/>
              <w:right w:val="single" w:color="auto" w:sz="4" w:space="0"/>
            </w:tcBorders>
            <w:noWrap w:val="0"/>
            <w:vAlign w:val="center"/>
          </w:tcPr>
          <w:p w14:paraId="5602243D">
            <w:pPr>
              <w:spacing w:line="276" w:lineRule="auto"/>
              <w:rPr>
                <w:rFonts w:hint="eastAsia" w:ascii="宋体" w:hAnsi="宋体" w:eastAsia="宋体" w:cs="宋体"/>
                <w:szCs w:val="21"/>
              </w:rPr>
            </w:pPr>
            <w:r>
              <w:rPr>
                <w:rFonts w:hint="eastAsia" w:ascii="宋体" w:hAnsi="宋体" w:eastAsia="宋体" w:cs="宋体"/>
                <w:szCs w:val="21"/>
              </w:rPr>
              <w:t xml:space="preserve">否   </w:t>
            </w:r>
          </w:p>
        </w:tc>
      </w:tr>
      <w:tr w14:paraId="1DF037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04" w:type="dxa"/>
            <w:tcBorders>
              <w:top w:val="single" w:color="auto" w:sz="4" w:space="0"/>
              <w:left w:val="single" w:color="auto" w:sz="4" w:space="0"/>
              <w:bottom w:val="single" w:color="auto" w:sz="4" w:space="0"/>
              <w:right w:val="single" w:color="auto" w:sz="4" w:space="0"/>
            </w:tcBorders>
            <w:noWrap w:val="0"/>
            <w:vAlign w:val="center"/>
          </w:tcPr>
          <w:p w14:paraId="17AD4A31">
            <w:pPr>
              <w:spacing w:line="300" w:lineRule="exact"/>
              <w:jc w:val="center"/>
              <w:rPr>
                <w:rFonts w:hint="eastAsia" w:ascii="宋体" w:hAnsi="宋体" w:eastAsia="宋体" w:cs="宋体"/>
                <w:b/>
                <w:kern w:val="2"/>
                <w:sz w:val="21"/>
                <w:szCs w:val="21"/>
                <w:lang w:val="en-US" w:eastAsia="zh-CN" w:bidi="ar-SA"/>
              </w:rPr>
            </w:pPr>
            <w:r>
              <w:rPr>
                <w:rFonts w:hint="eastAsia" w:ascii="宋体" w:hAnsi="宋体" w:eastAsia="宋体" w:cs="宋体"/>
                <w:b/>
                <w:szCs w:val="21"/>
                <w:lang w:val="en-US" w:eastAsia="zh-CN"/>
              </w:rPr>
              <w:t>5.3.1</w:t>
            </w:r>
          </w:p>
        </w:tc>
        <w:tc>
          <w:tcPr>
            <w:tcW w:w="1157" w:type="dxa"/>
            <w:tcBorders>
              <w:top w:val="single" w:color="auto" w:sz="4" w:space="0"/>
              <w:left w:val="single" w:color="auto" w:sz="4" w:space="0"/>
              <w:bottom w:val="single" w:color="auto" w:sz="4" w:space="0"/>
              <w:right w:val="single" w:color="auto" w:sz="4" w:space="0"/>
            </w:tcBorders>
            <w:noWrap w:val="0"/>
            <w:vAlign w:val="center"/>
          </w:tcPr>
          <w:p w14:paraId="20405AF5">
            <w:pPr>
              <w:spacing w:line="300" w:lineRule="exact"/>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信用中国查询</w:t>
            </w:r>
          </w:p>
        </w:tc>
        <w:tc>
          <w:tcPr>
            <w:tcW w:w="6718" w:type="dxa"/>
            <w:tcBorders>
              <w:top w:val="single" w:color="auto" w:sz="4" w:space="0"/>
              <w:left w:val="single" w:color="auto" w:sz="4" w:space="0"/>
              <w:bottom w:val="single" w:color="auto" w:sz="4" w:space="0"/>
              <w:right w:val="single" w:color="auto" w:sz="4" w:space="0"/>
            </w:tcBorders>
            <w:noWrap w:val="0"/>
            <w:vAlign w:val="center"/>
          </w:tcPr>
          <w:p w14:paraId="1320686F">
            <w:pPr>
              <w:snapToGrid w:val="0"/>
              <w:spacing w:line="380" w:lineRule="exact"/>
              <w:rPr>
                <w:rFonts w:hint="eastAsia" w:ascii="宋体" w:hAnsi="宋体" w:eastAsia="宋体" w:cs="宋体"/>
                <w:szCs w:val="21"/>
                <w:lang w:eastAsia="zh-CN"/>
              </w:rPr>
            </w:pPr>
            <w:r>
              <w:rPr>
                <w:rFonts w:hint="eastAsia" w:ascii="宋体" w:hAnsi="宋体" w:eastAsia="宋体" w:cs="宋体"/>
                <w:szCs w:val="21"/>
                <w:lang w:eastAsia="zh-CN"/>
              </w:rPr>
              <w:t>磋商小组在资格审查结束前，对</w:t>
            </w:r>
            <w:r>
              <w:rPr>
                <w:rFonts w:hint="eastAsia" w:ascii="宋体" w:hAnsi="宋体" w:eastAsia="宋体" w:cs="宋体"/>
                <w:szCs w:val="21"/>
                <w:lang w:val="en-US" w:eastAsia="zh-CN"/>
              </w:rPr>
              <w:t>供应商</w:t>
            </w:r>
            <w:r>
              <w:rPr>
                <w:rFonts w:hint="eastAsia" w:ascii="宋体" w:hAnsi="宋体" w:eastAsia="宋体" w:cs="宋体"/>
                <w:szCs w:val="21"/>
                <w:lang w:eastAsia="zh-CN"/>
              </w:rPr>
              <w:t>进行信用查询。</w:t>
            </w:r>
          </w:p>
          <w:p w14:paraId="0E482E52">
            <w:pPr>
              <w:snapToGrid w:val="0"/>
              <w:spacing w:line="380" w:lineRule="exact"/>
              <w:rPr>
                <w:rFonts w:hint="eastAsia" w:ascii="宋体" w:hAnsi="宋体" w:eastAsia="宋体" w:cs="宋体"/>
                <w:szCs w:val="21"/>
                <w:lang w:eastAsia="zh-CN"/>
              </w:rPr>
            </w:pPr>
            <w:r>
              <w:rPr>
                <w:rFonts w:hint="eastAsia" w:ascii="宋体" w:hAnsi="宋体" w:eastAsia="宋体" w:cs="宋体"/>
                <w:szCs w:val="21"/>
                <w:lang w:eastAsia="zh-CN"/>
              </w:rPr>
              <w:t>（</w:t>
            </w:r>
            <w:r>
              <w:rPr>
                <w:rFonts w:hint="eastAsia" w:ascii="宋体" w:hAnsi="宋体" w:eastAsia="宋体" w:cs="宋体"/>
                <w:szCs w:val="21"/>
                <w:lang w:val="en-US" w:eastAsia="zh-CN"/>
              </w:rPr>
              <w:t>1</w:t>
            </w:r>
            <w:r>
              <w:rPr>
                <w:rFonts w:hint="eastAsia" w:ascii="宋体" w:hAnsi="宋体" w:eastAsia="宋体" w:cs="宋体"/>
                <w:szCs w:val="21"/>
                <w:lang w:eastAsia="zh-CN"/>
              </w:rPr>
              <w:t>）查询渠道：</w:t>
            </w:r>
            <w:r>
              <w:rPr>
                <w:rFonts w:hint="eastAsia" w:ascii="宋体" w:hAnsi="宋体" w:eastAsia="宋体" w:cs="宋体"/>
                <w:szCs w:val="21"/>
                <w:lang w:val="en-US" w:eastAsia="zh-CN"/>
              </w:rPr>
              <w:t>广西政府采购云平台</w:t>
            </w:r>
            <w:r>
              <w:rPr>
                <w:rFonts w:hint="eastAsia" w:ascii="宋体" w:hAnsi="宋体" w:eastAsia="宋体" w:cs="宋体"/>
                <w:szCs w:val="21"/>
                <w:lang w:eastAsia="zh-CN"/>
              </w:rPr>
              <w:t>“信用中国”网站(www.creditchina.gov.cn) 、中国政府采购网(www.ccgp.gov.cn)</w:t>
            </w:r>
            <w:r>
              <w:rPr>
                <w:rFonts w:hint="eastAsia" w:ascii="宋体" w:hAnsi="宋体" w:eastAsia="宋体" w:cs="宋体"/>
                <w:szCs w:val="21"/>
                <w:lang w:val="en-US" w:eastAsia="zh-CN"/>
              </w:rPr>
              <w:t>链接入口</w:t>
            </w:r>
            <w:r>
              <w:rPr>
                <w:rFonts w:hint="eastAsia" w:ascii="宋体" w:hAnsi="宋体" w:eastAsia="宋体" w:cs="宋体"/>
                <w:szCs w:val="21"/>
                <w:lang w:eastAsia="zh-CN"/>
              </w:rPr>
              <w:t>。</w:t>
            </w:r>
          </w:p>
          <w:p w14:paraId="16C6432F">
            <w:pPr>
              <w:snapToGrid w:val="0"/>
              <w:spacing w:line="380" w:lineRule="exact"/>
              <w:rPr>
                <w:rFonts w:hint="eastAsia" w:ascii="宋体" w:hAnsi="宋体" w:eastAsia="宋体" w:cs="宋体"/>
                <w:szCs w:val="21"/>
                <w:lang w:eastAsia="zh-CN"/>
              </w:rPr>
            </w:pPr>
            <w:r>
              <w:rPr>
                <w:rFonts w:hint="eastAsia" w:ascii="宋体" w:hAnsi="宋体" w:eastAsia="宋体" w:cs="宋体"/>
                <w:szCs w:val="21"/>
                <w:lang w:eastAsia="zh-CN"/>
              </w:rPr>
              <w:t>（</w:t>
            </w:r>
            <w:r>
              <w:rPr>
                <w:rFonts w:hint="eastAsia" w:ascii="宋体" w:hAnsi="宋体" w:eastAsia="宋体" w:cs="宋体"/>
                <w:szCs w:val="21"/>
                <w:lang w:val="en-US" w:eastAsia="zh-CN"/>
              </w:rPr>
              <w:t>2</w:t>
            </w:r>
            <w:r>
              <w:rPr>
                <w:rFonts w:hint="eastAsia" w:ascii="宋体" w:hAnsi="宋体" w:eastAsia="宋体" w:cs="宋体"/>
                <w:szCs w:val="21"/>
                <w:lang w:eastAsia="zh-CN"/>
              </w:rPr>
              <w:t>）信用查询截止时点：</w:t>
            </w:r>
            <w:r>
              <w:rPr>
                <w:rFonts w:hint="eastAsia" w:ascii="宋体" w:hAnsi="宋体" w:eastAsia="宋体" w:cs="宋体"/>
                <w:szCs w:val="21"/>
                <w:lang w:val="en-US" w:eastAsia="zh-CN"/>
              </w:rPr>
              <w:t>资</w:t>
            </w:r>
            <w:r>
              <w:rPr>
                <w:rFonts w:hint="eastAsia" w:ascii="宋体" w:hAnsi="宋体" w:eastAsia="宋体" w:cs="宋体"/>
                <w:szCs w:val="21"/>
                <w:lang w:eastAsia="zh-CN"/>
              </w:rPr>
              <w:t>格审查结束前</w:t>
            </w:r>
          </w:p>
          <w:p w14:paraId="653BD997">
            <w:pPr>
              <w:snapToGrid w:val="0"/>
              <w:spacing w:line="380" w:lineRule="exact"/>
              <w:rPr>
                <w:rFonts w:hint="eastAsia" w:ascii="宋体" w:hAnsi="宋体" w:eastAsia="宋体" w:cs="宋体"/>
                <w:szCs w:val="21"/>
                <w:lang w:eastAsia="zh-CN"/>
              </w:rPr>
            </w:pPr>
            <w:r>
              <w:rPr>
                <w:rFonts w:hint="eastAsia" w:ascii="宋体" w:hAnsi="宋体" w:eastAsia="宋体" w:cs="宋体"/>
                <w:szCs w:val="21"/>
                <w:lang w:eastAsia="zh-CN"/>
              </w:rPr>
              <w:t>（</w:t>
            </w:r>
            <w:r>
              <w:rPr>
                <w:rFonts w:hint="eastAsia" w:ascii="宋体" w:hAnsi="宋体" w:eastAsia="宋体" w:cs="宋体"/>
                <w:szCs w:val="21"/>
                <w:lang w:val="en-US" w:eastAsia="zh-CN"/>
              </w:rPr>
              <w:t>3</w:t>
            </w:r>
            <w:r>
              <w:rPr>
                <w:rFonts w:hint="eastAsia" w:ascii="宋体" w:hAnsi="宋体" w:eastAsia="宋体" w:cs="宋体"/>
                <w:szCs w:val="21"/>
                <w:lang w:eastAsia="zh-CN"/>
              </w:rPr>
              <w:t>）查询记录和证据留存方式：在查询网站中直接截图查询记录，截图作为在“广西政府采购云”平台作为附件上传保存。</w:t>
            </w:r>
          </w:p>
          <w:p w14:paraId="65E2EDAF">
            <w:pPr>
              <w:snapToGrid w:val="0"/>
              <w:spacing w:line="380" w:lineRule="exact"/>
              <w:rPr>
                <w:rFonts w:hint="eastAsia" w:ascii="宋体" w:hAnsi="宋体" w:eastAsia="宋体" w:cs="宋体"/>
                <w:kern w:val="2"/>
                <w:sz w:val="21"/>
                <w:szCs w:val="21"/>
                <w:lang w:val="en-US" w:eastAsia="zh-CN" w:bidi="ar-SA"/>
              </w:rPr>
            </w:pPr>
            <w:r>
              <w:rPr>
                <w:rFonts w:hint="eastAsia" w:ascii="宋体" w:hAnsi="宋体" w:eastAsia="宋体" w:cs="宋体"/>
                <w:szCs w:val="21"/>
                <w:lang w:eastAsia="zh-CN"/>
              </w:rPr>
              <w:t>（</w:t>
            </w:r>
            <w:r>
              <w:rPr>
                <w:rFonts w:hint="eastAsia" w:ascii="宋体" w:hAnsi="宋体" w:eastAsia="宋体" w:cs="宋体"/>
                <w:szCs w:val="21"/>
                <w:lang w:val="en-US" w:eastAsia="zh-CN"/>
              </w:rPr>
              <w:t>4</w:t>
            </w:r>
            <w:r>
              <w:rPr>
                <w:rFonts w:hint="eastAsia" w:ascii="宋体" w:hAnsi="宋体" w:eastAsia="宋体" w:cs="宋体"/>
                <w:szCs w:val="21"/>
                <w:lang w:eastAsia="zh-CN"/>
              </w:rPr>
              <w:t>）信用信息使用规则：对在“信用中国”网站(www.creditchina.gov.cn) 、中国政府采购网(www.ccgp.gov.cn)被列入失信被执行人、</w:t>
            </w:r>
            <w:r>
              <w:rPr>
                <w:rFonts w:hint="eastAsia" w:ascii="宋体" w:hAnsi="宋体" w:eastAsia="宋体" w:cs="宋体"/>
                <w:kern w:val="0"/>
                <w:szCs w:val="21"/>
              </w:rPr>
              <w:t>重大税收违法失信主体</w:t>
            </w:r>
            <w:r>
              <w:rPr>
                <w:rFonts w:hint="eastAsia" w:ascii="宋体" w:hAnsi="宋体" w:eastAsia="宋体" w:cs="宋体"/>
                <w:szCs w:val="21"/>
                <w:lang w:eastAsia="zh-CN"/>
              </w:rPr>
              <w:t>、政府采购严重违法失信行为记录名单及其他不符合《中华人民共和国政府采购法》第二十二条规定条件的供应商，采购人或者采购代理机构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481CD1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04" w:type="dxa"/>
            <w:tcBorders>
              <w:top w:val="single" w:color="auto" w:sz="4" w:space="0"/>
              <w:left w:val="single" w:color="auto" w:sz="4" w:space="0"/>
              <w:bottom w:val="single" w:color="auto" w:sz="4" w:space="0"/>
              <w:right w:val="single" w:color="auto" w:sz="4" w:space="0"/>
            </w:tcBorders>
            <w:noWrap w:val="0"/>
            <w:vAlign w:val="center"/>
          </w:tcPr>
          <w:p w14:paraId="4692A662">
            <w:pPr>
              <w:spacing w:line="300" w:lineRule="exact"/>
              <w:jc w:val="center"/>
              <w:rPr>
                <w:rFonts w:hint="eastAsia" w:ascii="宋体" w:hAnsi="宋体" w:eastAsia="宋体" w:cs="宋体"/>
                <w:b/>
                <w:kern w:val="2"/>
                <w:sz w:val="21"/>
                <w:szCs w:val="21"/>
                <w:lang w:val="en-US" w:eastAsia="zh-CN" w:bidi="ar-SA"/>
              </w:rPr>
            </w:pPr>
            <w:r>
              <w:rPr>
                <w:rFonts w:hint="eastAsia" w:ascii="宋体" w:hAnsi="宋体" w:eastAsia="宋体" w:cs="宋体"/>
                <w:b/>
                <w:szCs w:val="21"/>
              </w:rPr>
              <w:t>6.3.5</w:t>
            </w:r>
          </w:p>
        </w:tc>
        <w:tc>
          <w:tcPr>
            <w:tcW w:w="1157" w:type="dxa"/>
            <w:tcBorders>
              <w:top w:val="single" w:color="auto" w:sz="4" w:space="0"/>
              <w:left w:val="single" w:color="auto" w:sz="4" w:space="0"/>
              <w:bottom w:val="single" w:color="auto" w:sz="4" w:space="0"/>
              <w:right w:val="single" w:color="auto" w:sz="4" w:space="0"/>
            </w:tcBorders>
            <w:noWrap w:val="0"/>
            <w:vAlign w:val="center"/>
          </w:tcPr>
          <w:p w14:paraId="0DD76D85">
            <w:pPr>
              <w:spacing w:line="30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异常低价审查</w:t>
            </w:r>
          </w:p>
          <w:p w14:paraId="3B810C9A">
            <w:pPr>
              <w:spacing w:line="300" w:lineRule="exact"/>
              <w:jc w:val="center"/>
              <w:rPr>
                <w:rFonts w:hint="eastAsia" w:ascii="宋体" w:hAnsi="宋体" w:eastAsia="宋体" w:cs="宋体"/>
                <w:kern w:val="2"/>
                <w:sz w:val="21"/>
                <w:szCs w:val="21"/>
                <w:lang w:val="en-US" w:eastAsia="zh-CN" w:bidi="ar-SA"/>
              </w:rPr>
            </w:pPr>
          </w:p>
        </w:tc>
        <w:tc>
          <w:tcPr>
            <w:tcW w:w="6718" w:type="dxa"/>
            <w:tcBorders>
              <w:top w:val="single" w:color="auto" w:sz="4" w:space="0"/>
              <w:left w:val="single" w:color="auto" w:sz="4" w:space="0"/>
              <w:bottom w:val="single" w:color="auto" w:sz="4" w:space="0"/>
              <w:right w:val="single" w:color="auto" w:sz="4" w:space="0"/>
            </w:tcBorders>
            <w:noWrap w:val="0"/>
            <w:vAlign w:val="center"/>
          </w:tcPr>
          <w:p w14:paraId="7F4DD691">
            <w:pPr>
              <w:spacing w:line="300" w:lineRule="exact"/>
              <w:jc w:val="left"/>
              <w:rPr>
                <w:rFonts w:hint="eastAsia" w:ascii="宋体" w:hAnsi="宋体" w:eastAsia="宋体" w:cs="宋体"/>
                <w:szCs w:val="21"/>
                <w:lang w:val="en-US" w:eastAsia="zh-CN"/>
              </w:rPr>
            </w:pPr>
            <w:r>
              <w:rPr>
                <w:rFonts w:hint="eastAsia" w:ascii="宋体" w:hAnsi="宋体" w:eastAsia="宋体" w:cs="宋体"/>
                <w:szCs w:val="21"/>
                <w:lang w:val="en-US" w:eastAsia="zh-CN"/>
              </w:rPr>
              <w:t>评审中出现下列情形之一的，评审委员会应当启动异常低价响应审查程序：</w:t>
            </w:r>
          </w:p>
          <w:p w14:paraId="44C18D12">
            <w:pPr>
              <w:spacing w:line="276" w:lineRule="auto"/>
              <w:rPr>
                <w:rFonts w:hint="eastAsia" w:ascii="宋体" w:hAnsi="宋体" w:eastAsia="宋体" w:cs="宋体"/>
                <w:szCs w:val="21"/>
                <w:lang w:val="en-US" w:eastAsia="zh-CN"/>
              </w:rPr>
            </w:pPr>
            <w:r>
              <w:rPr>
                <w:rFonts w:hint="eastAsia" w:ascii="宋体" w:hAnsi="宋体" w:eastAsia="宋体" w:cs="宋体"/>
                <w:szCs w:val="21"/>
                <w:lang w:val="en-US" w:eastAsia="zh-CN"/>
              </w:rPr>
              <w:t>（1）投标（响应）报价低于全部通过符合性审查供应商投标（响应）报价平均值50%的，即投标（响应）报价&lt;全部通过符合性审查供应商投标（响应）报价平均值×50%；</w:t>
            </w:r>
          </w:p>
          <w:p w14:paraId="328BF5FA">
            <w:pPr>
              <w:spacing w:line="276" w:lineRule="auto"/>
              <w:rPr>
                <w:rFonts w:hint="eastAsia" w:ascii="宋体" w:hAnsi="宋体" w:eastAsia="宋体" w:cs="宋体"/>
                <w:szCs w:val="21"/>
                <w:lang w:val="en-US" w:eastAsia="zh-CN"/>
              </w:rPr>
            </w:pPr>
            <w:r>
              <w:rPr>
                <w:rFonts w:hint="eastAsia" w:ascii="宋体" w:hAnsi="宋体" w:eastAsia="宋体" w:cs="宋体"/>
                <w:szCs w:val="21"/>
                <w:lang w:val="en-US" w:eastAsia="zh-CN"/>
              </w:rPr>
              <w:t>（2）投标（响应）报价低于通过符合性审查的次低报价供应商投标（响应）报价50%的，即投标（响应）报价&lt;通过符合性审查的次低报价供应商投标（响应）报价×50%；</w:t>
            </w:r>
          </w:p>
          <w:p w14:paraId="439C0F6E">
            <w:pPr>
              <w:spacing w:line="276" w:lineRule="auto"/>
              <w:rPr>
                <w:rFonts w:hint="eastAsia" w:ascii="宋体" w:hAnsi="宋体" w:eastAsia="宋体" w:cs="宋体"/>
                <w:szCs w:val="21"/>
                <w:lang w:val="en-US" w:eastAsia="zh-CN"/>
              </w:rPr>
            </w:pPr>
            <w:r>
              <w:rPr>
                <w:rFonts w:hint="eastAsia" w:ascii="宋体" w:hAnsi="宋体" w:eastAsia="宋体" w:cs="宋体"/>
                <w:szCs w:val="21"/>
                <w:lang w:val="en-US" w:eastAsia="zh-CN"/>
              </w:rPr>
              <w:t>（3）投标（响应）报价低于采购项目最高限价45%的，即投标（响应）报价&lt;采购项目最高限价×45%；</w:t>
            </w:r>
          </w:p>
          <w:p w14:paraId="65E191CE">
            <w:pPr>
              <w:spacing w:line="276" w:lineRule="auto"/>
              <w:rPr>
                <w:rFonts w:hint="eastAsia" w:ascii="宋体" w:hAnsi="宋体" w:eastAsia="宋体" w:cs="宋体"/>
                <w:color w:val="4472C4"/>
                <w:kern w:val="2"/>
                <w:sz w:val="22"/>
                <w:szCs w:val="22"/>
                <w:lang w:val="en-US" w:eastAsia="zh-CN" w:bidi="ar-SA"/>
              </w:rPr>
            </w:pPr>
            <w:r>
              <w:rPr>
                <w:rFonts w:hint="eastAsia" w:ascii="宋体" w:hAnsi="宋体" w:eastAsia="宋体" w:cs="宋体"/>
                <w:szCs w:val="21"/>
                <w:lang w:val="en-US" w:eastAsia="zh-CN"/>
              </w:rPr>
              <w:t>（4）评审委员会基于专业判断，认为供应商报价过低，有可能影响产品质量或者不能诚信履约的其他情形。</w:t>
            </w:r>
          </w:p>
        </w:tc>
      </w:tr>
      <w:tr w14:paraId="09DAF9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04" w:type="dxa"/>
            <w:tcBorders>
              <w:top w:val="single" w:color="auto" w:sz="4" w:space="0"/>
              <w:left w:val="single" w:color="auto" w:sz="4" w:space="0"/>
              <w:bottom w:val="single" w:color="auto" w:sz="4" w:space="0"/>
              <w:right w:val="single" w:color="auto" w:sz="4" w:space="0"/>
            </w:tcBorders>
            <w:noWrap w:val="0"/>
            <w:vAlign w:val="center"/>
          </w:tcPr>
          <w:p w14:paraId="4B6FDDEC">
            <w:pPr>
              <w:spacing w:line="300" w:lineRule="exact"/>
              <w:jc w:val="center"/>
              <w:rPr>
                <w:rFonts w:hint="eastAsia" w:ascii="宋体" w:hAnsi="宋体" w:eastAsia="宋体" w:cs="宋体"/>
                <w:b/>
                <w:szCs w:val="21"/>
              </w:rPr>
            </w:pPr>
            <w:r>
              <w:rPr>
                <w:rFonts w:hint="eastAsia" w:ascii="宋体" w:hAnsi="宋体" w:eastAsia="宋体" w:cs="宋体"/>
                <w:b/>
                <w:szCs w:val="21"/>
              </w:rPr>
              <w:t>6.5.1</w:t>
            </w:r>
          </w:p>
        </w:tc>
        <w:tc>
          <w:tcPr>
            <w:tcW w:w="1157" w:type="dxa"/>
            <w:tcBorders>
              <w:top w:val="single" w:color="auto" w:sz="4" w:space="0"/>
              <w:left w:val="single" w:color="auto" w:sz="4" w:space="0"/>
              <w:bottom w:val="single" w:color="auto" w:sz="4" w:space="0"/>
              <w:right w:val="single" w:color="auto" w:sz="4" w:space="0"/>
            </w:tcBorders>
            <w:noWrap w:val="0"/>
            <w:vAlign w:val="center"/>
          </w:tcPr>
          <w:p w14:paraId="6EB8C77D">
            <w:pPr>
              <w:spacing w:line="300" w:lineRule="exact"/>
              <w:jc w:val="center"/>
              <w:rPr>
                <w:rFonts w:hint="eastAsia" w:ascii="宋体" w:hAnsi="宋体" w:eastAsia="宋体" w:cs="宋体"/>
                <w:szCs w:val="21"/>
              </w:rPr>
            </w:pPr>
            <w:r>
              <w:rPr>
                <w:rFonts w:hint="eastAsia" w:ascii="宋体" w:hAnsi="宋体" w:eastAsia="宋体" w:cs="宋体"/>
                <w:szCs w:val="21"/>
              </w:rPr>
              <w:t>结果公告</w:t>
            </w:r>
          </w:p>
        </w:tc>
        <w:tc>
          <w:tcPr>
            <w:tcW w:w="6718" w:type="dxa"/>
            <w:tcBorders>
              <w:top w:val="single" w:color="auto" w:sz="4" w:space="0"/>
              <w:left w:val="single" w:color="auto" w:sz="4" w:space="0"/>
              <w:bottom w:val="single" w:color="auto" w:sz="4" w:space="0"/>
              <w:right w:val="single" w:color="auto" w:sz="4" w:space="0"/>
            </w:tcBorders>
            <w:noWrap w:val="0"/>
            <w:vAlign w:val="center"/>
          </w:tcPr>
          <w:p w14:paraId="30596CE1">
            <w:pPr>
              <w:spacing w:line="300" w:lineRule="exact"/>
              <w:jc w:val="left"/>
              <w:rPr>
                <w:rFonts w:hint="eastAsia" w:ascii="宋体" w:hAnsi="宋体" w:eastAsia="宋体" w:cs="宋体"/>
                <w:szCs w:val="21"/>
              </w:rPr>
            </w:pPr>
            <w:r>
              <w:rPr>
                <w:rFonts w:hint="eastAsia" w:ascii="宋体" w:hAnsi="宋体" w:eastAsia="宋体" w:cs="宋体"/>
                <w:szCs w:val="21"/>
              </w:rPr>
              <w:t>采购代理机构在采购人依法确认成交供应商后2个工作日内在磋商公告发布的媒体上发布结果公告。</w:t>
            </w:r>
          </w:p>
        </w:tc>
      </w:tr>
      <w:tr w14:paraId="7BC496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04" w:type="dxa"/>
            <w:tcBorders>
              <w:top w:val="single" w:color="auto" w:sz="4" w:space="0"/>
              <w:left w:val="single" w:color="auto" w:sz="4" w:space="0"/>
              <w:bottom w:val="single" w:color="auto" w:sz="4" w:space="0"/>
              <w:right w:val="single" w:color="auto" w:sz="4" w:space="0"/>
            </w:tcBorders>
            <w:noWrap w:val="0"/>
            <w:vAlign w:val="center"/>
          </w:tcPr>
          <w:p w14:paraId="74BAFAA9">
            <w:pPr>
              <w:spacing w:line="300" w:lineRule="exact"/>
              <w:jc w:val="center"/>
              <w:rPr>
                <w:rFonts w:hint="eastAsia" w:ascii="宋体" w:hAnsi="宋体" w:eastAsia="宋体" w:cs="宋体"/>
                <w:b/>
                <w:szCs w:val="21"/>
              </w:rPr>
            </w:pPr>
            <w:r>
              <w:rPr>
                <w:rFonts w:hint="eastAsia" w:ascii="宋体" w:hAnsi="宋体" w:eastAsia="宋体" w:cs="宋体"/>
                <w:b/>
                <w:szCs w:val="21"/>
              </w:rPr>
              <w:t>6.5.2</w:t>
            </w:r>
          </w:p>
        </w:tc>
        <w:tc>
          <w:tcPr>
            <w:tcW w:w="1157" w:type="dxa"/>
            <w:tcBorders>
              <w:top w:val="single" w:color="auto" w:sz="4" w:space="0"/>
              <w:left w:val="single" w:color="auto" w:sz="4" w:space="0"/>
              <w:bottom w:val="single" w:color="auto" w:sz="4" w:space="0"/>
              <w:right w:val="single" w:color="auto" w:sz="4" w:space="0"/>
            </w:tcBorders>
            <w:noWrap w:val="0"/>
            <w:vAlign w:val="center"/>
          </w:tcPr>
          <w:p w14:paraId="651D17FC">
            <w:pPr>
              <w:spacing w:line="300" w:lineRule="exact"/>
              <w:jc w:val="center"/>
              <w:rPr>
                <w:rFonts w:hint="eastAsia" w:ascii="宋体" w:hAnsi="宋体" w:eastAsia="宋体" w:cs="宋体"/>
                <w:szCs w:val="21"/>
              </w:rPr>
            </w:pPr>
            <w:r>
              <w:rPr>
                <w:rFonts w:hint="eastAsia" w:ascii="宋体" w:hAnsi="宋体" w:eastAsia="宋体" w:cs="宋体"/>
                <w:szCs w:val="21"/>
              </w:rPr>
              <w:t>成交通知书</w:t>
            </w:r>
          </w:p>
        </w:tc>
        <w:tc>
          <w:tcPr>
            <w:tcW w:w="6718" w:type="dxa"/>
            <w:tcBorders>
              <w:top w:val="single" w:color="auto" w:sz="4" w:space="0"/>
              <w:left w:val="single" w:color="auto" w:sz="4" w:space="0"/>
              <w:bottom w:val="single" w:color="auto" w:sz="4" w:space="0"/>
              <w:right w:val="single" w:color="auto" w:sz="4" w:space="0"/>
            </w:tcBorders>
            <w:noWrap w:val="0"/>
            <w:vAlign w:val="center"/>
          </w:tcPr>
          <w:p w14:paraId="3A4268D1">
            <w:pPr>
              <w:spacing w:line="300" w:lineRule="exact"/>
              <w:jc w:val="left"/>
              <w:rPr>
                <w:rFonts w:hint="eastAsia" w:ascii="宋体" w:hAnsi="宋体" w:eastAsia="宋体" w:cs="宋体"/>
                <w:szCs w:val="21"/>
              </w:rPr>
            </w:pPr>
            <w:r>
              <w:rPr>
                <w:rFonts w:hint="eastAsia" w:ascii="宋体" w:hAnsi="宋体" w:eastAsia="宋体" w:cs="宋体"/>
                <w:szCs w:val="21"/>
              </w:rPr>
              <w:t>采购代理机构通过广西政府采购云平台发出成交通知书。</w:t>
            </w:r>
          </w:p>
          <w:p w14:paraId="7D1E01F9">
            <w:pPr>
              <w:spacing w:line="300" w:lineRule="exact"/>
              <w:jc w:val="left"/>
              <w:rPr>
                <w:rFonts w:hint="eastAsia" w:ascii="宋体" w:hAnsi="宋体" w:eastAsia="宋体" w:cs="宋体"/>
                <w:szCs w:val="21"/>
              </w:rPr>
            </w:pPr>
            <w:r>
              <w:rPr>
                <w:rFonts w:hint="eastAsia" w:ascii="宋体" w:hAnsi="宋体" w:eastAsia="宋体" w:cs="宋体"/>
                <w:szCs w:val="21"/>
              </w:rPr>
              <w:t>成交通知书在广西政府采购云平台推送之日起，视为成交供应商已收到，成交供应商自行承担未及时查收的后果。</w:t>
            </w:r>
          </w:p>
        </w:tc>
      </w:tr>
      <w:tr w14:paraId="649737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04" w:type="dxa"/>
            <w:tcBorders>
              <w:top w:val="single" w:color="auto" w:sz="4" w:space="0"/>
              <w:left w:val="single" w:color="auto" w:sz="4" w:space="0"/>
              <w:bottom w:val="single" w:color="auto" w:sz="4" w:space="0"/>
              <w:right w:val="single" w:color="auto" w:sz="4" w:space="0"/>
            </w:tcBorders>
            <w:noWrap w:val="0"/>
            <w:vAlign w:val="center"/>
          </w:tcPr>
          <w:p w14:paraId="2F6CE2A5">
            <w:pPr>
              <w:spacing w:line="300" w:lineRule="exact"/>
              <w:jc w:val="center"/>
              <w:rPr>
                <w:rFonts w:hint="eastAsia" w:ascii="宋体" w:hAnsi="宋体" w:eastAsia="宋体" w:cs="宋体"/>
                <w:b/>
                <w:szCs w:val="21"/>
              </w:rPr>
            </w:pPr>
            <w:r>
              <w:rPr>
                <w:rFonts w:hint="eastAsia" w:ascii="宋体" w:hAnsi="宋体" w:eastAsia="宋体" w:cs="宋体"/>
                <w:b/>
                <w:szCs w:val="21"/>
              </w:rPr>
              <w:t>7.2</w:t>
            </w:r>
          </w:p>
        </w:tc>
        <w:tc>
          <w:tcPr>
            <w:tcW w:w="1157" w:type="dxa"/>
            <w:tcBorders>
              <w:top w:val="single" w:color="auto" w:sz="4" w:space="0"/>
              <w:left w:val="single" w:color="auto" w:sz="4" w:space="0"/>
              <w:bottom w:val="single" w:color="auto" w:sz="4" w:space="0"/>
              <w:right w:val="single" w:color="auto" w:sz="4" w:space="0"/>
            </w:tcBorders>
            <w:noWrap w:val="0"/>
            <w:vAlign w:val="center"/>
          </w:tcPr>
          <w:p w14:paraId="15CC1591">
            <w:pPr>
              <w:spacing w:line="300" w:lineRule="exact"/>
              <w:jc w:val="center"/>
              <w:rPr>
                <w:rFonts w:hint="eastAsia" w:ascii="宋体" w:hAnsi="宋体" w:eastAsia="宋体" w:cs="宋体"/>
                <w:szCs w:val="21"/>
                <w:highlight w:val="lightGray"/>
              </w:rPr>
            </w:pPr>
            <w:r>
              <w:rPr>
                <w:rFonts w:hint="eastAsia" w:ascii="宋体" w:hAnsi="宋体" w:eastAsia="宋体" w:cs="宋体"/>
                <w:szCs w:val="21"/>
              </w:rPr>
              <w:t>合同签订</w:t>
            </w:r>
          </w:p>
        </w:tc>
        <w:tc>
          <w:tcPr>
            <w:tcW w:w="6718" w:type="dxa"/>
            <w:tcBorders>
              <w:top w:val="single" w:color="auto" w:sz="4" w:space="0"/>
              <w:left w:val="single" w:color="auto" w:sz="4" w:space="0"/>
              <w:bottom w:val="single" w:color="auto" w:sz="4" w:space="0"/>
              <w:right w:val="single" w:color="auto" w:sz="4" w:space="0"/>
            </w:tcBorders>
            <w:noWrap w:val="0"/>
            <w:vAlign w:val="center"/>
          </w:tcPr>
          <w:p w14:paraId="50595B05">
            <w:pPr>
              <w:rPr>
                <w:rFonts w:hint="eastAsia" w:ascii="宋体" w:hAnsi="宋体" w:eastAsia="宋体" w:cs="宋体"/>
                <w:szCs w:val="21"/>
                <w:highlight w:val="lightGray"/>
              </w:rPr>
            </w:pPr>
            <w:r>
              <w:rPr>
                <w:rFonts w:hint="eastAsia" w:ascii="宋体" w:hAnsi="宋体" w:eastAsia="宋体" w:cs="宋体"/>
                <w:szCs w:val="21"/>
              </w:rPr>
              <w:t>采购人应当自成交通知书发</w:t>
            </w:r>
            <w:r>
              <w:rPr>
                <w:rFonts w:hint="eastAsia" w:ascii="宋体" w:hAnsi="宋体" w:eastAsia="宋体" w:cs="宋体"/>
                <w:color w:val="auto"/>
                <w:szCs w:val="21"/>
              </w:rPr>
              <w:t>出之日起</w:t>
            </w:r>
            <w:r>
              <w:rPr>
                <w:rFonts w:hint="eastAsia" w:ascii="宋体" w:hAnsi="宋体" w:eastAsia="宋体" w:cs="宋体"/>
                <w:color w:val="auto"/>
                <w:szCs w:val="21"/>
                <w:lang w:val="en-US" w:eastAsia="zh-CN"/>
              </w:rPr>
              <w:t>25</w:t>
            </w:r>
            <w:r>
              <w:rPr>
                <w:rFonts w:hint="eastAsia" w:ascii="宋体" w:hAnsi="宋体" w:eastAsia="宋体" w:cs="宋体"/>
                <w:color w:val="auto"/>
                <w:szCs w:val="21"/>
              </w:rPr>
              <w:t>日内</w:t>
            </w:r>
            <w:r>
              <w:rPr>
                <w:rFonts w:hint="eastAsia" w:ascii="宋体" w:hAnsi="宋体" w:eastAsia="宋体" w:cs="宋体"/>
                <w:szCs w:val="21"/>
              </w:rPr>
              <w:t>，按照采购文件和成交供应商响应文件的规定，与成交供应商签订书面合同。</w:t>
            </w:r>
          </w:p>
        </w:tc>
      </w:tr>
      <w:tr w14:paraId="7EA885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304" w:type="dxa"/>
            <w:tcBorders>
              <w:top w:val="single" w:color="auto" w:sz="4" w:space="0"/>
              <w:left w:val="single" w:color="auto" w:sz="4" w:space="0"/>
              <w:bottom w:val="single" w:color="auto" w:sz="4" w:space="0"/>
              <w:right w:val="single" w:color="auto" w:sz="4" w:space="0"/>
            </w:tcBorders>
            <w:noWrap w:val="0"/>
            <w:vAlign w:val="center"/>
          </w:tcPr>
          <w:p w14:paraId="4E52CE82">
            <w:pPr>
              <w:spacing w:line="300" w:lineRule="exact"/>
              <w:jc w:val="center"/>
              <w:rPr>
                <w:rFonts w:hint="eastAsia" w:ascii="宋体" w:hAnsi="宋体" w:eastAsia="宋体" w:cs="宋体"/>
                <w:b/>
                <w:szCs w:val="21"/>
              </w:rPr>
            </w:pPr>
            <w:r>
              <w:rPr>
                <w:rFonts w:hint="eastAsia" w:ascii="宋体" w:hAnsi="宋体" w:eastAsia="宋体" w:cs="宋体"/>
                <w:b/>
                <w:szCs w:val="21"/>
              </w:rPr>
              <w:t>8.1</w:t>
            </w:r>
          </w:p>
        </w:tc>
        <w:tc>
          <w:tcPr>
            <w:tcW w:w="1157" w:type="dxa"/>
            <w:tcBorders>
              <w:top w:val="single" w:color="auto" w:sz="4" w:space="0"/>
              <w:left w:val="single" w:color="auto" w:sz="4" w:space="0"/>
              <w:bottom w:val="single" w:color="auto" w:sz="4" w:space="0"/>
              <w:right w:val="single" w:color="auto" w:sz="4" w:space="0"/>
            </w:tcBorders>
            <w:noWrap w:val="0"/>
            <w:vAlign w:val="center"/>
          </w:tcPr>
          <w:p w14:paraId="2D0B97CC">
            <w:pPr>
              <w:spacing w:line="300" w:lineRule="exact"/>
              <w:jc w:val="center"/>
              <w:rPr>
                <w:rFonts w:hint="eastAsia" w:ascii="宋体" w:hAnsi="宋体" w:eastAsia="宋体" w:cs="宋体"/>
                <w:szCs w:val="21"/>
              </w:rPr>
            </w:pPr>
            <w:r>
              <w:rPr>
                <w:rFonts w:hint="eastAsia" w:ascii="宋体" w:hAnsi="宋体" w:eastAsia="宋体" w:cs="宋体"/>
                <w:szCs w:val="21"/>
              </w:rPr>
              <w:t>质疑</w:t>
            </w:r>
          </w:p>
        </w:tc>
        <w:tc>
          <w:tcPr>
            <w:tcW w:w="6718" w:type="dxa"/>
            <w:tcBorders>
              <w:top w:val="single" w:color="auto" w:sz="4" w:space="0"/>
              <w:left w:val="single" w:color="auto" w:sz="4" w:space="0"/>
              <w:bottom w:val="single" w:color="auto" w:sz="4" w:space="0"/>
              <w:right w:val="single" w:color="auto" w:sz="4" w:space="0"/>
            </w:tcBorders>
            <w:noWrap w:val="0"/>
            <w:vAlign w:val="center"/>
          </w:tcPr>
          <w:p w14:paraId="635A5D62">
            <w:pPr>
              <w:spacing w:line="300" w:lineRule="exact"/>
              <w:jc w:val="left"/>
              <w:rPr>
                <w:rFonts w:hint="eastAsia" w:ascii="宋体" w:hAnsi="宋体" w:eastAsia="宋体" w:cs="宋体"/>
                <w:szCs w:val="21"/>
              </w:rPr>
            </w:pPr>
            <w:r>
              <w:rPr>
                <w:rFonts w:hint="eastAsia" w:ascii="宋体" w:hAnsi="宋体" w:eastAsia="宋体" w:cs="宋体"/>
                <w:szCs w:val="21"/>
              </w:rPr>
              <w:t>（1）供应商认为采购文件、采购过程、中标或者成交结果使自己的权益受到损害的，可以在知道或者应知其权益受到损害之日起7个工作日内，通过以下方式向采购人、采购代理机构提出质疑。提出质疑的供应商必须是参与本项目采购活动的供应商，并须在法定质疑期内一次性提出针对同一采购程序环节的质疑。质疑函应使用财政部发布的政府采购供应商质疑函范本，并应按照“质疑函制作说明”进行制作。</w:t>
            </w:r>
          </w:p>
          <w:p w14:paraId="3D128C32">
            <w:pPr>
              <w:spacing w:line="300" w:lineRule="exact"/>
              <w:jc w:val="left"/>
              <w:rPr>
                <w:rFonts w:hint="eastAsia" w:ascii="宋体" w:hAnsi="宋体" w:eastAsia="宋体" w:cs="宋体"/>
                <w:szCs w:val="21"/>
              </w:rPr>
            </w:pPr>
            <w:r>
              <w:rPr>
                <w:rFonts w:hint="eastAsia" w:ascii="宋体" w:hAnsi="宋体" w:eastAsia="宋体" w:cs="宋体"/>
                <w:szCs w:val="21"/>
              </w:rPr>
              <w:t>（2）本项目不接受传真、移动通信、广西政府采购云平台等方式送达的质疑材料，供应商可通过现场或邮寄方式递交书面质疑材料。供应商应于质疑有效期内将质疑函原件递交或邮寄至磋商公告中采购代理机构信息中的联系人。</w:t>
            </w:r>
          </w:p>
        </w:tc>
      </w:tr>
      <w:tr w14:paraId="6F65B5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04" w:type="dxa"/>
            <w:tcBorders>
              <w:top w:val="single" w:color="auto" w:sz="4" w:space="0"/>
              <w:left w:val="single" w:color="auto" w:sz="4" w:space="0"/>
              <w:bottom w:val="single" w:color="auto" w:sz="4" w:space="0"/>
              <w:right w:val="single" w:color="auto" w:sz="4" w:space="0"/>
            </w:tcBorders>
            <w:noWrap w:val="0"/>
            <w:vAlign w:val="center"/>
          </w:tcPr>
          <w:p w14:paraId="4E4B5264">
            <w:pPr>
              <w:spacing w:line="300" w:lineRule="exact"/>
              <w:jc w:val="center"/>
              <w:rPr>
                <w:rFonts w:hint="eastAsia" w:ascii="宋体" w:hAnsi="宋体" w:eastAsia="宋体" w:cs="宋体"/>
                <w:szCs w:val="21"/>
              </w:rPr>
            </w:pPr>
            <w:r>
              <w:rPr>
                <w:rFonts w:hint="eastAsia" w:ascii="宋体" w:hAnsi="宋体" w:eastAsia="宋体" w:cs="宋体"/>
                <w:b/>
                <w:szCs w:val="21"/>
              </w:rPr>
              <w:t>9.1</w:t>
            </w:r>
          </w:p>
        </w:tc>
        <w:tc>
          <w:tcPr>
            <w:tcW w:w="1157" w:type="dxa"/>
            <w:tcBorders>
              <w:top w:val="single" w:color="auto" w:sz="4" w:space="0"/>
              <w:left w:val="single" w:color="auto" w:sz="4" w:space="0"/>
              <w:bottom w:val="single" w:color="auto" w:sz="4" w:space="0"/>
              <w:right w:val="single" w:color="auto" w:sz="4" w:space="0"/>
            </w:tcBorders>
            <w:noWrap w:val="0"/>
            <w:vAlign w:val="center"/>
          </w:tcPr>
          <w:p w14:paraId="3FB5FCBA">
            <w:pPr>
              <w:spacing w:line="300" w:lineRule="exact"/>
              <w:jc w:val="center"/>
              <w:rPr>
                <w:rFonts w:hint="eastAsia" w:ascii="宋体" w:hAnsi="宋体" w:eastAsia="宋体" w:cs="宋体"/>
                <w:szCs w:val="21"/>
              </w:rPr>
            </w:pPr>
            <w:r>
              <w:rPr>
                <w:rFonts w:hint="eastAsia" w:ascii="宋体" w:hAnsi="宋体" w:eastAsia="宋体" w:cs="宋体"/>
                <w:szCs w:val="20"/>
              </w:rPr>
              <w:t>代理服务费</w:t>
            </w:r>
          </w:p>
        </w:tc>
        <w:tc>
          <w:tcPr>
            <w:tcW w:w="6718" w:type="dxa"/>
            <w:tcBorders>
              <w:top w:val="single" w:color="auto" w:sz="4" w:space="0"/>
              <w:left w:val="single" w:color="auto" w:sz="4" w:space="0"/>
              <w:bottom w:val="single" w:color="auto" w:sz="4" w:space="0"/>
              <w:right w:val="single" w:color="auto" w:sz="4" w:space="0"/>
            </w:tcBorders>
            <w:noWrap w:val="0"/>
            <w:vAlign w:val="center"/>
          </w:tcPr>
          <w:p w14:paraId="3656A236">
            <w:pPr>
              <w:rPr>
                <w:rFonts w:hint="eastAsia" w:ascii="宋体" w:hAnsi="宋体" w:eastAsia="宋体" w:cs="宋体"/>
                <w:szCs w:val="21"/>
              </w:rPr>
            </w:pPr>
            <w:r>
              <w:rPr>
                <w:rFonts w:hint="eastAsia" w:ascii="宋体" w:hAnsi="宋体" w:eastAsia="宋体" w:cs="宋体"/>
                <w:szCs w:val="21"/>
              </w:rPr>
              <w:t>（1）代理服务费</w:t>
            </w:r>
          </w:p>
          <w:p w14:paraId="586415EF">
            <w:pPr>
              <w:spacing w:line="300" w:lineRule="exact"/>
              <w:jc w:val="left"/>
              <w:rPr>
                <w:rFonts w:hint="eastAsia" w:ascii="宋体" w:hAnsi="宋体" w:eastAsia="宋体" w:cs="宋体"/>
                <w:szCs w:val="21"/>
              </w:rPr>
            </w:pPr>
            <w:r>
              <w:rPr>
                <w:rFonts w:hint="eastAsia" w:ascii="宋体" w:hAnsi="宋体" w:eastAsia="宋体" w:cs="宋体"/>
                <w:szCs w:val="21"/>
              </w:rPr>
              <w:sym w:font="Wingdings 2" w:char="F052"/>
            </w:r>
            <w:r>
              <w:rPr>
                <w:rFonts w:hint="eastAsia" w:ascii="宋体" w:hAnsi="宋体" w:eastAsia="宋体" w:cs="宋体"/>
                <w:szCs w:val="21"/>
              </w:rPr>
              <w:t>采购代理机构向成交供应商收取代理服务费。本项目代理服务费按照《招标代理服务费管理暂行办法》 (计价格﹝2002﹞1980号)、《国家发展改革委关于降低部分建设项目收费标准规范收费行为等有关问题的通知》(发改价格﹝2011﹞534号)的规定采用差额定率累进法</w:t>
            </w:r>
            <w:r>
              <w:rPr>
                <w:rFonts w:hint="eastAsia" w:ascii="宋体" w:hAnsi="宋体" w:eastAsia="宋体" w:cs="宋体"/>
                <w:szCs w:val="21"/>
                <w:highlight w:val="none"/>
                <w:lang w:val="en-US" w:eastAsia="zh-CN"/>
              </w:rPr>
              <w:t>下浮30%</w:t>
            </w:r>
            <w:r>
              <w:rPr>
                <w:rFonts w:hint="eastAsia" w:ascii="宋体" w:hAnsi="宋体" w:eastAsia="宋体" w:cs="宋体"/>
                <w:szCs w:val="21"/>
              </w:rPr>
              <w:t>计算。具体费率如下：</w:t>
            </w:r>
          </w:p>
          <w:p w14:paraId="2D0FE2E7">
            <w:pPr>
              <w:spacing w:line="300" w:lineRule="exact"/>
              <w:jc w:val="left"/>
              <w:rPr>
                <w:rFonts w:hint="eastAsia" w:ascii="宋体" w:hAnsi="宋体" w:eastAsia="宋体" w:cs="宋体"/>
                <w:szCs w:val="21"/>
              </w:rPr>
            </w:pPr>
            <w:r>
              <w:rPr>
                <w:rFonts w:hint="eastAsia" w:ascii="宋体" w:hAnsi="宋体" w:eastAsia="宋体" w:cs="宋体"/>
                <w:szCs w:val="21"/>
              </w:rPr>
              <w:t>①成交金额在100万元以下的：</w:t>
            </w:r>
          </w:p>
          <w:p w14:paraId="4BB7203D">
            <w:pPr>
              <w:spacing w:line="300" w:lineRule="exact"/>
              <w:jc w:val="left"/>
              <w:rPr>
                <w:rFonts w:hint="eastAsia" w:ascii="宋体" w:hAnsi="宋体" w:eastAsia="宋体" w:cs="宋体"/>
                <w:szCs w:val="21"/>
              </w:rPr>
            </w:pPr>
            <w:r>
              <w:rPr>
                <w:rFonts w:hint="eastAsia" w:ascii="宋体" w:hAnsi="宋体" w:eastAsia="宋体" w:cs="宋体"/>
                <w:szCs w:val="21"/>
              </w:rPr>
              <w:t>货物1.5％；服务招标1.5％；工程招标1.0％；</w:t>
            </w:r>
          </w:p>
          <w:p w14:paraId="48FA1298">
            <w:pPr>
              <w:spacing w:line="300" w:lineRule="exact"/>
              <w:jc w:val="left"/>
              <w:rPr>
                <w:rFonts w:hint="eastAsia" w:ascii="宋体" w:hAnsi="宋体" w:eastAsia="宋体" w:cs="宋体"/>
                <w:szCs w:val="21"/>
              </w:rPr>
            </w:pPr>
            <w:r>
              <w:rPr>
                <w:rFonts w:hint="eastAsia" w:ascii="宋体" w:hAnsi="宋体" w:eastAsia="宋体" w:cs="宋体"/>
                <w:szCs w:val="21"/>
              </w:rPr>
              <w:t>②成交金额在100-500万元之间：</w:t>
            </w:r>
          </w:p>
          <w:p w14:paraId="1ADDD785">
            <w:pPr>
              <w:spacing w:line="300" w:lineRule="exact"/>
              <w:jc w:val="left"/>
              <w:rPr>
                <w:rFonts w:hint="eastAsia" w:ascii="宋体" w:hAnsi="宋体" w:eastAsia="宋体" w:cs="宋体"/>
                <w:szCs w:val="21"/>
              </w:rPr>
            </w:pPr>
            <w:r>
              <w:rPr>
                <w:rFonts w:hint="eastAsia" w:ascii="宋体" w:hAnsi="宋体" w:eastAsia="宋体" w:cs="宋体"/>
                <w:szCs w:val="21"/>
              </w:rPr>
              <w:t>货物1.1％；服务招标0.8％；工程招标0.7％；</w:t>
            </w:r>
          </w:p>
          <w:p w14:paraId="012FBF31">
            <w:pPr>
              <w:spacing w:line="300" w:lineRule="exact"/>
              <w:jc w:val="left"/>
              <w:rPr>
                <w:rFonts w:hint="eastAsia" w:ascii="宋体" w:hAnsi="宋体" w:eastAsia="宋体" w:cs="宋体"/>
                <w:szCs w:val="21"/>
              </w:rPr>
            </w:pPr>
            <w:r>
              <w:rPr>
                <w:rFonts w:hint="eastAsia" w:ascii="宋体" w:hAnsi="宋体" w:eastAsia="宋体" w:cs="宋体"/>
                <w:szCs w:val="21"/>
              </w:rPr>
              <w:t>③成交金额在500-1000万元之间：</w:t>
            </w:r>
          </w:p>
          <w:p w14:paraId="497F5C7F">
            <w:pPr>
              <w:spacing w:line="300" w:lineRule="exact"/>
              <w:jc w:val="left"/>
              <w:rPr>
                <w:rFonts w:hint="eastAsia" w:ascii="宋体" w:hAnsi="宋体" w:eastAsia="宋体" w:cs="宋体"/>
                <w:szCs w:val="21"/>
              </w:rPr>
            </w:pPr>
            <w:r>
              <w:rPr>
                <w:rFonts w:hint="eastAsia" w:ascii="宋体" w:hAnsi="宋体" w:eastAsia="宋体" w:cs="宋体"/>
                <w:szCs w:val="21"/>
              </w:rPr>
              <w:t>货物0.8％；服务招标0.45％；工程招标0.55％；</w:t>
            </w:r>
          </w:p>
          <w:p w14:paraId="1954EBEA">
            <w:pPr>
              <w:spacing w:line="300" w:lineRule="exact"/>
              <w:jc w:val="left"/>
              <w:rPr>
                <w:rFonts w:hint="eastAsia" w:ascii="宋体" w:hAnsi="宋体" w:eastAsia="宋体" w:cs="宋体"/>
                <w:szCs w:val="21"/>
              </w:rPr>
            </w:pPr>
            <w:r>
              <w:rPr>
                <w:rFonts w:hint="eastAsia" w:ascii="宋体" w:hAnsi="宋体" w:eastAsia="宋体" w:cs="宋体"/>
                <w:szCs w:val="21"/>
              </w:rPr>
              <w:t>④成交金额在1000-5000万元之间：</w:t>
            </w:r>
          </w:p>
          <w:p w14:paraId="44F242BA">
            <w:pPr>
              <w:spacing w:line="300" w:lineRule="exact"/>
              <w:jc w:val="left"/>
              <w:rPr>
                <w:rFonts w:hint="eastAsia" w:ascii="宋体" w:hAnsi="宋体" w:eastAsia="宋体" w:cs="宋体"/>
                <w:szCs w:val="21"/>
              </w:rPr>
            </w:pPr>
            <w:r>
              <w:rPr>
                <w:rFonts w:hint="eastAsia" w:ascii="宋体" w:hAnsi="宋体" w:eastAsia="宋体" w:cs="宋体"/>
                <w:szCs w:val="21"/>
              </w:rPr>
              <w:t>货物0.5％；服务招标0.25％；工程招标0.35％；</w:t>
            </w:r>
          </w:p>
          <w:p w14:paraId="636CD369">
            <w:pPr>
              <w:spacing w:line="300" w:lineRule="exact"/>
              <w:jc w:val="left"/>
              <w:rPr>
                <w:rFonts w:hint="eastAsia" w:ascii="宋体" w:hAnsi="宋体" w:eastAsia="宋体" w:cs="宋体"/>
                <w:szCs w:val="21"/>
              </w:rPr>
            </w:pPr>
            <w:r>
              <w:rPr>
                <w:rFonts w:hint="eastAsia" w:ascii="宋体" w:hAnsi="宋体" w:eastAsia="宋体" w:cs="宋体"/>
                <w:szCs w:val="21"/>
              </w:rPr>
              <w:t>……</w:t>
            </w:r>
          </w:p>
          <w:p w14:paraId="223B8847">
            <w:pPr>
              <w:spacing w:line="300" w:lineRule="exact"/>
              <w:jc w:val="left"/>
              <w:rPr>
                <w:rFonts w:hint="eastAsia" w:ascii="宋体" w:hAnsi="宋体" w:eastAsia="宋体" w:cs="宋体"/>
                <w:szCs w:val="21"/>
              </w:rPr>
            </w:pPr>
            <w:r>
              <w:rPr>
                <w:rFonts w:hint="eastAsia" w:ascii="宋体" w:hAnsi="宋体" w:eastAsia="宋体" w:cs="宋体"/>
                <w:szCs w:val="21"/>
              </w:rPr>
              <w:t>差额定率累进法计算过程示例：</w:t>
            </w:r>
          </w:p>
          <w:p w14:paraId="192B625A">
            <w:pPr>
              <w:spacing w:line="360" w:lineRule="exact"/>
              <w:rPr>
                <w:rFonts w:hint="eastAsia" w:ascii="宋体" w:hAnsi="宋体" w:eastAsia="宋体" w:cs="宋体"/>
                <w:kern w:val="0"/>
                <w:szCs w:val="21"/>
              </w:rPr>
            </w:pPr>
            <w:r>
              <w:rPr>
                <w:rFonts w:hint="eastAsia" w:ascii="宋体" w:hAnsi="宋体" w:eastAsia="宋体" w:cs="宋体"/>
                <w:kern w:val="0"/>
                <w:szCs w:val="21"/>
              </w:rPr>
              <w:t>例如：某工程代理业务成交金额为300万元，代理服务费金额按如下计算：</w:t>
            </w:r>
          </w:p>
          <w:p w14:paraId="11E860A9">
            <w:pPr>
              <w:spacing w:line="300" w:lineRule="exact"/>
              <w:jc w:val="left"/>
              <w:rPr>
                <w:rFonts w:hint="eastAsia" w:ascii="宋体" w:hAnsi="宋体" w:eastAsia="宋体" w:cs="宋体"/>
                <w:szCs w:val="21"/>
              </w:rPr>
            </w:pPr>
            <w:r>
              <w:rPr>
                <w:rFonts w:hint="eastAsia" w:ascii="宋体" w:hAnsi="宋体" w:eastAsia="宋体" w:cs="宋体"/>
                <w:szCs w:val="21"/>
              </w:rPr>
              <w:t>100万元×1.0%＝1万元</w:t>
            </w:r>
          </w:p>
          <w:p w14:paraId="74E9308C">
            <w:pPr>
              <w:spacing w:line="300" w:lineRule="exact"/>
              <w:jc w:val="left"/>
              <w:rPr>
                <w:rFonts w:hint="eastAsia" w:ascii="宋体" w:hAnsi="宋体" w:eastAsia="宋体" w:cs="宋体"/>
                <w:szCs w:val="21"/>
              </w:rPr>
            </w:pPr>
            <w:r>
              <w:rPr>
                <w:rFonts w:hint="eastAsia" w:ascii="宋体" w:hAnsi="宋体" w:eastAsia="宋体" w:cs="宋体"/>
                <w:szCs w:val="21"/>
              </w:rPr>
              <w:t>（300－100）万元×0.7%＝1.4万元</w:t>
            </w:r>
          </w:p>
          <w:p w14:paraId="2A58916E">
            <w:pPr>
              <w:spacing w:line="300" w:lineRule="exact"/>
              <w:jc w:val="left"/>
              <w:rPr>
                <w:rFonts w:hint="eastAsia" w:ascii="宋体" w:hAnsi="宋体" w:eastAsia="宋体" w:cs="宋体"/>
                <w:szCs w:val="21"/>
              </w:rPr>
            </w:pPr>
            <w:r>
              <w:rPr>
                <w:rFonts w:hint="eastAsia" w:ascii="宋体" w:hAnsi="宋体" w:eastAsia="宋体" w:cs="宋体"/>
                <w:szCs w:val="21"/>
              </w:rPr>
              <w:t>合计收费＝1.0＋1.4=2.4万元</w:t>
            </w:r>
          </w:p>
          <w:p w14:paraId="50A411D8">
            <w:pPr>
              <w:spacing w:line="300" w:lineRule="exact"/>
              <w:jc w:val="left"/>
              <w:rPr>
                <w:rFonts w:hint="eastAsia" w:ascii="宋体" w:hAnsi="宋体" w:eastAsia="宋体" w:cs="宋体"/>
                <w:color w:val="auto"/>
                <w:szCs w:val="21"/>
                <w:u w:val="single"/>
              </w:rPr>
            </w:pPr>
            <w:r>
              <w:rPr>
                <w:rFonts w:hint="eastAsia" w:ascii="宋体" w:hAnsi="宋体" w:eastAsia="宋体" w:cs="宋体"/>
                <w:color w:val="auto"/>
                <w:szCs w:val="21"/>
              </w:rPr>
              <w:sym w:font="Wingdings 2" w:char="F0A3"/>
            </w:r>
            <w:r>
              <w:rPr>
                <w:rFonts w:hint="eastAsia" w:ascii="宋体" w:hAnsi="宋体" w:eastAsia="宋体" w:cs="宋体"/>
                <w:color w:val="auto"/>
                <w:szCs w:val="21"/>
              </w:rPr>
              <w:t>采购代理机构向成交供应商收取代理服务费，具体金额为</w:t>
            </w:r>
            <w:r>
              <w:rPr>
                <w:rFonts w:hint="eastAsia" w:ascii="宋体" w:hAnsi="宋体" w:eastAsia="宋体" w:cs="宋体"/>
                <w:color w:val="auto"/>
                <w:szCs w:val="20"/>
                <w:u w:val="single"/>
              </w:rPr>
              <w:t xml:space="preserve">           </w:t>
            </w:r>
            <w:r>
              <w:rPr>
                <w:rFonts w:hint="eastAsia" w:ascii="宋体" w:hAnsi="宋体" w:eastAsia="宋体" w:cs="宋体"/>
                <w:color w:val="auto"/>
                <w:szCs w:val="20"/>
              </w:rPr>
              <w:t>。</w:t>
            </w:r>
          </w:p>
          <w:p w14:paraId="68E26A91">
            <w:pPr>
              <w:rPr>
                <w:rFonts w:hint="eastAsia" w:ascii="宋体" w:hAnsi="宋体" w:eastAsia="宋体" w:cs="宋体"/>
                <w:szCs w:val="21"/>
                <w:lang w:val="en-US" w:eastAsia="zh-CN"/>
              </w:rPr>
            </w:pPr>
            <w:r>
              <w:rPr>
                <w:rFonts w:hint="eastAsia" w:ascii="宋体" w:hAnsi="宋体" w:eastAsia="宋体" w:cs="宋体"/>
                <w:szCs w:val="21"/>
              </w:rPr>
              <w:t>（2）</w:t>
            </w:r>
            <w:r>
              <w:rPr>
                <w:rFonts w:hint="eastAsia" w:ascii="宋体" w:hAnsi="宋体" w:eastAsia="宋体" w:cs="宋体"/>
                <w:szCs w:val="20"/>
              </w:rPr>
              <w:t>成交供应商</w:t>
            </w:r>
            <w:r>
              <w:rPr>
                <w:rFonts w:hint="eastAsia" w:ascii="宋体" w:hAnsi="宋体" w:eastAsia="宋体" w:cs="宋体"/>
                <w:szCs w:val="21"/>
              </w:rPr>
              <w:t>在</w:t>
            </w:r>
            <w:r>
              <w:rPr>
                <w:rFonts w:hint="eastAsia" w:ascii="宋体" w:hAnsi="宋体" w:eastAsia="宋体" w:cs="宋体"/>
                <w:szCs w:val="21"/>
                <w:lang w:val="en-US" w:eastAsia="zh-CN"/>
              </w:rPr>
              <w:t>收到</w:t>
            </w:r>
            <w:r>
              <w:rPr>
                <w:rFonts w:hint="eastAsia" w:ascii="宋体" w:hAnsi="宋体" w:eastAsia="宋体" w:cs="宋体"/>
                <w:szCs w:val="21"/>
              </w:rPr>
              <w:t>成交通知书</w:t>
            </w:r>
            <w:r>
              <w:rPr>
                <w:rFonts w:hint="eastAsia" w:ascii="宋体" w:hAnsi="宋体" w:eastAsia="宋体" w:cs="宋体"/>
                <w:szCs w:val="21"/>
                <w:lang w:val="en-US" w:eastAsia="zh-CN"/>
              </w:rPr>
              <w:t>后</w:t>
            </w:r>
            <w:r>
              <w:rPr>
                <w:rFonts w:hint="eastAsia" w:ascii="宋体" w:hAnsi="宋体" w:eastAsia="宋体" w:cs="宋体"/>
                <w:szCs w:val="21"/>
              </w:rPr>
              <w:t>以银行转账或现金形式支付代理服务费</w:t>
            </w:r>
            <w:r>
              <w:rPr>
                <w:rFonts w:hint="eastAsia" w:ascii="宋体" w:hAnsi="宋体" w:eastAsia="宋体" w:cs="宋体"/>
                <w:szCs w:val="21"/>
                <w:lang w:eastAsia="zh-CN"/>
              </w:rPr>
              <w:t>。</w:t>
            </w:r>
          </w:p>
        </w:tc>
      </w:tr>
      <w:tr w14:paraId="696FB3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04" w:type="dxa"/>
            <w:tcBorders>
              <w:top w:val="single" w:color="auto" w:sz="4" w:space="0"/>
              <w:left w:val="single" w:color="auto" w:sz="4" w:space="0"/>
              <w:bottom w:val="single" w:color="auto" w:sz="4" w:space="0"/>
              <w:right w:val="single" w:color="auto" w:sz="4" w:space="0"/>
            </w:tcBorders>
            <w:noWrap w:val="0"/>
            <w:vAlign w:val="center"/>
          </w:tcPr>
          <w:p w14:paraId="2B6D97A0">
            <w:pPr>
              <w:spacing w:line="300" w:lineRule="exact"/>
              <w:jc w:val="center"/>
              <w:rPr>
                <w:rFonts w:hint="eastAsia" w:ascii="宋体" w:hAnsi="宋体" w:eastAsia="宋体" w:cs="宋体"/>
                <w:szCs w:val="21"/>
              </w:rPr>
            </w:pPr>
            <w:r>
              <w:rPr>
                <w:rFonts w:hint="eastAsia" w:ascii="宋体" w:hAnsi="宋体" w:eastAsia="宋体" w:cs="宋体"/>
                <w:b/>
                <w:szCs w:val="21"/>
              </w:rPr>
              <w:t>9.3</w:t>
            </w:r>
          </w:p>
        </w:tc>
        <w:tc>
          <w:tcPr>
            <w:tcW w:w="1157" w:type="dxa"/>
            <w:tcBorders>
              <w:top w:val="single" w:color="auto" w:sz="4" w:space="0"/>
              <w:left w:val="single" w:color="auto" w:sz="4" w:space="0"/>
              <w:bottom w:val="single" w:color="auto" w:sz="4" w:space="0"/>
              <w:right w:val="single" w:color="auto" w:sz="4" w:space="0"/>
            </w:tcBorders>
            <w:noWrap w:val="0"/>
            <w:vAlign w:val="center"/>
          </w:tcPr>
          <w:p w14:paraId="7C353B37">
            <w:pPr>
              <w:spacing w:line="300" w:lineRule="exact"/>
              <w:jc w:val="center"/>
              <w:rPr>
                <w:rFonts w:hint="eastAsia" w:ascii="宋体" w:hAnsi="宋体" w:eastAsia="宋体" w:cs="宋体"/>
                <w:szCs w:val="21"/>
              </w:rPr>
            </w:pPr>
            <w:r>
              <w:rPr>
                <w:rFonts w:hint="eastAsia" w:ascii="宋体" w:hAnsi="宋体" w:eastAsia="宋体" w:cs="宋体"/>
                <w:szCs w:val="21"/>
              </w:rPr>
              <w:t>履约保证金</w:t>
            </w:r>
          </w:p>
        </w:tc>
        <w:tc>
          <w:tcPr>
            <w:tcW w:w="6718" w:type="dxa"/>
            <w:tcBorders>
              <w:top w:val="single" w:color="auto" w:sz="4" w:space="0"/>
              <w:left w:val="single" w:color="auto" w:sz="4" w:space="0"/>
              <w:bottom w:val="single" w:color="auto" w:sz="4" w:space="0"/>
              <w:right w:val="single" w:color="auto" w:sz="4" w:space="0"/>
            </w:tcBorders>
            <w:noWrap w:val="0"/>
            <w:vAlign w:val="center"/>
          </w:tcPr>
          <w:p w14:paraId="2E3A691C">
            <w:pPr>
              <w:spacing w:line="300" w:lineRule="exact"/>
              <w:jc w:val="left"/>
              <w:rPr>
                <w:rFonts w:hint="eastAsia" w:ascii="宋体" w:hAnsi="宋体" w:eastAsia="宋体" w:cs="宋体"/>
                <w:szCs w:val="21"/>
              </w:rPr>
            </w:pPr>
            <w:r>
              <w:rPr>
                <w:rFonts w:hint="eastAsia" w:ascii="宋体" w:hAnsi="宋体" w:eastAsia="宋体" w:cs="宋体"/>
                <w:szCs w:val="21"/>
                <w:lang w:eastAsia="zh-CN"/>
              </w:rPr>
              <w:t>□</w:t>
            </w:r>
            <w:r>
              <w:rPr>
                <w:rFonts w:hint="eastAsia" w:ascii="宋体" w:hAnsi="宋体" w:eastAsia="宋体" w:cs="宋体"/>
                <w:szCs w:val="21"/>
              </w:rPr>
              <w:t>本项目不收取履约保证金。</w:t>
            </w:r>
          </w:p>
          <w:p w14:paraId="527B978D">
            <w:pPr>
              <w:spacing w:line="300" w:lineRule="exact"/>
              <w:jc w:val="left"/>
              <w:rPr>
                <w:rFonts w:hint="eastAsia" w:ascii="宋体" w:hAnsi="宋体" w:eastAsia="宋体" w:cs="宋体"/>
                <w:szCs w:val="21"/>
              </w:rPr>
            </w:pPr>
            <w:r>
              <w:rPr>
                <w:rFonts w:hint="eastAsia" w:ascii="宋体" w:hAnsi="宋体" w:eastAsia="宋体" w:cs="宋体"/>
                <w:szCs w:val="21"/>
                <w:lang w:eastAsia="zh-CN"/>
              </w:rPr>
              <w:t>☑</w:t>
            </w:r>
            <w:r>
              <w:rPr>
                <w:rFonts w:hint="eastAsia" w:ascii="宋体" w:hAnsi="宋体" w:eastAsia="宋体" w:cs="宋体"/>
                <w:szCs w:val="21"/>
              </w:rPr>
              <w:t>本项目收取履约保证金，具体规定如下：</w:t>
            </w:r>
          </w:p>
          <w:p w14:paraId="429E0D6B">
            <w:pPr>
              <w:spacing w:line="300" w:lineRule="exact"/>
              <w:jc w:val="left"/>
              <w:rPr>
                <w:rFonts w:hint="eastAsia" w:ascii="宋体" w:hAnsi="宋体" w:eastAsia="宋体" w:cs="宋体"/>
                <w:szCs w:val="21"/>
              </w:rPr>
            </w:pPr>
            <w:r>
              <w:rPr>
                <w:rFonts w:hint="eastAsia" w:ascii="宋体" w:hAnsi="宋体" w:eastAsia="宋体" w:cs="宋体"/>
                <w:b/>
                <w:bCs/>
                <w:szCs w:val="21"/>
                <w:lang w:val="en-US" w:eastAsia="zh-CN"/>
              </w:rPr>
              <w:t>成</w:t>
            </w:r>
            <w:r>
              <w:rPr>
                <w:rFonts w:hint="eastAsia" w:ascii="宋体" w:hAnsi="宋体" w:eastAsia="宋体" w:cs="宋体"/>
                <w:b/>
                <w:bCs/>
                <w:color w:val="auto"/>
                <w:szCs w:val="21"/>
                <w:lang w:val="en-US" w:eastAsia="zh-CN"/>
              </w:rPr>
              <w:t>交</w:t>
            </w:r>
            <w:r>
              <w:rPr>
                <w:rFonts w:hint="eastAsia" w:ascii="宋体" w:hAnsi="宋体" w:cs="宋体"/>
                <w:b/>
                <w:bCs/>
                <w:color w:val="auto"/>
                <w:szCs w:val="21"/>
                <w:lang w:val="en-US" w:eastAsia="zh-CN"/>
              </w:rPr>
              <w:t>供应商</w:t>
            </w:r>
            <w:r>
              <w:rPr>
                <w:rFonts w:hint="eastAsia" w:ascii="宋体" w:hAnsi="宋体" w:eastAsia="宋体" w:cs="宋体"/>
                <w:b/>
                <w:bCs/>
                <w:color w:val="auto"/>
                <w:szCs w:val="21"/>
              </w:rPr>
              <w:t>在成交结</w:t>
            </w:r>
            <w:r>
              <w:rPr>
                <w:rFonts w:hint="eastAsia" w:ascii="宋体" w:hAnsi="宋体" w:eastAsia="宋体" w:cs="宋体"/>
                <w:b/>
                <w:bCs/>
                <w:szCs w:val="21"/>
              </w:rPr>
              <w:t>果公示之日起</w:t>
            </w:r>
            <w:r>
              <w:rPr>
                <w:rFonts w:hint="eastAsia" w:ascii="宋体" w:hAnsi="宋体" w:eastAsia="宋体" w:cs="宋体"/>
                <w:b/>
                <w:bCs/>
                <w:szCs w:val="21"/>
                <w:lang w:val="en-US" w:eastAsia="zh-CN"/>
              </w:rPr>
              <w:t>3</w:t>
            </w:r>
            <w:r>
              <w:rPr>
                <w:rFonts w:hint="eastAsia" w:ascii="宋体" w:hAnsi="宋体" w:eastAsia="宋体" w:cs="宋体"/>
                <w:b/>
                <w:bCs/>
                <w:szCs w:val="21"/>
              </w:rPr>
              <w:t>0日内选择以下</w:t>
            </w:r>
            <w:r>
              <w:rPr>
                <w:rFonts w:hint="eastAsia" w:ascii="宋体" w:hAnsi="宋体" w:eastAsia="宋体" w:cs="宋体"/>
                <w:b/>
                <w:bCs/>
                <w:szCs w:val="21"/>
                <w:lang w:val="en-US" w:eastAsia="zh-CN"/>
              </w:rPr>
              <w:t>两</w:t>
            </w:r>
            <w:r>
              <w:rPr>
                <w:rFonts w:hint="eastAsia" w:ascii="宋体" w:hAnsi="宋体" w:eastAsia="宋体" w:cs="宋体"/>
                <w:b/>
                <w:bCs/>
                <w:szCs w:val="21"/>
              </w:rPr>
              <w:t>种方式</w:t>
            </w:r>
            <w:r>
              <w:rPr>
                <w:rFonts w:hint="eastAsia" w:ascii="宋体" w:hAnsi="宋体" w:eastAsia="宋体" w:cs="宋体"/>
                <w:b/>
                <w:bCs/>
                <w:szCs w:val="21"/>
                <w:lang w:val="en-US" w:eastAsia="zh-CN"/>
              </w:rPr>
              <w:t>之一</w:t>
            </w:r>
            <w:r>
              <w:rPr>
                <w:rFonts w:hint="eastAsia" w:ascii="宋体" w:hAnsi="宋体" w:eastAsia="宋体" w:cs="宋体"/>
                <w:b/>
                <w:bCs/>
                <w:szCs w:val="21"/>
              </w:rPr>
              <w:t>提供履约保证金：</w:t>
            </w:r>
          </w:p>
          <w:p w14:paraId="1F20D561">
            <w:pPr>
              <w:spacing w:line="300" w:lineRule="exact"/>
              <w:jc w:val="left"/>
              <w:rPr>
                <w:rFonts w:hint="eastAsia" w:ascii="宋体" w:hAnsi="宋体" w:eastAsia="宋体" w:cs="宋体"/>
                <w:color w:val="auto"/>
                <w:szCs w:val="21"/>
                <w:highlight w:val="none"/>
              </w:rPr>
            </w:pPr>
            <w:r>
              <w:rPr>
                <w:rFonts w:hint="eastAsia" w:ascii="宋体" w:hAnsi="宋体" w:eastAsia="宋体" w:cs="宋体"/>
                <w:szCs w:val="21"/>
              </w:rPr>
              <w:t>（1）</w:t>
            </w:r>
            <w:r>
              <w:rPr>
                <w:rFonts w:hint="eastAsia" w:ascii="宋体" w:hAnsi="宋体" w:eastAsia="宋体" w:cs="宋体"/>
                <w:szCs w:val="21"/>
                <w:lang w:val="en-US" w:eastAsia="zh-CN"/>
              </w:rPr>
              <w:t>采用银行、保险机构出具的保函的</w:t>
            </w:r>
            <w:r>
              <w:rPr>
                <w:rFonts w:hint="eastAsia" w:ascii="宋体" w:hAnsi="宋体" w:eastAsia="宋体" w:cs="宋体"/>
                <w:szCs w:val="21"/>
                <w:lang w:eastAsia="zh-CN"/>
              </w:rPr>
              <w:t>：</w:t>
            </w:r>
            <w:r>
              <w:rPr>
                <w:rFonts w:hint="eastAsia" w:ascii="宋体" w:hAnsi="宋体" w:eastAsia="宋体" w:cs="宋体"/>
                <w:szCs w:val="21"/>
                <w:highlight w:val="none"/>
                <w:lang w:val="en-US" w:eastAsia="zh-CN"/>
              </w:rPr>
              <w:t>成交供应商向采购人提供履约保证金金额为签约合同价（扣除材料和工程设备暂估价、专业工程暂估价、安全生产责任保险费暂估价、暂列金额）的2%的银行保函（若成交供应商为小微企业或监狱企业或残疾人福利性单位，则免收履约保证金）。</w:t>
            </w:r>
            <w:r>
              <w:rPr>
                <w:rFonts w:hint="eastAsia" w:ascii="宋体" w:hAnsi="宋体" w:eastAsia="宋体" w:cs="宋体"/>
                <w:color w:val="auto"/>
                <w:szCs w:val="21"/>
                <w:highlight w:val="none"/>
                <w:lang w:val="en-US" w:eastAsia="zh-CN"/>
              </w:rPr>
              <w:t>银行保函</w:t>
            </w:r>
            <w:r>
              <w:rPr>
                <w:rFonts w:hint="eastAsia" w:ascii="宋体" w:hAnsi="宋体" w:eastAsia="宋体" w:cs="宋体"/>
                <w:color w:val="auto"/>
                <w:szCs w:val="21"/>
                <w:highlight w:val="none"/>
              </w:rPr>
              <w:t>期限</w:t>
            </w:r>
            <w:r>
              <w:rPr>
                <w:rFonts w:hint="eastAsia" w:ascii="宋体" w:hAnsi="宋体" w:eastAsia="宋体" w:cs="宋体"/>
                <w:color w:val="auto"/>
                <w:szCs w:val="21"/>
                <w:highlight w:val="none"/>
                <w:lang w:val="en-US" w:eastAsia="zh-CN"/>
              </w:rPr>
              <w:t>须</w:t>
            </w:r>
            <w:r>
              <w:rPr>
                <w:rFonts w:hint="eastAsia" w:ascii="宋体" w:hAnsi="宋体" w:eastAsia="宋体" w:cs="宋体"/>
                <w:color w:val="auto"/>
                <w:szCs w:val="21"/>
                <w:highlight w:val="none"/>
              </w:rPr>
              <w:t>覆盖本合同约定工期；出现工期延长，超出</w:t>
            </w:r>
            <w:r>
              <w:rPr>
                <w:rFonts w:hint="eastAsia" w:ascii="宋体" w:hAnsi="宋体" w:eastAsia="宋体" w:cs="宋体"/>
                <w:color w:val="auto"/>
                <w:szCs w:val="21"/>
                <w:highlight w:val="none"/>
                <w:lang w:val="en-US" w:eastAsia="zh-CN"/>
              </w:rPr>
              <w:t>银行</w:t>
            </w:r>
            <w:r>
              <w:rPr>
                <w:rFonts w:hint="eastAsia" w:ascii="宋体" w:hAnsi="宋体" w:eastAsia="宋体" w:cs="宋体"/>
                <w:color w:val="auto"/>
                <w:szCs w:val="21"/>
                <w:highlight w:val="none"/>
              </w:rPr>
              <w:t>保函期限的，</w:t>
            </w:r>
            <w:r>
              <w:rPr>
                <w:rFonts w:hint="eastAsia" w:ascii="宋体" w:hAnsi="宋体" w:eastAsia="宋体" w:cs="宋体"/>
                <w:color w:val="auto"/>
                <w:szCs w:val="21"/>
                <w:highlight w:val="none"/>
                <w:lang w:val="en-US" w:eastAsia="zh-CN"/>
              </w:rPr>
              <w:t>成交供应商</w:t>
            </w:r>
            <w:r>
              <w:rPr>
                <w:rFonts w:hint="eastAsia" w:ascii="宋体" w:hAnsi="宋体" w:eastAsia="宋体" w:cs="宋体"/>
                <w:color w:val="auto"/>
                <w:szCs w:val="21"/>
                <w:highlight w:val="none"/>
              </w:rPr>
              <w:t>应在</w:t>
            </w:r>
            <w:r>
              <w:rPr>
                <w:rFonts w:hint="eastAsia" w:ascii="宋体" w:hAnsi="宋体" w:eastAsia="宋体" w:cs="宋体"/>
                <w:color w:val="auto"/>
                <w:szCs w:val="21"/>
                <w:highlight w:val="none"/>
                <w:lang w:val="en-US" w:eastAsia="zh-CN"/>
              </w:rPr>
              <w:t>银行</w:t>
            </w:r>
            <w:r>
              <w:rPr>
                <w:rFonts w:hint="eastAsia" w:ascii="宋体" w:hAnsi="宋体" w:eastAsia="宋体" w:cs="宋体"/>
                <w:color w:val="auto"/>
                <w:szCs w:val="21"/>
                <w:highlight w:val="none"/>
              </w:rPr>
              <w:t>保函期限</w:t>
            </w:r>
            <w:r>
              <w:rPr>
                <w:rFonts w:hint="eastAsia" w:ascii="宋体" w:hAnsi="宋体" w:eastAsia="宋体" w:cs="宋体"/>
                <w:color w:val="auto"/>
                <w:szCs w:val="21"/>
                <w:highlight w:val="none"/>
                <w:lang w:val="en-US" w:eastAsia="zh-CN"/>
              </w:rPr>
              <w:t>届满</w:t>
            </w:r>
            <w:r>
              <w:rPr>
                <w:rFonts w:hint="eastAsia" w:ascii="宋体" w:hAnsi="宋体" w:eastAsia="宋体" w:cs="宋体"/>
                <w:color w:val="auto"/>
                <w:szCs w:val="21"/>
                <w:highlight w:val="none"/>
              </w:rPr>
              <w:t>前办理</w:t>
            </w:r>
            <w:r>
              <w:rPr>
                <w:rFonts w:hint="eastAsia" w:ascii="宋体" w:hAnsi="宋体" w:eastAsia="宋体" w:cs="宋体"/>
                <w:color w:val="auto"/>
                <w:szCs w:val="21"/>
                <w:highlight w:val="none"/>
                <w:lang w:val="en-US" w:eastAsia="zh-CN"/>
              </w:rPr>
              <w:t>银行</w:t>
            </w:r>
            <w:r>
              <w:rPr>
                <w:rFonts w:hint="eastAsia" w:ascii="宋体" w:hAnsi="宋体" w:eastAsia="宋体" w:cs="宋体"/>
                <w:color w:val="auto"/>
                <w:szCs w:val="21"/>
                <w:highlight w:val="none"/>
              </w:rPr>
              <w:t>保函延期，保证工程竣工验收合格前</w:t>
            </w:r>
            <w:r>
              <w:rPr>
                <w:rFonts w:hint="eastAsia" w:ascii="宋体" w:hAnsi="宋体" w:eastAsia="宋体" w:cs="宋体"/>
                <w:color w:val="auto"/>
                <w:szCs w:val="21"/>
                <w:highlight w:val="none"/>
                <w:lang w:val="en-US" w:eastAsia="zh-CN"/>
              </w:rPr>
              <w:t>银行</w:t>
            </w:r>
            <w:r>
              <w:rPr>
                <w:rFonts w:hint="eastAsia" w:ascii="宋体" w:hAnsi="宋体" w:eastAsia="宋体" w:cs="宋体"/>
                <w:color w:val="auto"/>
                <w:szCs w:val="21"/>
                <w:highlight w:val="none"/>
              </w:rPr>
              <w:t>保函持续有效。因</w:t>
            </w:r>
            <w:r>
              <w:rPr>
                <w:rFonts w:hint="eastAsia" w:ascii="宋体" w:hAnsi="宋体" w:eastAsia="宋体" w:cs="宋体"/>
                <w:color w:val="auto"/>
                <w:szCs w:val="21"/>
                <w:highlight w:val="none"/>
                <w:lang w:val="en-US" w:eastAsia="zh-CN"/>
              </w:rPr>
              <w:t>成交供应商</w:t>
            </w:r>
            <w:r>
              <w:rPr>
                <w:rFonts w:hint="eastAsia" w:ascii="宋体" w:hAnsi="宋体" w:eastAsia="宋体" w:cs="宋体"/>
                <w:color w:val="auto"/>
                <w:szCs w:val="21"/>
                <w:highlight w:val="none"/>
              </w:rPr>
              <w:t>原因导致工期延长的，继续提供履约担保所增加的费用由</w:t>
            </w:r>
            <w:r>
              <w:rPr>
                <w:rFonts w:hint="eastAsia" w:ascii="宋体" w:hAnsi="宋体" w:eastAsia="宋体" w:cs="宋体"/>
                <w:color w:val="auto"/>
                <w:szCs w:val="21"/>
                <w:highlight w:val="none"/>
                <w:lang w:val="en-US" w:eastAsia="zh-CN"/>
              </w:rPr>
              <w:t>成交供应商</w:t>
            </w:r>
            <w:r>
              <w:rPr>
                <w:rFonts w:hint="eastAsia" w:ascii="宋体" w:hAnsi="宋体" w:eastAsia="宋体" w:cs="宋体"/>
                <w:color w:val="auto"/>
                <w:szCs w:val="21"/>
                <w:highlight w:val="none"/>
              </w:rPr>
              <w:t>承担；非因</w:t>
            </w:r>
            <w:r>
              <w:rPr>
                <w:rFonts w:hint="eastAsia" w:ascii="宋体" w:hAnsi="宋体" w:eastAsia="宋体" w:cs="宋体"/>
                <w:color w:val="auto"/>
                <w:szCs w:val="21"/>
                <w:highlight w:val="none"/>
                <w:lang w:val="en-US" w:eastAsia="zh-CN"/>
              </w:rPr>
              <w:t>成交供应商</w:t>
            </w:r>
            <w:r>
              <w:rPr>
                <w:rFonts w:hint="eastAsia" w:ascii="宋体" w:hAnsi="宋体" w:eastAsia="宋体" w:cs="宋体"/>
                <w:color w:val="auto"/>
                <w:szCs w:val="21"/>
                <w:highlight w:val="none"/>
              </w:rPr>
              <w:t>原因导致工期延长的，继续提供履约担保所增加的费用由</w:t>
            </w:r>
            <w:r>
              <w:rPr>
                <w:rFonts w:hint="eastAsia" w:ascii="宋体" w:hAnsi="宋体" w:cs="宋体"/>
                <w:color w:val="auto"/>
                <w:szCs w:val="21"/>
                <w:highlight w:val="none"/>
                <w:lang w:val="en-US" w:eastAsia="zh-CN"/>
              </w:rPr>
              <w:t>采购</w:t>
            </w:r>
            <w:r>
              <w:rPr>
                <w:rFonts w:hint="eastAsia" w:ascii="宋体" w:hAnsi="宋体" w:eastAsia="宋体" w:cs="宋体"/>
                <w:color w:val="auto"/>
                <w:szCs w:val="21"/>
                <w:highlight w:val="none"/>
              </w:rPr>
              <w:t>人承担。因</w:t>
            </w:r>
            <w:r>
              <w:rPr>
                <w:rFonts w:hint="eastAsia" w:ascii="宋体" w:hAnsi="宋体" w:eastAsia="宋体" w:cs="宋体"/>
                <w:color w:val="auto"/>
                <w:szCs w:val="21"/>
                <w:highlight w:val="none"/>
                <w:lang w:val="en-US" w:eastAsia="zh-CN"/>
              </w:rPr>
              <w:t>成交供应商</w:t>
            </w:r>
            <w:r>
              <w:rPr>
                <w:rFonts w:hint="eastAsia" w:ascii="宋体" w:hAnsi="宋体" w:eastAsia="宋体" w:cs="宋体"/>
                <w:color w:val="auto"/>
                <w:szCs w:val="21"/>
                <w:highlight w:val="none"/>
              </w:rPr>
              <w:t>未及时办理</w:t>
            </w:r>
            <w:r>
              <w:rPr>
                <w:rFonts w:hint="eastAsia" w:ascii="宋体" w:hAnsi="宋体" w:eastAsia="宋体" w:cs="宋体"/>
                <w:color w:val="auto"/>
                <w:szCs w:val="21"/>
                <w:highlight w:val="none"/>
                <w:lang w:val="en-US" w:eastAsia="zh-CN"/>
              </w:rPr>
              <w:t>银行</w:t>
            </w:r>
            <w:r>
              <w:rPr>
                <w:rFonts w:hint="eastAsia" w:ascii="宋体" w:hAnsi="宋体" w:eastAsia="宋体" w:cs="宋体"/>
                <w:color w:val="auto"/>
                <w:szCs w:val="21"/>
                <w:highlight w:val="none"/>
              </w:rPr>
              <w:t>保函造成的损失由</w:t>
            </w:r>
            <w:r>
              <w:rPr>
                <w:rFonts w:hint="eastAsia" w:ascii="宋体" w:hAnsi="宋体" w:eastAsia="宋体" w:cs="宋体"/>
                <w:color w:val="auto"/>
                <w:szCs w:val="21"/>
                <w:highlight w:val="none"/>
                <w:lang w:val="en-US" w:eastAsia="zh-CN"/>
              </w:rPr>
              <w:t>成交供应商</w:t>
            </w:r>
            <w:r>
              <w:rPr>
                <w:rFonts w:hint="eastAsia" w:ascii="宋体" w:hAnsi="宋体" w:eastAsia="宋体" w:cs="宋体"/>
                <w:color w:val="auto"/>
                <w:szCs w:val="21"/>
                <w:highlight w:val="none"/>
              </w:rPr>
              <w:t>承担。</w:t>
            </w:r>
          </w:p>
          <w:p w14:paraId="799F59B3">
            <w:pPr>
              <w:spacing w:line="300" w:lineRule="exact"/>
              <w:jc w:val="left"/>
              <w:rPr>
                <w:rFonts w:hint="eastAsia" w:ascii="宋体" w:hAnsi="宋体" w:eastAsia="宋体" w:cs="宋体"/>
                <w:color w:val="auto"/>
                <w:szCs w:val="21"/>
                <w:lang w:val="en-US" w:eastAsia="zh-CN"/>
              </w:rPr>
            </w:pPr>
            <w:r>
              <w:rPr>
                <w:rFonts w:hint="eastAsia" w:ascii="宋体" w:hAnsi="宋体" w:eastAsia="宋体" w:cs="宋体"/>
                <w:szCs w:val="21"/>
                <w:highlight w:val="none"/>
                <w:lang w:val="en-US" w:eastAsia="zh-CN"/>
              </w:rPr>
              <w:t>（2）采用银行转账、支票、汇票、本票等非现金方式的：成交供应商向采购人提交签约合同价（扣除材料和工程设备暂估价、专业工程暂估价、安全生产责任保险费暂估价、暂列金额）的2%的履约保证金（若成交供应商为小微企业或监狱企业或残疾人福利性单位，则免收履约保证金）即人民币</w:t>
            </w:r>
            <w:r>
              <w:rPr>
                <w:rFonts w:hint="eastAsia" w:ascii="宋体" w:hAnsi="宋体" w:eastAsia="宋体" w:cs="宋体"/>
                <w:szCs w:val="21"/>
                <w:highlight w:val="none"/>
                <w:u w:val="single"/>
                <w:lang w:val="en-US" w:eastAsia="zh-CN"/>
              </w:rPr>
              <w:t xml:space="preserve">    </w:t>
            </w:r>
            <w:r>
              <w:rPr>
                <w:rFonts w:hint="eastAsia" w:ascii="宋体" w:hAnsi="宋体" w:eastAsia="宋体" w:cs="宋体"/>
                <w:szCs w:val="21"/>
                <w:highlight w:val="none"/>
                <w:lang w:val="en-US" w:eastAsia="zh-CN"/>
              </w:rPr>
              <w:t>（</w:t>
            </w:r>
            <w:r>
              <w:rPr>
                <w:rFonts w:hint="eastAsia" w:ascii="宋体" w:hAnsi="宋体" w:eastAsia="宋体" w:cs="宋体"/>
                <w:szCs w:val="21"/>
                <w:highlight w:val="none"/>
                <w:u w:val="single"/>
                <w:lang w:val="en-US" w:eastAsia="zh-CN"/>
              </w:rPr>
              <w:t xml:space="preserve">   </w:t>
            </w:r>
            <w:r>
              <w:rPr>
                <w:rFonts w:hint="eastAsia" w:ascii="宋体" w:hAnsi="宋体" w:eastAsia="宋体" w:cs="宋体"/>
                <w:szCs w:val="21"/>
                <w:highlight w:val="none"/>
                <w:lang w:val="en-US" w:eastAsia="zh-CN"/>
              </w:rPr>
              <w:t>元），</w:t>
            </w:r>
            <w:r>
              <w:rPr>
                <w:rFonts w:hint="eastAsia" w:ascii="宋体" w:hAnsi="宋体" w:eastAsia="宋体" w:cs="宋体"/>
                <w:color w:val="auto"/>
                <w:szCs w:val="21"/>
                <w:highlight w:val="none"/>
                <w:lang w:val="en-US" w:eastAsia="zh-CN"/>
              </w:rPr>
              <w:t>从成交供应商的基本账户转账到</w:t>
            </w:r>
            <w:r>
              <w:rPr>
                <w:rFonts w:hint="eastAsia" w:ascii="宋体" w:hAnsi="宋体" w:cs="宋体"/>
                <w:color w:val="auto"/>
                <w:szCs w:val="21"/>
                <w:highlight w:val="none"/>
                <w:lang w:val="en-US" w:eastAsia="zh-CN"/>
              </w:rPr>
              <w:t>采购</w:t>
            </w:r>
            <w:r>
              <w:rPr>
                <w:rFonts w:hint="eastAsia" w:ascii="宋体" w:hAnsi="宋体" w:eastAsia="宋体" w:cs="宋体"/>
                <w:color w:val="auto"/>
                <w:szCs w:val="21"/>
                <w:highlight w:val="none"/>
                <w:lang w:val="en-US" w:eastAsia="zh-CN"/>
              </w:rPr>
              <w:t>人指定账户，履约保证金在工程竣工验收合格并对验</w:t>
            </w:r>
            <w:r>
              <w:rPr>
                <w:rFonts w:hint="eastAsia" w:ascii="宋体" w:hAnsi="宋体" w:eastAsia="宋体" w:cs="宋体"/>
                <w:color w:val="auto"/>
                <w:szCs w:val="21"/>
                <w:lang w:val="en-US" w:eastAsia="zh-CN"/>
              </w:rPr>
              <w:t>收发现的问题完成整改后，在成交供应商完成（施工）竣工资料备案及按柳财审【2013】10号文的要求提交完整的工程竣工结算资料送审的30个工作日内，支付履约保证金的70%；成交供应商向</w:t>
            </w:r>
            <w:r>
              <w:rPr>
                <w:rFonts w:hint="eastAsia" w:ascii="宋体" w:hAnsi="宋体" w:cs="宋体"/>
                <w:color w:val="auto"/>
                <w:szCs w:val="21"/>
                <w:lang w:val="en-US" w:eastAsia="zh-CN"/>
              </w:rPr>
              <w:t>采购</w:t>
            </w:r>
            <w:r>
              <w:rPr>
                <w:rFonts w:hint="eastAsia" w:ascii="宋体" w:hAnsi="宋体" w:eastAsia="宋体" w:cs="宋体"/>
                <w:color w:val="auto"/>
                <w:szCs w:val="21"/>
                <w:lang w:val="en-US" w:eastAsia="zh-CN"/>
              </w:rPr>
              <w:t>人提供</w:t>
            </w:r>
            <w:r>
              <w:rPr>
                <w:rFonts w:hint="eastAsia" w:ascii="宋体" w:hAnsi="宋体" w:cs="宋体"/>
                <w:color w:val="auto"/>
                <w:szCs w:val="21"/>
                <w:lang w:val="en-US" w:eastAsia="zh-CN"/>
              </w:rPr>
              <w:t>采购</w:t>
            </w:r>
            <w:r>
              <w:rPr>
                <w:rFonts w:hint="eastAsia" w:ascii="宋体" w:hAnsi="宋体" w:eastAsia="宋体" w:cs="宋体"/>
                <w:color w:val="auto"/>
                <w:szCs w:val="21"/>
                <w:lang w:val="en-US" w:eastAsia="zh-CN"/>
              </w:rPr>
              <w:t>人委托的造价咨询单位出具的项目评审结论书后，可向</w:t>
            </w:r>
            <w:r>
              <w:rPr>
                <w:rFonts w:hint="eastAsia" w:ascii="宋体" w:hAnsi="宋体" w:cs="宋体"/>
                <w:color w:val="auto"/>
                <w:szCs w:val="21"/>
                <w:lang w:val="en-US" w:eastAsia="zh-CN"/>
              </w:rPr>
              <w:t>采购</w:t>
            </w:r>
            <w:r>
              <w:rPr>
                <w:rFonts w:hint="eastAsia" w:ascii="宋体" w:hAnsi="宋体" w:eastAsia="宋体" w:cs="宋体"/>
                <w:color w:val="auto"/>
                <w:szCs w:val="21"/>
                <w:lang w:val="en-US" w:eastAsia="zh-CN"/>
              </w:rPr>
              <w:t>人申请退还剩余履约保证金，</w:t>
            </w:r>
            <w:r>
              <w:rPr>
                <w:rFonts w:hint="eastAsia" w:ascii="宋体" w:hAnsi="宋体" w:cs="宋体"/>
                <w:color w:val="auto"/>
                <w:szCs w:val="21"/>
                <w:lang w:val="en-US" w:eastAsia="zh-CN"/>
              </w:rPr>
              <w:t>采购</w:t>
            </w:r>
            <w:r>
              <w:rPr>
                <w:rFonts w:hint="eastAsia" w:ascii="宋体" w:hAnsi="宋体" w:eastAsia="宋体" w:cs="宋体"/>
                <w:color w:val="auto"/>
                <w:szCs w:val="21"/>
                <w:lang w:val="en-US" w:eastAsia="zh-CN"/>
              </w:rPr>
              <w:t>人应在收到申请之日起30个工作日内扣减成交供应商赔偿金和其他应从成交供应商扣回的款项后，将履约金的余额退还给成交供应商（无息）。</w:t>
            </w:r>
          </w:p>
          <w:p w14:paraId="57E887EB">
            <w:pPr>
              <w:spacing w:line="300" w:lineRule="exact"/>
              <w:jc w:val="left"/>
              <w:rPr>
                <w:rFonts w:hint="eastAsia" w:ascii="宋体" w:hAnsi="宋体" w:eastAsia="宋体" w:cs="宋体"/>
                <w:b/>
                <w:bCs/>
                <w:szCs w:val="21"/>
                <w:lang w:val="en-US" w:eastAsia="zh-CN"/>
              </w:rPr>
            </w:pPr>
            <w:r>
              <w:rPr>
                <w:rFonts w:hint="eastAsia" w:ascii="宋体" w:hAnsi="宋体" w:eastAsia="宋体" w:cs="宋体"/>
                <w:b/>
                <w:bCs/>
                <w:szCs w:val="21"/>
                <w:lang w:val="en-US" w:eastAsia="zh-CN"/>
              </w:rPr>
              <w:t>备注：</w:t>
            </w:r>
          </w:p>
          <w:p w14:paraId="3FE26C78">
            <w:pPr>
              <w:spacing w:line="300" w:lineRule="exact"/>
              <w:jc w:val="left"/>
              <w:rPr>
                <w:rFonts w:hint="eastAsia" w:ascii="宋体" w:hAnsi="宋体" w:eastAsia="宋体" w:cs="宋体"/>
                <w:b/>
                <w:bCs/>
                <w:szCs w:val="21"/>
                <w:lang w:val="en-US" w:eastAsia="zh-CN"/>
              </w:rPr>
            </w:pPr>
            <w:r>
              <w:rPr>
                <w:rFonts w:hint="eastAsia" w:ascii="宋体" w:hAnsi="宋体" w:eastAsia="宋体" w:cs="宋体"/>
                <w:b/>
                <w:bCs/>
                <w:szCs w:val="21"/>
                <w:lang w:val="en-US" w:eastAsia="zh-CN"/>
              </w:rPr>
              <w:t>1.</w:t>
            </w:r>
            <w:bookmarkStart w:id="29" w:name="_Hlk54170335"/>
            <w:r>
              <w:rPr>
                <w:rFonts w:hint="eastAsia" w:ascii="宋体" w:hAnsi="宋体" w:eastAsia="宋体" w:cs="宋体"/>
                <w:b/>
                <w:bCs/>
                <w:szCs w:val="21"/>
                <w:lang w:val="en-US" w:eastAsia="zh-CN"/>
              </w:rPr>
              <w:t>根据《柳州市财政局关于加强政府采购保证金管理的通知（试行）》（柳财采〔2024〕5号）规定，采购文件要求中标（成交）供应商提交履约保证金的，履约保证金的收取数额不得超过政府采购合同金额的5%，对小型和微型企业免收履约保证金。其中，对中型企业收取货物和服务项目的履约保证金数额不得超过政府采购合同金额的2%。</w:t>
            </w:r>
            <w:bookmarkEnd w:id="29"/>
          </w:p>
          <w:p w14:paraId="18BA246D">
            <w:pPr>
              <w:spacing w:line="300" w:lineRule="exact"/>
              <w:jc w:val="left"/>
              <w:rPr>
                <w:rFonts w:hint="eastAsia" w:ascii="宋体" w:hAnsi="宋体" w:eastAsia="宋体" w:cs="宋体"/>
                <w:b/>
                <w:bCs/>
                <w:szCs w:val="21"/>
                <w:lang w:val="en-US" w:eastAsia="zh-CN"/>
              </w:rPr>
            </w:pPr>
            <w:r>
              <w:rPr>
                <w:rFonts w:hint="eastAsia" w:ascii="宋体" w:hAnsi="宋体" w:eastAsia="宋体" w:cs="宋体"/>
                <w:b/>
                <w:bCs/>
                <w:szCs w:val="21"/>
                <w:lang w:val="en-US" w:eastAsia="zh-CN"/>
              </w:rPr>
              <w:t>2.履约保证金不足额缴纳的，或者银行、保险机构出具的保函额度不足的或者保函有效期低于合同履行期限（即签订采购合同之日起至履行完合同约定的权利及义务之日止）的，不予签订合同。</w:t>
            </w:r>
          </w:p>
          <w:p w14:paraId="465F5CAE">
            <w:pPr>
              <w:spacing w:line="300" w:lineRule="exact"/>
              <w:jc w:val="left"/>
              <w:rPr>
                <w:rFonts w:hint="default" w:ascii="宋体" w:hAnsi="宋体" w:eastAsia="宋体" w:cs="宋体"/>
                <w:color w:val="0000FF"/>
                <w:szCs w:val="21"/>
                <w:lang w:val="en-US" w:eastAsia="zh-CN"/>
              </w:rPr>
            </w:pPr>
            <w:r>
              <w:rPr>
                <w:rFonts w:hint="eastAsia" w:ascii="宋体" w:hAnsi="宋体" w:eastAsia="宋体" w:cs="宋体"/>
                <w:b/>
                <w:bCs/>
                <w:szCs w:val="21"/>
                <w:lang w:val="en-US" w:eastAsia="zh-CN"/>
              </w:rPr>
              <w:t>3.采用银行、保险机构出具的保函的，必须为无条件保函，否则不予签订合同。</w:t>
            </w:r>
          </w:p>
        </w:tc>
      </w:tr>
      <w:tr w14:paraId="21A8D7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04" w:type="dxa"/>
            <w:tcBorders>
              <w:top w:val="single" w:color="auto" w:sz="4" w:space="0"/>
              <w:left w:val="single" w:color="auto" w:sz="4" w:space="0"/>
              <w:bottom w:val="single" w:color="auto" w:sz="4" w:space="0"/>
              <w:right w:val="single" w:color="auto" w:sz="4" w:space="0"/>
            </w:tcBorders>
            <w:noWrap w:val="0"/>
            <w:vAlign w:val="center"/>
          </w:tcPr>
          <w:p w14:paraId="5D747677">
            <w:pPr>
              <w:spacing w:line="300" w:lineRule="exact"/>
              <w:jc w:val="center"/>
              <w:rPr>
                <w:rFonts w:hint="eastAsia" w:ascii="宋体" w:hAnsi="宋体" w:eastAsia="宋体" w:cs="宋体"/>
                <w:szCs w:val="21"/>
              </w:rPr>
            </w:pPr>
            <w:r>
              <w:rPr>
                <w:rFonts w:hint="eastAsia" w:ascii="宋体" w:hAnsi="宋体" w:eastAsia="宋体" w:cs="宋体"/>
                <w:b/>
                <w:szCs w:val="21"/>
              </w:rPr>
              <w:t>9.3</w:t>
            </w:r>
          </w:p>
        </w:tc>
        <w:tc>
          <w:tcPr>
            <w:tcW w:w="1157" w:type="dxa"/>
            <w:tcBorders>
              <w:top w:val="single" w:color="auto" w:sz="4" w:space="0"/>
              <w:left w:val="single" w:color="auto" w:sz="4" w:space="0"/>
              <w:bottom w:val="single" w:color="auto" w:sz="4" w:space="0"/>
              <w:right w:val="single" w:color="auto" w:sz="4" w:space="0"/>
            </w:tcBorders>
            <w:noWrap w:val="0"/>
            <w:vAlign w:val="center"/>
          </w:tcPr>
          <w:p w14:paraId="0ACEC40A">
            <w:pPr>
              <w:jc w:val="center"/>
              <w:rPr>
                <w:rFonts w:hint="eastAsia" w:ascii="宋体" w:hAnsi="宋体" w:eastAsia="宋体" w:cs="宋体"/>
                <w:szCs w:val="21"/>
              </w:rPr>
            </w:pPr>
            <w:r>
              <w:rPr>
                <w:rFonts w:hint="eastAsia" w:ascii="宋体" w:hAnsi="宋体" w:eastAsia="宋体" w:cs="宋体"/>
                <w:szCs w:val="21"/>
              </w:rPr>
              <w:t>农民工工资保障金</w:t>
            </w:r>
          </w:p>
        </w:tc>
        <w:tc>
          <w:tcPr>
            <w:tcW w:w="6718" w:type="dxa"/>
            <w:tcBorders>
              <w:top w:val="single" w:color="auto" w:sz="4" w:space="0"/>
              <w:left w:val="single" w:color="auto" w:sz="4" w:space="0"/>
              <w:bottom w:val="single" w:color="auto" w:sz="4" w:space="0"/>
              <w:right w:val="single" w:color="auto" w:sz="4" w:space="0"/>
            </w:tcBorders>
            <w:noWrap w:val="0"/>
            <w:vAlign w:val="center"/>
          </w:tcPr>
          <w:p w14:paraId="2CE32B20">
            <w:pPr>
              <w:spacing w:line="300" w:lineRule="exact"/>
              <w:jc w:val="left"/>
              <w:rPr>
                <w:rFonts w:hint="eastAsia" w:ascii="宋体" w:hAnsi="宋体" w:eastAsia="宋体" w:cs="宋体"/>
                <w:szCs w:val="21"/>
              </w:rPr>
            </w:pPr>
            <w:r>
              <w:rPr>
                <w:rFonts w:hint="eastAsia" w:ascii="宋体" w:hAnsi="宋体" w:eastAsia="宋体" w:cs="宋体"/>
              </w:rPr>
              <w:t>按广西壮族自治区人力资源和社会保障厅等8部门《关于印发广西壮族自治区工程建设领域农民工工资专用帐户管理暂行办法实施细则的通知》（桂人社规[2022]5号）执行，承包人在合同签订之日起30日内，自主选择在自治区行政区域内依法设立或设有分支机构的银行开立专用帐户。办理得施工许可证后，按照《关于印发广西壮族自治区工程建设领域农民工工资保证金规定实施办法的通知》桂人社规[2021]16号）缴存保证金，也可以使用银行保函。工程竣工验收结算经审定后，按照规定程序，将农民工工资保证金没有使用或剩余的金额退还给承包人。</w:t>
            </w:r>
          </w:p>
        </w:tc>
      </w:tr>
      <w:tr w14:paraId="5E77BB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04" w:type="dxa"/>
            <w:tcBorders>
              <w:top w:val="single" w:color="auto" w:sz="4" w:space="0"/>
              <w:left w:val="single" w:color="auto" w:sz="4" w:space="0"/>
              <w:bottom w:val="single" w:color="auto" w:sz="4" w:space="0"/>
              <w:right w:val="single" w:color="auto" w:sz="4" w:space="0"/>
            </w:tcBorders>
            <w:noWrap w:val="0"/>
            <w:vAlign w:val="center"/>
          </w:tcPr>
          <w:p w14:paraId="73A9CD93">
            <w:pPr>
              <w:spacing w:line="300" w:lineRule="exact"/>
              <w:jc w:val="center"/>
              <w:rPr>
                <w:rFonts w:hint="eastAsia" w:ascii="宋体" w:hAnsi="宋体" w:eastAsia="宋体" w:cs="宋体"/>
                <w:b/>
                <w:szCs w:val="21"/>
              </w:rPr>
            </w:pPr>
            <w:r>
              <w:rPr>
                <w:rFonts w:hint="eastAsia" w:ascii="宋体" w:hAnsi="宋体" w:eastAsia="宋体" w:cs="宋体"/>
                <w:b/>
                <w:szCs w:val="21"/>
              </w:rPr>
              <w:t>9.3</w:t>
            </w:r>
          </w:p>
        </w:tc>
        <w:tc>
          <w:tcPr>
            <w:tcW w:w="1157" w:type="dxa"/>
            <w:tcBorders>
              <w:top w:val="single" w:color="auto" w:sz="4" w:space="0"/>
              <w:left w:val="single" w:color="auto" w:sz="4" w:space="0"/>
              <w:bottom w:val="single" w:color="auto" w:sz="4" w:space="0"/>
              <w:right w:val="single" w:color="auto" w:sz="4" w:space="0"/>
            </w:tcBorders>
            <w:noWrap w:val="0"/>
            <w:vAlign w:val="center"/>
          </w:tcPr>
          <w:p w14:paraId="0A8BF423">
            <w:pPr>
              <w:jc w:val="center"/>
              <w:rPr>
                <w:rFonts w:hint="eastAsia" w:ascii="宋体" w:hAnsi="宋体" w:eastAsia="宋体" w:cs="宋体"/>
                <w:szCs w:val="21"/>
              </w:rPr>
            </w:pPr>
            <w:r>
              <w:rPr>
                <w:rFonts w:hint="eastAsia" w:ascii="宋体" w:hAnsi="宋体" w:eastAsia="宋体" w:cs="宋体"/>
                <w:szCs w:val="20"/>
              </w:rPr>
              <w:t>其他事项</w:t>
            </w:r>
          </w:p>
        </w:tc>
        <w:tc>
          <w:tcPr>
            <w:tcW w:w="6718" w:type="dxa"/>
            <w:tcBorders>
              <w:top w:val="single" w:color="auto" w:sz="4" w:space="0"/>
              <w:left w:val="single" w:color="auto" w:sz="4" w:space="0"/>
              <w:bottom w:val="single" w:color="auto" w:sz="4" w:space="0"/>
              <w:right w:val="single" w:color="auto" w:sz="4" w:space="0"/>
            </w:tcBorders>
            <w:noWrap w:val="0"/>
            <w:vAlign w:val="center"/>
          </w:tcPr>
          <w:p w14:paraId="50AB9B86">
            <w:pPr>
              <w:spacing w:line="300" w:lineRule="exact"/>
              <w:jc w:val="left"/>
              <w:rPr>
                <w:rFonts w:hint="eastAsia" w:ascii="宋体" w:hAnsi="宋体" w:eastAsia="宋体" w:cs="宋体"/>
                <w:szCs w:val="21"/>
                <w:highlight w:val="none"/>
              </w:rPr>
            </w:pPr>
            <w:r>
              <w:rPr>
                <w:rFonts w:hint="eastAsia" w:ascii="宋体" w:hAnsi="宋体" w:eastAsia="宋体" w:cs="宋体"/>
                <w:szCs w:val="21"/>
                <w:highlight w:val="none"/>
              </w:rPr>
              <w:t>构成本采购文件的各个组成文件应互为解释，互为说明：</w:t>
            </w:r>
          </w:p>
          <w:p w14:paraId="05521B18">
            <w:pPr>
              <w:spacing w:line="300" w:lineRule="exact"/>
              <w:jc w:val="left"/>
              <w:rPr>
                <w:rFonts w:hint="eastAsia" w:ascii="宋体" w:hAnsi="宋体" w:eastAsia="宋体" w:cs="宋体"/>
                <w:szCs w:val="21"/>
              </w:rPr>
            </w:pPr>
            <w:r>
              <w:rPr>
                <w:rFonts w:hint="eastAsia" w:ascii="宋体" w:hAnsi="宋体" w:eastAsia="宋体" w:cs="宋体"/>
                <w:szCs w:val="21"/>
                <w:highlight w:val="none"/>
              </w:rPr>
              <w:t>除采购文件中有特别规定外，仅适用于招标投标阶段的规定，按更正公告（澄清公告）、磋商公告、采购需求、供应商须知、评审方法及标准、合同条款格式、响应文件格式的先后顺序解释；同一组成文件中就同一事项的规定或者约定不一致的，以编排顺序在后者为准；同一组成文件不同版本之间有不一致的，以形成时间在后者为准；更正公告（澄清公告）与同步更新的采购文件不一致时以更正公告（澄清公告）为准。按本款前述规定仍不能形成结论的，由采购人或者采购代理机构负责解释。</w:t>
            </w:r>
          </w:p>
        </w:tc>
      </w:tr>
      <w:tr w14:paraId="3697EA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04" w:type="dxa"/>
            <w:tcBorders>
              <w:top w:val="single" w:color="auto" w:sz="4" w:space="0"/>
              <w:left w:val="single" w:color="auto" w:sz="4" w:space="0"/>
              <w:bottom w:val="single" w:color="auto" w:sz="4" w:space="0"/>
              <w:right w:val="single" w:color="auto" w:sz="4" w:space="0"/>
            </w:tcBorders>
            <w:noWrap w:val="0"/>
            <w:vAlign w:val="center"/>
          </w:tcPr>
          <w:p w14:paraId="69BB7544">
            <w:pPr>
              <w:spacing w:line="300" w:lineRule="exact"/>
              <w:jc w:val="center"/>
              <w:rPr>
                <w:rFonts w:hint="default" w:ascii="宋体" w:hAnsi="宋体" w:eastAsia="宋体" w:cs="宋体"/>
                <w:b/>
                <w:szCs w:val="21"/>
                <w:lang w:val="en-US" w:eastAsia="zh-CN"/>
              </w:rPr>
            </w:pPr>
            <w:r>
              <w:rPr>
                <w:rFonts w:hint="eastAsia" w:ascii="宋体" w:hAnsi="宋体" w:eastAsia="宋体" w:cs="宋体"/>
                <w:b/>
                <w:szCs w:val="21"/>
                <w:lang w:val="en-US" w:eastAsia="zh-CN"/>
              </w:rPr>
              <w:t>10</w:t>
            </w:r>
          </w:p>
        </w:tc>
        <w:tc>
          <w:tcPr>
            <w:tcW w:w="1157" w:type="dxa"/>
            <w:tcBorders>
              <w:top w:val="single" w:color="auto" w:sz="4" w:space="0"/>
              <w:left w:val="single" w:color="auto" w:sz="4" w:space="0"/>
              <w:bottom w:val="single" w:color="auto" w:sz="4" w:space="0"/>
              <w:right w:val="single" w:color="auto" w:sz="4" w:space="0"/>
            </w:tcBorders>
            <w:noWrap w:val="0"/>
            <w:vAlign w:val="center"/>
          </w:tcPr>
          <w:p w14:paraId="13FB2A57">
            <w:pPr>
              <w:spacing w:line="300" w:lineRule="exact"/>
              <w:jc w:val="center"/>
              <w:rPr>
                <w:rFonts w:hint="eastAsia" w:ascii="宋体" w:hAnsi="宋体" w:eastAsia="宋体" w:cs="宋体"/>
                <w:szCs w:val="20"/>
              </w:rPr>
            </w:pPr>
            <w:r>
              <w:rPr>
                <w:rFonts w:hint="eastAsia" w:ascii="宋体" w:hAnsi="宋体" w:cs="宋体"/>
                <w:color w:val="auto"/>
                <w:kern w:val="0"/>
                <w:szCs w:val="21"/>
                <w:highlight w:val="none"/>
              </w:rPr>
              <w:t>政采贷及供应商线上申请保证金保函说明</w:t>
            </w:r>
          </w:p>
        </w:tc>
        <w:tc>
          <w:tcPr>
            <w:tcW w:w="6718" w:type="dxa"/>
            <w:tcBorders>
              <w:top w:val="single" w:color="auto" w:sz="4" w:space="0"/>
              <w:left w:val="single" w:color="auto" w:sz="4" w:space="0"/>
              <w:bottom w:val="single" w:color="auto" w:sz="4" w:space="0"/>
              <w:right w:val="single" w:color="auto" w:sz="4" w:space="0"/>
            </w:tcBorders>
            <w:noWrap w:val="0"/>
            <w:vAlign w:val="center"/>
          </w:tcPr>
          <w:p w14:paraId="18EC38DA">
            <w:pPr>
              <w:spacing w:line="276" w:lineRule="auto"/>
              <w:rPr>
                <w:rFonts w:ascii="宋体" w:hAnsi="宋体" w:cs="宋体"/>
                <w:color w:val="auto"/>
                <w:kern w:val="0"/>
                <w:szCs w:val="21"/>
                <w:highlight w:val="none"/>
              </w:rPr>
            </w:pPr>
            <w:r>
              <w:rPr>
                <w:rFonts w:hint="eastAsia" w:ascii="宋体" w:hAnsi="宋体" w:cs="宋体"/>
                <w:color w:val="auto"/>
                <w:kern w:val="0"/>
                <w:szCs w:val="21"/>
                <w:highlight w:val="none"/>
              </w:rPr>
              <w:t>1.根据《柳州市财政局 人民银行柳州市中心支行 关于进一步做好线上“政采贷”融资工作的通知》（柳财采〔2022〕19号），供应商可凭中标（成交）通知书、政府采购合同，通过中征应收账款融资服务平台向银行在线申请“政采贷”融资。</w:t>
            </w:r>
          </w:p>
          <w:p w14:paraId="71E03E6F">
            <w:pPr>
              <w:spacing w:line="276" w:lineRule="auto"/>
              <w:rPr>
                <w:rFonts w:hint="eastAsia" w:ascii="宋体" w:hAnsi="宋体" w:eastAsia="宋体" w:cs="宋体"/>
                <w:szCs w:val="21"/>
                <w:highlight w:val="none"/>
              </w:rPr>
            </w:pPr>
            <w:r>
              <w:rPr>
                <w:rFonts w:hint="eastAsia" w:ascii="宋体" w:hAnsi="宋体" w:cs="宋体"/>
                <w:color w:val="auto"/>
                <w:kern w:val="0"/>
                <w:szCs w:val="21"/>
                <w:highlight w:val="none"/>
              </w:rPr>
              <w:t>2.供应商可依托“广西政府采购金融服务平台”（https://jinrong.zcygov.cn/finance/gx），线上完成保函申请、递交、验收和索赔等操作。</w:t>
            </w:r>
          </w:p>
        </w:tc>
      </w:tr>
    </w:tbl>
    <w:p w14:paraId="19D6A2D8">
      <w:pPr>
        <w:tabs>
          <w:tab w:val="left" w:pos="611"/>
        </w:tabs>
        <w:rPr>
          <w:rFonts w:hint="eastAsia" w:ascii="宋体" w:hAnsi="宋体" w:eastAsia="宋体" w:cs="宋体"/>
          <w:szCs w:val="21"/>
        </w:rPr>
      </w:pPr>
    </w:p>
    <w:p w14:paraId="5C0E1CB7">
      <w:pPr>
        <w:spacing w:before="120" w:line="320" w:lineRule="atLeast"/>
        <w:outlineLvl w:val="1"/>
        <w:rPr>
          <w:rFonts w:hint="eastAsia" w:ascii="宋体" w:hAnsi="宋体" w:eastAsia="宋体" w:cs="宋体"/>
          <w:b/>
          <w:bCs/>
          <w:kern w:val="0"/>
          <w:szCs w:val="21"/>
        </w:rPr>
      </w:pPr>
      <w:r>
        <w:rPr>
          <w:rFonts w:hint="eastAsia" w:ascii="宋体" w:hAnsi="宋体" w:eastAsia="宋体" w:cs="宋体"/>
          <w:szCs w:val="21"/>
        </w:rPr>
        <w:br w:type="page"/>
      </w:r>
      <w:bookmarkStart w:id="30" w:name="_Hlk89188603"/>
      <w:r>
        <w:rPr>
          <w:rFonts w:hint="eastAsia" w:ascii="宋体" w:hAnsi="宋体" w:eastAsia="宋体" w:cs="宋体"/>
          <w:b/>
          <w:bCs/>
          <w:kern w:val="0"/>
          <w:szCs w:val="21"/>
        </w:rPr>
        <w:t>1．总则</w:t>
      </w:r>
    </w:p>
    <w:p w14:paraId="2421EECD">
      <w:pPr>
        <w:spacing w:before="120" w:line="320" w:lineRule="atLeast"/>
        <w:ind w:firstLine="422" w:firstLineChars="200"/>
        <w:outlineLvl w:val="2"/>
        <w:rPr>
          <w:rFonts w:hint="eastAsia" w:ascii="宋体" w:hAnsi="宋体" w:eastAsia="宋体" w:cs="宋体"/>
          <w:b/>
          <w:bCs/>
          <w:kern w:val="0"/>
          <w:szCs w:val="21"/>
        </w:rPr>
      </w:pPr>
      <w:bookmarkStart w:id="31" w:name="_Toc254970527"/>
      <w:bookmarkStart w:id="32" w:name="_Toc254970668"/>
      <w:r>
        <w:rPr>
          <w:rFonts w:hint="eastAsia" w:ascii="宋体" w:hAnsi="宋体" w:eastAsia="宋体" w:cs="宋体"/>
          <w:b/>
          <w:bCs/>
          <w:kern w:val="0"/>
          <w:szCs w:val="21"/>
        </w:rPr>
        <w:t>1.1适用范围</w:t>
      </w:r>
      <w:bookmarkEnd w:id="31"/>
      <w:bookmarkEnd w:id="32"/>
    </w:p>
    <w:p w14:paraId="62A2ED72">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本采购文件适用于供应商须知前附表所述项目的政府采购活动。</w:t>
      </w:r>
    </w:p>
    <w:p w14:paraId="1AAA7092">
      <w:pPr>
        <w:spacing w:before="120" w:line="320" w:lineRule="atLeast"/>
        <w:ind w:firstLine="422" w:firstLineChars="200"/>
        <w:outlineLvl w:val="2"/>
        <w:rPr>
          <w:rFonts w:hint="eastAsia" w:ascii="宋体" w:hAnsi="宋体" w:eastAsia="宋体" w:cs="宋体"/>
          <w:b/>
          <w:bCs/>
          <w:kern w:val="0"/>
          <w:szCs w:val="21"/>
        </w:rPr>
      </w:pPr>
      <w:bookmarkStart w:id="33" w:name="_Toc254970528"/>
      <w:bookmarkStart w:id="34" w:name="_Toc254970669"/>
      <w:r>
        <w:rPr>
          <w:rFonts w:hint="eastAsia" w:ascii="宋体" w:hAnsi="宋体" w:eastAsia="宋体" w:cs="宋体"/>
          <w:b/>
          <w:bCs/>
          <w:kern w:val="0"/>
          <w:szCs w:val="21"/>
        </w:rPr>
        <w:t>1.2定义</w:t>
      </w:r>
      <w:bookmarkEnd w:id="33"/>
      <w:bookmarkEnd w:id="34"/>
    </w:p>
    <w:p w14:paraId="69EB1A68">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1.2.1“采购人”系指依法进行政府采购的国家机关、事业单位、团体组织。</w:t>
      </w:r>
    </w:p>
    <w:p w14:paraId="14D898D5">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1.2.2“供应商”系</w:t>
      </w:r>
      <w:r>
        <w:rPr>
          <w:rFonts w:hint="eastAsia" w:ascii="宋体" w:hAnsi="宋体" w:eastAsia="宋体" w:cs="宋体"/>
          <w:color w:val="000000"/>
        </w:rPr>
        <w:t>指响应招标、参加响应竞争的法人、其他组织或者自然人</w:t>
      </w:r>
      <w:r>
        <w:rPr>
          <w:rFonts w:hint="eastAsia" w:ascii="宋体" w:hAnsi="宋体" w:eastAsia="宋体" w:cs="宋体"/>
          <w:szCs w:val="21"/>
        </w:rPr>
        <w:t>。</w:t>
      </w:r>
    </w:p>
    <w:p w14:paraId="19C6D67D">
      <w:pPr>
        <w:spacing w:before="120" w:line="360" w:lineRule="auto"/>
        <w:ind w:firstLine="420" w:firstLineChars="200"/>
        <w:rPr>
          <w:rFonts w:hint="eastAsia" w:ascii="宋体" w:hAnsi="宋体" w:eastAsia="宋体" w:cs="宋体"/>
        </w:rPr>
      </w:pPr>
      <w:r>
        <w:rPr>
          <w:rFonts w:hint="eastAsia" w:ascii="宋体" w:hAnsi="宋体" w:eastAsia="宋体" w:cs="宋体"/>
        </w:rPr>
        <w:t>1.2.3本文件中的“法定代表人”若无特别说明，当供应商是企业的，是指企业法人营业执照上的法定代表人；当供应商是事业单位的，是指事业单位法人证书上的法定代表人；当供应商是社会团体、民办非企业的，是指法人登记证书中的法定代表人；当供应商是个体工商户的，是指个体工商户营业执照上的经营者；当供应商是自然人的，是指参与本项目响应的自然人本人。</w:t>
      </w:r>
      <w:r>
        <w:rPr>
          <w:rFonts w:hint="eastAsia" w:ascii="宋体" w:hAnsi="宋体" w:eastAsia="宋体" w:cs="宋体"/>
        </w:rPr>
        <w:br w:type="textWrapping"/>
      </w:r>
      <w:r>
        <w:rPr>
          <w:rFonts w:hint="eastAsia" w:ascii="宋体" w:hAnsi="宋体" w:eastAsia="宋体" w:cs="宋体"/>
        </w:rPr>
        <w:t xml:space="preserve">    1.2.4本文件中的“公章”是指根据我国对公章的管理规定，用供应商法定主体行为名称制作的印章，除本文件有特殊规定外，供应商的财务章、部门章、分公司章、工会章、合同章、投标专用章、业务专用章及银行的转账章、现金收讫章、现金付讫章等其他形式印章均不能代替公章。本文件中的“签章”是指电子签名的一种表现形式，利用图像处理技术将电子签名操作转化为与纸质文件盖章操作相同的可视效果，同时利用电子签名技术保障电子信息的真实性和完整性以及签名人的不可否认性。</w:t>
      </w:r>
    </w:p>
    <w:p w14:paraId="0F2A8A5B">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 xml:space="preserve">1.2.5“书面形式”如无特殊规定，书面形式是合同书、信件、电报、电传等可以有形地表现所载内容的形式。以电子数据交换、电子邮件等方式能够有形地表现所载内容，并可以随时调取查用的数据电文，视为书面形式。采购文件如有特殊规定，以采购文件规定为准。 </w:t>
      </w:r>
    </w:p>
    <w:p w14:paraId="48298839">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1.2.6本项目的技术商务要求重要性分为“▲”（如有）、“#”（如有）和一般无标识指标。▲代表实质性要求指标，</w:t>
      </w:r>
      <w:r>
        <w:rPr>
          <w:rFonts w:hint="eastAsia" w:ascii="宋体" w:hAnsi="宋体" w:eastAsia="宋体" w:cs="宋体"/>
          <w:b/>
          <w:bCs/>
          <w:szCs w:val="21"/>
        </w:rPr>
        <w:t>不满足该指标项将导致响应被否决</w:t>
      </w:r>
      <w:r>
        <w:rPr>
          <w:rFonts w:hint="eastAsia" w:ascii="宋体" w:hAnsi="宋体" w:eastAsia="宋体" w:cs="宋体"/>
          <w:szCs w:val="21"/>
        </w:rPr>
        <w:t>，#代表重要指标，无标识则表示一般指标项。</w:t>
      </w:r>
    </w:p>
    <w:p w14:paraId="70F408BE">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1.2.7 本采购文件出现多种选项的条款，以“</w:t>
      </w:r>
      <w:r>
        <w:rPr>
          <w:rFonts w:hint="eastAsia" w:ascii="宋体" w:hAnsi="宋体" w:eastAsia="宋体" w:cs="宋体"/>
        </w:rPr>
        <w:sym w:font="Wingdings 2" w:char="F052"/>
      </w:r>
      <w:r>
        <w:rPr>
          <w:rFonts w:hint="eastAsia" w:ascii="宋体" w:hAnsi="宋体" w:eastAsia="宋体" w:cs="宋体"/>
          <w:szCs w:val="21"/>
        </w:rPr>
        <w:t>”表示本条款所选择的方式。</w:t>
      </w:r>
    </w:p>
    <w:p w14:paraId="44711483">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1.2.8 “电子交易平台”是指以数据电文形式在线完成采购活动的信息平台，本采购文件中也称“广西政府采购云平台”。</w:t>
      </w:r>
    </w:p>
    <w:p w14:paraId="15B63D0F">
      <w:pPr>
        <w:spacing w:before="120" w:line="320" w:lineRule="atLeast"/>
        <w:ind w:firstLine="422" w:firstLineChars="200"/>
        <w:outlineLvl w:val="2"/>
        <w:rPr>
          <w:rFonts w:hint="eastAsia" w:ascii="宋体" w:hAnsi="宋体" w:eastAsia="宋体" w:cs="宋体"/>
          <w:b/>
          <w:bCs/>
          <w:kern w:val="0"/>
          <w:szCs w:val="21"/>
        </w:rPr>
      </w:pPr>
      <w:r>
        <w:rPr>
          <w:rFonts w:hint="eastAsia" w:ascii="宋体" w:hAnsi="宋体" w:eastAsia="宋体" w:cs="宋体"/>
          <w:b/>
          <w:bCs/>
          <w:kern w:val="0"/>
          <w:szCs w:val="21"/>
        </w:rPr>
        <w:t>1.3项目信息</w:t>
      </w:r>
    </w:p>
    <w:p w14:paraId="5EF23E36">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1.3.1项目名称及编号：详见</w:t>
      </w:r>
      <w:bookmarkStart w:id="35" w:name="_Hlk89176704"/>
      <w:r>
        <w:rPr>
          <w:rFonts w:hint="eastAsia" w:ascii="宋体" w:hAnsi="宋体" w:eastAsia="宋体" w:cs="宋体"/>
          <w:szCs w:val="21"/>
        </w:rPr>
        <w:t>供应商须知前附表</w:t>
      </w:r>
      <w:bookmarkEnd w:id="35"/>
    </w:p>
    <w:p w14:paraId="7E2EB48B">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1.3.2采购方式：详见供应商须知前附表</w:t>
      </w:r>
    </w:p>
    <w:p w14:paraId="0E07DD8F">
      <w:pPr>
        <w:spacing w:before="120" w:line="320" w:lineRule="atLeast"/>
        <w:ind w:firstLine="422" w:firstLineChars="200"/>
        <w:outlineLvl w:val="2"/>
        <w:rPr>
          <w:rFonts w:hint="eastAsia" w:ascii="宋体" w:hAnsi="宋体" w:eastAsia="宋体" w:cs="宋体"/>
          <w:b/>
          <w:bCs/>
          <w:kern w:val="0"/>
          <w:szCs w:val="21"/>
        </w:rPr>
      </w:pPr>
      <w:bookmarkStart w:id="36" w:name="_Hlk132812137"/>
      <w:r>
        <w:rPr>
          <w:rFonts w:hint="eastAsia" w:ascii="宋体" w:hAnsi="宋体" w:eastAsia="宋体" w:cs="宋体"/>
          <w:b/>
          <w:bCs/>
          <w:kern w:val="0"/>
          <w:szCs w:val="21"/>
        </w:rPr>
        <w:t>1.4促进中小企业发展政策</w:t>
      </w:r>
    </w:p>
    <w:p w14:paraId="4266B990">
      <w:pPr>
        <w:spacing w:before="120" w:line="320" w:lineRule="atLeast"/>
        <w:ind w:left="2" w:leftChars="1" w:firstLine="420" w:firstLineChars="200"/>
        <w:rPr>
          <w:rFonts w:hint="eastAsia" w:ascii="宋体" w:hAnsi="宋体" w:eastAsia="宋体" w:cs="宋体"/>
          <w:szCs w:val="21"/>
        </w:rPr>
      </w:pPr>
      <w:r>
        <w:rPr>
          <w:rFonts w:hint="eastAsia" w:ascii="宋体" w:hAnsi="宋体" w:eastAsia="宋体" w:cs="宋体"/>
          <w:szCs w:val="21"/>
        </w:rPr>
        <w:t>1.4.1本项目落实促进中小企业发展政策措施在前附表规定。依据促进中小企业发展政策获得政府采购合同的，小微企业不得将合同分包给大中型企业，中型企业不得将合同分包给大型企业。</w:t>
      </w:r>
    </w:p>
    <w:p w14:paraId="6EC48D5A">
      <w:pPr>
        <w:spacing w:before="120" w:line="320" w:lineRule="atLeast"/>
        <w:ind w:left="2" w:leftChars="1" w:firstLine="420" w:firstLineChars="200"/>
        <w:rPr>
          <w:rFonts w:hint="eastAsia" w:ascii="宋体" w:hAnsi="宋体" w:eastAsia="宋体" w:cs="宋体"/>
          <w:szCs w:val="21"/>
        </w:rPr>
      </w:pPr>
      <w:bookmarkStart w:id="37" w:name="_Hlk92205820"/>
      <w:r>
        <w:rPr>
          <w:rFonts w:hint="eastAsia" w:ascii="宋体" w:hAnsi="宋体" w:eastAsia="宋体" w:cs="宋体"/>
          <w:szCs w:val="21"/>
        </w:rPr>
        <w:t>根据《政府采购促进中小企业发展管理办法》（财库</w:t>
      </w:r>
      <w:r>
        <w:rPr>
          <w:rFonts w:hint="eastAsia" w:ascii="宋体" w:hAnsi="宋体" w:eastAsia="宋体" w:cs="宋体"/>
          <w:szCs w:val="21"/>
          <w:lang w:eastAsia="zh-CN"/>
        </w:rPr>
        <w:t>〔2020〕46</w:t>
      </w:r>
      <w:r>
        <w:rPr>
          <w:rFonts w:hint="eastAsia" w:ascii="宋体" w:hAnsi="宋体" w:eastAsia="宋体" w:cs="宋体"/>
          <w:szCs w:val="21"/>
        </w:rPr>
        <w:t>号）第九条以及《广西壮族自治区财政厅 广西壮族自治区工业和信息化厅转发财政部 工业和信息化部政府采购促进中小企业发展管理办法的通知》（桂财采</w:t>
      </w:r>
      <w:r>
        <w:rPr>
          <w:rFonts w:hint="eastAsia" w:ascii="宋体" w:hAnsi="宋体" w:eastAsia="宋体" w:cs="宋体"/>
          <w:szCs w:val="21"/>
          <w:lang w:eastAsia="zh-CN"/>
        </w:rPr>
        <w:t>〔2021〕70</w:t>
      </w:r>
      <w:r>
        <w:rPr>
          <w:rFonts w:hint="eastAsia" w:ascii="宋体" w:hAnsi="宋体" w:eastAsia="宋体" w:cs="宋体"/>
          <w:szCs w:val="21"/>
        </w:rPr>
        <w:t>号）规定，价格扣除比例在第</w:t>
      </w:r>
      <w:r>
        <w:rPr>
          <w:rFonts w:hint="eastAsia" w:ascii="宋体" w:hAnsi="宋体" w:cs="宋体"/>
          <w:szCs w:val="21"/>
          <w:lang w:val="en-US" w:eastAsia="zh-CN"/>
        </w:rPr>
        <w:t>五</w:t>
      </w:r>
      <w:r>
        <w:rPr>
          <w:rFonts w:hint="eastAsia" w:ascii="宋体" w:hAnsi="宋体" w:eastAsia="宋体" w:cs="宋体"/>
          <w:szCs w:val="21"/>
        </w:rPr>
        <w:t>章评审方法及标准中规定，对小型企业和微型企业同等对待，不作区分。</w:t>
      </w:r>
    </w:p>
    <w:p w14:paraId="2FBE9438">
      <w:pPr>
        <w:spacing w:before="120" w:line="320" w:lineRule="atLeast"/>
        <w:ind w:left="2" w:leftChars="1" w:firstLine="420" w:firstLineChars="200"/>
        <w:rPr>
          <w:rFonts w:hint="eastAsia" w:ascii="宋体" w:hAnsi="宋体" w:eastAsia="宋体" w:cs="宋体"/>
          <w:szCs w:val="21"/>
        </w:rPr>
      </w:pPr>
      <w:r>
        <w:rPr>
          <w:rFonts w:hint="eastAsia" w:ascii="宋体" w:hAnsi="宋体" w:eastAsia="宋体" w:cs="宋体"/>
          <w:szCs w:val="21"/>
        </w:rPr>
        <w:t>1.4.2中小企业定义</w:t>
      </w:r>
    </w:p>
    <w:p w14:paraId="7E4EB2F7">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1.4.2.1中小企业是指在中华人民共和国境内依法设立，依据国务院批准的中小企业划分标准确定的中型企业、小型企业和微型企业，但与大企业的负责人为同一人，或者与大企业存在直接控股、管理关系的除外。</w:t>
      </w:r>
    </w:p>
    <w:p w14:paraId="4F855A9B">
      <w:pPr>
        <w:spacing w:before="120" w:line="320" w:lineRule="atLeast"/>
        <w:ind w:left="2" w:leftChars="1" w:firstLine="420" w:firstLineChars="200"/>
        <w:rPr>
          <w:rFonts w:hint="eastAsia" w:ascii="宋体" w:hAnsi="宋体" w:eastAsia="宋体" w:cs="宋体"/>
          <w:szCs w:val="21"/>
        </w:rPr>
      </w:pPr>
      <w:r>
        <w:rPr>
          <w:rFonts w:hint="eastAsia" w:ascii="宋体" w:hAnsi="宋体" w:eastAsia="宋体" w:cs="宋体"/>
          <w:szCs w:val="21"/>
        </w:rPr>
        <w:t>1.4.2.2供应商提供的货物、工程或者服务符合下列情形的，享受本款规定的促进中小企业发展政策：</w:t>
      </w:r>
    </w:p>
    <w:p w14:paraId="3C31316F">
      <w:pPr>
        <w:spacing w:before="120" w:line="320" w:lineRule="atLeast"/>
        <w:ind w:left="2" w:leftChars="1" w:firstLine="420" w:firstLineChars="200"/>
        <w:rPr>
          <w:rFonts w:hint="eastAsia" w:ascii="宋体" w:hAnsi="宋体" w:eastAsia="宋体" w:cs="宋体"/>
          <w:szCs w:val="21"/>
        </w:rPr>
      </w:pPr>
      <w:r>
        <w:rPr>
          <w:rFonts w:hint="eastAsia" w:ascii="宋体" w:hAnsi="宋体" w:eastAsia="宋体" w:cs="宋体"/>
          <w:szCs w:val="21"/>
        </w:rPr>
        <w:t>在货物采购项目中，货物由中小企业制造，即货物由中小企业生产且使用该中小企业商号或者注册商标；</w:t>
      </w:r>
    </w:p>
    <w:p w14:paraId="67F44C33">
      <w:pPr>
        <w:spacing w:before="120" w:line="320" w:lineRule="atLeast"/>
        <w:ind w:left="2" w:leftChars="1" w:firstLine="420" w:firstLineChars="200"/>
        <w:rPr>
          <w:rFonts w:hint="eastAsia" w:ascii="宋体" w:hAnsi="宋体" w:eastAsia="宋体" w:cs="宋体"/>
          <w:szCs w:val="21"/>
        </w:rPr>
      </w:pPr>
      <w:r>
        <w:rPr>
          <w:rFonts w:hint="eastAsia" w:ascii="宋体" w:hAnsi="宋体" w:eastAsia="宋体" w:cs="宋体"/>
          <w:szCs w:val="21"/>
        </w:rPr>
        <w:t>在工程采购项目中，工程由中小企业承建，即工程施工单位为中小企业；</w:t>
      </w:r>
    </w:p>
    <w:p w14:paraId="3C44B0C9">
      <w:pPr>
        <w:spacing w:before="120" w:line="320" w:lineRule="atLeast"/>
        <w:ind w:left="2" w:leftChars="1" w:firstLine="420" w:firstLineChars="200"/>
        <w:rPr>
          <w:rFonts w:hint="eastAsia" w:ascii="宋体" w:hAnsi="宋体" w:eastAsia="宋体" w:cs="宋体"/>
          <w:szCs w:val="21"/>
        </w:rPr>
      </w:pPr>
      <w:r>
        <w:rPr>
          <w:rFonts w:hint="eastAsia" w:ascii="宋体" w:hAnsi="宋体" w:eastAsia="宋体" w:cs="宋体"/>
          <w:szCs w:val="21"/>
        </w:rPr>
        <w:t>在服务采购项目中，服务由中小企业承接，即提供服务的人员为中小企业依照《中华人民共和国劳动合同法》订立劳动合同的从业人员。</w:t>
      </w:r>
    </w:p>
    <w:p w14:paraId="39F160AC">
      <w:pPr>
        <w:spacing w:before="120" w:line="320" w:lineRule="atLeast"/>
        <w:ind w:left="2" w:leftChars="1" w:firstLine="420" w:firstLineChars="200"/>
        <w:rPr>
          <w:rFonts w:hint="eastAsia" w:ascii="宋体" w:hAnsi="宋体" w:eastAsia="宋体" w:cs="宋体"/>
          <w:szCs w:val="21"/>
        </w:rPr>
      </w:pPr>
      <w:r>
        <w:rPr>
          <w:rFonts w:hint="eastAsia" w:ascii="宋体" w:hAnsi="宋体" w:eastAsia="宋体" w:cs="宋体"/>
          <w:szCs w:val="21"/>
        </w:rPr>
        <w:t>在货物采购项目中，供应商提供的货物既有中小企业制造货物，也有大型企业制造货物的，不享受本款规定的促进中小企业发展政策。</w:t>
      </w:r>
    </w:p>
    <w:p w14:paraId="2087AAD4">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1.4.2.3本项目标的所属行业在第二章采购需求中规定。供应商根据中小企业划分标准（《关于印发中小企业划型标准规定的通知》（工信部联企业〔2011〕300号）判断是否为中小企业。（见附件）</w:t>
      </w:r>
    </w:p>
    <w:p w14:paraId="66392B96">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符合条件的货物制造商、工程施工单位、服务承接单位为中小企业的，应按采购文件规定在响应文件中提供声明函。</w:t>
      </w:r>
    </w:p>
    <w:p w14:paraId="01873112">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1.4.2.4视同中小企业情形</w:t>
      </w:r>
    </w:p>
    <w:p w14:paraId="30DEA0B4">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（1）符合中小企业划分标准的个体工商户，视同中小企业。</w:t>
      </w:r>
    </w:p>
    <w:p w14:paraId="19956538">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（2）以联合体形式参加政府采购活动，联合体各方均为中小企业的，联合体视同中小企业。其中，联合体各方均为小微企业的，联合体视同小微企业。</w:t>
      </w:r>
    </w:p>
    <w:p w14:paraId="40F92A80">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3）符合《财政部、司法部关于政府采购支持监狱企业发展有关问题的通知》（财库〔2014〕68号）规定的监狱企业，或符合《关于促进残疾人就业政府采购政策的通知》（财库〔2017〕141号）规定的残疾人福利性单位，视同小型、微型企业。</w:t>
      </w:r>
    </w:p>
    <w:p w14:paraId="2C82D202">
      <w:pPr>
        <w:spacing w:before="120" w:line="320" w:lineRule="atLeast"/>
        <w:ind w:left="2" w:leftChars="1" w:firstLine="420" w:firstLineChars="200"/>
        <w:rPr>
          <w:rFonts w:hint="eastAsia" w:ascii="宋体" w:hAnsi="宋体" w:eastAsia="宋体" w:cs="宋体"/>
          <w:szCs w:val="21"/>
        </w:rPr>
      </w:pPr>
      <w:r>
        <w:rPr>
          <w:rFonts w:hint="eastAsia" w:ascii="宋体" w:hAnsi="宋体" w:eastAsia="宋体" w:cs="宋体"/>
          <w:szCs w:val="21"/>
        </w:rPr>
        <w:t>符合条件的货物制造商、工程施工单位、服务承接单位为监狱企业或残疾人福利性单位的，应按采购文件规定在响应文件中提供相关证明文件。</w:t>
      </w:r>
      <w:bookmarkEnd w:id="36"/>
      <w:bookmarkEnd w:id="37"/>
    </w:p>
    <w:p w14:paraId="70B9F53A">
      <w:pPr>
        <w:spacing w:before="120" w:line="320" w:lineRule="atLeast"/>
        <w:ind w:firstLine="422" w:firstLineChars="200"/>
        <w:outlineLvl w:val="2"/>
        <w:rPr>
          <w:rFonts w:hint="eastAsia" w:ascii="宋体" w:hAnsi="宋体" w:eastAsia="宋体" w:cs="宋体"/>
          <w:b/>
          <w:bCs/>
          <w:kern w:val="0"/>
          <w:szCs w:val="21"/>
        </w:rPr>
      </w:pPr>
      <w:r>
        <w:rPr>
          <w:rFonts w:hint="eastAsia" w:ascii="宋体" w:hAnsi="宋体" w:eastAsia="宋体" w:cs="宋体"/>
          <w:b/>
          <w:bCs/>
          <w:kern w:val="0"/>
          <w:szCs w:val="21"/>
        </w:rPr>
        <w:t>1.5供应商资格要求</w:t>
      </w:r>
    </w:p>
    <w:p w14:paraId="2797CC4A">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1.5.1供应商资格要求：详见供应商须知前附表</w:t>
      </w:r>
    </w:p>
    <w:p w14:paraId="61B4DA94">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1.5.2按照磋商公告的规定获得采购文件。</w:t>
      </w:r>
    </w:p>
    <w:p w14:paraId="72057E7C">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1.5.3本项目是否接受联合体响应，见“供应商须知前附表”规定。</w:t>
      </w:r>
    </w:p>
    <w:p w14:paraId="40B77464">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 xml:space="preserve">如接受联合体响应，联合体响应要求如下： </w:t>
      </w:r>
    </w:p>
    <w:p w14:paraId="486AB951">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（1）供应商可以组成一个响应联合体，以一个供应商的身份共同参加响应。联合体响应的，须提供《联合体协议书》（格式后附）</w:t>
      </w:r>
    </w:p>
    <w:p w14:paraId="08999AA4">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2）以联合体形式参加响应的，联合体各方均必须具备《中华人民共和国政府采购法》第二十二条第一款规定的基本条件。本项目有特殊要求规定供应商特定条件的，联合体各方中至少有一方必须符合采购文件规定的特定条件。</w:t>
      </w:r>
    </w:p>
    <w:p w14:paraId="538A8995">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3）联合体各方之间必须签订联合体协议，协议书必须明确主体方（或者牵头方）并明确约定联合体各方承担的工作和相应的责任，并将联合响应协议放入响应文件。联合体各方必须共同与采购人签订采购合同，就采购合同约定的事项对采购人承担连带责任。</w:t>
      </w:r>
    </w:p>
    <w:p w14:paraId="296A515D">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（4）以联合体形式参加政府采购活动的，联合体各方不得再单独参加或者与其他供应商另外组成联合体参加同一合同项下的政府采购活动。</w:t>
      </w:r>
    </w:p>
    <w:p w14:paraId="2514FB55">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（5）联合体中有同类资质的供应商按照联合体分工承担相同工作的，应当按照资质等级较低的供应商确定资质等级。</w:t>
      </w:r>
    </w:p>
    <w:p w14:paraId="725458B5">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（6）联合体响应业绩、履约能力按照联合体各方其中较高的一方认定并计算（采购文件其他章节另有规定的除外）。</w:t>
      </w:r>
    </w:p>
    <w:p w14:paraId="18F7546D">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（7）供应商为联合体的，可以由联合体中的一方或者多方共同交纳磋商保证金，其交纳的保证金对联合体各方均具有约束力。</w:t>
      </w:r>
    </w:p>
    <w:p w14:paraId="5B659FD7">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（8）联合体各方均应按照采购文件的规定提交资格证明文件。</w:t>
      </w:r>
    </w:p>
    <w:p w14:paraId="7C869354">
      <w:pPr>
        <w:spacing w:before="120" w:line="320" w:lineRule="atLeast"/>
        <w:ind w:firstLine="422" w:firstLineChars="200"/>
        <w:outlineLvl w:val="2"/>
        <w:rPr>
          <w:rFonts w:hint="eastAsia" w:ascii="宋体" w:hAnsi="宋体" w:eastAsia="宋体" w:cs="宋体"/>
          <w:b/>
          <w:bCs/>
          <w:kern w:val="0"/>
          <w:szCs w:val="21"/>
        </w:rPr>
      </w:pPr>
      <w:bookmarkStart w:id="38" w:name="_Toc254970672"/>
      <w:bookmarkStart w:id="39" w:name="_Toc254970531"/>
      <w:r>
        <w:rPr>
          <w:rFonts w:hint="eastAsia" w:ascii="宋体" w:hAnsi="宋体" w:eastAsia="宋体" w:cs="宋体"/>
          <w:b/>
          <w:bCs/>
          <w:kern w:val="0"/>
          <w:szCs w:val="21"/>
        </w:rPr>
        <w:t>1.6现场踏勘及响应费用</w:t>
      </w:r>
      <w:bookmarkEnd w:id="38"/>
      <w:bookmarkEnd w:id="39"/>
    </w:p>
    <w:p w14:paraId="34210070">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1.6.1前附表如规定现场踏勘的，供应商应按规定时间地点参加踏勘。</w:t>
      </w:r>
    </w:p>
    <w:p w14:paraId="6810238E">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1.6.2供应商均应自行承担所有与响应有关的全部费用（采购文件有相关的规定除外）。</w:t>
      </w:r>
    </w:p>
    <w:p w14:paraId="209F9385">
      <w:pPr>
        <w:spacing w:before="120" w:line="320" w:lineRule="atLeast"/>
        <w:ind w:firstLine="422" w:firstLineChars="200"/>
        <w:outlineLvl w:val="2"/>
        <w:rPr>
          <w:rFonts w:hint="eastAsia" w:ascii="宋体" w:hAnsi="宋体" w:eastAsia="宋体" w:cs="宋体"/>
          <w:b/>
          <w:bCs/>
          <w:kern w:val="0"/>
          <w:szCs w:val="21"/>
        </w:rPr>
      </w:pPr>
      <w:r>
        <w:rPr>
          <w:rFonts w:hint="eastAsia" w:ascii="宋体" w:hAnsi="宋体" w:eastAsia="宋体" w:cs="宋体"/>
          <w:b/>
          <w:bCs/>
          <w:kern w:val="0"/>
          <w:szCs w:val="21"/>
        </w:rPr>
        <w:t>1.7转包与分包</w:t>
      </w:r>
    </w:p>
    <w:p w14:paraId="101951CC">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1.7.1如采购文件其他地方无特别规定，本项目不允许转包。</w:t>
      </w:r>
    </w:p>
    <w:p w14:paraId="1CC2C090">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1.7.2本项目是否允许分包详见“供应商须知前附表”，本项目不允许违法分包。供应商根据采购文件的规定和采购项目的实际情况，拟在成交后将成交项目的非主体、非关键性工作分包的，应当在响应文件中载明分包承担主体，分包承担主体应当具备相应资质条件且不得再次分包。</w:t>
      </w:r>
    </w:p>
    <w:p w14:paraId="2F318738">
      <w:pPr>
        <w:spacing w:before="120" w:line="276" w:lineRule="auto"/>
        <w:ind w:firstLine="422" w:firstLineChars="200"/>
        <w:outlineLvl w:val="2"/>
        <w:rPr>
          <w:rFonts w:hint="eastAsia" w:ascii="宋体" w:hAnsi="宋体" w:eastAsia="宋体" w:cs="宋体"/>
          <w:b/>
          <w:bCs/>
          <w:kern w:val="0"/>
          <w:szCs w:val="21"/>
        </w:rPr>
      </w:pPr>
      <w:bookmarkStart w:id="40" w:name="_Toc254970673"/>
      <w:bookmarkStart w:id="41" w:name="_Toc254970532"/>
      <w:r>
        <w:rPr>
          <w:rFonts w:hint="eastAsia" w:ascii="宋体" w:hAnsi="宋体" w:eastAsia="宋体" w:cs="宋体"/>
          <w:b/>
          <w:bCs/>
          <w:kern w:val="0"/>
          <w:szCs w:val="21"/>
        </w:rPr>
        <w:t>1.8特别说明</w:t>
      </w:r>
      <w:bookmarkEnd w:id="40"/>
      <w:bookmarkEnd w:id="41"/>
    </w:p>
    <w:p w14:paraId="665625CE">
      <w:pPr>
        <w:spacing w:line="276" w:lineRule="auto"/>
        <w:ind w:firstLine="420" w:firstLineChars="200"/>
        <w:rPr>
          <w:rFonts w:hint="eastAsia" w:ascii="宋体" w:hAnsi="宋体" w:eastAsia="宋体" w:cs="宋体"/>
          <w:szCs w:val="21"/>
        </w:rPr>
      </w:pPr>
      <w:r>
        <w:rPr>
          <w:rFonts w:hint="eastAsia" w:ascii="宋体" w:hAnsi="宋体" w:eastAsia="宋体" w:cs="宋体"/>
          <w:szCs w:val="21"/>
        </w:rPr>
        <w:t>1.8.1 供应商应保证其提供的联系方式（电话、传真、电子邮件）有效，以保证往来函件（澄清、修改等）能及时通知供应商，并能及时反馈，否则采购人及代理机构不承担由此引起的一切后果。</w:t>
      </w:r>
    </w:p>
    <w:p w14:paraId="03AF1DE3">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1.8.2供应商应仔细阅读采购文件的所有内容，按照采购文件的要求提交响应文件，并对所提供的全部资料的真实性承担法律责任。</w:t>
      </w:r>
    </w:p>
    <w:p w14:paraId="5A98572E">
      <w:pPr>
        <w:spacing w:before="120" w:line="360" w:lineRule="auto"/>
        <w:ind w:firstLine="420" w:firstLineChars="200"/>
        <w:rPr>
          <w:rFonts w:hint="eastAsia" w:ascii="宋体" w:hAnsi="宋体" w:eastAsia="宋体" w:cs="宋体"/>
          <w:szCs w:val="21"/>
        </w:rPr>
      </w:pPr>
      <w:r>
        <w:rPr>
          <w:rFonts w:hint="eastAsia" w:ascii="宋体" w:hAnsi="宋体" w:eastAsia="宋体" w:cs="宋体"/>
          <w:szCs w:val="21"/>
        </w:rPr>
        <w:t xml:space="preserve">1.8.3供应商在响应活动中提供任何虚假材料，将报监管部门查处； </w:t>
      </w:r>
    </w:p>
    <w:p w14:paraId="696E8420">
      <w:pPr>
        <w:spacing w:before="120" w:line="320" w:lineRule="atLeast"/>
        <w:ind w:left="2" w:leftChars="1" w:firstLine="422" w:firstLineChars="200"/>
        <w:outlineLvl w:val="1"/>
        <w:rPr>
          <w:rFonts w:hint="eastAsia" w:ascii="宋体" w:hAnsi="宋体" w:eastAsia="宋体" w:cs="宋体"/>
          <w:b/>
          <w:bCs/>
          <w:kern w:val="0"/>
          <w:szCs w:val="21"/>
        </w:rPr>
      </w:pPr>
      <w:bookmarkStart w:id="42" w:name="_Toc254970534"/>
      <w:bookmarkStart w:id="43" w:name="_Toc254970675"/>
      <w:r>
        <w:rPr>
          <w:rFonts w:hint="eastAsia" w:ascii="宋体" w:hAnsi="宋体" w:eastAsia="宋体" w:cs="宋体"/>
          <w:b/>
          <w:bCs/>
          <w:kern w:val="0"/>
          <w:szCs w:val="21"/>
        </w:rPr>
        <w:t>2．采购文件</w:t>
      </w:r>
      <w:bookmarkEnd w:id="42"/>
      <w:bookmarkEnd w:id="43"/>
    </w:p>
    <w:p w14:paraId="60A26D40">
      <w:pPr>
        <w:spacing w:before="120" w:line="320" w:lineRule="atLeast"/>
        <w:ind w:firstLine="422" w:firstLineChars="200"/>
        <w:outlineLvl w:val="2"/>
        <w:rPr>
          <w:rFonts w:hint="eastAsia" w:ascii="宋体" w:hAnsi="宋体" w:eastAsia="宋体" w:cs="宋体"/>
          <w:b/>
          <w:bCs/>
          <w:kern w:val="0"/>
          <w:szCs w:val="21"/>
        </w:rPr>
      </w:pPr>
      <w:r>
        <w:rPr>
          <w:rFonts w:hint="eastAsia" w:ascii="宋体" w:hAnsi="宋体" w:eastAsia="宋体" w:cs="宋体"/>
          <w:b/>
          <w:bCs/>
          <w:kern w:val="0"/>
          <w:szCs w:val="21"/>
        </w:rPr>
        <w:t>2.1采购文件的构成</w:t>
      </w:r>
    </w:p>
    <w:p w14:paraId="30AF9759">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第一章 磋商公告</w:t>
      </w:r>
    </w:p>
    <w:p w14:paraId="12E98C64">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第二章 采购需求</w:t>
      </w:r>
    </w:p>
    <w:p w14:paraId="0D072ACD">
      <w:pPr>
        <w:spacing w:before="120" w:line="320" w:lineRule="atLeast"/>
        <w:ind w:firstLine="420" w:firstLineChars="200"/>
        <w:rPr>
          <w:rFonts w:hint="default" w:ascii="宋体" w:hAnsi="宋体" w:eastAsia="宋体" w:cs="宋体"/>
          <w:szCs w:val="21"/>
          <w:lang w:val="en-US" w:eastAsia="zh-CN"/>
        </w:rPr>
      </w:pPr>
      <w:r>
        <w:rPr>
          <w:rFonts w:hint="eastAsia" w:ascii="宋体" w:hAnsi="宋体" w:cs="宋体"/>
          <w:szCs w:val="21"/>
          <w:lang w:val="en-US" w:eastAsia="zh-CN"/>
        </w:rPr>
        <w:t>第三章 工程量清单及图纸</w:t>
      </w:r>
    </w:p>
    <w:p w14:paraId="0E4D3555">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第</w:t>
      </w:r>
      <w:r>
        <w:rPr>
          <w:rFonts w:hint="eastAsia" w:ascii="宋体" w:hAnsi="宋体" w:cs="宋体"/>
          <w:szCs w:val="21"/>
          <w:lang w:val="en-US" w:eastAsia="zh-CN"/>
        </w:rPr>
        <w:t>四</w:t>
      </w:r>
      <w:r>
        <w:rPr>
          <w:rFonts w:hint="eastAsia" w:ascii="宋体" w:hAnsi="宋体" w:eastAsia="宋体" w:cs="宋体"/>
          <w:szCs w:val="21"/>
        </w:rPr>
        <w:t>章 供应商须知</w:t>
      </w:r>
    </w:p>
    <w:p w14:paraId="5ADF8B26">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第</w:t>
      </w:r>
      <w:r>
        <w:rPr>
          <w:rFonts w:hint="eastAsia" w:ascii="宋体" w:hAnsi="宋体" w:cs="宋体"/>
          <w:szCs w:val="21"/>
          <w:lang w:val="en-US" w:eastAsia="zh-CN"/>
        </w:rPr>
        <w:t>五</w:t>
      </w:r>
      <w:r>
        <w:rPr>
          <w:rFonts w:hint="eastAsia" w:ascii="宋体" w:hAnsi="宋体" w:eastAsia="宋体" w:cs="宋体"/>
          <w:szCs w:val="21"/>
        </w:rPr>
        <w:t>章 评审方法及标准</w:t>
      </w:r>
    </w:p>
    <w:p w14:paraId="703FE6B0">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第</w:t>
      </w:r>
      <w:r>
        <w:rPr>
          <w:rFonts w:hint="eastAsia" w:ascii="宋体" w:hAnsi="宋体" w:cs="宋体"/>
          <w:szCs w:val="21"/>
          <w:lang w:val="en-US" w:eastAsia="zh-CN"/>
        </w:rPr>
        <w:t>六</w:t>
      </w:r>
      <w:r>
        <w:rPr>
          <w:rFonts w:hint="eastAsia" w:ascii="宋体" w:hAnsi="宋体" w:eastAsia="宋体" w:cs="宋体"/>
          <w:szCs w:val="21"/>
        </w:rPr>
        <w:t>章 合同主要条款格式</w:t>
      </w:r>
    </w:p>
    <w:p w14:paraId="1A6E6BDD">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第</w:t>
      </w:r>
      <w:r>
        <w:rPr>
          <w:rFonts w:hint="eastAsia" w:ascii="宋体" w:hAnsi="宋体" w:cs="宋体"/>
          <w:szCs w:val="21"/>
          <w:lang w:val="en-US" w:eastAsia="zh-CN"/>
        </w:rPr>
        <w:t>七</w:t>
      </w:r>
      <w:r>
        <w:rPr>
          <w:rFonts w:hint="eastAsia" w:ascii="宋体" w:hAnsi="宋体" w:eastAsia="宋体" w:cs="宋体"/>
          <w:szCs w:val="21"/>
        </w:rPr>
        <w:t>章 响应文件格式</w:t>
      </w:r>
    </w:p>
    <w:p w14:paraId="43B8E193">
      <w:pPr>
        <w:spacing w:before="120" w:line="320" w:lineRule="atLeast"/>
        <w:ind w:firstLine="422" w:firstLineChars="200"/>
        <w:outlineLvl w:val="2"/>
        <w:rPr>
          <w:rFonts w:hint="eastAsia" w:ascii="宋体" w:hAnsi="宋体" w:eastAsia="宋体" w:cs="宋体"/>
          <w:b/>
          <w:bCs/>
          <w:kern w:val="0"/>
          <w:szCs w:val="21"/>
        </w:rPr>
      </w:pPr>
      <w:r>
        <w:rPr>
          <w:rFonts w:hint="eastAsia" w:ascii="宋体" w:hAnsi="宋体" w:eastAsia="宋体" w:cs="宋体"/>
          <w:b/>
          <w:bCs/>
          <w:kern w:val="0"/>
          <w:szCs w:val="21"/>
        </w:rPr>
        <w:t>2.2供应商的风险</w:t>
      </w:r>
    </w:p>
    <w:p w14:paraId="2488A96C">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供应商没有按照采购文件要求提供全部资料，或者供应商没有对采购文件在各方面作出实质性响应是供应商的风险，并可能导致其响应被否决。</w:t>
      </w:r>
    </w:p>
    <w:p w14:paraId="1E362F8A">
      <w:pPr>
        <w:spacing w:before="120" w:line="320" w:lineRule="atLeast"/>
        <w:ind w:firstLine="422" w:firstLineChars="200"/>
        <w:outlineLvl w:val="2"/>
        <w:rPr>
          <w:rFonts w:hint="eastAsia" w:ascii="宋体" w:hAnsi="宋体" w:eastAsia="宋体" w:cs="宋体"/>
          <w:b/>
          <w:szCs w:val="21"/>
        </w:rPr>
      </w:pPr>
      <w:r>
        <w:rPr>
          <w:rFonts w:hint="eastAsia" w:ascii="宋体" w:hAnsi="宋体" w:eastAsia="宋体" w:cs="宋体"/>
          <w:b/>
          <w:bCs/>
          <w:kern w:val="0"/>
          <w:szCs w:val="21"/>
        </w:rPr>
        <w:t>2.3采购文件的澄清与修改</w:t>
      </w:r>
    </w:p>
    <w:p w14:paraId="4E582C4D">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2.3.1任何已获得采购文件的潜在供应商，均可以书面形式要求采购代理机构作出书面解释、澄清。</w:t>
      </w:r>
    </w:p>
    <w:p w14:paraId="6BB1C021">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2.3.2采购人、采购代理机构可以对已发出的采购文件进行必要的澄清或者修改，澄清或者修改的内容可能影响响应文件编制的，采购人、采购代理机构应当在提交首次响应文件截止之日3个工作日前，</w:t>
      </w:r>
      <w:bookmarkStart w:id="44" w:name="_Hlk133590520"/>
      <w:r>
        <w:rPr>
          <w:rFonts w:hint="eastAsia" w:ascii="宋体" w:hAnsi="宋体" w:eastAsia="宋体" w:cs="宋体"/>
          <w:szCs w:val="21"/>
        </w:rPr>
        <w:t>在供应商须知前附表规定的方式</w:t>
      </w:r>
      <w:bookmarkEnd w:id="44"/>
      <w:r>
        <w:rPr>
          <w:rFonts w:hint="eastAsia" w:ascii="宋体" w:hAnsi="宋体" w:eastAsia="宋体" w:cs="宋体"/>
          <w:szCs w:val="21"/>
        </w:rPr>
        <w:t>通知所有获取采购文件的潜在供应商；不足3个工作日的，采购人、采购代理机构应当顺延提交首次响应文件截止时间。</w:t>
      </w:r>
    </w:p>
    <w:p w14:paraId="4C984E89">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2.3.3采购文件澄清、答复、修改、补充的内容为采购文件的组成部分。当采购文件与采购文件的答复、澄清、修改、补充通知就同一内容的表述不一致时，以最后发出的公告或书面文件为准。</w:t>
      </w:r>
    </w:p>
    <w:p w14:paraId="6E6AA3F2">
      <w:pPr>
        <w:spacing w:before="120" w:line="320" w:lineRule="atLeast"/>
        <w:ind w:left="2" w:leftChars="1" w:firstLine="422" w:firstLineChars="200"/>
        <w:outlineLvl w:val="1"/>
        <w:rPr>
          <w:rFonts w:hint="eastAsia" w:ascii="宋体" w:hAnsi="宋体" w:eastAsia="宋体" w:cs="宋体"/>
          <w:b/>
          <w:bCs/>
          <w:kern w:val="0"/>
          <w:szCs w:val="21"/>
        </w:rPr>
      </w:pPr>
      <w:bookmarkStart w:id="45" w:name="_Toc254970535"/>
      <w:bookmarkStart w:id="46" w:name="_Toc254970676"/>
      <w:r>
        <w:rPr>
          <w:rFonts w:hint="eastAsia" w:ascii="宋体" w:hAnsi="宋体" w:eastAsia="宋体" w:cs="宋体"/>
          <w:b/>
          <w:bCs/>
          <w:kern w:val="0"/>
          <w:szCs w:val="21"/>
        </w:rPr>
        <w:t>3．响应文件</w:t>
      </w:r>
      <w:bookmarkEnd w:id="45"/>
      <w:bookmarkEnd w:id="46"/>
    </w:p>
    <w:p w14:paraId="571F52C4">
      <w:pPr>
        <w:spacing w:before="120" w:line="320" w:lineRule="atLeast"/>
        <w:ind w:firstLine="422" w:firstLineChars="200"/>
        <w:outlineLvl w:val="2"/>
        <w:rPr>
          <w:rFonts w:hint="eastAsia" w:ascii="宋体" w:hAnsi="宋体" w:eastAsia="宋体" w:cs="宋体"/>
          <w:b/>
          <w:bCs/>
          <w:kern w:val="0"/>
          <w:szCs w:val="21"/>
        </w:rPr>
      </w:pPr>
      <w:bookmarkStart w:id="47" w:name="_Toc254970536"/>
      <w:bookmarkStart w:id="48" w:name="_Toc254970677"/>
      <w:r>
        <w:rPr>
          <w:rFonts w:hint="eastAsia" w:ascii="宋体" w:hAnsi="宋体" w:eastAsia="宋体" w:cs="宋体"/>
          <w:b/>
          <w:bCs/>
          <w:kern w:val="0"/>
          <w:szCs w:val="21"/>
        </w:rPr>
        <w:t>3.1响应文件的组成</w:t>
      </w:r>
      <w:bookmarkEnd w:id="47"/>
      <w:bookmarkEnd w:id="48"/>
    </w:p>
    <w:p w14:paraId="24EC4E6C">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响应文件由第</w:t>
      </w:r>
      <w:r>
        <w:rPr>
          <w:rFonts w:hint="eastAsia" w:ascii="宋体" w:hAnsi="宋体" w:cs="宋体"/>
          <w:szCs w:val="21"/>
          <w:lang w:val="en-US" w:eastAsia="zh-CN"/>
        </w:rPr>
        <w:t>七</w:t>
      </w:r>
      <w:r>
        <w:rPr>
          <w:rFonts w:hint="eastAsia" w:ascii="宋体" w:hAnsi="宋体" w:eastAsia="宋体" w:cs="宋体"/>
          <w:szCs w:val="21"/>
        </w:rPr>
        <w:t>章“响应文件格式”规定的内容和供应商所作的一切有效补充、修改和承诺等文件组成。</w:t>
      </w:r>
    </w:p>
    <w:p w14:paraId="4D7AFDBD">
      <w:pPr>
        <w:spacing w:before="120" w:line="320" w:lineRule="atLeast"/>
        <w:ind w:firstLine="422" w:firstLineChars="200"/>
        <w:outlineLvl w:val="2"/>
        <w:rPr>
          <w:rFonts w:hint="eastAsia" w:ascii="宋体" w:hAnsi="宋体" w:eastAsia="宋体" w:cs="宋体"/>
          <w:b/>
          <w:bCs/>
          <w:kern w:val="0"/>
          <w:szCs w:val="21"/>
        </w:rPr>
      </w:pPr>
      <w:bookmarkStart w:id="49" w:name="_Toc254970678"/>
      <w:bookmarkStart w:id="50" w:name="_Toc254970537"/>
      <w:r>
        <w:rPr>
          <w:rFonts w:hint="eastAsia" w:ascii="宋体" w:hAnsi="宋体" w:eastAsia="宋体" w:cs="宋体"/>
          <w:b/>
          <w:szCs w:val="21"/>
        </w:rPr>
        <w:t>3.2</w:t>
      </w:r>
      <w:r>
        <w:rPr>
          <w:rFonts w:hint="eastAsia" w:ascii="宋体" w:hAnsi="宋体" w:eastAsia="宋体" w:cs="宋体"/>
          <w:b/>
          <w:bCs/>
          <w:kern w:val="0"/>
          <w:szCs w:val="21"/>
        </w:rPr>
        <w:t>响应文件的语言及计量</w:t>
      </w:r>
      <w:bookmarkEnd w:id="49"/>
      <w:bookmarkEnd w:id="50"/>
    </w:p>
    <w:p w14:paraId="6B15CBFA">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3.2.1响应文件以及供应商与采购人就有关响应事宜的所有来往函电，均应以中文书写（除专用术语外，与招标响应有关的语言均使用中文。必要时专用术语应附有中文注释）。供应商提交的支持文件和印刷的文献可以使用别的语言，但其相应内容应同时附中文翻译文本，在解释响应文件时以中文翻译文本为主。对不同文字文本响应文件的解释发生异议的，以中文文本为准。</w:t>
      </w:r>
    </w:p>
    <w:p w14:paraId="4F4C7F95">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3.2.2计量单位采购文件已有明确规定的，响应使用采购文件规定的计量单位；采购文件没有规定的，应采用中华人民共和国法定计量单位。</w:t>
      </w:r>
    </w:p>
    <w:p w14:paraId="082DF40A">
      <w:pPr>
        <w:spacing w:before="120" w:line="320" w:lineRule="atLeast"/>
        <w:ind w:firstLine="422" w:firstLineChars="200"/>
        <w:outlineLvl w:val="2"/>
        <w:rPr>
          <w:rFonts w:hint="eastAsia" w:ascii="宋体" w:hAnsi="宋体" w:eastAsia="宋体" w:cs="宋体"/>
          <w:b/>
          <w:bCs/>
          <w:kern w:val="0"/>
          <w:szCs w:val="21"/>
        </w:rPr>
      </w:pPr>
      <w:bookmarkStart w:id="51" w:name="_Toc254970538"/>
      <w:bookmarkStart w:id="52" w:name="_Toc254970679"/>
      <w:r>
        <w:rPr>
          <w:rFonts w:hint="eastAsia" w:ascii="宋体" w:hAnsi="宋体" w:eastAsia="宋体" w:cs="宋体"/>
          <w:b/>
          <w:bCs/>
          <w:kern w:val="0"/>
          <w:szCs w:val="21"/>
        </w:rPr>
        <w:t>3.3响应报价</w:t>
      </w:r>
      <w:bookmarkEnd w:id="51"/>
      <w:bookmarkEnd w:id="52"/>
    </w:p>
    <w:p w14:paraId="50848190">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3.3.1响应报价应按采购文件中相关附表格式填写。</w:t>
      </w:r>
    </w:p>
    <w:p w14:paraId="5428814F">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3.3.2响应文件只允许有一个报价，有选择的或有条件的报价将不予接受。</w:t>
      </w:r>
    </w:p>
    <w:p w14:paraId="41865DE5">
      <w:pPr>
        <w:suppressAutoHyphens/>
        <w:spacing w:before="120" w:line="320" w:lineRule="atLeast"/>
        <w:ind w:firstLine="420" w:firstLineChars="200"/>
        <w:rPr>
          <w:rFonts w:hint="eastAsia" w:ascii="宋体" w:hAnsi="宋体" w:eastAsia="宋体" w:cs="宋体"/>
          <w:kern w:val="1"/>
          <w:szCs w:val="21"/>
        </w:rPr>
      </w:pPr>
      <w:r>
        <w:rPr>
          <w:rFonts w:hint="eastAsia" w:ascii="宋体" w:hAnsi="宋体" w:eastAsia="宋体" w:cs="宋体"/>
          <w:kern w:val="1"/>
          <w:szCs w:val="21"/>
        </w:rPr>
        <w:t>3.3.3对于本文件中未列明，而供应商认为必需的费用也需列入响应报价。在合同实施时，采购人将不予支付成交供应商没有列入的项目费用，并认为此项目的费用已包括在响应报价中。</w:t>
      </w:r>
    </w:p>
    <w:p w14:paraId="44F587BF">
      <w:pPr>
        <w:suppressAutoHyphens/>
        <w:spacing w:before="120" w:line="320" w:lineRule="atLeast"/>
        <w:ind w:firstLine="420" w:firstLineChars="200"/>
        <w:rPr>
          <w:rFonts w:hint="eastAsia" w:ascii="宋体" w:hAnsi="宋体" w:eastAsia="宋体" w:cs="宋体"/>
          <w:b/>
          <w:bCs/>
          <w:kern w:val="1"/>
          <w:szCs w:val="21"/>
        </w:rPr>
      </w:pPr>
      <w:r>
        <w:rPr>
          <w:rFonts w:hint="eastAsia" w:ascii="宋体" w:hAnsi="宋体" w:eastAsia="宋体" w:cs="宋体"/>
          <w:kern w:val="1"/>
          <w:szCs w:val="21"/>
        </w:rPr>
        <w:t>3.3.4采购人不接受供应商给予的赠品、回扣或者与采购无关的其他商品、服务。</w:t>
      </w:r>
    </w:p>
    <w:p w14:paraId="3E4DAC2B">
      <w:pPr>
        <w:spacing w:before="120" w:line="320" w:lineRule="atLeast"/>
        <w:ind w:firstLine="422" w:firstLineChars="200"/>
        <w:outlineLvl w:val="2"/>
        <w:rPr>
          <w:rFonts w:hint="eastAsia" w:ascii="宋体" w:hAnsi="宋体" w:eastAsia="宋体" w:cs="宋体"/>
          <w:b/>
          <w:bCs/>
          <w:kern w:val="0"/>
          <w:szCs w:val="21"/>
        </w:rPr>
      </w:pPr>
      <w:r>
        <w:rPr>
          <w:rFonts w:hint="eastAsia" w:ascii="宋体" w:hAnsi="宋体" w:eastAsia="宋体" w:cs="宋体"/>
          <w:b/>
          <w:bCs/>
          <w:kern w:val="0"/>
          <w:szCs w:val="21"/>
        </w:rPr>
        <w:t>3.4响应有效期</w:t>
      </w:r>
    </w:p>
    <w:p w14:paraId="48340553">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3.4.1如采购文件其他地方无特别规定，响应有效期则为响应截止之日起90天。在响应有效期内响应文件应保持有效。</w:t>
      </w:r>
      <w:r>
        <w:rPr>
          <w:rFonts w:hint="eastAsia" w:ascii="宋体" w:hAnsi="宋体" w:eastAsia="宋体" w:cs="宋体"/>
          <w:b/>
          <w:bCs/>
          <w:szCs w:val="21"/>
        </w:rPr>
        <w:t>有效期不足的响应文件将被否决</w:t>
      </w:r>
      <w:r>
        <w:rPr>
          <w:rFonts w:hint="eastAsia" w:ascii="宋体" w:hAnsi="宋体" w:eastAsia="宋体" w:cs="宋体"/>
          <w:szCs w:val="21"/>
        </w:rPr>
        <w:t>。</w:t>
      </w:r>
    </w:p>
    <w:p w14:paraId="1780B8B0">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3.4.2在特殊情况下，采购人可与供应商协商延长响应文件的有效期，这种要求和答复均以书面形式进行。</w:t>
      </w:r>
    </w:p>
    <w:p w14:paraId="02E4C701">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3.4.3供应商同意延长的响应有效期的，如本项目要求提交保证金则应相应延长其磋商保证金的有效期，但不得要求或被允许修改或撤销其响应文件；供应商拒绝延长的，其响应无效，但供应商有权收回其磋商保证金。</w:t>
      </w:r>
    </w:p>
    <w:p w14:paraId="29227AB8">
      <w:pPr>
        <w:spacing w:before="120" w:line="320" w:lineRule="atLeast"/>
        <w:ind w:firstLine="422" w:firstLineChars="200"/>
        <w:outlineLvl w:val="2"/>
        <w:rPr>
          <w:rFonts w:hint="eastAsia" w:ascii="宋体" w:hAnsi="宋体" w:eastAsia="宋体" w:cs="宋体"/>
          <w:b/>
          <w:bCs/>
          <w:kern w:val="0"/>
          <w:szCs w:val="21"/>
        </w:rPr>
      </w:pPr>
      <w:bookmarkStart w:id="53" w:name="_Toc254970541"/>
      <w:bookmarkStart w:id="54" w:name="_Toc254970682"/>
      <w:r>
        <w:rPr>
          <w:rFonts w:hint="eastAsia" w:ascii="宋体" w:hAnsi="宋体" w:eastAsia="宋体" w:cs="宋体"/>
          <w:b/>
          <w:bCs/>
          <w:kern w:val="0"/>
          <w:szCs w:val="21"/>
        </w:rPr>
        <w:t>3.5磋商保证金</w:t>
      </w:r>
      <w:bookmarkEnd w:id="53"/>
      <w:bookmarkEnd w:id="54"/>
    </w:p>
    <w:p w14:paraId="4C42C514">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3.5.1供应商须按须知前附表规定提交磋商保证金，</w:t>
      </w:r>
      <w:r>
        <w:rPr>
          <w:rFonts w:hint="eastAsia" w:ascii="宋体" w:hAnsi="宋体" w:eastAsia="宋体" w:cs="宋体"/>
          <w:b/>
          <w:bCs/>
          <w:szCs w:val="21"/>
        </w:rPr>
        <w:t>否则其响应将被否决</w:t>
      </w:r>
      <w:r>
        <w:rPr>
          <w:rFonts w:hint="eastAsia" w:ascii="宋体" w:hAnsi="宋体" w:eastAsia="宋体" w:cs="宋体"/>
          <w:szCs w:val="21"/>
        </w:rPr>
        <w:t>。除采购文件规定不予退还保证金的情形外，代理机构在规定时间内退回供应商的磋商保证金（供应商自行承担因未按供应商须知前附表要求交纳导致磋商保证金无法及时退还的责任）。</w:t>
      </w:r>
    </w:p>
    <w:p w14:paraId="4E946A39">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3.5.2磋商保证金币种应与响应报价币种相同。</w:t>
      </w:r>
    </w:p>
    <w:p w14:paraId="4ABF2086">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3.5.3未成交供应商的磋商保证金在成交通知书发出后5个工作日内退还。成交供应商的磋商保证金在合同签订后5个工作日内退还（办理退还手续时需要向采购代理机构提供两份合同复印件）。</w:t>
      </w:r>
    </w:p>
    <w:p w14:paraId="066AF6FB">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3.5.4供应商有下列情形之一的，磋商保证金将不予退还：</w:t>
      </w:r>
    </w:p>
    <w:p w14:paraId="7BCD0288">
      <w:pPr>
        <w:numPr>
          <w:ilvl w:val="0"/>
          <w:numId w:val="1"/>
        </w:numPr>
        <w:spacing w:before="120" w:line="320" w:lineRule="atLeast"/>
        <w:rPr>
          <w:rFonts w:hint="eastAsia" w:ascii="宋体" w:hAnsi="宋体" w:eastAsia="宋体" w:cs="宋体"/>
          <w:szCs w:val="21"/>
        </w:rPr>
      </w:pPr>
      <w:r>
        <w:rPr>
          <w:rFonts w:hint="eastAsia" w:ascii="宋体" w:hAnsi="宋体" w:eastAsia="宋体" w:cs="宋体"/>
          <w:szCs w:val="21"/>
        </w:rPr>
        <w:t>供应商在响应有效期内撤销响应文件的；</w:t>
      </w:r>
    </w:p>
    <w:p w14:paraId="7FE3977A">
      <w:pPr>
        <w:numPr>
          <w:ilvl w:val="0"/>
          <w:numId w:val="1"/>
        </w:numPr>
        <w:spacing w:before="120" w:line="320" w:lineRule="atLeast"/>
        <w:rPr>
          <w:rFonts w:hint="eastAsia" w:ascii="宋体" w:hAnsi="宋体" w:eastAsia="宋体" w:cs="宋体"/>
          <w:szCs w:val="21"/>
        </w:rPr>
      </w:pPr>
      <w:r>
        <w:rPr>
          <w:rFonts w:hint="eastAsia" w:ascii="宋体" w:hAnsi="宋体" w:eastAsia="宋体" w:cs="宋体"/>
          <w:szCs w:val="21"/>
        </w:rPr>
        <w:t>供应商在响应过程中弄虚作假，提供虚假材料的；</w:t>
      </w:r>
    </w:p>
    <w:p w14:paraId="77FD6B96">
      <w:pPr>
        <w:numPr>
          <w:ilvl w:val="0"/>
          <w:numId w:val="1"/>
        </w:numPr>
        <w:spacing w:before="120" w:line="320" w:lineRule="atLeast"/>
        <w:rPr>
          <w:rFonts w:hint="eastAsia" w:ascii="宋体" w:hAnsi="宋体" w:eastAsia="宋体" w:cs="宋体"/>
          <w:szCs w:val="21"/>
        </w:rPr>
      </w:pPr>
      <w:r>
        <w:rPr>
          <w:rFonts w:hint="eastAsia" w:ascii="宋体" w:hAnsi="宋体" w:eastAsia="宋体" w:cs="宋体"/>
          <w:szCs w:val="21"/>
        </w:rPr>
        <w:t>成交供应商无正当理由不与采购人签订合同的；</w:t>
      </w:r>
    </w:p>
    <w:p w14:paraId="1B178EFC">
      <w:pPr>
        <w:numPr>
          <w:ilvl w:val="0"/>
          <w:numId w:val="1"/>
        </w:numPr>
        <w:spacing w:before="120" w:line="320" w:lineRule="atLeast"/>
        <w:rPr>
          <w:rFonts w:hint="eastAsia" w:ascii="宋体" w:hAnsi="宋体" w:eastAsia="宋体" w:cs="宋体"/>
          <w:szCs w:val="21"/>
        </w:rPr>
      </w:pPr>
      <w:r>
        <w:rPr>
          <w:rFonts w:hint="eastAsia" w:ascii="宋体" w:hAnsi="宋体" w:eastAsia="宋体" w:cs="宋体"/>
          <w:szCs w:val="21"/>
        </w:rPr>
        <w:t>将成交项目转让给他人或者在响应文件中未说明且未经采购人同意，将成交项目分包给他人的；</w:t>
      </w:r>
    </w:p>
    <w:p w14:paraId="1566C7E0">
      <w:pPr>
        <w:numPr>
          <w:ilvl w:val="0"/>
          <w:numId w:val="1"/>
        </w:numPr>
        <w:spacing w:before="120" w:line="320" w:lineRule="atLeast"/>
        <w:rPr>
          <w:rFonts w:hint="eastAsia" w:ascii="宋体" w:hAnsi="宋体" w:eastAsia="宋体" w:cs="宋体"/>
          <w:szCs w:val="21"/>
        </w:rPr>
      </w:pPr>
      <w:r>
        <w:rPr>
          <w:rFonts w:hint="eastAsia" w:ascii="宋体" w:hAnsi="宋体" w:eastAsia="宋体" w:cs="宋体"/>
          <w:szCs w:val="21"/>
        </w:rPr>
        <w:t>供应商与采购人、其他供应商或者采购代理机构恶意串通的；</w:t>
      </w:r>
    </w:p>
    <w:p w14:paraId="4EE00350">
      <w:pPr>
        <w:numPr>
          <w:ilvl w:val="0"/>
          <w:numId w:val="1"/>
        </w:numPr>
        <w:spacing w:before="120" w:line="320" w:lineRule="atLeast"/>
        <w:rPr>
          <w:rFonts w:hint="eastAsia" w:ascii="宋体" w:hAnsi="宋体" w:eastAsia="宋体" w:cs="宋体"/>
          <w:szCs w:val="21"/>
        </w:rPr>
      </w:pPr>
      <w:r>
        <w:rPr>
          <w:rFonts w:hint="eastAsia" w:ascii="宋体" w:hAnsi="宋体" w:eastAsia="宋体" w:cs="宋体"/>
          <w:szCs w:val="21"/>
        </w:rPr>
        <w:t>拒绝履行合同义务的；</w:t>
      </w:r>
    </w:p>
    <w:p w14:paraId="2705262E">
      <w:pPr>
        <w:numPr>
          <w:ilvl w:val="0"/>
          <w:numId w:val="1"/>
        </w:numPr>
        <w:spacing w:before="120" w:line="320" w:lineRule="atLeast"/>
        <w:rPr>
          <w:rFonts w:hint="eastAsia" w:ascii="宋体" w:hAnsi="宋体" w:eastAsia="宋体" w:cs="宋体"/>
          <w:szCs w:val="21"/>
        </w:rPr>
      </w:pPr>
      <w:r>
        <w:rPr>
          <w:rFonts w:hint="eastAsia" w:ascii="宋体" w:hAnsi="宋体" w:eastAsia="宋体" w:cs="宋体"/>
          <w:szCs w:val="21"/>
        </w:rPr>
        <w:t>其他严重扰乱招投标程序的。</w:t>
      </w:r>
    </w:p>
    <w:p w14:paraId="63DA9626">
      <w:pPr>
        <w:spacing w:before="120" w:line="320" w:lineRule="atLeast"/>
        <w:ind w:firstLine="422" w:firstLineChars="200"/>
        <w:outlineLvl w:val="2"/>
        <w:rPr>
          <w:rFonts w:hint="eastAsia" w:ascii="宋体" w:hAnsi="宋体" w:eastAsia="宋体" w:cs="宋体"/>
          <w:b/>
          <w:bCs/>
          <w:kern w:val="0"/>
          <w:szCs w:val="21"/>
        </w:rPr>
      </w:pPr>
      <w:bookmarkStart w:id="55" w:name="_Toc254970542"/>
      <w:bookmarkStart w:id="56" w:name="_Toc254970683"/>
      <w:r>
        <w:rPr>
          <w:rFonts w:hint="eastAsia" w:ascii="宋体" w:hAnsi="宋体" w:eastAsia="宋体" w:cs="宋体"/>
          <w:b/>
          <w:bCs/>
          <w:kern w:val="0"/>
          <w:szCs w:val="21"/>
        </w:rPr>
        <w:t>3.6响应文件的</w:t>
      </w:r>
      <w:bookmarkEnd w:id="55"/>
      <w:bookmarkEnd w:id="56"/>
      <w:r>
        <w:rPr>
          <w:rFonts w:hint="eastAsia" w:ascii="宋体" w:hAnsi="宋体" w:eastAsia="宋体" w:cs="宋体"/>
          <w:b/>
          <w:bCs/>
          <w:kern w:val="0"/>
          <w:szCs w:val="21"/>
        </w:rPr>
        <w:t>编制要求</w:t>
      </w:r>
    </w:p>
    <w:p w14:paraId="6073DE10">
      <w:pPr>
        <w:spacing w:before="120" w:line="320" w:lineRule="atLeast"/>
        <w:ind w:firstLine="420" w:firstLineChars="200"/>
        <w:rPr>
          <w:rFonts w:hint="eastAsia" w:ascii="宋体" w:hAnsi="宋体" w:eastAsia="宋体" w:cs="宋体"/>
          <w:b/>
          <w:bCs/>
          <w:kern w:val="0"/>
          <w:szCs w:val="21"/>
        </w:rPr>
      </w:pPr>
      <w:r>
        <w:rPr>
          <w:rFonts w:hint="eastAsia" w:ascii="宋体" w:hAnsi="宋体" w:eastAsia="宋体" w:cs="宋体"/>
          <w:kern w:val="0"/>
          <w:szCs w:val="21"/>
        </w:rPr>
        <w:t>3.6.1</w:t>
      </w:r>
      <w:r>
        <w:rPr>
          <w:rFonts w:hint="eastAsia" w:ascii="宋体" w:hAnsi="宋体" w:eastAsia="宋体" w:cs="宋体"/>
          <w:szCs w:val="21"/>
        </w:rPr>
        <w:t>供应商应先安装广西政府采购云平台新版客户端，通过账号密码或CA登录客户端制作响应文件。</w:t>
      </w:r>
    </w:p>
    <w:p w14:paraId="00C5E137">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3.6.2供应商应按本采购文件规定的格式和顺序编制响应文件并进行关联定位，以便磋商小组在评审时，点击评分项可直接定位到该评分项内容。如对采购文件的某项要求，供应商的响应文件未能关联定位提供相应的内容与其对应，则磋商小组在评审时如做出对供应商不利的评审由供应商自行承担。响应文件如内容不完整、编排混乱导致响应文件被误读、漏读，或者在按采购文件规定的部位查找不到相关内容的，由供应商自行承担。</w:t>
      </w:r>
    </w:p>
    <w:p w14:paraId="4B049E1E">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3.6.3 供应商的响应文件未按照采购文件要求签署、盖章的，</w:t>
      </w:r>
      <w:r>
        <w:rPr>
          <w:rFonts w:hint="eastAsia" w:ascii="宋体" w:hAnsi="宋体" w:eastAsia="宋体" w:cs="宋体"/>
          <w:b/>
          <w:bCs/>
          <w:szCs w:val="21"/>
        </w:rPr>
        <w:t>其响应无效</w:t>
      </w:r>
      <w:r>
        <w:rPr>
          <w:rFonts w:hint="eastAsia" w:ascii="宋体" w:hAnsi="宋体" w:eastAsia="宋体" w:cs="宋体"/>
          <w:szCs w:val="21"/>
        </w:rPr>
        <w:t>。</w:t>
      </w:r>
    </w:p>
    <w:p w14:paraId="7E0625E0">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3.6.4为确保网上操作合法、有效和安全，供应商应当在响应截止时间前完成在广西政府采购云平台的身份认证，确保在电子投标过程中能够对相关数据电文进行加密和使用电子签名。</w:t>
      </w:r>
    </w:p>
    <w:p w14:paraId="52013897">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3.6.5响应文件中标注的供应商名称应与主体资格证明（如营业执照、事业单位法人证书、执业许可证、个体工商户营业执照、自然人身份证等）和公章/电子签章一致，</w:t>
      </w:r>
      <w:r>
        <w:rPr>
          <w:rFonts w:hint="eastAsia" w:ascii="宋体" w:hAnsi="宋体" w:eastAsia="宋体" w:cs="宋体"/>
          <w:b/>
          <w:bCs/>
          <w:szCs w:val="21"/>
        </w:rPr>
        <w:t>否则作无效响应处理。</w:t>
      </w:r>
    </w:p>
    <w:p w14:paraId="66D824F7">
      <w:pPr>
        <w:spacing w:before="120" w:line="320" w:lineRule="atLeast"/>
        <w:ind w:firstLine="422" w:firstLineChars="200"/>
        <w:outlineLvl w:val="2"/>
        <w:rPr>
          <w:rFonts w:hint="eastAsia" w:ascii="宋体" w:hAnsi="宋体" w:eastAsia="宋体" w:cs="宋体"/>
          <w:b/>
          <w:bCs/>
          <w:kern w:val="0"/>
          <w:szCs w:val="21"/>
        </w:rPr>
      </w:pPr>
      <w:r>
        <w:rPr>
          <w:rFonts w:hint="eastAsia" w:ascii="宋体" w:hAnsi="宋体" w:eastAsia="宋体" w:cs="宋体"/>
          <w:b/>
          <w:bCs/>
          <w:kern w:val="0"/>
          <w:szCs w:val="21"/>
        </w:rPr>
        <w:t>3.7响应文件的递交、修改和撤回</w:t>
      </w:r>
    </w:p>
    <w:p w14:paraId="0AD753DC">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 xml:space="preserve">3.7.1供应商必须在“供应商须知前附表”规定的响应文件截标时间和响应地点提交电子版响应文件。电子响应文件应在制作完成后，在响应截止时间前通过有效数字证书（CA认证锁）进行电子签章、加密，然后通过网络将加密的电子响应文件递交至广西政府采购云平台。 </w:t>
      </w:r>
    </w:p>
    <w:p w14:paraId="11E70205">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 xml:space="preserve">3.7.2未在规定时间内提交或者未按照采购文件要求签章、加密的电子响应文件，广西政府采购云平台将拒收。 </w:t>
      </w:r>
    </w:p>
    <w:p w14:paraId="73097716">
      <w:pPr>
        <w:spacing w:before="120" w:line="320" w:lineRule="atLeast"/>
        <w:ind w:left="2" w:leftChars="1" w:firstLine="420" w:firstLineChars="200"/>
        <w:rPr>
          <w:rFonts w:hint="eastAsia" w:ascii="宋体" w:hAnsi="宋体" w:eastAsia="宋体" w:cs="宋体"/>
          <w:szCs w:val="21"/>
        </w:rPr>
      </w:pPr>
      <w:r>
        <w:rPr>
          <w:rFonts w:hint="eastAsia" w:ascii="宋体" w:hAnsi="宋体" w:eastAsia="宋体" w:cs="宋体"/>
          <w:szCs w:val="21"/>
        </w:rPr>
        <w:t>3.7.3供应商应当在响应截止时间前完成响应文件的传输递交，并可以补充、修改或者撤回响应文件。补充或者修改响应文件的，应当先行撤回原文件，补充、修改后重新传输递交。响应截止时间前未完成传输的，视为撤回响应文件。响应截止时间后递交的响应文件，广西政府采购云平台将拒收。</w:t>
      </w:r>
    </w:p>
    <w:p w14:paraId="50E91008">
      <w:pPr>
        <w:spacing w:before="120" w:line="320" w:lineRule="atLeast"/>
        <w:ind w:left="2" w:leftChars="1" w:firstLine="420" w:firstLineChars="200"/>
        <w:rPr>
          <w:rFonts w:hint="eastAsia" w:ascii="宋体" w:hAnsi="宋体" w:eastAsia="宋体" w:cs="宋体"/>
          <w:szCs w:val="21"/>
        </w:rPr>
      </w:pPr>
      <w:r>
        <w:rPr>
          <w:rFonts w:hint="eastAsia" w:ascii="宋体" w:hAnsi="宋体" w:eastAsia="宋体" w:cs="宋体"/>
          <w:szCs w:val="21"/>
        </w:rPr>
        <w:t>3.7.4在响应截止时间前，除供应商补充、修改或者撤回响应文件外，任何单位和个人不得解密或提取响应文件。</w:t>
      </w:r>
    </w:p>
    <w:p w14:paraId="2DD2E1B9">
      <w:pPr>
        <w:spacing w:before="120" w:line="320" w:lineRule="atLeast"/>
        <w:ind w:left="2" w:leftChars="1" w:firstLine="420" w:firstLineChars="200"/>
        <w:rPr>
          <w:rFonts w:hint="eastAsia" w:ascii="宋体" w:hAnsi="宋体" w:eastAsia="宋体" w:cs="宋体"/>
          <w:szCs w:val="21"/>
        </w:rPr>
      </w:pPr>
      <w:r>
        <w:rPr>
          <w:rFonts w:hint="eastAsia" w:ascii="宋体" w:hAnsi="宋体" w:eastAsia="宋体" w:cs="宋体"/>
          <w:szCs w:val="21"/>
        </w:rPr>
        <w:t>3.7.5在响应截止时间止提交电子版响应文件的供应商不足3家时，电子版响应文件由代理机构在广西政府采购云平台操作退回，除此之外采购人和采购代理机构对已提交的响应文件概不退回。</w:t>
      </w:r>
    </w:p>
    <w:p w14:paraId="1B6CF462">
      <w:pPr>
        <w:spacing w:before="120" w:line="320" w:lineRule="atLeast"/>
        <w:ind w:left="2" w:leftChars="1" w:firstLine="420" w:firstLineChars="200"/>
        <w:rPr>
          <w:rFonts w:hint="eastAsia" w:ascii="宋体" w:hAnsi="宋体" w:eastAsia="宋体" w:cs="宋体"/>
          <w:color w:val="auto"/>
          <w:szCs w:val="21"/>
        </w:rPr>
      </w:pPr>
      <w:bookmarkStart w:id="57" w:name="_Hlk93046827"/>
      <w:r>
        <w:rPr>
          <w:rFonts w:hint="eastAsia" w:ascii="宋体" w:hAnsi="宋体" w:eastAsia="宋体" w:cs="宋体"/>
          <w:szCs w:val="21"/>
        </w:rPr>
        <w:t>3.7.6</w:t>
      </w:r>
      <w:bookmarkEnd w:id="57"/>
      <w:r>
        <w:rPr>
          <w:rFonts w:hint="eastAsia" w:ascii="宋体" w:hAnsi="宋体" w:eastAsia="宋体" w:cs="宋体"/>
          <w:szCs w:val="21"/>
        </w:rPr>
        <w:t>采购文件未允许同一供应商提交两个或以上不同的响应文件，但存在同一供应商提交两个或以上不同的响应文件的，其响应无效。</w:t>
      </w:r>
      <w:r>
        <w:rPr>
          <w:rFonts w:hint="eastAsia" w:ascii="宋体" w:hAnsi="宋体" w:eastAsia="宋体" w:cs="宋体"/>
          <w:color w:val="auto"/>
          <w:szCs w:val="21"/>
        </w:rPr>
        <w:t>供应商在同一响应文件中对某项技术、商务要求提供有选择性的响应参数或方案等同于提交两个或以上不同的响应文件。</w:t>
      </w:r>
    </w:p>
    <w:p w14:paraId="6091E810">
      <w:pPr>
        <w:spacing w:before="120" w:line="320" w:lineRule="atLeast"/>
        <w:ind w:left="2" w:leftChars="1" w:firstLine="422" w:firstLineChars="200"/>
        <w:outlineLvl w:val="1"/>
        <w:rPr>
          <w:rFonts w:hint="eastAsia" w:ascii="宋体" w:hAnsi="宋体" w:eastAsia="宋体" w:cs="宋体"/>
          <w:b/>
          <w:bCs/>
          <w:color w:val="auto"/>
          <w:kern w:val="0"/>
          <w:szCs w:val="21"/>
        </w:rPr>
      </w:pPr>
      <w:r>
        <w:rPr>
          <w:rFonts w:hint="eastAsia" w:ascii="宋体" w:hAnsi="宋体" w:eastAsia="宋体" w:cs="宋体"/>
          <w:b/>
          <w:bCs/>
          <w:color w:val="auto"/>
          <w:kern w:val="0"/>
          <w:szCs w:val="21"/>
        </w:rPr>
        <w:t>4．截标</w:t>
      </w:r>
    </w:p>
    <w:p w14:paraId="1560164A">
      <w:pPr>
        <w:spacing w:before="120" w:line="320" w:lineRule="atLeast"/>
        <w:ind w:firstLine="422" w:firstLineChars="200"/>
        <w:outlineLvl w:val="2"/>
        <w:rPr>
          <w:rFonts w:hint="eastAsia" w:ascii="宋体" w:hAnsi="宋体" w:eastAsia="宋体" w:cs="宋体"/>
          <w:b/>
          <w:bCs/>
          <w:kern w:val="0"/>
          <w:szCs w:val="21"/>
        </w:rPr>
      </w:pPr>
      <w:r>
        <w:rPr>
          <w:rFonts w:hint="eastAsia" w:ascii="宋体" w:hAnsi="宋体" w:eastAsia="宋体" w:cs="宋体"/>
          <w:b/>
          <w:bCs/>
          <w:kern w:val="0"/>
          <w:szCs w:val="21"/>
        </w:rPr>
        <w:t>4.1截标准备</w:t>
      </w:r>
    </w:p>
    <w:p w14:paraId="06541531">
      <w:pPr>
        <w:spacing w:before="120" w:line="276" w:lineRule="auto"/>
        <w:ind w:firstLine="420" w:firstLineChars="200"/>
        <w:rPr>
          <w:rFonts w:hint="eastAsia" w:ascii="宋体" w:hAnsi="宋体" w:eastAsia="宋体" w:cs="宋体"/>
          <w:szCs w:val="21"/>
        </w:rPr>
      </w:pPr>
      <w:r>
        <w:rPr>
          <w:rFonts w:hint="eastAsia" w:ascii="宋体" w:hAnsi="宋体" w:eastAsia="宋体" w:cs="宋体"/>
          <w:szCs w:val="21"/>
        </w:rPr>
        <w:t>本项目响应截止时间及地点见“供应商须知前附表”规定。</w:t>
      </w:r>
    </w:p>
    <w:p w14:paraId="2921E1DF">
      <w:pPr>
        <w:autoSpaceDE w:val="0"/>
        <w:autoSpaceDN w:val="0"/>
        <w:adjustRightInd w:val="0"/>
        <w:spacing w:line="276" w:lineRule="auto"/>
        <w:ind w:firstLine="420" w:firstLineChars="200"/>
        <w:rPr>
          <w:rFonts w:hint="eastAsia" w:ascii="宋体" w:hAnsi="宋体" w:eastAsia="宋体" w:cs="宋体"/>
          <w:szCs w:val="21"/>
        </w:rPr>
      </w:pPr>
      <w:r>
        <w:rPr>
          <w:rFonts w:hint="eastAsia" w:ascii="宋体" w:hAnsi="宋体" w:eastAsia="宋体" w:cs="宋体"/>
          <w:szCs w:val="21"/>
        </w:rPr>
        <w:t>全流程电子化项目没有现场递交响应文件及现场截标环节。采购代理机构将按照采购文件规定的时间通过广西政府采购云平台组织线上截标活动、开启响应文件，所有供应商均应当准时在线参加。供应商如不参加截标大会的，视同认可截标结果，事后不得对采购相关人员、截标过程和截标结果提出异议，同时供应商因未在线参加截标而导致响应文件无法按时解密等一切后果由供应商自己承担。</w:t>
      </w:r>
    </w:p>
    <w:p w14:paraId="733E2F5C">
      <w:pPr>
        <w:spacing w:before="120" w:line="276" w:lineRule="auto"/>
        <w:ind w:firstLine="420" w:firstLineChars="200"/>
        <w:rPr>
          <w:rFonts w:hint="eastAsia" w:ascii="宋体" w:hAnsi="宋体" w:eastAsia="宋体" w:cs="宋体"/>
          <w:szCs w:val="21"/>
        </w:rPr>
      </w:pPr>
      <w:r>
        <w:rPr>
          <w:rFonts w:hint="eastAsia" w:ascii="宋体" w:hAnsi="宋体" w:eastAsia="宋体" w:cs="宋体"/>
          <w:szCs w:val="21"/>
        </w:rPr>
        <w:t xml:space="preserve">如供应商成功解密响应文件，但未在广西政府采购云平台电子开标大厅参加截标的，视同认可截标过程和结果，由此产生的后果由供应商自行负责。 </w:t>
      </w:r>
    </w:p>
    <w:p w14:paraId="4C13EC70">
      <w:pPr>
        <w:spacing w:before="120" w:line="320" w:lineRule="atLeast"/>
        <w:ind w:firstLine="422" w:firstLineChars="200"/>
        <w:outlineLvl w:val="2"/>
        <w:rPr>
          <w:rFonts w:hint="eastAsia" w:ascii="宋体" w:hAnsi="宋体" w:eastAsia="宋体" w:cs="宋体"/>
          <w:b/>
          <w:bCs/>
          <w:kern w:val="0"/>
          <w:szCs w:val="21"/>
        </w:rPr>
      </w:pPr>
      <w:r>
        <w:rPr>
          <w:rFonts w:hint="eastAsia" w:ascii="宋体" w:hAnsi="宋体" w:eastAsia="宋体" w:cs="宋体"/>
          <w:b/>
          <w:bCs/>
          <w:kern w:val="0"/>
          <w:szCs w:val="21"/>
        </w:rPr>
        <w:t>4.2截标程序</w:t>
      </w:r>
    </w:p>
    <w:p w14:paraId="453F7C12">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4.2.1供应商登录广西政府采购云平台进入开标大厅签到。</w:t>
      </w:r>
    </w:p>
    <w:p w14:paraId="5823ABF5">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4.2.2解密电子响应文件。广西政府采购云平台按截标时间自动提取所有响应文件。采购代理机构在广西政府采购云平台向各供应商发出电子加密响应文件开始解密通知，由供应商平台设置时间内自行进行响应文件解密。供应商须使用加密时所用的CA锁准时登录到广西政府采购云平台电子开标大厅签到并对电子响应文件解密。截标后供应商未及时进行解密的，代理机构可通知供应商。</w:t>
      </w:r>
      <w:bookmarkStart w:id="58" w:name="_Hlk106639817"/>
      <w:r>
        <w:rPr>
          <w:rFonts w:hint="eastAsia" w:ascii="宋体" w:hAnsi="宋体" w:eastAsia="宋体" w:cs="宋体"/>
        </w:rPr>
        <w:t>通知后供应商仍未在上述规定时间内解密响应文件</w:t>
      </w:r>
      <w:bookmarkEnd w:id="58"/>
      <w:r>
        <w:rPr>
          <w:rFonts w:hint="eastAsia" w:ascii="宋体" w:hAnsi="宋体" w:eastAsia="宋体" w:cs="宋体"/>
          <w:szCs w:val="21"/>
        </w:rPr>
        <w:t>，或者供应商没预留联系方式或预留联系方式无效导致代理机构无法联系到供应商进行解密的，均视为无效响应。</w:t>
      </w:r>
    </w:p>
    <w:p w14:paraId="3191C75A">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4.2.3</w:t>
      </w:r>
      <w:bookmarkStart w:id="59" w:name="_Hlk106637968"/>
      <w:r>
        <w:rPr>
          <w:rFonts w:hint="eastAsia" w:ascii="宋体" w:hAnsi="宋体" w:eastAsia="宋体" w:cs="宋体"/>
          <w:szCs w:val="21"/>
        </w:rPr>
        <w:t>广西政府采购云平台设置有备份响应文件功能。备份响应文件是指平台设置为接受备份响应文件时，如出现供应商上传的响应文件存在问题或其他供应商原因引起解密异常时，供应商可以在规定时间内将备份响应文件通过邮箱发送至采购代理机构，由代理机构上传备份响应文件后自动解密从而避免被视为无效响应。是否接受备份响应文件详见供应商须知前附表，如接受备份文件，供应商未在规定时间内发送备份响应文件的将视为无效响应。</w:t>
      </w:r>
    </w:p>
    <w:bookmarkEnd w:id="59"/>
    <w:p w14:paraId="28F3078F">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4.2.4解密异常情况处理：详见本章9.2电子交易活动的中止。</w:t>
      </w:r>
    </w:p>
    <w:p w14:paraId="5BAAC152">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4.2.5截标结束。</w:t>
      </w:r>
    </w:p>
    <w:p w14:paraId="6CE3F1A6">
      <w:pPr>
        <w:spacing w:before="120" w:line="320" w:lineRule="atLeast"/>
        <w:ind w:firstLine="422" w:firstLineChars="200"/>
        <w:rPr>
          <w:rFonts w:hint="eastAsia" w:ascii="宋体" w:hAnsi="宋体" w:eastAsia="宋体" w:cs="宋体"/>
          <w:szCs w:val="21"/>
        </w:rPr>
      </w:pPr>
      <w:r>
        <w:rPr>
          <w:rFonts w:hint="eastAsia" w:ascii="宋体" w:hAnsi="宋体" w:eastAsia="宋体" w:cs="宋体"/>
          <w:b/>
          <w:bCs/>
          <w:szCs w:val="21"/>
        </w:rPr>
        <w:t>特别说明</w:t>
      </w:r>
      <w:r>
        <w:rPr>
          <w:rFonts w:hint="eastAsia" w:ascii="宋体" w:hAnsi="宋体" w:eastAsia="宋体" w:cs="宋体"/>
          <w:szCs w:val="21"/>
        </w:rPr>
        <w:t>：如遇广西政府采购云平台电子化截标或评审程序调整的，按调整后的程序执行。</w:t>
      </w:r>
    </w:p>
    <w:p w14:paraId="6C52C134">
      <w:pPr>
        <w:spacing w:before="120" w:line="320" w:lineRule="atLeast"/>
        <w:ind w:firstLine="422" w:firstLineChars="200"/>
        <w:outlineLvl w:val="2"/>
        <w:rPr>
          <w:rFonts w:hint="eastAsia" w:ascii="宋体" w:hAnsi="宋体" w:eastAsia="宋体" w:cs="宋体"/>
          <w:b/>
          <w:bCs/>
          <w:kern w:val="0"/>
          <w:szCs w:val="21"/>
        </w:rPr>
      </w:pPr>
      <w:r>
        <w:rPr>
          <w:rFonts w:hint="eastAsia" w:ascii="宋体" w:hAnsi="宋体" w:eastAsia="宋体" w:cs="宋体"/>
          <w:b/>
          <w:bCs/>
          <w:kern w:val="0"/>
          <w:szCs w:val="21"/>
        </w:rPr>
        <w:t>4.3演示</w:t>
      </w:r>
    </w:p>
    <w:p w14:paraId="597E0596">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4.3.1“供应商须知前附表”规定在截标会议结束后进行演示的，供应商应按规定进行演示。</w:t>
      </w:r>
    </w:p>
    <w:p w14:paraId="5A67FA7A">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4.3.2未按规定时间进行演示可能引起的演示分数被计为0分或响应无效等后果由供应商自行承担。</w:t>
      </w:r>
    </w:p>
    <w:p w14:paraId="20156401">
      <w:pPr>
        <w:spacing w:before="120" w:line="320" w:lineRule="atLeast"/>
        <w:ind w:firstLine="422" w:firstLineChars="200"/>
        <w:outlineLvl w:val="2"/>
        <w:rPr>
          <w:rFonts w:hint="eastAsia" w:ascii="宋体" w:hAnsi="宋体" w:eastAsia="宋体" w:cs="宋体"/>
          <w:szCs w:val="21"/>
        </w:rPr>
      </w:pPr>
      <w:r>
        <w:rPr>
          <w:rFonts w:hint="eastAsia" w:ascii="宋体" w:hAnsi="宋体" w:eastAsia="宋体" w:cs="宋体"/>
          <w:b/>
          <w:bCs/>
          <w:kern w:val="0"/>
          <w:szCs w:val="21"/>
        </w:rPr>
        <w:t>4.4样品</w:t>
      </w:r>
    </w:p>
    <w:p w14:paraId="401156C3">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4.4.1“供应商须知前附表”规定递交样品的，供应商应按前附表规定递交样品，递交样品时应附样品递交表（格式见第</w:t>
      </w:r>
      <w:r>
        <w:rPr>
          <w:rFonts w:hint="eastAsia" w:ascii="宋体" w:hAnsi="宋体" w:cs="宋体"/>
          <w:szCs w:val="21"/>
          <w:lang w:val="en-US" w:eastAsia="zh-CN"/>
        </w:rPr>
        <w:t>七</w:t>
      </w:r>
      <w:r>
        <w:rPr>
          <w:rFonts w:hint="eastAsia" w:ascii="宋体" w:hAnsi="宋体" w:eastAsia="宋体" w:cs="宋体"/>
          <w:szCs w:val="21"/>
        </w:rPr>
        <w:t>章）。</w:t>
      </w:r>
    </w:p>
    <w:p w14:paraId="0AF7E075">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4.4.2未按规定时间递交样品可能引起的样品分数被计为0分或响应无效等后果由供应商自行承担。</w:t>
      </w:r>
    </w:p>
    <w:p w14:paraId="5AA38521">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4.4.3样品封存或退还的说明请见第</w:t>
      </w:r>
      <w:r>
        <w:rPr>
          <w:rFonts w:hint="eastAsia" w:ascii="宋体" w:hAnsi="宋体" w:cs="宋体"/>
          <w:szCs w:val="21"/>
          <w:lang w:val="en-US" w:eastAsia="zh-CN"/>
        </w:rPr>
        <w:t>七</w:t>
      </w:r>
      <w:r>
        <w:rPr>
          <w:rFonts w:hint="eastAsia" w:ascii="宋体" w:hAnsi="宋体" w:eastAsia="宋体" w:cs="宋体"/>
          <w:szCs w:val="21"/>
        </w:rPr>
        <w:t>章响应文件格式所附样品递交表。</w:t>
      </w:r>
    </w:p>
    <w:p w14:paraId="596E4271">
      <w:pPr>
        <w:spacing w:before="120" w:line="320" w:lineRule="atLeast"/>
        <w:ind w:left="2" w:leftChars="1" w:firstLine="422" w:firstLineChars="200"/>
        <w:outlineLvl w:val="1"/>
        <w:rPr>
          <w:rFonts w:hint="eastAsia" w:ascii="宋体" w:hAnsi="宋体" w:eastAsia="宋体" w:cs="宋体"/>
          <w:b/>
          <w:bCs/>
          <w:kern w:val="0"/>
          <w:szCs w:val="21"/>
        </w:rPr>
      </w:pPr>
      <w:r>
        <w:rPr>
          <w:rFonts w:hint="eastAsia" w:ascii="宋体" w:hAnsi="宋体" w:eastAsia="宋体" w:cs="宋体"/>
          <w:b/>
          <w:bCs/>
          <w:kern w:val="0"/>
          <w:szCs w:val="21"/>
        </w:rPr>
        <w:t>5．资格审查</w:t>
      </w:r>
    </w:p>
    <w:p w14:paraId="17F6B000">
      <w:pPr>
        <w:spacing w:before="120" w:line="320" w:lineRule="atLeast"/>
        <w:ind w:left="2" w:leftChars="1" w:firstLine="420" w:firstLineChars="200"/>
        <w:outlineLvl w:val="2"/>
        <w:rPr>
          <w:rFonts w:hint="eastAsia" w:ascii="宋体" w:hAnsi="宋体" w:eastAsia="宋体" w:cs="宋体"/>
          <w:bCs/>
          <w:kern w:val="0"/>
          <w:szCs w:val="21"/>
        </w:rPr>
      </w:pPr>
      <w:r>
        <w:rPr>
          <w:rFonts w:hint="eastAsia" w:ascii="宋体" w:hAnsi="宋体" w:eastAsia="宋体" w:cs="宋体"/>
          <w:bCs/>
          <w:kern w:val="0"/>
          <w:szCs w:val="21"/>
        </w:rPr>
        <w:t>5.1截标</w:t>
      </w:r>
      <w:r>
        <w:rPr>
          <w:rFonts w:hint="eastAsia" w:ascii="宋体" w:hAnsi="宋体" w:eastAsia="宋体" w:cs="宋体"/>
          <w:bCs/>
          <w:szCs w:val="21"/>
        </w:rPr>
        <w:t>后，磋商小组通过电子交易平台对供应商的资格进行审查。资格审查</w:t>
      </w:r>
      <w:r>
        <w:rPr>
          <w:rFonts w:hint="eastAsia" w:ascii="宋体" w:hAnsi="宋体" w:eastAsia="宋体" w:cs="宋体"/>
          <w:bCs/>
          <w:kern w:val="0"/>
          <w:szCs w:val="21"/>
        </w:rPr>
        <w:t>是根据法律法规和采购文件的规定，对供应商的基本资格条件、特定资格条件进行审查。</w:t>
      </w:r>
    </w:p>
    <w:p w14:paraId="55F5BFFE">
      <w:pPr>
        <w:spacing w:before="120" w:line="320" w:lineRule="atLeast"/>
        <w:ind w:left="2" w:leftChars="1" w:firstLine="420" w:firstLineChars="200"/>
        <w:outlineLvl w:val="2"/>
        <w:rPr>
          <w:rFonts w:hint="eastAsia" w:ascii="宋体" w:hAnsi="宋体" w:eastAsia="宋体" w:cs="宋体"/>
          <w:bCs/>
          <w:kern w:val="0"/>
          <w:szCs w:val="21"/>
        </w:rPr>
      </w:pPr>
      <w:r>
        <w:rPr>
          <w:rFonts w:hint="eastAsia" w:ascii="宋体" w:hAnsi="宋体" w:eastAsia="宋体" w:cs="宋体"/>
          <w:bCs/>
          <w:kern w:val="0"/>
          <w:szCs w:val="21"/>
        </w:rPr>
        <w:t>5.2资格审查标准在第</w:t>
      </w:r>
      <w:r>
        <w:rPr>
          <w:rFonts w:hint="eastAsia" w:ascii="宋体" w:hAnsi="宋体" w:cs="宋体"/>
          <w:bCs/>
          <w:kern w:val="0"/>
          <w:szCs w:val="21"/>
          <w:lang w:val="en-US" w:eastAsia="zh-CN"/>
        </w:rPr>
        <w:t>五</w:t>
      </w:r>
      <w:r>
        <w:rPr>
          <w:rFonts w:hint="eastAsia" w:ascii="宋体" w:hAnsi="宋体" w:eastAsia="宋体" w:cs="宋体"/>
          <w:bCs/>
          <w:kern w:val="0"/>
          <w:szCs w:val="21"/>
        </w:rPr>
        <w:t>章评审方法及标准中规定，符合资格审查标准要求的供应商即为资格审查合格。</w:t>
      </w:r>
    </w:p>
    <w:p w14:paraId="07BB5C18">
      <w:pPr>
        <w:spacing w:before="120" w:line="276" w:lineRule="auto"/>
        <w:ind w:left="2" w:leftChars="1" w:firstLine="420" w:firstLineChars="200"/>
        <w:outlineLvl w:val="2"/>
        <w:rPr>
          <w:rFonts w:hint="eastAsia" w:ascii="宋体" w:hAnsi="宋体" w:eastAsia="宋体" w:cs="宋体"/>
          <w:bCs/>
          <w:kern w:val="0"/>
          <w:szCs w:val="21"/>
        </w:rPr>
      </w:pPr>
      <w:r>
        <w:rPr>
          <w:rFonts w:hint="eastAsia" w:ascii="宋体" w:hAnsi="宋体" w:eastAsia="宋体" w:cs="宋体"/>
          <w:bCs/>
          <w:kern w:val="0"/>
          <w:szCs w:val="21"/>
        </w:rPr>
        <w:t>5.3供应商有下列情形之一的，资格审查不合格，作无效响应处理：</w:t>
      </w:r>
    </w:p>
    <w:p w14:paraId="02E36501">
      <w:pPr>
        <w:spacing w:line="276" w:lineRule="auto"/>
        <w:ind w:firstLine="420" w:firstLineChars="200"/>
        <w:rPr>
          <w:rFonts w:hint="eastAsia" w:ascii="宋体" w:hAnsi="宋体" w:eastAsia="宋体" w:cs="宋体"/>
        </w:rPr>
      </w:pPr>
      <w:r>
        <w:rPr>
          <w:rFonts w:hint="eastAsia" w:ascii="宋体" w:hAnsi="宋体" w:eastAsia="宋体" w:cs="宋体"/>
          <w:szCs w:val="21"/>
        </w:rPr>
        <w:t xml:space="preserve">5.3.1不具备采购文件中规定的资格要求或资格条件的； </w:t>
      </w:r>
      <w:r>
        <w:rPr>
          <w:rFonts w:hint="eastAsia" w:ascii="宋体" w:hAnsi="宋体" w:eastAsia="宋体" w:cs="宋体"/>
          <w:color w:val="000000"/>
        </w:rPr>
        <w:t>（注：其中信用查询规则见“供应商须知前附表”，</w:t>
      </w:r>
      <w:r>
        <w:rPr>
          <w:rFonts w:hint="eastAsia" w:ascii="宋体" w:hAnsi="宋体" w:eastAsia="宋体" w:cs="宋体"/>
          <w:szCs w:val="21"/>
        </w:rPr>
        <w:t>广西政府采购云平台</w:t>
      </w:r>
      <w:r>
        <w:rPr>
          <w:rFonts w:hint="eastAsia" w:ascii="宋体" w:hAnsi="宋体" w:eastAsia="宋体" w:cs="宋体"/>
          <w:color w:val="000000"/>
        </w:rPr>
        <w:t>已与“信用中国”平台做接口</w:t>
      </w:r>
      <w:r>
        <w:rPr>
          <w:rFonts w:hint="eastAsia" w:ascii="宋体" w:hAnsi="宋体" w:eastAsia="宋体" w:cs="宋体"/>
        </w:rPr>
        <w:t>，可直接在线查询）</w:t>
      </w:r>
    </w:p>
    <w:p w14:paraId="5B205687">
      <w:pPr>
        <w:spacing w:before="120" w:line="276" w:lineRule="auto"/>
        <w:ind w:firstLine="420" w:firstLineChars="200"/>
        <w:rPr>
          <w:rFonts w:hint="eastAsia" w:ascii="宋体" w:hAnsi="宋体" w:eastAsia="宋体" w:cs="宋体"/>
          <w:szCs w:val="21"/>
        </w:rPr>
      </w:pPr>
      <w:r>
        <w:rPr>
          <w:rFonts w:hint="eastAsia" w:ascii="宋体" w:hAnsi="宋体" w:eastAsia="宋体" w:cs="宋体"/>
          <w:szCs w:val="21"/>
        </w:rPr>
        <w:t>5.3.2响应文件缺少任何一项资格证明文件或不符合第</w:t>
      </w:r>
      <w:r>
        <w:rPr>
          <w:rFonts w:hint="eastAsia" w:ascii="宋体" w:hAnsi="宋体" w:cs="宋体"/>
          <w:szCs w:val="21"/>
          <w:lang w:val="en-US" w:eastAsia="zh-CN"/>
        </w:rPr>
        <w:t>五</w:t>
      </w:r>
      <w:r>
        <w:rPr>
          <w:rFonts w:hint="eastAsia" w:ascii="宋体" w:hAnsi="宋体" w:eastAsia="宋体" w:cs="宋体"/>
          <w:szCs w:val="21"/>
        </w:rPr>
        <w:t>章评审方法及标准中资格审查标准规定的评审内容的。</w:t>
      </w:r>
    </w:p>
    <w:p w14:paraId="2AF61F6A">
      <w:pPr>
        <w:spacing w:before="120" w:line="320" w:lineRule="atLeast"/>
        <w:ind w:left="2" w:leftChars="1" w:firstLine="422" w:firstLineChars="200"/>
        <w:outlineLvl w:val="1"/>
        <w:rPr>
          <w:rFonts w:hint="eastAsia" w:ascii="宋体" w:hAnsi="宋体" w:eastAsia="宋体" w:cs="宋体"/>
          <w:b/>
          <w:bCs/>
          <w:kern w:val="0"/>
          <w:szCs w:val="21"/>
        </w:rPr>
      </w:pPr>
      <w:r>
        <w:rPr>
          <w:rFonts w:hint="eastAsia" w:ascii="宋体" w:hAnsi="宋体" w:eastAsia="宋体" w:cs="宋体"/>
          <w:b/>
          <w:bCs/>
          <w:kern w:val="0"/>
          <w:szCs w:val="21"/>
        </w:rPr>
        <w:t>6．评审</w:t>
      </w:r>
    </w:p>
    <w:p w14:paraId="4399AF97">
      <w:pPr>
        <w:spacing w:before="120" w:line="320" w:lineRule="atLeast"/>
        <w:ind w:firstLine="422" w:firstLineChars="200"/>
        <w:outlineLvl w:val="2"/>
        <w:rPr>
          <w:rFonts w:hint="eastAsia" w:ascii="宋体" w:hAnsi="宋体" w:eastAsia="宋体" w:cs="宋体"/>
          <w:b/>
          <w:bCs/>
          <w:kern w:val="0"/>
          <w:szCs w:val="21"/>
        </w:rPr>
      </w:pPr>
      <w:r>
        <w:rPr>
          <w:rFonts w:hint="eastAsia" w:ascii="宋体" w:hAnsi="宋体" w:eastAsia="宋体" w:cs="宋体"/>
          <w:b/>
          <w:bCs/>
          <w:kern w:val="0"/>
          <w:szCs w:val="21"/>
        </w:rPr>
        <w:t>6.1组建磋商小组</w:t>
      </w:r>
    </w:p>
    <w:p w14:paraId="2614EA25">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6.1.1本项目评审工作由磋商小组负责，磋商小组由评审专家和采购人代表（如有）组成。磋商小组评审时必须公平、公正、客观，不带任何倾向性和启发性；不得向外界透露任何与评审有关的内容；任何单位和个人不得干扰、影响评标的正常进行；磋商小组及有关工作人员不得私下与供应商接触，不得收受利害关系人的财物或者其他好处；评审专家发现本人与参加采购活动的供应商有利害关系的，应当主动提出回避。</w:t>
      </w:r>
    </w:p>
    <w:p w14:paraId="3A672267">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6.1.2磋商小组成员应当通过电子交易平台进行独立评审，磋商小组成员对需要共同认定的事项存在争议的，应当按照少数服从多数的原则作出结论。持不同意见的磋商小组成员应当在评审报告上签署不同意见及理由，否则视为同意评审报告。如果在评审过程中出现法律法规和采购文件均没有明确规定的情形时，由磋商小组现场协商确定，协商不一致的，由全体磋商小组成员投票表决，应当按照少数服从多数的原则作出结论并记录在评审报告中。</w:t>
      </w:r>
    </w:p>
    <w:p w14:paraId="60DA319D">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6.1.3采购人、采购代理机构应当采取必要措施，保证评审在严格保密（封闭式评审）的情况下进行。除采购人代表、评审现场组织人员外，采购人的其他工作人员以及与评审工作无关的人员不得进入评审现场。有关人员对评审情况以及在评审过程中获悉的国家秘密、商业秘密负有保密责任。</w:t>
      </w:r>
    </w:p>
    <w:p w14:paraId="3482D094">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6.1.4本项目评审过程实行全程网上留痕及录音、录像监控，供应商在评审过程中所进行的试图影响评审结果的不公正活动，可能导致其响应按无效处理。</w:t>
      </w:r>
    </w:p>
    <w:p w14:paraId="7D578602">
      <w:pPr>
        <w:spacing w:before="120" w:line="320" w:lineRule="atLeast"/>
        <w:ind w:firstLine="422" w:firstLineChars="200"/>
        <w:outlineLvl w:val="2"/>
        <w:rPr>
          <w:rFonts w:hint="eastAsia" w:ascii="宋体" w:hAnsi="宋体" w:eastAsia="宋体" w:cs="宋体"/>
          <w:b/>
          <w:bCs/>
          <w:kern w:val="0"/>
          <w:szCs w:val="21"/>
        </w:rPr>
      </w:pPr>
      <w:r>
        <w:rPr>
          <w:rFonts w:hint="eastAsia" w:ascii="宋体" w:hAnsi="宋体" w:eastAsia="宋体" w:cs="宋体"/>
          <w:b/>
          <w:bCs/>
          <w:kern w:val="0"/>
          <w:szCs w:val="21"/>
        </w:rPr>
        <w:t>6.2评审方法及依据</w:t>
      </w:r>
    </w:p>
    <w:p w14:paraId="1F79C9FB">
      <w:pPr>
        <w:spacing w:before="120" w:line="320" w:lineRule="atLeast"/>
        <w:ind w:firstLine="420" w:firstLineChars="200"/>
        <w:rPr>
          <w:rFonts w:hint="eastAsia" w:ascii="宋体" w:hAnsi="宋体" w:eastAsia="宋体" w:cs="宋体"/>
          <w:bCs/>
          <w:kern w:val="0"/>
          <w:szCs w:val="21"/>
        </w:rPr>
      </w:pPr>
      <w:r>
        <w:rPr>
          <w:rFonts w:hint="eastAsia" w:ascii="宋体" w:hAnsi="宋体" w:eastAsia="宋体" w:cs="宋体"/>
          <w:bCs/>
          <w:kern w:val="0"/>
          <w:szCs w:val="21"/>
        </w:rPr>
        <w:t>6.2.1本项目采用第</w:t>
      </w:r>
      <w:r>
        <w:rPr>
          <w:rFonts w:hint="eastAsia" w:ascii="宋体" w:hAnsi="宋体" w:cs="宋体"/>
          <w:bCs/>
          <w:kern w:val="0"/>
          <w:szCs w:val="21"/>
          <w:lang w:val="en-US" w:eastAsia="zh-CN"/>
        </w:rPr>
        <w:t>五</w:t>
      </w:r>
      <w:r>
        <w:rPr>
          <w:rFonts w:hint="eastAsia" w:ascii="宋体" w:hAnsi="宋体" w:eastAsia="宋体" w:cs="宋体"/>
          <w:bCs/>
          <w:kern w:val="0"/>
          <w:szCs w:val="21"/>
        </w:rPr>
        <w:t>章评审方法及标准规定的方法进行评审。</w:t>
      </w:r>
    </w:p>
    <w:p w14:paraId="066AE98B">
      <w:pPr>
        <w:suppressAutoHyphens/>
        <w:spacing w:before="120" w:line="320" w:lineRule="atLeast"/>
        <w:ind w:firstLine="420" w:firstLineChars="200"/>
        <w:rPr>
          <w:rFonts w:hint="eastAsia" w:ascii="宋体" w:hAnsi="宋体" w:eastAsia="宋体" w:cs="宋体"/>
          <w:bCs/>
          <w:kern w:val="0"/>
          <w:szCs w:val="21"/>
        </w:rPr>
      </w:pPr>
      <w:r>
        <w:rPr>
          <w:rFonts w:hint="eastAsia" w:ascii="宋体" w:hAnsi="宋体" w:eastAsia="宋体" w:cs="宋体"/>
          <w:bCs/>
          <w:kern w:val="0"/>
          <w:szCs w:val="21"/>
        </w:rPr>
        <w:t>6.2.2磋商小组</w:t>
      </w:r>
      <w:r>
        <w:rPr>
          <w:rFonts w:hint="eastAsia" w:ascii="宋体" w:hAnsi="宋体" w:eastAsia="宋体" w:cs="宋体"/>
        </w:rPr>
        <w:t>以采购文件、补充文件、响应文件、澄清及答复为评审依据，</w:t>
      </w:r>
      <w:r>
        <w:rPr>
          <w:rFonts w:hint="eastAsia" w:ascii="宋体" w:hAnsi="宋体" w:eastAsia="宋体" w:cs="宋体"/>
          <w:bCs/>
          <w:kern w:val="0"/>
          <w:szCs w:val="21"/>
        </w:rPr>
        <w:t>第</w:t>
      </w:r>
      <w:r>
        <w:rPr>
          <w:rFonts w:hint="eastAsia" w:ascii="宋体" w:hAnsi="宋体" w:cs="宋体"/>
          <w:bCs/>
          <w:kern w:val="0"/>
          <w:szCs w:val="21"/>
          <w:lang w:val="en-US" w:eastAsia="zh-CN"/>
        </w:rPr>
        <w:t>五</w:t>
      </w:r>
      <w:r>
        <w:rPr>
          <w:rFonts w:hint="eastAsia" w:ascii="宋体" w:hAnsi="宋体" w:eastAsia="宋体" w:cs="宋体"/>
          <w:bCs/>
          <w:kern w:val="0"/>
          <w:szCs w:val="21"/>
        </w:rPr>
        <w:t>章评审方法及标准没有规定的评审方法、标准及因素，不得作为评审依据。</w:t>
      </w:r>
    </w:p>
    <w:p w14:paraId="5331DAB0">
      <w:pPr>
        <w:spacing w:before="120" w:line="320" w:lineRule="atLeast"/>
        <w:ind w:firstLine="422" w:firstLineChars="200"/>
        <w:outlineLvl w:val="2"/>
        <w:rPr>
          <w:rFonts w:hint="eastAsia" w:ascii="宋体" w:hAnsi="宋体" w:eastAsia="宋体" w:cs="宋体"/>
          <w:b/>
          <w:bCs/>
          <w:kern w:val="0"/>
          <w:szCs w:val="21"/>
        </w:rPr>
      </w:pPr>
      <w:bookmarkStart w:id="60" w:name="_Toc254970687"/>
      <w:bookmarkStart w:id="61" w:name="_Toc254970546"/>
      <w:r>
        <w:rPr>
          <w:rFonts w:hint="eastAsia" w:ascii="宋体" w:hAnsi="宋体" w:eastAsia="宋体" w:cs="宋体"/>
          <w:b/>
          <w:bCs/>
          <w:kern w:val="0"/>
          <w:szCs w:val="21"/>
        </w:rPr>
        <w:t>6.3评审程序</w:t>
      </w:r>
    </w:p>
    <w:p w14:paraId="068C99CD">
      <w:pPr>
        <w:spacing w:before="120" w:line="320" w:lineRule="atLeast"/>
        <w:ind w:firstLine="420" w:firstLineChars="200"/>
        <w:rPr>
          <w:rFonts w:hint="eastAsia" w:ascii="宋体" w:hAnsi="宋体" w:eastAsia="宋体" w:cs="宋体"/>
        </w:rPr>
      </w:pPr>
      <w:r>
        <w:rPr>
          <w:rFonts w:hint="eastAsia" w:ascii="宋体" w:hAnsi="宋体" w:eastAsia="宋体" w:cs="宋体"/>
        </w:rPr>
        <w:t>6.</w:t>
      </w:r>
      <w:bookmarkStart w:id="62" w:name="_Hlk19175507"/>
      <w:bookmarkStart w:id="63" w:name="_Hlk80956880"/>
      <w:r>
        <w:rPr>
          <w:rFonts w:hint="eastAsia" w:ascii="宋体" w:hAnsi="宋体" w:eastAsia="宋体" w:cs="宋体"/>
        </w:rPr>
        <w:t>3.1符合性审查</w:t>
      </w:r>
    </w:p>
    <w:p w14:paraId="5217C19B">
      <w:pPr>
        <w:spacing w:before="120" w:line="320" w:lineRule="atLeast"/>
        <w:ind w:firstLine="420" w:firstLineChars="200"/>
        <w:rPr>
          <w:rFonts w:hint="eastAsia" w:ascii="宋体" w:hAnsi="宋体" w:eastAsia="宋体" w:cs="宋体"/>
          <w:szCs w:val="21"/>
        </w:rPr>
      </w:pPr>
      <w:r>
        <w:rPr>
          <w:rFonts w:hint="eastAsia" w:ascii="宋体" w:hAnsi="宋体" w:eastAsia="宋体" w:cs="宋体"/>
          <w:bCs/>
          <w:kern w:val="1"/>
          <w:szCs w:val="21"/>
        </w:rPr>
        <w:t>资格审查结束后，</w:t>
      </w:r>
      <w:r>
        <w:rPr>
          <w:rFonts w:hint="eastAsia" w:ascii="宋体" w:hAnsi="宋体" w:eastAsia="宋体" w:cs="宋体"/>
          <w:color w:val="000000"/>
        </w:rPr>
        <w:t>磋商小组对</w:t>
      </w:r>
      <w:r>
        <w:rPr>
          <w:rFonts w:hint="eastAsia" w:ascii="宋体" w:hAnsi="宋体" w:eastAsia="宋体" w:cs="宋体"/>
        </w:rPr>
        <w:t>通过资格审查的供应商</w:t>
      </w:r>
      <w:r>
        <w:rPr>
          <w:rFonts w:hint="eastAsia" w:ascii="宋体" w:hAnsi="宋体" w:eastAsia="宋体" w:cs="宋体"/>
          <w:color w:val="000000"/>
        </w:rPr>
        <w:t>的响应文件报价、商务资信、技术等方面实质性内容进行符合性审查，</w:t>
      </w:r>
      <w:r>
        <w:rPr>
          <w:rFonts w:hint="eastAsia" w:ascii="宋体" w:hAnsi="宋体" w:eastAsia="宋体" w:cs="宋体"/>
          <w:szCs w:val="21"/>
        </w:rPr>
        <w:t>符合性审查标准详见第</w:t>
      </w:r>
      <w:r>
        <w:rPr>
          <w:rFonts w:hint="eastAsia" w:ascii="宋体" w:hAnsi="宋体" w:cs="宋体"/>
          <w:szCs w:val="21"/>
          <w:lang w:val="en-US" w:eastAsia="zh-CN"/>
        </w:rPr>
        <w:t>五</w:t>
      </w:r>
      <w:r>
        <w:rPr>
          <w:rFonts w:hint="eastAsia" w:ascii="宋体" w:hAnsi="宋体" w:eastAsia="宋体" w:cs="宋体"/>
          <w:szCs w:val="21"/>
        </w:rPr>
        <w:t>章评审方法及标准。</w:t>
      </w:r>
    </w:p>
    <w:bookmarkEnd w:id="62"/>
    <w:bookmarkEnd w:id="63"/>
    <w:p w14:paraId="164363CE">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6.3.2</w:t>
      </w:r>
      <w:r>
        <w:rPr>
          <w:rFonts w:hint="eastAsia" w:ascii="宋体" w:hAnsi="宋体" w:eastAsia="宋体" w:cs="宋体"/>
          <w:color w:val="000000"/>
        </w:rPr>
        <w:t>强制性</w:t>
      </w:r>
      <w:r>
        <w:rPr>
          <w:rFonts w:hint="eastAsia" w:ascii="宋体" w:hAnsi="宋体" w:eastAsia="宋体" w:cs="宋体"/>
          <w:szCs w:val="21"/>
        </w:rPr>
        <w:t>采购要求</w:t>
      </w:r>
    </w:p>
    <w:p w14:paraId="15994C78">
      <w:pPr>
        <w:suppressAutoHyphens/>
        <w:spacing w:before="120" w:line="320" w:lineRule="atLeast"/>
        <w:ind w:firstLine="422" w:firstLineChars="201"/>
        <w:rPr>
          <w:rFonts w:hint="eastAsia" w:ascii="宋体" w:hAnsi="宋体" w:eastAsia="宋体" w:cs="宋体"/>
          <w:szCs w:val="21"/>
        </w:rPr>
      </w:pPr>
      <w:bookmarkStart w:id="64" w:name="_Hlk47714684"/>
      <w:r>
        <w:rPr>
          <w:rFonts w:hint="eastAsia" w:ascii="宋体" w:hAnsi="宋体" w:eastAsia="宋体" w:cs="宋体"/>
          <w:szCs w:val="21"/>
        </w:rPr>
        <w:t>（1）</w:t>
      </w:r>
      <w:bookmarkEnd w:id="64"/>
      <w:r>
        <w:rPr>
          <w:rFonts w:hint="eastAsia" w:ascii="宋体" w:hAnsi="宋体" w:eastAsia="宋体" w:cs="宋体"/>
          <w:szCs w:val="21"/>
        </w:rPr>
        <w:t>根据《财政部 发展改革委 生态环境部 市场监管总局关于调整优化节能产品、环境标志产品政府采购执行机制的通知》（财库〔2019〕9号）和《关于印发节能产品政府采购品目清单的通知》（财库〔2019〕19号）规定，本项目采购需求中的产品属于节能产品政府采购品目清单内标注“★”的，供应商的响应货物必须使用政府强制采购的节能产品，否则响应文件作无效处理；属于品目清单内非标注“★”的产品时，应优先采购。</w:t>
      </w:r>
    </w:p>
    <w:p w14:paraId="5D7284CE">
      <w:pPr>
        <w:spacing w:before="120" w:line="276" w:lineRule="auto"/>
        <w:ind w:firstLine="420" w:firstLineChars="200"/>
        <w:rPr>
          <w:rFonts w:hint="eastAsia" w:ascii="宋体" w:hAnsi="宋体" w:eastAsia="宋体" w:cs="宋体"/>
          <w:szCs w:val="21"/>
        </w:rPr>
      </w:pPr>
      <w:bookmarkStart w:id="65" w:name="_Hlk19176155"/>
      <w:r>
        <w:rPr>
          <w:rFonts w:hint="eastAsia" w:ascii="宋体" w:hAnsi="宋体" w:eastAsia="宋体" w:cs="宋体"/>
          <w:szCs w:val="21"/>
        </w:rPr>
        <w:t>（2）根据《关于调整网络安全专用产品安全管理有关事项的公告》（2023年1号）及关于调整《网络关键设备和网络安全专用产品目录》（2023年2号）的公告规定，本项目采购需求中的产品如果包括《网络关键设备和网络安全专用产品目录》的网络安全专用产品，</w:t>
      </w:r>
      <w:r>
        <w:rPr>
          <w:rFonts w:hint="eastAsia" w:ascii="宋体" w:hAnsi="宋体" w:eastAsia="宋体" w:cs="宋体"/>
          <w:szCs w:val="21"/>
          <w:lang w:val="en-US" w:eastAsia="zh-CN"/>
        </w:rPr>
        <w:t>供应商</w:t>
      </w:r>
      <w:r>
        <w:rPr>
          <w:rFonts w:hint="eastAsia" w:ascii="宋体" w:hAnsi="宋体" w:eastAsia="宋体" w:cs="宋体"/>
          <w:szCs w:val="21"/>
        </w:rPr>
        <w:t>在</w:t>
      </w:r>
      <w:r>
        <w:rPr>
          <w:rFonts w:hint="eastAsia" w:ascii="宋体" w:hAnsi="宋体" w:eastAsia="宋体" w:cs="宋体"/>
          <w:szCs w:val="21"/>
          <w:lang w:val="en-US" w:eastAsia="zh-CN"/>
        </w:rPr>
        <w:t>响应</w:t>
      </w:r>
      <w:r>
        <w:rPr>
          <w:rFonts w:hint="eastAsia" w:ascii="宋体" w:hAnsi="宋体" w:eastAsia="宋体" w:cs="宋体"/>
          <w:szCs w:val="21"/>
        </w:rPr>
        <w:t>文件中应主动列明供货范围中属于网络安全专用产品的</w:t>
      </w:r>
      <w:r>
        <w:rPr>
          <w:rFonts w:hint="eastAsia" w:ascii="宋体" w:hAnsi="宋体" w:eastAsia="宋体" w:cs="宋体"/>
          <w:szCs w:val="21"/>
          <w:lang w:val="en-US" w:eastAsia="zh-CN"/>
        </w:rPr>
        <w:t>响应</w:t>
      </w:r>
      <w:r>
        <w:rPr>
          <w:rFonts w:hint="eastAsia" w:ascii="宋体" w:hAnsi="宋体" w:eastAsia="宋体" w:cs="宋体"/>
          <w:szCs w:val="21"/>
        </w:rPr>
        <w:t>产品，并提供由中共中央网络安全和信息化委员会办公室网站最新发布的《网络关键设备和网络安全专用产品安全认证和安全检测结果》截图证明材料，不在《网络关键设备和网络安全专用产品安全认证和安全检测结果》中或不在有效期内或未提供有效的《计算机信息系统安全专用产品销售许可证》的，</w:t>
      </w:r>
      <w:r>
        <w:rPr>
          <w:rFonts w:hint="eastAsia" w:ascii="宋体" w:hAnsi="宋体" w:eastAsia="宋体" w:cs="宋体"/>
          <w:szCs w:val="21"/>
          <w:lang w:val="en-US" w:eastAsia="zh-CN"/>
        </w:rPr>
        <w:t>响应</w:t>
      </w:r>
      <w:r>
        <w:rPr>
          <w:rFonts w:hint="eastAsia" w:ascii="宋体" w:hAnsi="宋体" w:eastAsia="宋体" w:cs="宋体"/>
          <w:szCs w:val="21"/>
        </w:rPr>
        <w:t>无效。</w:t>
      </w:r>
    </w:p>
    <w:p w14:paraId="5AD122C1">
      <w:pPr>
        <w:spacing w:before="120" w:line="276" w:lineRule="auto"/>
        <w:ind w:firstLine="420" w:firstLineChars="200"/>
        <w:rPr>
          <w:rFonts w:hint="eastAsia" w:ascii="宋体" w:hAnsi="宋体" w:eastAsia="宋体" w:cs="宋体"/>
          <w:szCs w:val="21"/>
        </w:rPr>
      </w:pPr>
      <w:r>
        <w:rPr>
          <w:rFonts w:hint="eastAsia" w:ascii="宋体" w:hAnsi="宋体" w:eastAsia="宋体" w:cs="宋体"/>
          <w:szCs w:val="21"/>
        </w:rPr>
        <w:t xml:space="preserve">注：网络安全专用产品在中共中央网络安全和信息化委员会办公室网站上发布的《网络关键设备和网络安全专用产品目录》中查询。 </w:t>
      </w:r>
      <w:r>
        <w:rPr>
          <w:rFonts w:hint="eastAsia" w:ascii="宋体" w:hAnsi="宋体" w:eastAsia="宋体" w:cs="宋体"/>
          <w:szCs w:val="21"/>
          <w:lang w:eastAsia="zh-CN"/>
        </w:rPr>
        <w:t>“</w:t>
      </w:r>
      <w:r>
        <w:rPr>
          <w:rFonts w:hint="eastAsia" w:ascii="宋体" w:hAnsi="宋体" w:eastAsia="宋体" w:cs="宋体"/>
          <w:szCs w:val="21"/>
          <w:lang w:val="en-US" w:eastAsia="zh-CN"/>
        </w:rPr>
        <w:t>网络安全专用产品”内“产品类别”</w:t>
      </w:r>
      <w:r>
        <w:rPr>
          <w:rFonts w:hint="eastAsia" w:ascii="宋体" w:hAnsi="宋体" w:eastAsia="宋体" w:cs="宋体"/>
          <w:szCs w:val="21"/>
        </w:rPr>
        <w:t>共</w:t>
      </w:r>
      <w:r>
        <w:rPr>
          <w:rFonts w:hint="eastAsia" w:ascii="宋体" w:hAnsi="宋体" w:eastAsia="宋体" w:cs="宋体"/>
          <w:szCs w:val="21"/>
          <w:lang w:val="en-US" w:eastAsia="zh-CN"/>
        </w:rPr>
        <w:t>34</w:t>
      </w:r>
      <w:r>
        <w:rPr>
          <w:rFonts w:hint="eastAsia" w:ascii="宋体" w:hAnsi="宋体" w:eastAsia="宋体" w:cs="宋体"/>
          <w:szCs w:val="21"/>
        </w:rPr>
        <w:t>类：数据备份与恢复产品、防火墙、入侵检测系统（IDS）、入侵防御系统（IPS）、</w:t>
      </w:r>
      <w:r>
        <w:rPr>
          <w:rFonts w:hint="eastAsia" w:ascii="宋体" w:hAnsi="宋体" w:eastAsia="宋体" w:cs="宋体"/>
          <w:szCs w:val="21"/>
          <w:lang w:val="en-US" w:eastAsia="zh-CN"/>
        </w:rPr>
        <w:t>网络和终端隔离产品</w:t>
      </w:r>
      <w:r>
        <w:rPr>
          <w:rFonts w:hint="eastAsia" w:ascii="宋体" w:hAnsi="宋体" w:eastAsia="宋体" w:cs="宋体"/>
          <w:szCs w:val="21"/>
        </w:rPr>
        <w:t>、反垃圾邮件产品、网络综合审计</w:t>
      </w:r>
      <w:r>
        <w:rPr>
          <w:rFonts w:hint="eastAsia" w:ascii="宋体" w:hAnsi="宋体" w:eastAsia="宋体" w:cs="宋体"/>
          <w:szCs w:val="21"/>
          <w:lang w:val="en-US" w:eastAsia="zh-CN"/>
        </w:rPr>
        <w:t>产品</w:t>
      </w:r>
      <w:r>
        <w:rPr>
          <w:rFonts w:hint="eastAsia" w:ascii="宋体" w:hAnsi="宋体" w:eastAsia="宋体" w:cs="宋体"/>
          <w:szCs w:val="21"/>
        </w:rPr>
        <w:t>、网络脆弱性扫描产品、安全数据库系统、网站恢复产品</w:t>
      </w:r>
      <w:r>
        <w:rPr>
          <w:rFonts w:hint="eastAsia" w:ascii="宋体" w:hAnsi="宋体" w:eastAsia="宋体" w:cs="宋体"/>
          <w:szCs w:val="21"/>
          <w:lang w:eastAsia="zh-CN"/>
        </w:rPr>
        <w:t>、</w:t>
      </w:r>
      <w:r>
        <w:rPr>
          <w:rFonts w:hint="eastAsia" w:ascii="宋体" w:hAnsi="宋体" w:eastAsia="宋体" w:cs="宋体"/>
          <w:szCs w:val="21"/>
          <w:lang w:val="en-US" w:eastAsia="zh-CN"/>
        </w:rPr>
        <w:t>虚拟专用网产品、防病毒网关、统一威胁管理产品（UTM）、病毒防治产品、安全操作系统、安全网络存储、公钥基础设施、网络安全态势感知产品、信息系统安全管理平台、网络型流量控制产品、负载均衡产品、信息过滤产品、抗拒绝服务攻击产品、终端接入控制产品、USB移动存储介质管理系统、文件加密产品、数据泄露防护产品、数据销毁软件产品、安全配置检查产品、运维安全管理产品、日志分析产品、身份鉴别产品、终端安全监护产品、电子文档安全管理产品。</w:t>
      </w:r>
    </w:p>
    <w:p w14:paraId="40BADFC2">
      <w:pPr>
        <w:spacing w:before="120" w:line="320" w:lineRule="atLeast"/>
        <w:ind w:firstLine="420" w:firstLineChars="200"/>
        <w:rPr>
          <w:rFonts w:hint="eastAsia" w:ascii="宋体" w:hAnsi="宋体" w:eastAsia="宋体" w:cs="宋体"/>
        </w:rPr>
      </w:pPr>
      <w:r>
        <w:rPr>
          <w:rFonts w:hint="eastAsia" w:ascii="宋体" w:hAnsi="宋体" w:eastAsia="宋体" w:cs="宋体"/>
        </w:rPr>
        <w:t>6.3.3澄清、说明或补正</w:t>
      </w:r>
    </w:p>
    <w:p w14:paraId="7B2F4C3C">
      <w:pPr>
        <w:spacing w:before="120" w:line="320" w:lineRule="atLeast"/>
        <w:ind w:firstLine="420" w:firstLineChars="200"/>
        <w:rPr>
          <w:rFonts w:hint="eastAsia" w:ascii="宋体" w:hAnsi="宋体" w:eastAsia="宋体" w:cs="宋体"/>
        </w:rPr>
      </w:pPr>
      <w:r>
        <w:rPr>
          <w:rFonts w:hint="eastAsia" w:ascii="宋体" w:hAnsi="宋体" w:eastAsia="宋体" w:cs="宋体"/>
        </w:rPr>
        <w:t>（1）对响应文件中含义不明确、同类问题表述不一致或者有明显文字和计算错误的内容，磋商小组应在</w:t>
      </w:r>
      <w:r>
        <w:rPr>
          <w:rFonts w:hint="eastAsia" w:ascii="宋体" w:hAnsi="宋体" w:eastAsia="宋体" w:cs="宋体"/>
          <w:szCs w:val="21"/>
        </w:rPr>
        <w:t>广西政府采购云平台</w:t>
      </w:r>
      <w:r>
        <w:rPr>
          <w:rFonts w:hint="eastAsia" w:ascii="宋体" w:hAnsi="宋体" w:eastAsia="宋体" w:cs="宋体"/>
        </w:rPr>
        <w:t>发布电子澄清函，要求供应商在平台设置的时间内作出必要的澄清、说明或者补正。供应商在</w:t>
      </w:r>
      <w:r>
        <w:rPr>
          <w:rFonts w:hint="eastAsia" w:ascii="宋体" w:hAnsi="宋体" w:eastAsia="宋体" w:cs="宋体"/>
          <w:szCs w:val="21"/>
        </w:rPr>
        <w:t>广西政府采购云平台</w:t>
      </w:r>
      <w:r>
        <w:rPr>
          <w:rFonts w:hint="eastAsia" w:ascii="宋体" w:hAnsi="宋体" w:eastAsia="宋体" w:cs="宋体"/>
        </w:rPr>
        <w:t>接收到电子澄清函后根据澄清函内容直接在线编辑或上传PDF格式回函，电子澄清答复函使用CA证书加盖单位电子签章后提交至磋商小组。供应商的澄清、说明或者补正不得超出响应文件的范围或者改变响应文件的实质性内容。供应商未在规定时间内进行澄清、说明或者补正的，按无效响应处理。</w:t>
      </w:r>
    </w:p>
    <w:p w14:paraId="6C94D053">
      <w:pPr>
        <w:spacing w:before="120" w:line="320" w:lineRule="atLeast"/>
        <w:ind w:firstLine="420" w:firstLineChars="200"/>
        <w:rPr>
          <w:rFonts w:hint="eastAsia" w:ascii="宋体" w:hAnsi="宋体" w:eastAsia="宋体" w:cs="宋体"/>
        </w:rPr>
      </w:pPr>
      <w:r>
        <w:rPr>
          <w:rFonts w:hint="eastAsia" w:ascii="宋体" w:hAnsi="宋体" w:eastAsia="宋体" w:cs="宋体"/>
        </w:rPr>
        <w:t>（2）异常情况处理：如遇无法正常使用线上发送澄清函的情况，将以书面形式执行。磋商小组以书面形式要求供应商在规定时间内作出必要的澄清、说明或者补正。供应商的澄清、说明或者补正必须采用书面形式，并加盖公章或者由法定代表人或者其授权的代表签字。</w:t>
      </w:r>
    </w:p>
    <w:p w14:paraId="0C68A652">
      <w:pPr>
        <w:spacing w:before="120" w:line="320" w:lineRule="atLeast"/>
        <w:ind w:firstLine="420" w:firstLineChars="200"/>
        <w:rPr>
          <w:rFonts w:hint="eastAsia" w:ascii="宋体" w:hAnsi="宋体" w:eastAsia="宋体" w:cs="宋体"/>
        </w:rPr>
      </w:pPr>
      <w:r>
        <w:rPr>
          <w:rFonts w:hint="eastAsia" w:ascii="宋体" w:hAnsi="宋体" w:eastAsia="宋体" w:cs="宋体"/>
        </w:rPr>
        <w:t>6.3.4报价修正</w:t>
      </w:r>
    </w:p>
    <w:p w14:paraId="087107D1">
      <w:pPr>
        <w:spacing w:before="120" w:line="320" w:lineRule="atLeast"/>
        <w:ind w:firstLine="420" w:firstLineChars="200"/>
        <w:rPr>
          <w:rFonts w:hint="eastAsia" w:ascii="宋体" w:hAnsi="宋体" w:eastAsia="宋体" w:cs="宋体"/>
        </w:rPr>
      </w:pPr>
      <w:r>
        <w:rPr>
          <w:rFonts w:hint="eastAsia" w:ascii="宋体" w:hAnsi="宋体" w:eastAsia="宋体" w:cs="宋体"/>
        </w:rPr>
        <w:t>（1）报价出现前后不一致的，按照下列规定修正：</w:t>
      </w:r>
    </w:p>
    <w:p w14:paraId="4385C0FB">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①响应文件中开标一览表（报价表）内容与响应文件中相应内容不一致的，以开标一览表（报价表）为准；</w:t>
      </w:r>
    </w:p>
    <w:p w14:paraId="330A219C">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②大写金额和小写金额不一致的，以大写金额为准；</w:t>
      </w:r>
    </w:p>
    <w:p w14:paraId="73181934">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③单价金额小数点或者百分比有明显错位的，以开标一览表的总价为准，并修改单价；</w:t>
      </w:r>
    </w:p>
    <w:p w14:paraId="6B130EA9">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④总价金额与按单价汇总金额不一致的，以单价金额计算结果为准。</w:t>
      </w:r>
    </w:p>
    <w:p w14:paraId="5A6B6149">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同时出现两种以上不一致的，按照上述①-④顺序修正。修正后的报价按照上述“6.3.3澄清、说明或补正”的规定经供应商确认后产生约束力，供应商不确认的，其响应无效。</w:t>
      </w:r>
    </w:p>
    <w:p w14:paraId="5C4EFBC1">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（2）经供应商确认修正后的报价若超过采购预算金额或者最高限价，其响应文件作无效响应处理。</w:t>
      </w:r>
    </w:p>
    <w:p w14:paraId="05E5E782">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（3）经供应商确认修正后的报价作为签订合同的依据，并以此报价计算价格分。</w:t>
      </w:r>
    </w:p>
    <w:p w14:paraId="09D04494">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（4）如磋商过程中有多轮报价的，磋商小组在每一轮报价均应按上述规则修正报价。</w:t>
      </w:r>
    </w:p>
    <w:p w14:paraId="24AFF198">
      <w:pPr>
        <w:spacing w:before="120" w:line="320" w:lineRule="atLeast"/>
        <w:ind w:firstLine="420" w:firstLineChars="200"/>
        <w:rPr>
          <w:rFonts w:hint="eastAsia" w:ascii="宋体" w:hAnsi="宋体" w:eastAsia="宋体" w:cs="宋体"/>
          <w:szCs w:val="21"/>
          <w:lang w:val="en-US" w:eastAsia="zh-CN"/>
        </w:rPr>
      </w:pPr>
      <w:r>
        <w:rPr>
          <w:rFonts w:hint="eastAsia" w:ascii="宋体" w:hAnsi="宋体" w:eastAsia="宋体" w:cs="宋体"/>
          <w:szCs w:val="21"/>
          <w:lang w:val="en-US" w:eastAsia="zh-CN"/>
        </w:rPr>
        <w:t>6.3.5异常低价审查</w:t>
      </w:r>
    </w:p>
    <w:p w14:paraId="2F2BF9F6">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本项目</w:t>
      </w:r>
      <w:r>
        <w:rPr>
          <w:rFonts w:hint="eastAsia" w:ascii="宋体" w:hAnsi="宋体" w:eastAsia="宋体" w:cs="宋体"/>
          <w:szCs w:val="21"/>
          <w:lang w:val="en-US" w:eastAsia="zh-CN"/>
        </w:rPr>
        <w:t>异常低价审查情形见</w:t>
      </w:r>
      <w:r>
        <w:rPr>
          <w:rFonts w:hint="eastAsia" w:ascii="宋体" w:hAnsi="宋体" w:eastAsia="宋体" w:cs="宋体"/>
          <w:szCs w:val="21"/>
        </w:rPr>
        <w:t>“</w:t>
      </w:r>
      <w:r>
        <w:rPr>
          <w:rFonts w:hint="eastAsia" w:ascii="宋体" w:hAnsi="宋体" w:eastAsia="宋体" w:cs="宋体"/>
          <w:szCs w:val="21"/>
          <w:lang w:val="en-US" w:eastAsia="zh-CN"/>
        </w:rPr>
        <w:t>供应商</w:t>
      </w:r>
      <w:r>
        <w:rPr>
          <w:rFonts w:hint="eastAsia" w:ascii="宋体" w:hAnsi="宋体" w:eastAsia="宋体" w:cs="宋体"/>
          <w:szCs w:val="21"/>
          <w:lang w:eastAsia="zh-CN"/>
        </w:rPr>
        <w:t>须知</w:t>
      </w:r>
      <w:r>
        <w:rPr>
          <w:rFonts w:hint="eastAsia" w:ascii="宋体" w:hAnsi="宋体" w:eastAsia="宋体" w:cs="宋体"/>
          <w:szCs w:val="21"/>
        </w:rPr>
        <w:t>前附表”规定。</w:t>
      </w:r>
    </w:p>
    <w:p w14:paraId="668A1614">
      <w:pPr>
        <w:numPr>
          <w:ilvl w:val="0"/>
          <w:numId w:val="0"/>
        </w:numPr>
        <w:spacing w:before="120" w:line="320" w:lineRule="atLeast"/>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评审委员会启动异常低价</w:t>
      </w:r>
      <w:r>
        <w:rPr>
          <w:rFonts w:hint="eastAsia" w:ascii="宋体" w:hAnsi="宋体" w:eastAsia="宋体" w:cs="宋体"/>
          <w:szCs w:val="21"/>
          <w:highlight w:val="none"/>
          <w:lang w:val="en-US" w:eastAsia="zh-CN"/>
        </w:rPr>
        <w:t>响应</w:t>
      </w:r>
      <w:r>
        <w:rPr>
          <w:rFonts w:hint="eastAsia" w:ascii="宋体" w:hAnsi="宋体" w:eastAsia="宋体" w:cs="宋体"/>
          <w:color w:val="auto"/>
          <w:szCs w:val="21"/>
          <w:highlight w:val="none"/>
          <w:lang w:val="en-US" w:eastAsia="zh-CN"/>
        </w:rPr>
        <w:t>审查后，属于前述第1项至第4项情形的，应当要求相关供应商在评审现场合理的时间内对</w:t>
      </w:r>
      <w:r>
        <w:rPr>
          <w:rFonts w:hint="eastAsia" w:ascii="宋体" w:hAnsi="宋体" w:eastAsia="宋体" w:cs="宋体"/>
          <w:szCs w:val="21"/>
          <w:highlight w:val="none"/>
          <w:lang w:val="en-US" w:eastAsia="zh-CN"/>
        </w:rPr>
        <w:t>响应</w:t>
      </w:r>
      <w:r>
        <w:rPr>
          <w:rFonts w:hint="eastAsia" w:ascii="宋体" w:hAnsi="宋体" w:eastAsia="宋体" w:cs="宋体"/>
          <w:color w:val="auto"/>
          <w:szCs w:val="21"/>
          <w:highlight w:val="none"/>
          <w:lang w:val="en-US" w:eastAsia="zh-CN"/>
        </w:rPr>
        <w:t>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09A8CAC4">
      <w:pPr>
        <w:numPr>
          <w:ilvl w:val="0"/>
          <w:numId w:val="0"/>
        </w:numPr>
        <w:spacing w:before="120" w:line="320" w:lineRule="atLeast"/>
        <w:ind w:firstLine="420" w:firstLineChars="200"/>
        <w:rPr>
          <w:rFonts w:hint="eastAsia" w:ascii="宋体" w:hAnsi="宋体" w:eastAsia="宋体" w:cs="宋体"/>
          <w:strike/>
          <w:dstrike w:val="0"/>
          <w:color w:val="auto"/>
          <w:szCs w:val="21"/>
          <w:highlight w:val="none"/>
          <w:lang w:val="en-US" w:eastAsia="zh-CN"/>
        </w:rPr>
      </w:pPr>
      <w:r>
        <w:rPr>
          <w:rFonts w:hint="eastAsia" w:ascii="宋体" w:hAnsi="宋体" w:eastAsia="宋体" w:cs="宋体"/>
          <w:color w:val="auto"/>
          <w:szCs w:val="21"/>
          <w:highlight w:val="none"/>
          <w:lang w:val="en-US" w:eastAsia="zh-CN"/>
        </w:rPr>
        <w:t>评审委员会依据专业经验，参考同类项目中标（成交）价格、类似产品市场价格水平、行业人工费用标准、国家有关部门指导行业协会发布的行业平均成本等情况，对报价合理性进行判断。</w:t>
      </w:r>
      <w:r>
        <w:rPr>
          <w:rFonts w:hint="eastAsia" w:ascii="宋体" w:hAnsi="宋体" w:eastAsia="宋体" w:cs="宋体"/>
          <w:strike w:val="0"/>
          <w:dstrike w:val="0"/>
          <w:color w:val="auto"/>
          <w:szCs w:val="21"/>
          <w:highlight w:val="none"/>
          <w:lang w:val="en-US" w:eastAsia="zh-CN"/>
        </w:rPr>
        <w:t>投标（响应）供应商不能提供书面说明、证明材料，或者提供的书面说明、证明材料不能证明其报价合理性的，评审委员会应当将其作为无效投标（响应）处理。</w:t>
      </w:r>
    </w:p>
    <w:p w14:paraId="58DACBE1">
      <w:pPr>
        <w:numPr>
          <w:ilvl w:val="0"/>
          <w:numId w:val="0"/>
        </w:numPr>
        <w:spacing w:before="120" w:line="320" w:lineRule="atLeast"/>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01BC75DC">
      <w:pPr>
        <w:numPr>
          <w:ilvl w:val="0"/>
          <w:numId w:val="0"/>
        </w:numPr>
        <w:spacing w:before="120" w:line="320" w:lineRule="atLeast"/>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异常低价</w:t>
      </w:r>
      <w:r>
        <w:rPr>
          <w:rFonts w:hint="eastAsia" w:ascii="宋体" w:hAnsi="宋体" w:eastAsia="宋体" w:cs="宋体"/>
          <w:szCs w:val="21"/>
          <w:highlight w:val="none"/>
          <w:lang w:val="en-US" w:eastAsia="zh-CN"/>
        </w:rPr>
        <w:t>响应</w:t>
      </w:r>
      <w:r>
        <w:rPr>
          <w:rFonts w:hint="eastAsia" w:ascii="宋体" w:hAnsi="宋体" w:eastAsia="宋体" w:cs="宋体"/>
          <w:color w:val="auto"/>
          <w:szCs w:val="21"/>
          <w:highlight w:val="none"/>
          <w:lang w:val="en-US" w:eastAsia="zh-CN"/>
        </w:rPr>
        <w:t>审查的启动原因、审查意见和审查结果应当在评审报告中记录，并随供应商提供的相关书面说明及证明材料，以及评审委员会有关互联网浏览、查询历史一并归档。</w:t>
      </w:r>
    </w:p>
    <w:p w14:paraId="42DE2F45">
      <w:pPr>
        <w:numPr>
          <w:ilvl w:val="0"/>
          <w:numId w:val="0"/>
        </w:numPr>
        <w:spacing w:before="120" w:line="320" w:lineRule="atLeast"/>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书面证明应当按照上述“6.3.3澄清、说明或补正”的规定提交</w:t>
      </w:r>
      <w:r>
        <w:rPr>
          <w:rFonts w:hint="eastAsia" w:ascii="宋体" w:hAnsi="宋体" w:eastAsia="宋体" w:cs="宋体"/>
          <w:color w:val="auto"/>
          <w:szCs w:val="21"/>
          <w:highlight w:val="none"/>
          <w:lang w:val="en-US" w:eastAsia="zh-CN"/>
        </w:rPr>
        <w:t>。</w:t>
      </w:r>
    </w:p>
    <w:p w14:paraId="33D589E7">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6.3.</w:t>
      </w:r>
      <w:r>
        <w:rPr>
          <w:rFonts w:hint="eastAsia" w:ascii="宋体" w:hAnsi="宋体" w:eastAsia="宋体" w:cs="宋体"/>
          <w:szCs w:val="21"/>
          <w:lang w:val="en-US" w:eastAsia="zh-CN"/>
        </w:rPr>
        <w:t>6</w:t>
      </w:r>
      <w:r>
        <w:rPr>
          <w:rFonts w:hint="eastAsia" w:ascii="宋体" w:hAnsi="宋体" w:eastAsia="宋体" w:cs="宋体"/>
          <w:szCs w:val="21"/>
        </w:rPr>
        <w:t>相同品牌认定（仅适用于货物采购项目）</w:t>
      </w:r>
    </w:p>
    <w:p w14:paraId="3887F4E1">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（1）单一产品采购项目，</w:t>
      </w:r>
      <w:r>
        <w:rPr>
          <w:rFonts w:hint="eastAsia" w:ascii="宋体" w:hAnsi="宋体" w:eastAsia="宋体" w:cs="宋体"/>
        </w:rPr>
        <w:t>不同供应商提供的产品品牌相同时，按以下规定确定</w:t>
      </w:r>
      <w:r>
        <w:rPr>
          <w:rFonts w:hint="eastAsia" w:ascii="宋体" w:hAnsi="宋体" w:eastAsia="宋体" w:cs="宋体"/>
          <w:bCs/>
          <w:kern w:val="0"/>
          <w:szCs w:val="21"/>
        </w:rPr>
        <w:t>相同品牌的响应有效性</w:t>
      </w:r>
      <w:r>
        <w:rPr>
          <w:rFonts w:hint="eastAsia" w:ascii="宋体" w:hAnsi="宋体" w:eastAsia="宋体" w:cs="宋体"/>
        </w:rPr>
        <w:t>。</w:t>
      </w:r>
    </w:p>
    <w:bookmarkEnd w:id="65"/>
    <w:p w14:paraId="7EB6AA61">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提供相同品牌产品且通过资格审查、符合性审查的不同供应商参加同一合同项下响应的，按一家供应商计算，评审后得分最高的同品牌供应商获得中标人推荐资格；评审得分相同的，由采购人或者采购人委托磋商小组按照采购文件规定的方式确定一个供应商获得成交供应商推荐资格，采购文件未规定的采取随机抽取方式确定，其他同品牌供应商不作为成交候选人。</w:t>
      </w:r>
    </w:p>
    <w:p w14:paraId="2F041636">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（2）非单一产品采购项目，采购人应当确定核心产品，并在采购文件中载明。不同供应商提供的核心产品品牌相同的，按上述规定处理。核心产品在第二章采购需求规定。</w:t>
      </w:r>
    </w:p>
    <w:bookmarkEnd w:id="60"/>
    <w:bookmarkEnd w:id="61"/>
    <w:p w14:paraId="7215D3F4">
      <w:pPr>
        <w:spacing w:before="120" w:line="320" w:lineRule="atLeast"/>
        <w:ind w:firstLine="420" w:firstLineChars="200"/>
        <w:rPr>
          <w:rFonts w:hint="eastAsia" w:ascii="宋体" w:hAnsi="宋体" w:eastAsia="宋体" w:cs="宋体"/>
        </w:rPr>
      </w:pPr>
      <w:r>
        <w:rPr>
          <w:rFonts w:hint="eastAsia" w:ascii="宋体" w:hAnsi="宋体" w:eastAsia="宋体" w:cs="宋体"/>
        </w:rPr>
        <w:t>6.3.</w:t>
      </w:r>
      <w:r>
        <w:rPr>
          <w:rFonts w:hint="eastAsia" w:ascii="宋体" w:hAnsi="宋体" w:eastAsia="宋体" w:cs="宋体"/>
          <w:lang w:val="en-US" w:eastAsia="zh-CN"/>
        </w:rPr>
        <w:t>7</w:t>
      </w:r>
      <w:r>
        <w:rPr>
          <w:rFonts w:hint="eastAsia" w:ascii="宋体" w:hAnsi="宋体" w:eastAsia="宋体" w:cs="宋体"/>
        </w:rPr>
        <w:t>磋商</w:t>
      </w:r>
    </w:p>
    <w:p w14:paraId="24EEA1C4">
      <w:pPr>
        <w:spacing w:before="120" w:line="320" w:lineRule="atLeast"/>
        <w:ind w:firstLine="420" w:firstLineChars="200"/>
        <w:rPr>
          <w:rFonts w:hint="eastAsia" w:ascii="宋体" w:hAnsi="宋体" w:eastAsia="宋体" w:cs="宋体"/>
        </w:rPr>
      </w:pPr>
      <w:r>
        <w:rPr>
          <w:rFonts w:hint="eastAsia" w:ascii="宋体" w:hAnsi="宋体" w:eastAsia="宋体" w:cs="宋体"/>
        </w:rPr>
        <w:t>（1）磋商小组按照“供应商须知前附表” 确定的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78F25438">
      <w:pPr>
        <w:spacing w:before="120" w:line="320" w:lineRule="atLeast"/>
        <w:ind w:firstLine="420" w:firstLineChars="200"/>
        <w:rPr>
          <w:rFonts w:hint="eastAsia" w:ascii="宋体" w:hAnsi="宋体" w:eastAsia="宋体" w:cs="宋体"/>
        </w:rPr>
      </w:pPr>
      <w:r>
        <w:rPr>
          <w:rFonts w:hint="eastAsia" w:ascii="宋体" w:hAnsi="宋体" w:eastAsia="宋体" w:cs="宋体"/>
        </w:rPr>
        <w:t>（2）在磋商过程中，磋商小组可以根据采购文件和磋商情况实质性变动采购需求中的技术、服务要求以及合同草案条款，但不得变动采购文件中的其他内容。实质性变动的内容，须经采购人代表确认。</w:t>
      </w:r>
    </w:p>
    <w:p w14:paraId="60F517CB">
      <w:pPr>
        <w:spacing w:before="120" w:line="320" w:lineRule="atLeast"/>
        <w:ind w:firstLine="420" w:firstLineChars="200"/>
        <w:rPr>
          <w:rFonts w:hint="eastAsia" w:ascii="宋体" w:hAnsi="宋体" w:eastAsia="宋体" w:cs="宋体"/>
        </w:rPr>
      </w:pPr>
      <w:r>
        <w:rPr>
          <w:rFonts w:hint="eastAsia" w:ascii="宋体" w:hAnsi="宋体" w:eastAsia="宋体" w:cs="宋体"/>
        </w:rPr>
        <w:t>对采购文件作出的实质性变动是采购文件的有效组成部分，由磋商小组通过</w:t>
      </w:r>
      <w:r>
        <w:rPr>
          <w:rFonts w:hint="eastAsia" w:ascii="宋体" w:hAnsi="宋体" w:eastAsia="宋体" w:cs="宋体"/>
          <w:szCs w:val="21"/>
        </w:rPr>
        <w:t>广西政府采购云平台</w:t>
      </w:r>
      <w:r>
        <w:rPr>
          <w:rFonts w:hint="eastAsia" w:ascii="宋体" w:hAnsi="宋体" w:eastAsia="宋体" w:cs="宋体"/>
        </w:rPr>
        <w:t>以书面形式同时通知所有参加磋商的供应商。</w:t>
      </w:r>
    </w:p>
    <w:p w14:paraId="77E658C9">
      <w:pPr>
        <w:spacing w:before="120" w:line="320" w:lineRule="atLeast"/>
        <w:ind w:firstLine="420" w:firstLineChars="200"/>
        <w:rPr>
          <w:rFonts w:hint="eastAsia" w:ascii="宋体" w:hAnsi="宋体" w:eastAsia="宋体" w:cs="宋体"/>
        </w:rPr>
      </w:pPr>
      <w:r>
        <w:rPr>
          <w:rFonts w:hint="eastAsia" w:ascii="宋体" w:hAnsi="宋体" w:eastAsia="宋体" w:cs="宋体"/>
        </w:rPr>
        <w:t>（3）供应商必须按照采购文件的变动情况和磋商小组的要求重新提交响应文件，并在</w:t>
      </w:r>
      <w:r>
        <w:rPr>
          <w:rFonts w:hint="eastAsia" w:ascii="宋体" w:hAnsi="宋体" w:eastAsia="宋体" w:cs="宋体"/>
          <w:szCs w:val="21"/>
        </w:rPr>
        <w:t>广西政府采购云平台</w:t>
      </w:r>
      <w:r>
        <w:rPr>
          <w:rFonts w:hint="eastAsia" w:ascii="宋体" w:hAnsi="宋体" w:eastAsia="宋体" w:cs="宋体"/>
        </w:rPr>
        <w:t>在线编辑或上传PDF格式，使用电子签章后提交至磋商小组。参加磋商的供应商未在规定时间内重新提交响应文件的，视同退出磋商。</w:t>
      </w:r>
    </w:p>
    <w:p w14:paraId="18599AD9">
      <w:pPr>
        <w:spacing w:before="120" w:line="320" w:lineRule="atLeast"/>
        <w:ind w:firstLine="420" w:firstLineChars="200"/>
        <w:rPr>
          <w:rFonts w:hint="eastAsia" w:ascii="宋体" w:hAnsi="宋体" w:eastAsia="宋体" w:cs="宋体"/>
        </w:rPr>
      </w:pPr>
      <w:r>
        <w:rPr>
          <w:rFonts w:hint="eastAsia" w:ascii="宋体" w:hAnsi="宋体" w:eastAsia="宋体" w:cs="宋体"/>
        </w:rPr>
        <w:t>（4）供应商的法定代表人或其授权代表无须到现场参加磋商，提问及回答/响应均通过</w:t>
      </w:r>
      <w:r>
        <w:rPr>
          <w:rFonts w:hint="eastAsia" w:ascii="宋体" w:hAnsi="宋体" w:eastAsia="宋体" w:cs="宋体"/>
          <w:szCs w:val="21"/>
        </w:rPr>
        <w:t>广西政府采购云平台</w:t>
      </w:r>
      <w:r>
        <w:rPr>
          <w:rFonts w:hint="eastAsia" w:ascii="宋体" w:hAnsi="宋体" w:eastAsia="宋体" w:cs="宋体"/>
        </w:rPr>
        <w:t>进行。磋商过程中使用的电子签章应为供应商上传响应文件的同一签章。</w:t>
      </w:r>
    </w:p>
    <w:p w14:paraId="70CB3826">
      <w:pPr>
        <w:spacing w:before="120" w:line="320" w:lineRule="atLeast"/>
        <w:ind w:firstLine="420" w:firstLineChars="200"/>
        <w:rPr>
          <w:rFonts w:hint="eastAsia" w:ascii="宋体" w:hAnsi="宋体" w:eastAsia="宋体" w:cs="宋体"/>
        </w:rPr>
      </w:pPr>
      <w:r>
        <w:rPr>
          <w:rFonts w:hint="eastAsia" w:ascii="宋体" w:hAnsi="宋体" w:eastAsia="宋体" w:cs="宋体"/>
        </w:rPr>
        <w:t>6.3.</w:t>
      </w:r>
      <w:r>
        <w:rPr>
          <w:rFonts w:hint="eastAsia" w:ascii="宋体" w:hAnsi="宋体" w:eastAsia="宋体" w:cs="宋体"/>
          <w:lang w:val="en-US" w:eastAsia="zh-CN"/>
        </w:rPr>
        <w:t>8</w:t>
      </w:r>
      <w:r>
        <w:rPr>
          <w:rFonts w:hint="eastAsia" w:ascii="宋体" w:hAnsi="宋体" w:eastAsia="宋体" w:cs="宋体"/>
        </w:rPr>
        <w:t>最后报价</w:t>
      </w:r>
    </w:p>
    <w:p w14:paraId="4F7F50F0">
      <w:pPr>
        <w:spacing w:before="120" w:line="320" w:lineRule="atLeast"/>
        <w:ind w:firstLine="420" w:firstLineChars="200"/>
        <w:rPr>
          <w:rFonts w:hint="eastAsia" w:ascii="宋体" w:hAnsi="宋体" w:eastAsia="宋体" w:cs="宋体"/>
        </w:rPr>
      </w:pPr>
      <w:r>
        <w:rPr>
          <w:rFonts w:hint="eastAsia" w:ascii="宋体" w:hAnsi="宋体" w:eastAsia="宋体" w:cs="宋体"/>
        </w:rPr>
        <w:t xml:space="preserve">（1）采购文件能够详细列明采购标的的技术、服务要求的，磋商结束后，磋商小组应当要求所有实质性响应的供应商在规定时间内提交最后报价，提交最后报价的供应商不得少于3家。 </w:t>
      </w:r>
    </w:p>
    <w:p w14:paraId="0FED8FFE">
      <w:pPr>
        <w:spacing w:before="120" w:line="320" w:lineRule="atLeast"/>
        <w:ind w:firstLine="420" w:firstLineChars="200"/>
        <w:rPr>
          <w:rFonts w:hint="eastAsia" w:ascii="宋体" w:hAnsi="宋体" w:eastAsia="宋体" w:cs="宋体"/>
        </w:rPr>
      </w:pPr>
      <w:r>
        <w:rPr>
          <w:rFonts w:hint="eastAsia" w:ascii="宋体" w:hAnsi="宋体" w:eastAsia="宋体" w:cs="宋体"/>
        </w:rPr>
        <w:t>采购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4980A688">
      <w:pPr>
        <w:spacing w:before="120" w:line="320" w:lineRule="atLeast"/>
        <w:ind w:firstLine="420" w:firstLineChars="200"/>
        <w:rPr>
          <w:rFonts w:hint="eastAsia" w:ascii="宋体" w:hAnsi="宋体" w:eastAsia="宋体" w:cs="宋体"/>
        </w:rPr>
      </w:pPr>
      <w:r>
        <w:rPr>
          <w:rFonts w:hint="eastAsia" w:ascii="宋体" w:hAnsi="宋体" w:eastAsia="宋体" w:cs="宋体"/>
        </w:rPr>
        <w:t>最后报价是供应商响应文件的有效组成部分。</w:t>
      </w:r>
    </w:p>
    <w:p w14:paraId="5A37833B">
      <w:pPr>
        <w:spacing w:before="120" w:line="320" w:lineRule="atLeast"/>
        <w:ind w:firstLine="420" w:firstLineChars="200"/>
        <w:rPr>
          <w:rFonts w:hint="eastAsia" w:ascii="宋体" w:hAnsi="宋体" w:eastAsia="宋体" w:cs="宋体"/>
        </w:rPr>
      </w:pPr>
      <w:r>
        <w:rPr>
          <w:rFonts w:hint="eastAsia" w:ascii="宋体" w:hAnsi="宋体" w:eastAsia="宋体" w:cs="宋体"/>
        </w:rPr>
        <w:t>（2）如符合“市场竞争不充分的科研项目、需要扶持的科技成果转化项目、政府购买服务项目（含政府和社会资本合作项目）的，提交最后报价的供应商可以为2家。</w:t>
      </w:r>
    </w:p>
    <w:p w14:paraId="1D57A7F4">
      <w:pPr>
        <w:spacing w:before="120" w:line="320" w:lineRule="atLeast"/>
        <w:ind w:firstLine="420" w:firstLineChars="200"/>
        <w:rPr>
          <w:rFonts w:hint="eastAsia" w:ascii="宋体" w:hAnsi="宋体" w:eastAsia="宋体" w:cs="宋体"/>
        </w:rPr>
      </w:pPr>
      <w:r>
        <w:rPr>
          <w:rFonts w:hint="eastAsia" w:ascii="宋体" w:hAnsi="宋体" w:eastAsia="宋体" w:cs="宋体"/>
        </w:rPr>
        <w:t>（</w:t>
      </w:r>
      <w:r>
        <w:rPr>
          <w:rFonts w:hint="eastAsia" w:ascii="宋体" w:hAnsi="宋体" w:eastAsia="宋体" w:cs="宋体"/>
          <w:lang w:val="en-US" w:eastAsia="zh-CN"/>
        </w:rPr>
        <w:t>3</w:t>
      </w:r>
      <w:r>
        <w:rPr>
          <w:rFonts w:hint="eastAsia" w:ascii="宋体" w:hAnsi="宋体" w:eastAsia="宋体" w:cs="宋体"/>
        </w:rPr>
        <w:t>）最后报价要求通过</w:t>
      </w:r>
      <w:r>
        <w:rPr>
          <w:rFonts w:hint="eastAsia" w:ascii="宋体" w:hAnsi="宋体" w:eastAsia="宋体" w:cs="宋体"/>
          <w:szCs w:val="21"/>
        </w:rPr>
        <w:t>广西政府采购云平台</w:t>
      </w:r>
      <w:r>
        <w:rPr>
          <w:rFonts w:hint="eastAsia" w:ascii="宋体" w:hAnsi="宋体" w:eastAsia="宋体" w:cs="宋体"/>
        </w:rPr>
        <w:t>发出，供应商需在</w:t>
      </w:r>
      <w:r>
        <w:rPr>
          <w:rFonts w:hint="eastAsia" w:ascii="宋体" w:hAnsi="宋体" w:eastAsia="宋体" w:cs="宋体"/>
          <w:szCs w:val="21"/>
        </w:rPr>
        <w:t>广西政府采购云平台</w:t>
      </w:r>
      <w:r>
        <w:rPr>
          <w:rFonts w:hint="eastAsia" w:ascii="宋体" w:hAnsi="宋体" w:eastAsia="宋体" w:cs="宋体"/>
        </w:rPr>
        <w:t>设置的时间内报价，最后报价不得超过采购预算金额且具有唯一性，否则否决其响应。</w:t>
      </w:r>
    </w:p>
    <w:p w14:paraId="52D7CCC0">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最后报价与首次报价相比有调整的：供应商提交的最后报价必须包含已标价的工程量清单，即最后报价是工程量清单全部工作内容的价格体现，具体包括供应商部分（分部分项工程量清单费用、措施项目清单费用、规费、税金、其它项目）和采购人部分（暂列金、材料购置费）（如有）等完成本工程并经验收合格至达到质量保修期限所需的费用、合理利润及风险。如采购文件或磋商过程中明确供应商应提供技术服务及其它服务的（如检测费、验收发生的费用），相应费用也应包括在最后报价中。最后报价不允许采用汇总后优惠、打折的形式，否则其报价无效并作无效响应处理。</w:t>
      </w:r>
    </w:p>
    <w:p w14:paraId="71D45C8F">
      <w:pPr>
        <w:spacing w:before="120" w:line="320" w:lineRule="atLeast"/>
        <w:ind w:firstLine="420" w:firstLineChars="200"/>
        <w:rPr>
          <w:rFonts w:hint="eastAsia" w:ascii="宋体" w:hAnsi="宋体" w:eastAsia="宋体" w:cs="宋体"/>
        </w:rPr>
      </w:pPr>
      <w:r>
        <w:rPr>
          <w:rFonts w:hint="eastAsia" w:ascii="宋体" w:hAnsi="宋体" w:eastAsia="宋体" w:cs="宋体"/>
        </w:rPr>
        <w:t>（</w:t>
      </w:r>
      <w:r>
        <w:rPr>
          <w:rFonts w:hint="eastAsia" w:ascii="宋体" w:hAnsi="宋体" w:eastAsia="宋体" w:cs="宋体"/>
          <w:lang w:val="en-US" w:eastAsia="zh-CN"/>
        </w:rPr>
        <w:t>4</w:t>
      </w:r>
      <w:r>
        <w:rPr>
          <w:rFonts w:hint="eastAsia" w:ascii="宋体" w:hAnsi="宋体" w:eastAsia="宋体" w:cs="宋体"/>
        </w:rPr>
        <w:t>）已提交响应文件的供应商，在提交最后报价之前，可以根据磋商情况退出磋商</w:t>
      </w:r>
      <w:r>
        <w:rPr>
          <w:rFonts w:hint="eastAsia" w:ascii="宋体" w:hAnsi="宋体" w:eastAsia="宋体" w:cs="宋体"/>
          <w:lang w:eastAsia="zh-CN"/>
        </w:rPr>
        <w:t>，</w:t>
      </w:r>
      <w:r>
        <w:rPr>
          <w:rFonts w:hint="eastAsia" w:ascii="宋体" w:hAnsi="宋体" w:eastAsia="宋体" w:cs="宋体"/>
          <w:color w:val="auto"/>
        </w:rPr>
        <w:t>退出磋商的供应商的响应文件无效。退出磋商的说明须经签字扫描后以电子邮件方式发送至采购代理机构，</w:t>
      </w:r>
      <w:r>
        <w:rPr>
          <w:rFonts w:hint="eastAsia" w:ascii="宋体" w:hAnsi="宋体" w:eastAsia="宋体" w:cs="宋体"/>
        </w:rPr>
        <w:t>并及时通知项目负责人。磋商小组在评审报告中注明退出磋商的供应商名单。采购人、采购代理机构应当退还退出磋商的供应商的磋商保证金。</w:t>
      </w:r>
    </w:p>
    <w:p w14:paraId="433FF84E">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w:t>
      </w:r>
      <w:r>
        <w:rPr>
          <w:rFonts w:hint="eastAsia" w:ascii="宋体" w:hAnsi="宋体" w:eastAsia="宋体" w:cs="宋体"/>
          <w:szCs w:val="21"/>
          <w:lang w:val="en-US" w:eastAsia="zh-CN"/>
        </w:rPr>
        <w:t>5</w:t>
      </w:r>
      <w:r>
        <w:rPr>
          <w:rFonts w:hint="eastAsia" w:ascii="宋体" w:hAnsi="宋体" w:eastAsia="宋体" w:cs="宋体"/>
          <w:szCs w:val="21"/>
        </w:rPr>
        <w:t>）供应商未在规定时间内提交最后报价的，视同退出磋商。</w:t>
      </w:r>
    </w:p>
    <w:p w14:paraId="442F8E4E">
      <w:pPr>
        <w:spacing w:before="120" w:line="320" w:lineRule="atLeast"/>
        <w:ind w:firstLine="420" w:firstLineChars="200"/>
        <w:rPr>
          <w:rFonts w:hint="eastAsia" w:ascii="宋体" w:hAnsi="宋体" w:eastAsia="宋体" w:cs="宋体"/>
        </w:rPr>
      </w:pPr>
      <w:r>
        <w:rPr>
          <w:rFonts w:hint="eastAsia" w:ascii="宋体" w:hAnsi="宋体" w:eastAsia="宋体" w:cs="宋体"/>
          <w:szCs w:val="21"/>
        </w:rPr>
        <w:t>（</w:t>
      </w:r>
      <w:r>
        <w:rPr>
          <w:rFonts w:hint="eastAsia" w:ascii="宋体" w:hAnsi="宋体" w:eastAsia="宋体" w:cs="宋体"/>
          <w:szCs w:val="21"/>
          <w:lang w:val="en-US" w:eastAsia="zh-CN"/>
        </w:rPr>
        <w:t>6</w:t>
      </w:r>
      <w:r>
        <w:rPr>
          <w:rFonts w:hint="eastAsia" w:ascii="宋体" w:hAnsi="宋体" w:eastAsia="宋体" w:cs="宋体"/>
          <w:szCs w:val="21"/>
        </w:rPr>
        <w:t>）最后报价结束后，磋商小组不得再与供应商进行任何形式的商谈。</w:t>
      </w:r>
    </w:p>
    <w:p w14:paraId="01F9CBA9">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6.3.</w:t>
      </w:r>
      <w:r>
        <w:rPr>
          <w:rFonts w:hint="eastAsia" w:ascii="宋体" w:hAnsi="宋体" w:eastAsia="宋体" w:cs="宋体"/>
          <w:szCs w:val="21"/>
          <w:lang w:val="en-US" w:eastAsia="zh-CN"/>
        </w:rPr>
        <w:t>9</w:t>
      </w:r>
      <w:r>
        <w:rPr>
          <w:rFonts w:hint="eastAsia" w:ascii="宋体" w:hAnsi="宋体" w:eastAsia="宋体" w:cs="宋体"/>
          <w:szCs w:val="21"/>
        </w:rPr>
        <w:t>串通投标认定</w:t>
      </w:r>
    </w:p>
    <w:p w14:paraId="7B12632E">
      <w:pPr>
        <w:spacing w:before="120" w:line="320" w:lineRule="atLeast"/>
        <w:ind w:firstLine="420" w:firstLineChars="200"/>
        <w:rPr>
          <w:rFonts w:hint="eastAsia" w:ascii="宋体" w:hAnsi="宋体" w:eastAsia="宋体" w:cs="宋体"/>
        </w:rPr>
      </w:pPr>
      <w:r>
        <w:rPr>
          <w:rFonts w:hint="eastAsia" w:ascii="宋体" w:hAnsi="宋体" w:eastAsia="宋体" w:cs="宋体"/>
          <w:szCs w:val="21"/>
        </w:rPr>
        <w:t>磋商小组须根据以下规定认定供应商是否有</w:t>
      </w:r>
      <w:r>
        <w:rPr>
          <w:rFonts w:hint="eastAsia" w:ascii="宋体" w:hAnsi="宋体" w:eastAsia="宋体" w:cs="宋体"/>
          <w:bCs/>
          <w:kern w:val="0"/>
          <w:szCs w:val="21"/>
        </w:rPr>
        <w:t>串通投标的行为</w:t>
      </w:r>
      <w:r>
        <w:rPr>
          <w:rFonts w:hint="eastAsia" w:ascii="宋体" w:hAnsi="宋体" w:eastAsia="宋体" w:cs="宋体"/>
        </w:rPr>
        <w:t>。</w:t>
      </w:r>
    </w:p>
    <w:p w14:paraId="01587786">
      <w:pPr>
        <w:spacing w:before="120" w:line="320" w:lineRule="atLeast"/>
        <w:ind w:firstLine="420" w:firstLineChars="200"/>
        <w:rPr>
          <w:rFonts w:hint="eastAsia" w:ascii="宋体" w:hAnsi="宋体" w:eastAsia="宋体" w:cs="宋体"/>
          <w:szCs w:val="21"/>
        </w:rPr>
      </w:pPr>
      <w:bookmarkStart w:id="66" w:name="_Hlk19122026"/>
      <w:r>
        <w:rPr>
          <w:rFonts w:hint="eastAsia" w:ascii="宋体" w:hAnsi="宋体" w:eastAsia="宋体" w:cs="宋体"/>
          <w:szCs w:val="21"/>
        </w:rPr>
        <w:t>（1）</w:t>
      </w:r>
      <w:bookmarkEnd w:id="66"/>
      <w:r>
        <w:rPr>
          <w:rFonts w:hint="eastAsia" w:ascii="宋体" w:hAnsi="宋体" w:eastAsia="宋体" w:cs="宋体"/>
          <w:szCs w:val="21"/>
        </w:rPr>
        <w:t>根据《关于防治政府采购招标中串通投标行为的通知》（桂财采</w:t>
      </w:r>
      <w:r>
        <w:rPr>
          <w:rFonts w:hint="eastAsia" w:ascii="宋体" w:hAnsi="宋体" w:eastAsia="宋体" w:cs="宋体"/>
          <w:szCs w:val="21"/>
          <w:lang w:eastAsia="zh-CN"/>
        </w:rPr>
        <w:t>〔2016〕</w:t>
      </w:r>
      <w:r>
        <w:rPr>
          <w:rFonts w:hint="eastAsia" w:ascii="宋体" w:hAnsi="宋体" w:eastAsia="宋体" w:cs="宋体"/>
          <w:szCs w:val="21"/>
        </w:rPr>
        <w:t>42号）规定，出现下述情况的，相关供应商的投标作无效投标处理。</w:t>
      </w:r>
    </w:p>
    <w:p w14:paraId="597830D2">
      <w:pPr>
        <w:spacing w:before="120" w:line="320" w:lineRule="atLeast"/>
        <w:ind w:firstLine="420" w:firstLineChars="200"/>
        <w:rPr>
          <w:rFonts w:hint="eastAsia" w:ascii="宋体" w:hAnsi="宋体" w:eastAsia="宋体" w:cs="宋体"/>
          <w:szCs w:val="21"/>
        </w:rPr>
      </w:pPr>
      <w:bookmarkStart w:id="67" w:name="_Hlk19122039"/>
      <w:r>
        <w:rPr>
          <w:rFonts w:hint="eastAsia" w:ascii="宋体" w:hAnsi="宋体" w:eastAsia="宋体" w:cs="宋体"/>
          <w:szCs w:val="21"/>
        </w:rPr>
        <w:t>①单位负责人为同一人或者存在直接控股、管理关系，参加同一合同项下政府采购活动的不同供应商。</w:t>
      </w:r>
    </w:p>
    <w:p w14:paraId="4C62F034">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②授权给供应商后参加同一合同项（分标、分包）投标的生产厂商。</w:t>
      </w:r>
    </w:p>
    <w:p w14:paraId="61BAAA73">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③视为或被认定为串通投标的相关供应商。</w:t>
      </w:r>
    </w:p>
    <w:bookmarkEnd w:id="67"/>
    <w:p w14:paraId="7E1828F5">
      <w:pPr>
        <w:spacing w:before="120" w:line="320" w:lineRule="atLeast"/>
        <w:ind w:firstLine="420" w:firstLineChars="200"/>
        <w:rPr>
          <w:rFonts w:hint="eastAsia" w:ascii="宋体" w:hAnsi="宋体" w:eastAsia="宋体" w:cs="宋体"/>
          <w:szCs w:val="21"/>
        </w:rPr>
      </w:pPr>
      <w:bookmarkStart w:id="68" w:name="_Hlk19122058"/>
      <w:r>
        <w:rPr>
          <w:rFonts w:hint="eastAsia" w:ascii="宋体" w:hAnsi="宋体" w:eastAsia="宋体" w:cs="宋体"/>
          <w:szCs w:val="21"/>
        </w:rPr>
        <w:t>（2）</w:t>
      </w:r>
      <w:bookmarkEnd w:id="68"/>
      <w:r>
        <w:rPr>
          <w:rFonts w:hint="eastAsia" w:ascii="宋体" w:hAnsi="宋体" w:eastAsia="宋体" w:cs="宋体"/>
          <w:szCs w:val="21"/>
        </w:rPr>
        <w:t>根据《关于防治政府采购招标中串通投标行为的通知》（桂财采</w:t>
      </w:r>
      <w:r>
        <w:rPr>
          <w:rFonts w:hint="eastAsia" w:ascii="宋体" w:hAnsi="宋体" w:eastAsia="宋体" w:cs="宋体"/>
          <w:szCs w:val="21"/>
          <w:lang w:eastAsia="zh-CN"/>
        </w:rPr>
        <w:t>〔2016〕</w:t>
      </w:r>
      <w:r>
        <w:rPr>
          <w:rFonts w:hint="eastAsia" w:ascii="宋体" w:hAnsi="宋体" w:eastAsia="宋体" w:cs="宋体"/>
          <w:szCs w:val="21"/>
        </w:rPr>
        <w:t>42号）规定，有下列情形之一的视为供应商相互串通投标，响应文件将被视为无效。</w:t>
      </w:r>
    </w:p>
    <w:p w14:paraId="6F1CC1B5">
      <w:pPr>
        <w:spacing w:before="120" w:line="320" w:lineRule="atLeast"/>
        <w:ind w:firstLine="420" w:firstLineChars="200"/>
        <w:rPr>
          <w:rFonts w:hint="eastAsia" w:ascii="宋体" w:hAnsi="宋体" w:eastAsia="宋体" w:cs="宋体"/>
          <w:szCs w:val="21"/>
        </w:rPr>
      </w:pPr>
      <w:bookmarkStart w:id="69" w:name="_Hlk19122048"/>
      <w:r>
        <w:rPr>
          <w:rFonts w:hint="eastAsia" w:ascii="宋体" w:hAnsi="宋体" w:eastAsia="宋体" w:cs="宋体"/>
          <w:szCs w:val="21"/>
        </w:rPr>
        <w:t>①不同供应商的响应文件由同一单位或者个人编制；或不同供应商报名的IP地址一致的；</w:t>
      </w:r>
    </w:p>
    <w:p w14:paraId="5EBE5034">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②不同供应商委托同一单位或者个人办理投标事宜；</w:t>
      </w:r>
    </w:p>
    <w:p w14:paraId="2B3C055B">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③不同的供应商的响应文件载明的项目管理员为同一个人；</w:t>
      </w:r>
    </w:p>
    <w:p w14:paraId="5D6712D6">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④不同供应商的响应文件异常一致或投标报价呈规律性差异；</w:t>
      </w:r>
    </w:p>
    <w:p w14:paraId="63143302">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⑤不同供应商的响应文件相互混装；</w:t>
      </w:r>
    </w:p>
    <w:p w14:paraId="6253ACDE">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⑥不同供应商的保证金从同一单位或者个人账户转出。</w:t>
      </w:r>
    </w:p>
    <w:bookmarkEnd w:id="69"/>
    <w:p w14:paraId="35FD69A9">
      <w:pPr>
        <w:spacing w:before="120" w:line="320" w:lineRule="atLeast"/>
        <w:ind w:firstLine="420" w:firstLineChars="200"/>
        <w:rPr>
          <w:rFonts w:hint="eastAsia" w:ascii="宋体" w:hAnsi="宋体" w:eastAsia="宋体" w:cs="宋体"/>
          <w:szCs w:val="21"/>
        </w:rPr>
      </w:pPr>
      <w:bookmarkStart w:id="70" w:name="_Hlk19122102"/>
      <w:r>
        <w:rPr>
          <w:rFonts w:hint="eastAsia" w:ascii="宋体" w:hAnsi="宋体" w:eastAsia="宋体" w:cs="宋体"/>
          <w:szCs w:val="21"/>
        </w:rPr>
        <w:t>（3）</w:t>
      </w:r>
      <w:bookmarkEnd w:id="70"/>
      <w:r>
        <w:rPr>
          <w:rFonts w:hint="eastAsia" w:ascii="宋体" w:hAnsi="宋体" w:eastAsia="宋体" w:cs="宋体"/>
          <w:szCs w:val="21"/>
        </w:rPr>
        <w:t>根据《关于防治政府采购招标中串通投标行为的通知》（桂财采[2016]42号）规定，供应商有下列情形之一的，属于恶意串通行为，响应文件将被视为无效。</w:t>
      </w:r>
    </w:p>
    <w:p w14:paraId="3D5BB401">
      <w:pPr>
        <w:spacing w:before="120" w:line="320" w:lineRule="atLeast"/>
        <w:ind w:firstLine="420" w:firstLineChars="200"/>
        <w:rPr>
          <w:rFonts w:hint="eastAsia" w:ascii="宋体" w:hAnsi="宋体" w:eastAsia="宋体" w:cs="宋体"/>
          <w:szCs w:val="21"/>
        </w:rPr>
      </w:pPr>
      <w:bookmarkStart w:id="71" w:name="_Hlk19122095"/>
      <w:r>
        <w:rPr>
          <w:rFonts w:hint="eastAsia" w:ascii="宋体" w:hAnsi="宋体" w:eastAsia="宋体" w:cs="宋体"/>
          <w:szCs w:val="21"/>
        </w:rPr>
        <w:t>①供应商直接或者间接从采购人或者采购代理机构处获得其他供应商的相关信息并修改其响应文件或者响应文件；</w:t>
      </w:r>
    </w:p>
    <w:p w14:paraId="4CFF5089">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②供应商按照采购人或者采购代理机构的授意撤换、修改响应文件或者响应文件;；</w:t>
      </w:r>
    </w:p>
    <w:p w14:paraId="0A3781E9">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③供应商之间协商报价、技术方案等响应文件或者响应文件的实质性内容；</w:t>
      </w:r>
    </w:p>
    <w:p w14:paraId="566BB65C">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④属于同一集团、协会、商会等组织成员的供应商按照该组织要求协同参加政府采购活动；</w:t>
      </w:r>
    </w:p>
    <w:p w14:paraId="3C416D19">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⑤供应商之间事先约定一致抬高或者压低投标报价，或者在招标项目中事先约定轮流以高价位或者低价位中标，或者事先约定由某一特定供应商中标，然后再参加投标；</w:t>
      </w:r>
    </w:p>
    <w:p w14:paraId="5A50AA18">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⑥供应商之间商定部分供应商放弃参加政府采购活动或者放弃中标；</w:t>
      </w:r>
    </w:p>
    <w:p w14:paraId="66496699">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⑦供应商与采购人或者采购代理机构之间、供应商相互之间，为谋求特定供应商中标或者排斥其他供应商的其他串通行为。</w:t>
      </w:r>
    </w:p>
    <w:bookmarkEnd w:id="71"/>
    <w:p w14:paraId="65627057">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6.3.</w:t>
      </w:r>
      <w:r>
        <w:rPr>
          <w:rFonts w:hint="eastAsia" w:ascii="宋体" w:hAnsi="宋体" w:eastAsia="宋体" w:cs="宋体"/>
          <w:szCs w:val="21"/>
          <w:lang w:val="en-US" w:eastAsia="zh-CN"/>
        </w:rPr>
        <w:t>10</w:t>
      </w:r>
      <w:r>
        <w:rPr>
          <w:rFonts w:hint="eastAsia" w:ascii="宋体" w:hAnsi="宋体" w:eastAsia="宋体" w:cs="宋体"/>
          <w:szCs w:val="21"/>
        </w:rPr>
        <w:t>响应无效认定</w:t>
      </w:r>
    </w:p>
    <w:p w14:paraId="419CD3BC">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（1）在评审过程中如发现下列情形之一的，响应文件将被视为无效：</w:t>
      </w:r>
    </w:p>
    <w:p w14:paraId="753C3CB0">
      <w:pPr>
        <w:spacing w:before="120" w:line="320" w:lineRule="atLeast"/>
        <w:ind w:firstLine="420" w:firstLineChars="200"/>
        <w:rPr>
          <w:rFonts w:hint="eastAsia" w:ascii="宋体" w:hAnsi="宋体" w:eastAsia="宋体" w:cs="宋体"/>
        </w:rPr>
      </w:pPr>
      <w:r>
        <w:rPr>
          <w:rFonts w:hint="eastAsia" w:ascii="宋体" w:hAnsi="宋体" w:eastAsia="宋体" w:cs="宋体"/>
          <w:szCs w:val="21"/>
        </w:rPr>
        <w:t>①响应文件存在法律、法规及监督部门有关文件规定的无效情形。</w:t>
      </w:r>
    </w:p>
    <w:p w14:paraId="51B64045">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②响应文件存在采购文件规定的无效情形。</w:t>
      </w:r>
    </w:p>
    <w:p w14:paraId="20DDE84D">
      <w:pPr>
        <w:spacing w:before="120" w:line="320" w:lineRule="atLeast"/>
        <w:ind w:firstLine="420" w:firstLineChars="200"/>
        <w:rPr>
          <w:rFonts w:hint="eastAsia" w:ascii="宋体" w:hAnsi="宋体" w:eastAsia="宋体" w:cs="宋体"/>
          <w:szCs w:val="21"/>
        </w:rPr>
      </w:pPr>
      <w:bookmarkStart w:id="72" w:name="_Hlk19113313"/>
      <w:r>
        <w:rPr>
          <w:rFonts w:hint="eastAsia" w:ascii="宋体" w:hAnsi="宋体" w:eastAsia="宋体" w:cs="宋体"/>
          <w:szCs w:val="21"/>
        </w:rPr>
        <w:t>（2）根据财库《关于促进政府采购公平竞争优化营商环境的通知》（〔2019〕38号）以及《广西壮族自治区财政厅转发财政部关于促进政府采购公平竞争优化营商环境的通知》（桂财采〔2019〕41号）规定，磋商小组不得因装订、纸张、文件排序等非实质性的格式、形式问题认定投标无效或否决投标，从而限制和影响供应商投标（响应）。</w:t>
      </w:r>
    </w:p>
    <w:bookmarkEnd w:id="72"/>
    <w:p w14:paraId="554D67D9">
      <w:pPr>
        <w:spacing w:before="120" w:line="320" w:lineRule="atLeast"/>
        <w:ind w:firstLine="420" w:firstLineChars="200"/>
        <w:rPr>
          <w:rFonts w:hint="eastAsia" w:ascii="宋体" w:hAnsi="宋体" w:eastAsia="宋体" w:cs="宋体"/>
          <w:szCs w:val="21"/>
        </w:rPr>
      </w:pPr>
      <w:bookmarkStart w:id="73" w:name="_Hlk19113363"/>
      <w:r>
        <w:rPr>
          <w:rFonts w:hint="eastAsia" w:ascii="宋体" w:hAnsi="宋体" w:eastAsia="宋体" w:cs="宋体"/>
          <w:szCs w:val="21"/>
        </w:rPr>
        <w:t>6.3.1</w:t>
      </w:r>
      <w:r>
        <w:rPr>
          <w:rFonts w:hint="eastAsia" w:ascii="宋体" w:hAnsi="宋体" w:eastAsia="宋体" w:cs="宋体"/>
          <w:szCs w:val="21"/>
          <w:lang w:val="en-US" w:eastAsia="zh-CN"/>
        </w:rPr>
        <w:t>1</w:t>
      </w:r>
      <w:r>
        <w:rPr>
          <w:rFonts w:hint="eastAsia" w:ascii="宋体" w:hAnsi="宋体" w:eastAsia="宋体" w:cs="宋体"/>
          <w:szCs w:val="21"/>
        </w:rPr>
        <w:t>比较与评价</w:t>
      </w:r>
    </w:p>
    <w:p w14:paraId="53BB956D">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（1）磋商小组按采购文件中规定的评审方法和标准，对提交最后报价的供应商的响应文件和最后报价进行综合评分。</w:t>
      </w:r>
    </w:p>
    <w:p w14:paraId="7D8E7E69">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（2）磋商小组各成员独立对每个有效供应商的响应文件进行评价、打分。评价打分有误的应及时进行修正。评分标准如有客观分定义，磋商小组所有成员的客观分评分分值应当一致。</w:t>
      </w:r>
    </w:p>
    <w:p w14:paraId="14B0CD33">
      <w:pPr>
        <w:spacing w:before="120" w:line="320" w:lineRule="atLeast"/>
        <w:ind w:firstLine="420" w:firstLineChars="200"/>
        <w:rPr>
          <w:rFonts w:hint="eastAsia" w:ascii="宋体" w:hAnsi="宋体" w:eastAsia="宋体" w:cs="宋体"/>
          <w:color w:val="auto"/>
          <w:szCs w:val="21"/>
        </w:rPr>
      </w:pPr>
      <w:r>
        <w:rPr>
          <w:rFonts w:hint="eastAsia" w:ascii="宋体" w:hAnsi="宋体" w:eastAsia="宋体" w:cs="宋体"/>
          <w:szCs w:val="21"/>
        </w:rPr>
        <w:t>（3）磋商小组按综合评分由高到低的排列顺序推荐3名以上成交候选供应商，综合评分排名第一的为第一成交候选供应商。</w:t>
      </w:r>
      <w:r>
        <w:rPr>
          <w:rFonts w:hint="eastAsia" w:ascii="宋体" w:hAnsi="宋体" w:eastAsia="宋体" w:cs="宋体"/>
          <w:color w:val="auto"/>
          <w:szCs w:val="21"/>
        </w:rPr>
        <w:t>若成交候选人综合评分相同的，按最后报价由低到高顺序排列；综合评分且最后报价相同的</w:t>
      </w:r>
      <w:r>
        <w:rPr>
          <w:rFonts w:hint="eastAsia" w:ascii="宋体" w:hAnsi="宋体" w:eastAsia="宋体" w:cs="宋体"/>
          <w:color w:val="auto"/>
        </w:rPr>
        <w:t>并列</w:t>
      </w:r>
      <w:r>
        <w:rPr>
          <w:rFonts w:hint="eastAsia" w:ascii="宋体" w:hAnsi="宋体" w:eastAsia="宋体" w:cs="宋体"/>
          <w:color w:val="auto"/>
          <w:szCs w:val="21"/>
        </w:rPr>
        <w:t>；成交候选人并列的，按技术部分评分由高到低顺序排列，若综合评分、最后报价、技术部分评分均相同的，按商务资信部分评分由高到低顺序排列。若综合评分、最后报价、技术部分评分、商务资信部分评分均相同的，由采购人自行决定。</w:t>
      </w:r>
    </w:p>
    <w:p w14:paraId="027E2CE7">
      <w:pPr>
        <w:spacing w:before="120" w:line="320" w:lineRule="atLeast"/>
        <w:ind w:firstLine="420" w:firstLineChars="200"/>
        <w:rPr>
          <w:rFonts w:hint="eastAsia" w:ascii="宋体" w:hAnsi="宋体" w:eastAsia="宋体" w:cs="宋体"/>
        </w:rPr>
      </w:pPr>
      <w:r>
        <w:rPr>
          <w:rFonts w:hint="eastAsia" w:ascii="宋体" w:hAnsi="宋体" w:eastAsia="宋体" w:cs="宋体"/>
          <w:szCs w:val="21"/>
        </w:rPr>
        <w:t>（4）磋商小组根据评审记录及评审结果编写评审报告，磋商小组成员均应当在评审报告上签字，对自己的评审意见承担法律责任。</w:t>
      </w:r>
      <w:r>
        <w:rPr>
          <w:rFonts w:hint="eastAsia" w:ascii="宋体" w:hAnsi="宋体" w:eastAsia="宋体" w:cs="宋体"/>
        </w:rPr>
        <w:t>评审报告签署前，经复核发现存在以下情形之一的，磋商小组应当当场修改评审结果，并在评审报告中记载；评审报告签署后，采购人或者采购代理机构发现存在以下情形之一的，应当组织原磋商小组进行重新评审。</w:t>
      </w:r>
    </w:p>
    <w:p w14:paraId="60EA04EA">
      <w:pPr>
        <w:spacing w:before="120" w:line="320" w:lineRule="atLeast"/>
        <w:ind w:firstLine="420" w:firstLineChars="200"/>
        <w:rPr>
          <w:rFonts w:hint="eastAsia" w:ascii="宋体" w:hAnsi="宋体" w:eastAsia="宋体" w:cs="宋体"/>
        </w:rPr>
      </w:pPr>
      <w:r>
        <w:rPr>
          <w:rFonts w:hint="eastAsia" w:ascii="宋体" w:hAnsi="宋体" w:eastAsia="宋体" w:cs="宋体"/>
        </w:rPr>
        <w:t>资格性检查认定错误、分值汇总计算错误、分项评分超出评分标准范围、客观分评分不一致、经磋商小组一致认定评分畸高、畸低。</w:t>
      </w:r>
    </w:p>
    <w:bookmarkEnd w:id="73"/>
    <w:p w14:paraId="0C6B2C19">
      <w:pPr>
        <w:spacing w:before="120" w:line="320" w:lineRule="atLeast"/>
        <w:ind w:firstLine="422" w:firstLineChars="200"/>
        <w:outlineLvl w:val="2"/>
        <w:rPr>
          <w:rFonts w:hint="eastAsia" w:ascii="宋体" w:hAnsi="宋体" w:eastAsia="宋体" w:cs="宋体"/>
          <w:b/>
          <w:bCs/>
          <w:kern w:val="0"/>
          <w:szCs w:val="21"/>
        </w:rPr>
      </w:pPr>
      <w:r>
        <w:rPr>
          <w:rFonts w:hint="eastAsia" w:ascii="宋体" w:hAnsi="宋体" w:eastAsia="宋体" w:cs="宋体"/>
          <w:b/>
          <w:bCs/>
          <w:kern w:val="0"/>
          <w:szCs w:val="21"/>
        </w:rPr>
        <w:t>6.4确定成交供应商</w:t>
      </w:r>
    </w:p>
    <w:p w14:paraId="384795FD">
      <w:pPr>
        <w:spacing w:before="120" w:line="276" w:lineRule="auto"/>
        <w:ind w:firstLine="420" w:firstLineChars="200"/>
        <w:rPr>
          <w:rFonts w:hint="eastAsia" w:ascii="宋体" w:hAnsi="宋体" w:eastAsia="宋体" w:cs="宋体"/>
          <w:szCs w:val="21"/>
        </w:rPr>
      </w:pPr>
      <w:r>
        <w:rPr>
          <w:rFonts w:hint="eastAsia" w:ascii="宋体" w:hAnsi="宋体" w:eastAsia="宋体" w:cs="宋体"/>
          <w:szCs w:val="21"/>
        </w:rPr>
        <w:t>6.4.1采购代理机构在评审结束后2个工作日内将评审报告送采购人，采购人在5个工作日内按照评审报告中推荐的成交候选供应商顺序确定成交供应商。</w:t>
      </w:r>
    </w:p>
    <w:p w14:paraId="4AA776CE">
      <w:pPr>
        <w:spacing w:before="120" w:line="276" w:lineRule="auto"/>
        <w:ind w:firstLine="420" w:firstLineChars="200"/>
        <w:rPr>
          <w:rFonts w:hint="eastAsia" w:ascii="宋体" w:hAnsi="宋体" w:eastAsia="宋体" w:cs="宋体"/>
          <w:szCs w:val="21"/>
        </w:rPr>
      </w:pPr>
      <w:r>
        <w:rPr>
          <w:rFonts w:hint="eastAsia" w:ascii="宋体" w:hAnsi="宋体" w:eastAsia="宋体" w:cs="宋体"/>
          <w:szCs w:val="21"/>
        </w:rPr>
        <w:t>6.4.2采购人、采购代理机构认为供应商对采购过程、成交结果提出的质疑成立且影响或者可能影响成交结果的，合格供应商符合法定数量时，可以从合格的成交候选供应商中另行确定成交供应商的，应当依法另行确定成交供应商；否则应当重新开展采购活动。</w:t>
      </w:r>
    </w:p>
    <w:p w14:paraId="352C1CD8">
      <w:pPr>
        <w:spacing w:before="120" w:line="320" w:lineRule="atLeast"/>
        <w:ind w:firstLine="422" w:firstLineChars="200"/>
        <w:outlineLvl w:val="2"/>
        <w:rPr>
          <w:rFonts w:hint="eastAsia" w:ascii="宋体" w:hAnsi="宋体" w:eastAsia="宋体" w:cs="宋体"/>
          <w:b/>
          <w:bCs/>
          <w:kern w:val="0"/>
          <w:szCs w:val="21"/>
        </w:rPr>
      </w:pPr>
      <w:r>
        <w:rPr>
          <w:rFonts w:hint="eastAsia" w:ascii="宋体" w:hAnsi="宋体" w:eastAsia="宋体" w:cs="宋体"/>
          <w:b/>
          <w:bCs/>
          <w:kern w:val="0"/>
          <w:szCs w:val="21"/>
        </w:rPr>
        <w:t>6.5结果公告</w:t>
      </w:r>
    </w:p>
    <w:p w14:paraId="30BBF908">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6.5.1自成交供应商确定后2个工作日内，采购代理机构按照供应商须知</w:t>
      </w:r>
      <w:r>
        <w:rPr>
          <w:rFonts w:hint="eastAsia" w:ascii="宋体" w:hAnsi="宋体" w:eastAsia="宋体" w:cs="宋体"/>
          <w:kern w:val="0"/>
          <w:szCs w:val="21"/>
        </w:rPr>
        <w:t>前附表的规定公告</w:t>
      </w:r>
      <w:r>
        <w:rPr>
          <w:rFonts w:hint="eastAsia" w:ascii="宋体" w:hAnsi="宋体" w:eastAsia="宋体" w:cs="宋体"/>
          <w:szCs w:val="21"/>
        </w:rPr>
        <w:t>成交结果</w:t>
      </w:r>
      <w:r>
        <w:rPr>
          <w:rFonts w:hint="eastAsia" w:ascii="宋体" w:hAnsi="宋体" w:eastAsia="宋体" w:cs="宋体"/>
          <w:szCs w:val="21"/>
          <w:lang w:eastAsia="zh-CN"/>
        </w:rPr>
        <w:t>，成交</w:t>
      </w:r>
      <w:r>
        <w:rPr>
          <w:rFonts w:hint="eastAsia" w:ascii="宋体" w:hAnsi="宋体" w:eastAsia="宋体" w:cs="宋体"/>
          <w:szCs w:val="21"/>
        </w:rPr>
        <w:t>结果公告期限为1个工作日</w:t>
      </w:r>
      <w:r>
        <w:rPr>
          <w:rFonts w:hint="eastAsia" w:ascii="宋体" w:hAnsi="宋体" w:eastAsia="宋体" w:cs="宋体"/>
          <w:szCs w:val="21"/>
          <w:lang w:eastAsia="zh-CN"/>
        </w:rPr>
        <w:t>，</w:t>
      </w:r>
      <w:r>
        <w:rPr>
          <w:rFonts w:hint="eastAsia" w:ascii="宋体" w:hAnsi="宋体" w:eastAsia="宋体" w:cs="宋体"/>
          <w:szCs w:val="21"/>
        </w:rPr>
        <w:t>发布</w:t>
      </w:r>
      <w:r>
        <w:rPr>
          <w:rFonts w:hint="eastAsia" w:ascii="宋体" w:hAnsi="宋体" w:eastAsia="宋体" w:cs="宋体"/>
          <w:szCs w:val="21"/>
          <w:lang w:eastAsia="zh-CN"/>
        </w:rPr>
        <w:t>成交</w:t>
      </w:r>
      <w:r>
        <w:rPr>
          <w:rFonts w:hint="eastAsia" w:ascii="宋体" w:hAnsi="宋体" w:eastAsia="宋体" w:cs="宋体"/>
          <w:szCs w:val="21"/>
        </w:rPr>
        <w:t>结果公告的同时向</w:t>
      </w:r>
      <w:r>
        <w:rPr>
          <w:rFonts w:hint="eastAsia" w:ascii="宋体" w:hAnsi="宋体" w:eastAsia="宋体" w:cs="宋体"/>
          <w:szCs w:val="21"/>
          <w:lang w:eastAsia="zh-CN"/>
        </w:rPr>
        <w:t>成交</w:t>
      </w:r>
      <w:r>
        <w:rPr>
          <w:rFonts w:hint="eastAsia" w:ascii="宋体" w:hAnsi="宋体" w:eastAsia="宋体" w:cs="宋体"/>
          <w:szCs w:val="21"/>
        </w:rPr>
        <w:t>供应商发出</w:t>
      </w:r>
      <w:r>
        <w:rPr>
          <w:rFonts w:hint="eastAsia" w:ascii="宋体" w:hAnsi="宋体" w:eastAsia="宋体" w:cs="宋体"/>
          <w:szCs w:val="21"/>
          <w:lang w:eastAsia="zh-CN"/>
        </w:rPr>
        <w:t>成交</w:t>
      </w:r>
      <w:r>
        <w:rPr>
          <w:rFonts w:hint="eastAsia" w:ascii="宋体" w:hAnsi="宋体" w:eastAsia="宋体" w:cs="宋体"/>
          <w:szCs w:val="21"/>
        </w:rPr>
        <w:t>通知书。采购代理机构发出</w:t>
      </w:r>
      <w:r>
        <w:rPr>
          <w:rFonts w:hint="eastAsia" w:ascii="宋体" w:hAnsi="宋体" w:eastAsia="宋体" w:cs="宋体"/>
          <w:szCs w:val="21"/>
          <w:lang w:eastAsia="zh-CN"/>
        </w:rPr>
        <w:t>成交</w:t>
      </w:r>
      <w:r>
        <w:rPr>
          <w:rFonts w:hint="eastAsia" w:ascii="宋体" w:hAnsi="宋体" w:eastAsia="宋体" w:cs="宋体"/>
          <w:szCs w:val="21"/>
        </w:rPr>
        <w:t>通知书前，应当对</w:t>
      </w:r>
      <w:r>
        <w:rPr>
          <w:rFonts w:hint="eastAsia" w:ascii="宋体" w:hAnsi="宋体" w:eastAsia="宋体" w:cs="宋体"/>
          <w:szCs w:val="21"/>
          <w:lang w:eastAsia="zh-CN"/>
        </w:rPr>
        <w:t>成交</w:t>
      </w:r>
      <w:r>
        <w:rPr>
          <w:rFonts w:hint="eastAsia" w:ascii="宋体" w:hAnsi="宋体" w:eastAsia="宋体" w:cs="宋体"/>
          <w:szCs w:val="21"/>
          <w:lang w:val="en-US" w:eastAsia="zh-CN"/>
        </w:rPr>
        <w:t>供应商</w:t>
      </w:r>
      <w:r>
        <w:rPr>
          <w:rFonts w:hint="eastAsia" w:ascii="宋体" w:hAnsi="宋体" w:eastAsia="宋体" w:cs="宋体"/>
          <w:szCs w:val="21"/>
        </w:rPr>
        <w:t>信用进行核实，对列入失信被执行人、</w:t>
      </w:r>
      <w:r>
        <w:rPr>
          <w:rFonts w:hint="eastAsia" w:ascii="宋体" w:hAnsi="宋体" w:eastAsia="宋体" w:cs="宋体"/>
          <w:kern w:val="0"/>
          <w:szCs w:val="21"/>
        </w:rPr>
        <w:t>重大税收违法失信主体</w:t>
      </w:r>
      <w:r>
        <w:rPr>
          <w:rFonts w:hint="eastAsia" w:ascii="宋体" w:hAnsi="宋体" w:eastAsia="宋体" w:cs="宋体"/>
          <w:szCs w:val="21"/>
        </w:rPr>
        <w:t>、政府采购严重违法失信行为记录名单及其他不符合《中华人民共和国政府采购法》第二十二条规定条件的</w:t>
      </w:r>
      <w:r>
        <w:rPr>
          <w:rFonts w:hint="eastAsia" w:ascii="宋体" w:hAnsi="宋体" w:eastAsia="宋体" w:cs="宋体"/>
          <w:szCs w:val="21"/>
          <w:lang w:val="en-US" w:eastAsia="zh-CN"/>
        </w:rPr>
        <w:t>供应商</w:t>
      </w:r>
      <w:r>
        <w:rPr>
          <w:rFonts w:hint="eastAsia" w:ascii="宋体" w:hAnsi="宋体" w:eastAsia="宋体" w:cs="宋体"/>
          <w:szCs w:val="21"/>
        </w:rPr>
        <w:t>，取消其</w:t>
      </w:r>
      <w:r>
        <w:rPr>
          <w:rFonts w:hint="eastAsia" w:ascii="宋体" w:hAnsi="宋体" w:eastAsia="宋体" w:cs="宋体"/>
          <w:szCs w:val="21"/>
          <w:lang w:eastAsia="zh-CN"/>
        </w:rPr>
        <w:t>成交</w:t>
      </w:r>
      <w:r>
        <w:rPr>
          <w:rFonts w:hint="eastAsia" w:ascii="宋体" w:hAnsi="宋体" w:eastAsia="宋体" w:cs="宋体"/>
          <w:szCs w:val="21"/>
        </w:rPr>
        <w:t>资格，并确定排名第二的</w:t>
      </w:r>
      <w:r>
        <w:rPr>
          <w:rFonts w:hint="eastAsia" w:ascii="宋体" w:hAnsi="宋体" w:eastAsia="宋体" w:cs="宋体"/>
          <w:szCs w:val="21"/>
          <w:lang w:eastAsia="zh-CN"/>
        </w:rPr>
        <w:t>成交</w:t>
      </w:r>
      <w:r>
        <w:rPr>
          <w:rFonts w:hint="eastAsia" w:ascii="宋体" w:hAnsi="宋体" w:eastAsia="宋体" w:cs="宋体"/>
          <w:szCs w:val="21"/>
        </w:rPr>
        <w:t>候选人为</w:t>
      </w:r>
      <w:r>
        <w:rPr>
          <w:rFonts w:hint="eastAsia" w:ascii="宋体" w:hAnsi="宋体" w:eastAsia="宋体" w:cs="宋体"/>
          <w:szCs w:val="21"/>
          <w:lang w:eastAsia="zh-CN"/>
        </w:rPr>
        <w:t>成交</w:t>
      </w:r>
      <w:r>
        <w:rPr>
          <w:rFonts w:hint="eastAsia" w:ascii="宋体" w:hAnsi="宋体" w:eastAsia="宋体" w:cs="宋体"/>
          <w:szCs w:val="21"/>
          <w:lang w:val="en-US" w:eastAsia="zh-CN"/>
        </w:rPr>
        <w:t>供应商</w:t>
      </w:r>
      <w:r>
        <w:rPr>
          <w:rFonts w:hint="eastAsia" w:ascii="宋体" w:hAnsi="宋体" w:eastAsia="宋体" w:cs="宋体"/>
          <w:szCs w:val="21"/>
        </w:rPr>
        <w:t>。排名第二的</w:t>
      </w:r>
      <w:r>
        <w:rPr>
          <w:rFonts w:hint="eastAsia" w:ascii="宋体" w:hAnsi="宋体" w:eastAsia="宋体" w:cs="宋体"/>
          <w:szCs w:val="21"/>
          <w:lang w:eastAsia="zh-CN"/>
        </w:rPr>
        <w:t>成交</w:t>
      </w:r>
      <w:r>
        <w:rPr>
          <w:rFonts w:hint="eastAsia" w:ascii="宋体" w:hAnsi="宋体" w:eastAsia="宋体" w:cs="宋体"/>
          <w:szCs w:val="21"/>
        </w:rPr>
        <w:t>候选人因前款规定的同样原因被取消</w:t>
      </w:r>
      <w:r>
        <w:rPr>
          <w:rFonts w:hint="eastAsia" w:ascii="宋体" w:hAnsi="宋体" w:eastAsia="宋体" w:cs="宋体"/>
          <w:szCs w:val="21"/>
          <w:lang w:eastAsia="zh-CN"/>
        </w:rPr>
        <w:t>成交</w:t>
      </w:r>
      <w:r>
        <w:rPr>
          <w:rFonts w:hint="eastAsia" w:ascii="宋体" w:hAnsi="宋体" w:eastAsia="宋体" w:cs="宋体"/>
          <w:szCs w:val="21"/>
        </w:rPr>
        <w:t>资格的，</w:t>
      </w:r>
      <w:r>
        <w:rPr>
          <w:rFonts w:hint="eastAsia" w:ascii="宋体" w:hAnsi="宋体" w:eastAsia="宋体" w:cs="宋体"/>
          <w:szCs w:val="21"/>
          <w:lang w:val="en-US" w:eastAsia="zh-CN"/>
        </w:rPr>
        <w:t>采购人</w:t>
      </w:r>
      <w:r>
        <w:rPr>
          <w:rFonts w:hint="eastAsia" w:ascii="宋体" w:hAnsi="宋体" w:eastAsia="宋体" w:cs="宋体"/>
          <w:szCs w:val="21"/>
        </w:rPr>
        <w:t>可以确定排名第三的</w:t>
      </w:r>
      <w:r>
        <w:rPr>
          <w:rFonts w:hint="eastAsia" w:ascii="宋体" w:hAnsi="宋体" w:eastAsia="宋体" w:cs="宋体"/>
          <w:szCs w:val="21"/>
          <w:lang w:eastAsia="zh-CN"/>
        </w:rPr>
        <w:t>成交</w:t>
      </w:r>
      <w:r>
        <w:rPr>
          <w:rFonts w:hint="eastAsia" w:ascii="宋体" w:hAnsi="宋体" w:eastAsia="宋体" w:cs="宋体"/>
          <w:szCs w:val="21"/>
        </w:rPr>
        <w:t>候选人为</w:t>
      </w:r>
      <w:r>
        <w:rPr>
          <w:rFonts w:hint="eastAsia" w:ascii="宋体" w:hAnsi="宋体" w:eastAsia="宋体" w:cs="宋体"/>
          <w:szCs w:val="21"/>
          <w:lang w:eastAsia="zh-CN"/>
        </w:rPr>
        <w:t>成交</w:t>
      </w:r>
      <w:r>
        <w:rPr>
          <w:rFonts w:hint="eastAsia" w:ascii="宋体" w:hAnsi="宋体" w:eastAsia="宋体" w:cs="宋体"/>
          <w:szCs w:val="21"/>
          <w:lang w:val="en-US" w:eastAsia="zh-CN"/>
        </w:rPr>
        <w:t>供应商</w:t>
      </w:r>
      <w:r>
        <w:rPr>
          <w:rFonts w:hint="eastAsia" w:ascii="宋体" w:hAnsi="宋体" w:eastAsia="宋体" w:cs="宋体"/>
          <w:szCs w:val="21"/>
        </w:rPr>
        <w:t>，以此类推。以上信息查询记录及相关证据与采购文件一并保存。</w:t>
      </w:r>
    </w:p>
    <w:p w14:paraId="7EBE9E7C">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6.5.2在发布结果公告的同时，采购代理机构以供应商须知前附表规定的形式向成交供应商发出成交通知书。成交通知书发出后，采购人改变成交结果，或者成交供应商放弃成交，应当承担相应的法律责任。</w:t>
      </w:r>
    </w:p>
    <w:p w14:paraId="6A01FF15">
      <w:pPr>
        <w:suppressAutoHyphens/>
        <w:spacing w:before="120" w:line="320" w:lineRule="atLeast"/>
        <w:ind w:firstLine="422" w:firstLineChars="200"/>
        <w:outlineLvl w:val="2"/>
        <w:rPr>
          <w:rFonts w:hint="eastAsia" w:ascii="宋体" w:hAnsi="宋体" w:eastAsia="宋体" w:cs="宋体"/>
          <w:b/>
          <w:bCs/>
          <w:kern w:val="0"/>
          <w:szCs w:val="21"/>
        </w:rPr>
      </w:pPr>
      <w:r>
        <w:rPr>
          <w:rFonts w:hint="eastAsia" w:ascii="宋体" w:hAnsi="宋体" w:eastAsia="宋体" w:cs="宋体"/>
          <w:b/>
          <w:bCs/>
          <w:kern w:val="0"/>
          <w:szCs w:val="21"/>
        </w:rPr>
        <w:t>6.6废标</w:t>
      </w:r>
    </w:p>
    <w:p w14:paraId="54609C3C">
      <w:pPr>
        <w:spacing w:before="120" w:line="320" w:lineRule="atLeast"/>
        <w:ind w:firstLine="420" w:firstLineChars="200"/>
        <w:rPr>
          <w:rFonts w:hint="eastAsia" w:ascii="宋体" w:hAnsi="宋体" w:eastAsia="宋体" w:cs="宋体"/>
          <w:kern w:val="1"/>
          <w:szCs w:val="21"/>
        </w:rPr>
      </w:pPr>
      <w:r>
        <w:rPr>
          <w:rFonts w:hint="eastAsia" w:ascii="宋体" w:hAnsi="宋体" w:eastAsia="宋体" w:cs="宋体"/>
          <w:kern w:val="1"/>
          <w:szCs w:val="21"/>
        </w:rPr>
        <w:t xml:space="preserve">6.6.1出现下列情形之一，将导致项目废标： </w:t>
      </w:r>
    </w:p>
    <w:p w14:paraId="51C4E226">
      <w:pPr>
        <w:spacing w:before="120" w:line="320" w:lineRule="atLeast"/>
        <w:ind w:firstLine="420" w:firstLineChars="200"/>
        <w:rPr>
          <w:rFonts w:hint="eastAsia" w:ascii="宋体" w:hAnsi="宋体" w:eastAsia="宋体" w:cs="宋体"/>
          <w:szCs w:val="21"/>
        </w:rPr>
      </w:pPr>
      <w:r>
        <w:rPr>
          <w:rFonts w:hint="eastAsia" w:ascii="宋体" w:hAnsi="宋体" w:eastAsia="宋体" w:cs="宋体"/>
          <w:kern w:val="1"/>
          <w:szCs w:val="21"/>
        </w:rPr>
        <w:t>（1</w:t>
      </w:r>
      <w:r>
        <w:rPr>
          <w:rFonts w:hint="eastAsia" w:ascii="宋体" w:hAnsi="宋体" w:eastAsia="宋体" w:cs="宋体"/>
          <w:szCs w:val="21"/>
        </w:rPr>
        <w:t>）符合专业条件的供应商或者对采购文件做实质性响应的供应商不足三家；</w:t>
      </w:r>
    </w:p>
    <w:p w14:paraId="549ED3E3">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（2）出现影响采购公正的违法、违规行为的；</w:t>
      </w:r>
    </w:p>
    <w:p w14:paraId="453AA0E6">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（3）供应商的报价均超过了采购预算，采购人不能支付的；</w:t>
      </w:r>
    </w:p>
    <w:p w14:paraId="30F80B40">
      <w:pPr>
        <w:spacing w:before="120" w:line="320" w:lineRule="atLeast"/>
        <w:ind w:firstLine="420" w:firstLineChars="200"/>
        <w:rPr>
          <w:rFonts w:hint="eastAsia" w:ascii="宋体" w:hAnsi="宋体" w:eastAsia="宋体" w:cs="宋体"/>
        </w:rPr>
      </w:pPr>
      <w:r>
        <w:rPr>
          <w:rFonts w:hint="eastAsia" w:ascii="宋体" w:hAnsi="宋体" w:eastAsia="宋体" w:cs="宋体"/>
          <w:szCs w:val="21"/>
        </w:rPr>
        <w:t>（4）</w:t>
      </w:r>
      <w:r>
        <w:rPr>
          <w:rFonts w:hint="eastAsia" w:ascii="宋体" w:hAnsi="宋体" w:eastAsia="宋体" w:cs="宋体"/>
        </w:rPr>
        <w:t>因发生重大变故或采购任务取消的。</w:t>
      </w:r>
    </w:p>
    <w:p w14:paraId="3B525F26">
      <w:pPr>
        <w:spacing w:before="120" w:line="320" w:lineRule="atLeast"/>
        <w:ind w:firstLine="420" w:firstLineChars="200"/>
        <w:rPr>
          <w:rFonts w:hint="eastAsia" w:ascii="宋体" w:hAnsi="宋体" w:eastAsia="宋体" w:cs="宋体"/>
          <w:szCs w:val="21"/>
        </w:rPr>
      </w:pPr>
      <w:r>
        <w:rPr>
          <w:rFonts w:hint="eastAsia" w:ascii="宋体" w:hAnsi="宋体" w:eastAsia="宋体" w:cs="宋体"/>
          <w:kern w:val="1"/>
          <w:szCs w:val="21"/>
        </w:rPr>
        <w:t>6.6.2废标后</w:t>
      </w:r>
      <w:r>
        <w:rPr>
          <w:rFonts w:hint="eastAsia" w:ascii="宋体" w:hAnsi="宋体" w:eastAsia="宋体" w:cs="宋体"/>
          <w:szCs w:val="21"/>
        </w:rPr>
        <w:t>采购</w:t>
      </w:r>
      <w:r>
        <w:rPr>
          <w:rFonts w:hint="eastAsia" w:ascii="宋体" w:hAnsi="宋体" w:eastAsia="宋体" w:cs="宋体"/>
          <w:kern w:val="1"/>
          <w:szCs w:val="21"/>
        </w:rPr>
        <w:t>代理机构将发布废标公告通知供应商。</w:t>
      </w:r>
    </w:p>
    <w:p w14:paraId="7D221EF3">
      <w:pPr>
        <w:spacing w:before="120" w:line="320" w:lineRule="atLeast"/>
        <w:ind w:left="2" w:leftChars="1" w:firstLine="422" w:firstLineChars="200"/>
        <w:outlineLvl w:val="1"/>
        <w:rPr>
          <w:rFonts w:hint="eastAsia" w:ascii="宋体" w:hAnsi="宋体" w:eastAsia="宋体" w:cs="宋体"/>
          <w:b/>
          <w:bCs/>
          <w:kern w:val="0"/>
          <w:szCs w:val="21"/>
        </w:rPr>
      </w:pPr>
      <w:r>
        <w:rPr>
          <w:rFonts w:hint="eastAsia" w:ascii="宋体" w:hAnsi="宋体" w:eastAsia="宋体" w:cs="宋体"/>
          <w:b/>
          <w:bCs/>
          <w:kern w:val="0"/>
          <w:szCs w:val="21"/>
        </w:rPr>
        <w:t>7．合同</w:t>
      </w:r>
    </w:p>
    <w:p w14:paraId="2F87A2B6">
      <w:pPr>
        <w:spacing w:before="120" w:line="320" w:lineRule="atLeast"/>
        <w:ind w:firstLine="422" w:firstLineChars="200"/>
        <w:outlineLvl w:val="2"/>
        <w:rPr>
          <w:rFonts w:hint="eastAsia" w:ascii="宋体" w:hAnsi="宋体" w:eastAsia="宋体" w:cs="宋体"/>
          <w:b/>
          <w:bCs/>
          <w:kern w:val="0"/>
          <w:szCs w:val="21"/>
        </w:rPr>
      </w:pPr>
      <w:r>
        <w:rPr>
          <w:rFonts w:hint="eastAsia" w:ascii="宋体" w:hAnsi="宋体" w:eastAsia="宋体" w:cs="宋体"/>
          <w:b/>
          <w:bCs/>
          <w:kern w:val="0"/>
          <w:szCs w:val="21"/>
        </w:rPr>
        <w:t>7.1合同授予标准</w:t>
      </w:r>
    </w:p>
    <w:p w14:paraId="2448D2EB">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合同将授予被确定实质上响应采购文件要求，具备履行合同能力，综合评分排名第一的供应商。在成交通知书发出前或签订合同前，如果成交供应商的组织机构、经营、财务状况发生较大变化，可能造成不能履行合同、无法按照采购文件要求提交履约保证金等情形，不符合成交条件或不满足供应商资格条件要求 ，应在成交通知书发出前或签订合同前及时书面告知采购人，未主动告知，给采购人造成损失的，采购人有权取消其成交资格并没收磋商保证金。</w:t>
      </w:r>
    </w:p>
    <w:p w14:paraId="33C7BAFD">
      <w:pPr>
        <w:spacing w:before="120" w:line="320" w:lineRule="atLeast"/>
        <w:ind w:firstLine="422" w:firstLineChars="200"/>
        <w:outlineLvl w:val="2"/>
        <w:rPr>
          <w:rFonts w:hint="eastAsia" w:ascii="宋体" w:hAnsi="宋体" w:eastAsia="宋体" w:cs="宋体"/>
          <w:b/>
          <w:bCs/>
          <w:kern w:val="0"/>
          <w:szCs w:val="21"/>
        </w:rPr>
      </w:pPr>
      <w:r>
        <w:rPr>
          <w:rFonts w:hint="eastAsia" w:ascii="宋体" w:hAnsi="宋体" w:eastAsia="宋体" w:cs="宋体"/>
          <w:b/>
          <w:bCs/>
          <w:kern w:val="0"/>
          <w:szCs w:val="21"/>
        </w:rPr>
        <w:t>7.2签订合同</w:t>
      </w:r>
    </w:p>
    <w:p w14:paraId="6DFD066E">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7.2.1如采购文件无特别规定，成交供应商按采购文件确定的事项签订政府采购合同。</w:t>
      </w:r>
    </w:p>
    <w:p w14:paraId="705761DB">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7.2.2政府采购合同应当包括采购人与成交供应商的名称和住所、标的、数量、质量、价款或者报酬、履行期限及地点和方式、验收要求、违约责任、解决争议的方法等内容。采购文件、成交供应商的响应文件及澄清文件等，均为签订政府采购合同的依据。</w:t>
      </w:r>
    </w:p>
    <w:p w14:paraId="19593691">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7.2.3如成交供应商不按成交通知书的规定签订合同，其磋商保证金将不予退还，并报由同级政府采购监督管理部门处理。</w:t>
      </w:r>
    </w:p>
    <w:p w14:paraId="20711D8C">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 xml:space="preserve">7.2.4成交供应商拒绝与采购人签订合同的，采购人可以按照评审报告推荐的成交候选人名单排序，确定下一候选人为成交供应商，也可以重新开展政府采购活动。 </w:t>
      </w:r>
    </w:p>
    <w:p w14:paraId="51EF0051">
      <w:pPr>
        <w:spacing w:before="120" w:beforeLines="0" w:afterLines="0" w:line="320" w:lineRule="atLeast"/>
        <w:ind w:firstLine="420" w:firstLineChars="200"/>
        <w:rPr>
          <w:rFonts w:hint="eastAsia" w:ascii="宋体" w:hAnsi="宋体" w:eastAsia="宋体" w:cs="宋体"/>
          <w:szCs w:val="21"/>
        </w:rPr>
      </w:pPr>
      <w:bookmarkStart w:id="74" w:name="_Hlk155170999"/>
      <w:r>
        <w:rPr>
          <w:rFonts w:hint="eastAsia" w:ascii="宋体" w:hAnsi="宋体" w:eastAsia="宋体" w:cs="宋体"/>
          <w:szCs w:val="21"/>
        </w:rPr>
        <w:t>7.2.5采购人因不可抗力原因迟延签订合同的，</w:t>
      </w:r>
      <w:bookmarkEnd w:id="74"/>
      <w:r>
        <w:rPr>
          <w:rFonts w:hint="eastAsia" w:ascii="宋体" w:hAnsi="宋体" w:eastAsia="宋体" w:cs="宋体"/>
          <w:sz w:val="21"/>
          <w:szCs w:val="21"/>
        </w:rPr>
        <w:t>应当自不可抗力事由消除之日起</w:t>
      </w:r>
      <w:r>
        <w:rPr>
          <w:rFonts w:hint="eastAsia" w:ascii="宋体" w:hAnsi="宋体" w:eastAsia="宋体" w:cs="宋体"/>
          <w:color w:val="auto"/>
          <w:sz w:val="21"/>
          <w:szCs w:val="21"/>
        </w:rPr>
        <w:t>5个工作日内完成合同签订事宜。</w:t>
      </w:r>
    </w:p>
    <w:p w14:paraId="7C8038A1">
      <w:pPr>
        <w:spacing w:before="120" w:line="320" w:lineRule="atLeast"/>
        <w:ind w:firstLine="422" w:firstLineChars="200"/>
        <w:outlineLvl w:val="2"/>
        <w:rPr>
          <w:rFonts w:hint="eastAsia" w:ascii="宋体" w:hAnsi="宋体" w:eastAsia="宋体" w:cs="宋体"/>
          <w:b/>
          <w:bCs/>
          <w:kern w:val="0"/>
          <w:szCs w:val="21"/>
        </w:rPr>
      </w:pPr>
      <w:r>
        <w:rPr>
          <w:rFonts w:hint="eastAsia" w:ascii="宋体" w:hAnsi="宋体" w:eastAsia="宋体" w:cs="宋体"/>
          <w:b/>
          <w:bCs/>
          <w:kern w:val="0"/>
          <w:szCs w:val="21"/>
        </w:rPr>
        <w:t>7.3合同公告</w:t>
      </w:r>
    </w:p>
    <w:p w14:paraId="30A414C8">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7.3.1如采购文件无特殊规定，成交供应商应在签订合同后1个工作日内，将政府采购合同副本送采购代理机构存档。</w:t>
      </w:r>
    </w:p>
    <w:p w14:paraId="20B06775">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7.3.2采购人应当自政府采购合同签订之日起2个工作日内，将政府采购合同在省级以上人民政府财政部门指定的媒体上公告，但政府采购合同中涉及国家秘密、商业秘密的内容除外。</w:t>
      </w:r>
    </w:p>
    <w:p w14:paraId="65C3C092">
      <w:pPr>
        <w:spacing w:before="120" w:line="320" w:lineRule="atLeast"/>
        <w:ind w:firstLine="420" w:firstLineChars="200"/>
        <w:rPr>
          <w:rFonts w:hint="eastAsia" w:ascii="宋体" w:hAnsi="宋体" w:eastAsia="宋体" w:cs="宋体"/>
          <w:szCs w:val="21"/>
        </w:rPr>
      </w:pPr>
      <w:bookmarkStart w:id="75" w:name="_Hlk155171014"/>
      <w:r>
        <w:rPr>
          <w:rFonts w:hint="eastAsia" w:ascii="宋体" w:hAnsi="宋体" w:eastAsia="宋体" w:cs="宋体"/>
          <w:szCs w:val="21"/>
        </w:rPr>
        <w:t>7.3.3 政府采购合同双方不得擅自变更合同，依照政府采购法确需变更政府采购合同内容的，采购人应当自合同变更之日起2个工作日内在省级以上财政部门指定的媒体上发布政府采购合同变更公告，但涉及国家秘密、商业秘密的信息和其他依法不得公开的信息除外。</w:t>
      </w:r>
      <w:bookmarkEnd w:id="75"/>
    </w:p>
    <w:p w14:paraId="0D47AA0A">
      <w:pPr>
        <w:spacing w:before="120" w:line="320" w:lineRule="atLeast"/>
        <w:ind w:firstLine="422" w:firstLineChars="200"/>
        <w:outlineLvl w:val="2"/>
        <w:rPr>
          <w:rFonts w:hint="eastAsia" w:ascii="宋体" w:hAnsi="宋体" w:eastAsia="宋体" w:cs="宋体"/>
          <w:b/>
          <w:bCs/>
          <w:kern w:val="0"/>
          <w:szCs w:val="21"/>
        </w:rPr>
      </w:pPr>
      <w:r>
        <w:rPr>
          <w:rFonts w:hint="eastAsia" w:ascii="宋体" w:hAnsi="宋体" w:eastAsia="宋体" w:cs="宋体"/>
          <w:b/>
          <w:bCs/>
          <w:kern w:val="0"/>
          <w:szCs w:val="21"/>
        </w:rPr>
        <w:t>7.4 履行合同</w:t>
      </w:r>
    </w:p>
    <w:p w14:paraId="2714A56A">
      <w:pPr>
        <w:spacing w:before="120" w:line="320" w:lineRule="atLeast"/>
        <w:ind w:firstLine="420" w:firstLineChars="200"/>
        <w:rPr>
          <w:rFonts w:hint="eastAsia" w:ascii="宋体" w:hAnsi="宋体" w:eastAsia="宋体" w:cs="宋体"/>
          <w:szCs w:val="21"/>
        </w:rPr>
      </w:pPr>
      <w:bookmarkStart w:id="76" w:name="_Toc308164814"/>
      <w:bookmarkStart w:id="77" w:name="_Toc217446070"/>
      <w:r>
        <w:rPr>
          <w:rFonts w:hint="eastAsia" w:ascii="宋体" w:hAnsi="宋体" w:eastAsia="宋体" w:cs="宋体"/>
          <w:szCs w:val="21"/>
        </w:rPr>
        <w:t>7.4.1采购人与成交供应商签订合同后，政府采购合同的履行、违约责任和解决争议的方法等适用《中华人民共和国民法典》。合同双方应严格执行合同条款，履行合同规定的义务，保证合同的顺利完成。双方均不得擅自变更、中止或者终止政府采购合同。</w:t>
      </w:r>
    </w:p>
    <w:p w14:paraId="0EBB812C">
      <w:pPr>
        <w:spacing w:before="120" w:line="320" w:lineRule="atLeast"/>
        <w:ind w:firstLine="422" w:firstLineChars="200"/>
        <w:rPr>
          <w:rFonts w:hint="eastAsia" w:ascii="宋体" w:hAnsi="宋体" w:eastAsia="宋体" w:cs="宋体"/>
          <w:b/>
          <w:bCs/>
          <w:kern w:val="0"/>
          <w:szCs w:val="21"/>
        </w:rPr>
      </w:pPr>
      <w:r>
        <w:rPr>
          <w:rFonts w:hint="eastAsia" w:ascii="宋体" w:hAnsi="宋体" w:eastAsia="宋体" w:cs="宋体"/>
          <w:b/>
          <w:bCs/>
          <w:kern w:val="0"/>
          <w:szCs w:val="21"/>
        </w:rPr>
        <w:t>7.5履约验收</w:t>
      </w:r>
      <w:bookmarkEnd w:id="76"/>
      <w:bookmarkEnd w:id="77"/>
    </w:p>
    <w:p w14:paraId="594C4E04">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7.5.1采购人可以根据政府采购项目具体情况自行组织验收，或者委托政府采购代理机构、国家认可的质量检测机构开展采购项目履约验收工作。</w:t>
      </w:r>
    </w:p>
    <w:p w14:paraId="04282BAD">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7.5.2验收结果合格的，成交供应商可向采购人申请办理履约保证金（如有）的退付手续；验收结果不合格的，履约保证金（如有）将不予退还，并按合同约定处理，还可能会报告本项目同级财政部门并按照政府采购法律法规及有关规定给予行政处罚或者以失信行为记入诚信档案。</w:t>
      </w:r>
    </w:p>
    <w:p w14:paraId="17E88143">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7.5.3采购合同项目完成验收后，采购人应当将验收原始记录、验收书等资料作为该采购项目档案妥善保管，不得伪造、变造、隐匿或者销毁，验收资料保存期为采购结束之日起至少保存15年。</w:t>
      </w:r>
    </w:p>
    <w:p w14:paraId="5C136D4D">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7.5.4本项目将严格按照本采购文件及合同有关规定进行合同履约验收。采购文件或合同未规定的按财政部关于进一步加强政府采购需求和履约验收管理的指导意见（财库〔2016〕205号）以及《广西壮族自治区政府采购项目履约验收管理办法》（桂财采〔2015〕22号）的规定执行。</w:t>
      </w:r>
    </w:p>
    <w:p w14:paraId="5F9B0661">
      <w:pPr>
        <w:spacing w:before="120" w:line="320" w:lineRule="atLeast"/>
        <w:ind w:left="2" w:leftChars="1" w:firstLine="422" w:firstLineChars="200"/>
        <w:outlineLvl w:val="1"/>
        <w:rPr>
          <w:rFonts w:hint="eastAsia" w:ascii="宋体" w:hAnsi="宋体" w:eastAsia="宋体" w:cs="宋体"/>
          <w:b/>
          <w:bCs/>
          <w:kern w:val="0"/>
          <w:szCs w:val="21"/>
        </w:rPr>
      </w:pPr>
      <w:bookmarkStart w:id="78" w:name="_Toc254970533"/>
      <w:bookmarkStart w:id="79" w:name="_Toc254970674"/>
      <w:r>
        <w:rPr>
          <w:rFonts w:hint="eastAsia" w:ascii="宋体" w:hAnsi="宋体" w:eastAsia="宋体" w:cs="宋体"/>
          <w:b/>
          <w:bCs/>
          <w:kern w:val="0"/>
          <w:szCs w:val="21"/>
        </w:rPr>
        <w:t>8．质疑和投诉</w:t>
      </w:r>
      <w:bookmarkEnd w:id="78"/>
      <w:bookmarkEnd w:id="79"/>
    </w:p>
    <w:p w14:paraId="5FD38318">
      <w:pPr>
        <w:spacing w:before="120" w:line="320" w:lineRule="atLeast"/>
        <w:ind w:firstLine="422" w:firstLineChars="200"/>
        <w:outlineLvl w:val="2"/>
        <w:rPr>
          <w:rFonts w:hint="eastAsia" w:ascii="宋体" w:hAnsi="宋体" w:eastAsia="宋体" w:cs="宋体"/>
          <w:b/>
          <w:bCs/>
          <w:kern w:val="0"/>
          <w:szCs w:val="21"/>
        </w:rPr>
      </w:pPr>
      <w:r>
        <w:rPr>
          <w:rFonts w:hint="eastAsia" w:ascii="宋体" w:hAnsi="宋体" w:eastAsia="宋体" w:cs="宋体"/>
          <w:b/>
          <w:bCs/>
          <w:kern w:val="0"/>
          <w:szCs w:val="21"/>
        </w:rPr>
        <w:t>8.1质疑</w:t>
      </w:r>
    </w:p>
    <w:p w14:paraId="6622049D">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8.1.1质疑内容、时限</w:t>
      </w:r>
    </w:p>
    <w:p w14:paraId="77212809">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（1）供应商对政府采购活动有疑问的，可以向采购人或采购代理机构提出询问。采购人或者采购代理机构应当在3个工作日内对供应商依法提出的询问作出答复。</w:t>
      </w:r>
    </w:p>
    <w:p w14:paraId="45AB6151">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2）供应商认为采购文件、采购过程、中标或者成交结果使自己的权益受到损害的，可以在知道或者应知其权益受到损害之日起7个工作日内向采购人或采购代理机构提出质疑。采购人或采购代理机构在收到供应商书面质疑后7个工作日内，对质疑内容作出答复。</w:t>
      </w:r>
    </w:p>
    <w:p w14:paraId="0D193398">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8.1.2质疑形式</w:t>
      </w:r>
    </w:p>
    <w:p w14:paraId="4B22AE10">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质疑应当采用供应商须知前附表所规定的形式，质疑书应明确阐述采购文件、采购过程或成交结果中使自己合法权益受到损害的实质性内容，提供相关事实、依据和证据及其来源或线索，便于有关单位调查、答复和处理。</w:t>
      </w:r>
    </w:p>
    <w:p w14:paraId="4A0E04D1">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8.1.3</w:t>
      </w:r>
      <w:r>
        <w:rPr>
          <w:rFonts w:hint="eastAsia" w:ascii="宋体" w:hAnsi="宋体" w:eastAsia="宋体" w:cs="宋体"/>
        </w:rPr>
        <w:t xml:space="preserve"> </w:t>
      </w:r>
      <w:r>
        <w:rPr>
          <w:rFonts w:hint="eastAsia" w:ascii="宋体" w:hAnsi="宋体" w:eastAsia="宋体" w:cs="宋体"/>
          <w:szCs w:val="21"/>
        </w:rPr>
        <w:t>供应商提出质疑应当提交质疑函和必要的证明材料。质疑函应当包括下列内容：</w:t>
      </w:r>
    </w:p>
    <w:p w14:paraId="022517D2">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（1）供应商的姓名或者名称、地址、邮编、联系人及联系电话；</w:t>
      </w:r>
    </w:p>
    <w:p w14:paraId="62A261E2">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（2）质疑项目的名称、编号；</w:t>
      </w:r>
    </w:p>
    <w:p w14:paraId="5AFE6B2A">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（3）具体、明确的质疑事项和与质疑事项相关的请求；</w:t>
      </w:r>
    </w:p>
    <w:p w14:paraId="50A71F1D">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（4）事实依据；</w:t>
      </w:r>
    </w:p>
    <w:p w14:paraId="3F40D2D0">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（5）必要的法律依据；</w:t>
      </w:r>
    </w:p>
    <w:p w14:paraId="1989E563">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（6）提出质疑的日期。</w:t>
      </w:r>
    </w:p>
    <w:p w14:paraId="006A460E">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 xml:space="preserve">供应商为自然人的，应当由本人签字；供应商为法人或者其他组织的，应当由法定代表人、主要负责人，或者其授权代表签字或者盖章，并加盖公章。 </w:t>
      </w:r>
    </w:p>
    <w:p w14:paraId="6C916953">
      <w:pPr>
        <w:spacing w:before="120" w:line="320" w:lineRule="atLeast"/>
        <w:ind w:firstLine="422" w:firstLineChars="200"/>
        <w:outlineLvl w:val="2"/>
        <w:rPr>
          <w:rFonts w:hint="eastAsia" w:ascii="宋体" w:hAnsi="宋体" w:eastAsia="宋体" w:cs="宋体"/>
          <w:b/>
          <w:bCs/>
          <w:kern w:val="0"/>
          <w:szCs w:val="21"/>
        </w:rPr>
      </w:pPr>
      <w:r>
        <w:rPr>
          <w:rFonts w:hint="eastAsia" w:ascii="宋体" w:hAnsi="宋体" w:eastAsia="宋体" w:cs="宋体"/>
          <w:b/>
          <w:bCs/>
          <w:kern w:val="0"/>
          <w:szCs w:val="21"/>
        </w:rPr>
        <w:t>8.2投诉</w:t>
      </w:r>
    </w:p>
    <w:p w14:paraId="164F5D2E">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8.2.1供应商对采购人、采购代理机构的答复不满意，或者采购人、采购代理机构未在规定时间内答复的，可在答复期满后15个工作日内按有关规定，向同级财政部门投诉。</w:t>
      </w:r>
    </w:p>
    <w:p w14:paraId="68F04ECC">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8.2.2投诉书应使用财政部发布的政府采购供应投诉书范本，并应按照“投诉书制作说明”进行编写。</w:t>
      </w:r>
    </w:p>
    <w:p w14:paraId="040213E0">
      <w:pPr>
        <w:spacing w:before="120" w:line="320" w:lineRule="atLeast"/>
        <w:ind w:left="2" w:leftChars="1" w:firstLine="422" w:firstLineChars="200"/>
        <w:outlineLvl w:val="1"/>
        <w:rPr>
          <w:rFonts w:hint="eastAsia" w:ascii="宋体" w:hAnsi="宋体" w:eastAsia="宋体" w:cs="宋体"/>
          <w:b/>
          <w:bCs/>
          <w:kern w:val="0"/>
          <w:szCs w:val="21"/>
        </w:rPr>
      </w:pPr>
      <w:r>
        <w:rPr>
          <w:rFonts w:hint="eastAsia" w:ascii="宋体" w:hAnsi="宋体" w:eastAsia="宋体" w:cs="宋体"/>
          <w:b/>
          <w:bCs/>
          <w:kern w:val="0"/>
          <w:szCs w:val="21"/>
        </w:rPr>
        <w:t>9．其他事项</w:t>
      </w:r>
    </w:p>
    <w:p w14:paraId="61273A8E">
      <w:pPr>
        <w:spacing w:before="120" w:line="320" w:lineRule="atLeast"/>
        <w:ind w:firstLine="420" w:firstLineChars="200"/>
        <w:rPr>
          <w:rFonts w:hint="eastAsia" w:ascii="宋体" w:hAnsi="宋体" w:eastAsia="宋体" w:cs="宋体"/>
          <w:szCs w:val="21"/>
        </w:rPr>
      </w:pPr>
      <w:r>
        <w:rPr>
          <w:rFonts w:hint="eastAsia" w:ascii="宋体" w:hAnsi="宋体" w:eastAsia="宋体" w:cs="宋体"/>
          <w:szCs w:val="21"/>
        </w:rPr>
        <w:t>9.1代理服务收费由采购代理机构向成交供应商收取。签订合同前，成交供应商应向采购代理机构一次付清代理服务费。</w:t>
      </w:r>
    </w:p>
    <w:p w14:paraId="271F2A74">
      <w:pPr>
        <w:spacing w:before="120" w:line="276" w:lineRule="auto"/>
        <w:ind w:firstLine="420" w:firstLineChars="200"/>
        <w:rPr>
          <w:rFonts w:hint="eastAsia" w:ascii="宋体" w:hAnsi="宋体" w:eastAsia="宋体" w:cs="宋体"/>
          <w:szCs w:val="21"/>
        </w:rPr>
      </w:pPr>
      <w:r>
        <w:rPr>
          <w:rFonts w:hint="eastAsia" w:ascii="宋体" w:hAnsi="宋体" w:eastAsia="宋体" w:cs="宋体"/>
          <w:szCs w:val="21"/>
        </w:rPr>
        <w:t>9.2电子交易活动的中止。采购过程中出现以下情形，导致电子交易平台无法正常运行，或者无法保证电子交易的公平、公正和安全时，采购机构可中止电子交易活动：</w:t>
      </w:r>
    </w:p>
    <w:p w14:paraId="45DC0823">
      <w:pPr>
        <w:spacing w:before="120" w:line="276" w:lineRule="auto"/>
        <w:ind w:firstLine="420" w:firstLineChars="200"/>
        <w:rPr>
          <w:rFonts w:hint="eastAsia" w:ascii="宋体" w:hAnsi="宋体" w:eastAsia="宋体" w:cs="宋体"/>
          <w:szCs w:val="21"/>
        </w:rPr>
      </w:pPr>
      <w:r>
        <w:rPr>
          <w:rFonts w:hint="eastAsia" w:ascii="宋体" w:hAnsi="宋体" w:eastAsia="宋体" w:cs="宋体"/>
          <w:szCs w:val="21"/>
        </w:rPr>
        <w:t xml:space="preserve">（1）电子交易平台发生故障而无法登录访问的； </w:t>
      </w:r>
    </w:p>
    <w:p w14:paraId="3A090A34">
      <w:pPr>
        <w:spacing w:before="120" w:line="276" w:lineRule="auto"/>
        <w:ind w:firstLine="420" w:firstLineChars="200"/>
        <w:rPr>
          <w:rFonts w:hint="eastAsia" w:ascii="宋体" w:hAnsi="宋体" w:eastAsia="宋体" w:cs="宋体"/>
          <w:szCs w:val="21"/>
        </w:rPr>
      </w:pPr>
      <w:r>
        <w:rPr>
          <w:rFonts w:hint="eastAsia" w:ascii="宋体" w:hAnsi="宋体" w:eastAsia="宋体" w:cs="宋体"/>
          <w:szCs w:val="21"/>
        </w:rPr>
        <w:t>（2）电子交易平台应用或数据库出现错误，不能进行正常操作的；</w:t>
      </w:r>
    </w:p>
    <w:p w14:paraId="2574FEBD">
      <w:pPr>
        <w:spacing w:before="120" w:line="276" w:lineRule="auto"/>
        <w:ind w:firstLine="420" w:firstLineChars="200"/>
        <w:rPr>
          <w:rFonts w:hint="eastAsia" w:ascii="宋体" w:hAnsi="宋体" w:eastAsia="宋体" w:cs="宋体"/>
          <w:szCs w:val="21"/>
        </w:rPr>
      </w:pPr>
      <w:r>
        <w:rPr>
          <w:rFonts w:hint="eastAsia" w:ascii="宋体" w:hAnsi="宋体" w:eastAsia="宋体" w:cs="宋体"/>
          <w:szCs w:val="21"/>
        </w:rPr>
        <w:t>（3）电子交易平台发现严重安全漏洞，有潜在泄密危险的；</w:t>
      </w:r>
    </w:p>
    <w:p w14:paraId="023B4B3F">
      <w:pPr>
        <w:spacing w:before="120" w:line="276" w:lineRule="auto"/>
        <w:ind w:firstLine="420" w:firstLineChars="200"/>
        <w:rPr>
          <w:rFonts w:hint="eastAsia" w:ascii="宋体" w:hAnsi="宋体" w:eastAsia="宋体" w:cs="宋体"/>
          <w:szCs w:val="21"/>
        </w:rPr>
      </w:pPr>
      <w:r>
        <w:rPr>
          <w:rFonts w:hint="eastAsia" w:ascii="宋体" w:hAnsi="宋体" w:eastAsia="宋体" w:cs="宋体"/>
          <w:szCs w:val="21"/>
        </w:rPr>
        <w:t xml:space="preserve">（4）病毒发作导致不能进行正常操作的； </w:t>
      </w:r>
    </w:p>
    <w:p w14:paraId="112AC8CA">
      <w:pPr>
        <w:spacing w:before="120" w:line="276" w:lineRule="auto"/>
        <w:ind w:firstLine="420" w:firstLineChars="200"/>
        <w:rPr>
          <w:rFonts w:hint="eastAsia" w:ascii="宋体" w:hAnsi="宋体" w:eastAsia="宋体" w:cs="宋体"/>
          <w:szCs w:val="21"/>
        </w:rPr>
      </w:pPr>
      <w:r>
        <w:rPr>
          <w:rFonts w:hint="eastAsia" w:ascii="宋体" w:hAnsi="宋体" w:eastAsia="宋体" w:cs="宋体"/>
          <w:szCs w:val="21"/>
        </w:rPr>
        <w:t>（5）其他无法保证电子交易的公平、公正和安全的情况。</w:t>
      </w:r>
    </w:p>
    <w:p w14:paraId="7D8162E6">
      <w:pPr>
        <w:tabs>
          <w:tab w:val="left" w:pos="4820"/>
        </w:tabs>
        <w:spacing w:before="120" w:line="360" w:lineRule="auto"/>
        <w:ind w:firstLine="420" w:firstLineChars="200"/>
        <w:rPr>
          <w:rFonts w:hint="eastAsia" w:ascii="宋体" w:hAnsi="宋体" w:eastAsia="宋体" w:cs="宋体"/>
          <w:szCs w:val="21"/>
        </w:rPr>
      </w:pPr>
      <w:r>
        <w:rPr>
          <w:rFonts w:hint="eastAsia" w:ascii="宋体" w:hAnsi="宋体" w:eastAsia="宋体" w:cs="宋体"/>
          <w:szCs w:val="21"/>
        </w:rPr>
        <w:t xml:space="preserve">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 </w:t>
      </w:r>
    </w:p>
    <w:p w14:paraId="6248320B">
      <w:pPr>
        <w:spacing w:line="360" w:lineRule="auto"/>
        <w:ind w:firstLine="420"/>
        <w:rPr>
          <w:rFonts w:hint="eastAsia" w:ascii="宋体" w:hAnsi="宋体" w:eastAsia="宋体" w:cs="宋体"/>
          <w:szCs w:val="21"/>
        </w:rPr>
      </w:pPr>
      <w:r>
        <w:rPr>
          <w:rFonts w:hint="eastAsia" w:ascii="宋体" w:hAnsi="宋体" w:eastAsia="宋体" w:cs="宋体"/>
          <w:szCs w:val="21"/>
        </w:rPr>
        <w:t>9.3本项目的其他事项详见供应商须知前附表。</w:t>
      </w:r>
    </w:p>
    <w:p w14:paraId="1DB42CE1">
      <w:pPr>
        <w:spacing w:before="120" w:line="320" w:lineRule="atLeast"/>
        <w:ind w:left="2" w:leftChars="1" w:firstLine="422" w:firstLineChars="200"/>
        <w:outlineLvl w:val="1"/>
        <w:rPr>
          <w:rFonts w:hint="eastAsia" w:ascii="宋体" w:hAnsi="宋体" w:eastAsia="宋体" w:cs="宋体"/>
          <w:b/>
          <w:bCs/>
          <w:kern w:val="0"/>
          <w:szCs w:val="21"/>
        </w:rPr>
      </w:pPr>
      <w:r>
        <w:rPr>
          <w:rFonts w:hint="eastAsia" w:ascii="宋体" w:hAnsi="宋体" w:eastAsia="宋体" w:cs="宋体"/>
          <w:b/>
          <w:bCs/>
          <w:kern w:val="0"/>
          <w:szCs w:val="21"/>
        </w:rPr>
        <w:t>10．其他说明</w:t>
      </w:r>
    </w:p>
    <w:p w14:paraId="3C555A0D">
      <w:pPr>
        <w:spacing w:before="120" w:line="320" w:lineRule="atLeast"/>
        <w:ind w:left="2" w:leftChars="1" w:firstLine="420" w:firstLineChars="200"/>
        <w:rPr>
          <w:rFonts w:hint="eastAsia" w:ascii="宋体" w:hAnsi="宋体" w:eastAsia="宋体" w:cs="宋体"/>
          <w:kern w:val="0"/>
          <w:szCs w:val="21"/>
        </w:rPr>
      </w:pPr>
      <w:r>
        <w:rPr>
          <w:rFonts w:hint="eastAsia" w:ascii="宋体" w:hAnsi="宋体" w:eastAsia="宋体" w:cs="宋体"/>
          <w:szCs w:val="21"/>
        </w:rPr>
        <w:t>10.1其余</w:t>
      </w:r>
      <w:r>
        <w:rPr>
          <w:rFonts w:hint="eastAsia" w:ascii="宋体" w:hAnsi="宋体" w:eastAsia="宋体" w:cs="宋体"/>
          <w:kern w:val="0"/>
          <w:szCs w:val="21"/>
        </w:rPr>
        <w:t>未尽事宜按《中华人民共和国政府采购法》、《中华人民共和国政府采购法实施条例》的相关规定执行。</w:t>
      </w:r>
    </w:p>
    <w:p w14:paraId="14783162">
      <w:pPr>
        <w:spacing w:before="120" w:line="320" w:lineRule="atLeast"/>
        <w:ind w:left="2" w:leftChars="1" w:firstLine="420" w:firstLineChars="200"/>
        <w:rPr>
          <w:rFonts w:hint="eastAsia" w:ascii="宋体" w:hAnsi="宋体" w:eastAsia="宋体" w:cs="宋体"/>
          <w:sz w:val="32"/>
          <w:szCs w:val="32"/>
        </w:rPr>
        <w:sectPr>
          <w:pgSz w:w="11906" w:h="16838"/>
          <w:pgMar w:top="1417" w:right="1417" w:bottom="1417" w:left="1418" w:header="851" w:footer="992" w:gutter="0"/>
          <w:cols w:space="720" w:num="1"/>
          <w:titlePg/>
          <w:docGrid w:linePitch="312" w:charSpace="0"/>
        </w:sectPr>
      </w:pPr>
      <w:r>
        <w:rPr>
          <w:rFonts w:hint="eastAsia" w:ascii="宋体" w:hAnsi="宋体" w:eastAsia="宋体" w:cs="宋体"/>
          <w:szCs w:val="21"/>
        </w:rPr>
        <w:t>10.2本采购文件</w:t>
      </w:r>
      <w:r>
        <w:rPr>
          <w:rFonts w:hint="eastAsia" w:ascii="宋体" w:hAnsi="宋体" w:eastAsia="宋体" w:cs="宋体"/>
        </w:rPr>
        <w:t>是根据国家有关法律及有关政策、法规和参照国际惯例编制，解释权属采购代理机构。</w:t>
      </w:r>
      <w:bookmarkEnd w:id="30"/>
    </w:p>
    <w:p w14:paraId="7771E414">
      <w:pPr>
        <w:pStyle w:val="11"/>
        <w:snapToGrid w:val="0"/>
        <w:spacing w:before="120" w:after="120" w:line="320" w:lineRule="exact"/>
        <w:jc w:val="center"/>
        <w:outlineLvl w:val="0"/>
        <w:rPr>
          <w:rFonts w:hint="eastAsia" w:ascii="宋体" w:hAnsi="宋体" w:eastAsia="宋体" w:cs="宋体"/>
          <w:b/>
          <w:bCs/>
          <w:sz w:val="32"/>
          <w:szCs w:val="32"/>
        </w:rPr>
      </w:pPr>
      <w:bookmarkStart w:id="80" w:name="_Toc4134"/>
      <w:bookmarkStart w:id="81" w:name="_Toc254970690"/>
      <w:bookmarkStart w:id="82" w:name="_Toc254970549"/>
      <w:r>
        <w:rPr>
          <w:rFonts w:hint="eastAsia" w:ascii="宋体" w:hAnsi="宋体" w:eastAsia="宋体" w:cs="宋体"/>
          <w:b/>
          <w:bCs/>
          <w:sz w:val="32"/>
          <w:szCs w:val="32"/>
        </w:rPr>
        <w:t>第</w:t>
      </w:r>
      <w:r>
        <w:rPr>
          <w:rFonts w:hint="eastAsia" w:hAnsi="宋体" w:cs="宋体"/>
          <w:b/>
          <w:bCs/>
          <w:sz w:val="32"/>
          <w:szCs w:val="32"/>
          <w:lang w:val="en-US" w:eastAsia="zh-CN"/>
        </w:rPr>
        <w:t>五</w:t>
      </w:r>
      <w:r>
        <w:rPr>
          <w:rFonts w:hint="eastAsia" w:ascii="宋体" w:hAnsi="宋体" w:eastAsia="宋体" w:cs="宋体"/>
          <w:b/>
          <w:bCs/>
          <w:sz w:val="32"/>
          <w:szCs w:val="32"/>
        </w:rPr>
        <w:t>章  评审方法及标准</w:t>
      </w:r>
      <w:bookmarkEnd w:id="80"/>
    </w:p>
    <w:p w14:paraId="73AA7ABE">
      <w:pPr>
        <w:spacing w:before="120" w:line="320" w:lineRule="atLeast"/>
        <w:ind w:firstLine="413" w:firstLineChars="196"/>
        <w:outlineLvl w:val="1"/>
        <w:rPr>
          <w:rFonts w:hint="eastAsia" w:ascii="宋体" w:hAnsi="宋体" w:eastAsia="宋体" w:cs="宋体"/>
          <w:b/>
          <w:bCs/>
          <w:kern w:val="0"/>
          <w:szCs w:val="21"/>
        </w:rPr>
      </w:pPr>
      <w:r>
        <w:rPr>
          <w:rFonts w:hint="eastAsia" w:ascii="宋体" w:hAnsi="宋体" w:eastAsia="宋体" w:cs="宋体"/>
          <w:b/>
          <w:bCs/>
          <w:kern w:val="0"/>
          <w:szCs w:val="21"/>
        </w:rPr>
        <w:t>1.评审方法</w:t>
      </w:r>
    </w:p>
    <w:p w14:paraId="46C50C00">
      <w:pPr>
        <w:suppressAutoHyphens/>
        <w:spacing w:before="120" w:line="320" w:lineRule="atLeast"/>
        <w:ind w:firstLine="420" w:firstLineChars="200"/>
        <w:rPr>
          <w:rFonts w:hint="eastAsia" w:ascii="宋体" w:hAnsi="宋体" w:eastAsia="宋体" w:cs="宋体"/>
          <w:kern w:val="1"/>
          <w:szCs w:val="21"/>
        </w:rPr>
      </w:pPr>
      <w:r>
        <w:rPr>
          <w:rFonts w:hint="eastAsia" w:ascii="宋体" w:hAnsi="宋体" w:eastAsia="宋体" w:cs="宋体"/>
          <w:szCs w:val="21"/>
        </w:rPr>
        <w:t>本项目采用</w:t>
      </w:r>
      <w:r>
        <w:rPr>
          <w:rFonts w:hint="eastAsia" w:ascii="宋体" w:hAnsi="宋体" w:eastAsia="宋体" w:cs="宋体"/>
          <w:bCs/>
          <w:kern w:val="1"/>
          <w:szCs w:val="21"/>
        </w:rPr>
        <w:t>综合评分法</w:t>
      </w:r>
      <w:r>
        <w:rPr>
          <w:rFonts w:hint="eastAsia" w:ascii="宋体" w:hAnsi="宋体" w:eastAsia="宋体" w:cs="宋体"/>
          <w:szCs w:val="21"/>
        </w:rPr>
        <w:t>进行评审</w:t>
      </w:r>
      <w:r>
        <w:rPr>
          <w:rFonts w:hint="eastAsia" w:ascii="宋体" w:hAnsi="宋体" w:eastAsia="宋体" w:cs="宋体"/>
          <w:bCs/>
          <w:kern w:val="1"/>
          <w:szCs w:val="21"/>
        </w:rPr>
        <w:t>。</w:t>
      </w:r>
      <w:r>
        <w:rPr>
          <w:rFonts w:hint="eastAsia" w:ascii="宋体" w:hAnsi="宋体" w:eastAsia="宋体" w:cs="宋体"/>
          <w:szCs w:val="21"/>
        </w:rPr>
        <w:t>综合评分法，是指响应文件满足采购文件全部实质性要求且按照评审因素的量化指标评审得分最高的供应商为成交候选人的评审方法。</w:t>
      </w:r>
    </w:p>
    <w:p w14:paraId="77FDA0A1">
      <w:pPr>
        <w:suppressAutoHyphens/>
        <w:spacing w:before="120" w:line="320" w:lineRule="atLeast"/>
        <w:ind w:firstLine="420" w:firstLineChars="200"/>
        <w:rPr>
          <w:rFonts w:hint="eastAsia" w:ascii="宋体" w:hAnsi="宋体" w:eastAsia="宋体" w:cs="宋体"/>
          <w:kern w:val="1"/>
          <w:szCs w:val="21"/>
        </w:rPr>
      </w:pPr>
      <w:r>
        <w:rPr>
          <w:rFonts w:hint="eastAsia" w:ascii="宋体" w:hAnsi="宋体" w:eastAsia="宋体" w:cs="宋体"/>
          <w:kern w:val="1"/>
          <w:szCs w:val="21"/>
        </w:rPr>
        <w:t>本项目评审的其他详细规定在第</w:t>
      </w:r>
      <w:r>
        <w:rPr>
          <w:rFonts w:hint="eastAsia" w:ascii="宋体" w:hAnsi="宋体" w:cs="宋体"/>
          <w:kern w:val="1"/>
          <w:szCs w:val="21"/>
          <w:lang w:val="en-US" w:eastAsia="zh-CN"/>
        </w:rPr>
        <w:t>四</w:t>
      </w:r>
      <w:r>
        <w:rPr>
          <w:rFonts w:hint="eastAsia" w:ascii="宋体" w:hAnsi="宋体" w:eastAsia="宋体" w:cs="宋体"/>
          <w:kern w:val="1"/>
          <w:szCs w:val="21"/>
        </w:rPr>
        <w:t>章供应商须知中规定。</w:t>
      </w:r>
    </w:p>
    <w:p w14:paraId="6EB187A1">
      <w:pPr>
        <w:numPr>
          <w:ilvl w:val="0"/>
          <w:numId w:val="2"/>
        </w:numPr>
        <w:spacing w:before="120" w:line="320" w:lineRule="atLeast"/>
        <w:ind w:firstLine="413" w:firstLineChars="196"/>
        <w:outlineLvl w:val="1"/>
        <w:rPr>
          <w:rFonts w:hint="eastAsia" w:ascii="宋体" w:hAnsi="宋体" w:eastAsia="宋体" w:cs="宋体"/>
          <w:b/>
          <w:bCs/>
          <w:kern w:val="0"/>
          <w:szCs w:val="21"/>
        </w:rPr>
      </w:pPr>
      <w:r>
        <w:rPr>
          <w:rFonts w:hint="eastAsia" w:ascii="宋体" w:hAnsi="宋体" w:eastAsia="宋体" w:cs="宋体"/>
          <w:b/>
          <w:kern w:val="0"/>
          <w:szCs w:val="21"/>
        </w:rPr>
        <w:t>资格审查标准</w:t>
      </w:r>
      <w:r>
        <w:rPr>
          <w:rFonts w:hint="eastAsia" w:ascii="宋体" w:hAnsi="宋体" w:eastAsia="宋体" w:cs="宋体"/>
          <w:b/>
          <w:bCs/>
          <w:kern w:val="0"/>
          <w:szCs w:val="21"/>
        </w:rPr>
        <w:t>（不满足任何一项审查内容要求，资格审查即为不合格）</w:t>
      </w:r>
    </w:p>
    <w:tbl>
      <w:tblPr>
        <w:tblStyle w:val="15"/>
        <w:tblW w:w="94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7"/>
        <w:gridCol w:w="966"/>
        <w:gridCol w:w="956"/>
        <w:gridCol w:w="6914"/>
      </w:tblGrid>
      <w:tr w14:paraId="134A1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637" w:type="dxa"/>
            <w:noWrap w:val="0"/>
            <w:vAlign w:val="center"/>
          </w:tcPr>
          <w:p w14:paraId="6FFF1455">
            <w:pPr>
              <w:spacing w:line="240" w:lineRule="exact"/>
              <w:jc w:val="center"/>
              <w:rPr>
                <w:rFonts w:hint="eastAsia" w:ascii="宋体" w:hAnsi="宋体" w:eastAsia="宋体" w:cs="宋体"/>
                <w:b/>
                <w:kern w:val="0"/>
                <w:szCs w:val="21"/>
              </w:rPr>
            </w:pPr>
            <w:r>
              <w:rPr>
                <w:rFonts w:hint="eastAsia" w:ascii="宋体" w:hAnsi="宋体" w:eastAsia="宋体" w:cs="宋体"/>
                <w:b/>
                <w:kern w:val="0"/>
                <w:szCs w:val="21"/>
              </w:rPr>
              <w:t>审查因素</w:t>
            </w:r>
          </w:p>
        </w:tc>
        <w:tc>
          <w:tcPr>
            <w:tcW w:w="1922" w:type="dxa"/>
            <w:gridSpan w:val="2"/>
            <w:noWrap w:val="0"/>
            <w:vAlign w:val="center"/>
          </w:tcPr>
          <w:p w14:paraId="27C17662">
            <w:pPr>
              <w:spacing w:line="240" w:lineRule="exact"/>
              <w:jc w:val="center"/>
              <w:rPr>
                <w:rFonts w:hint="eastAsia" w:ascii="宋体" w:hAnsi="宋体" w:eastAsia="宋体" w:cs="宋体"/>
                <w:b/>
                <w:kern w:val="0"/>
                <w:szCs w:val="21"/>
              </w:rPr>
            </w:pPr>
            <w:r>
              <w:rPr>
                <w:rFonts w:hint="eastAsia" w:ascii="宋体" w:hAnsi="宋体" w:eastAsia="宋体" w:cs="宋体"/>
                <w:b/>
                <w:kern w:val="0"/>
                <w:szCs w:val="21"/>
              </w:rPr>
              <w:t>审查内容</w:t>
            </w:r>
          </w:p>
        </w:tc>
        <w:tc>
          <w:tcPr>
            <w:tcW w:w="6914" w:type="dxa"/>
            <w:noWrap w:val="0"/>
            <w:vAlign w:val="center"/>
          </w:tcPr>
          <w:p w14:paraId="4BA5B45C">
            <w:pPr>
              <w:spacing w:line="240" w:lineRule="exact"/>
              <w:jc w:val="center"/>
              <w:rPr>
                <w:rFonts w:hint="eastAsia" w:ascii="宋体" w:hAnsi="宋体" w:eastAsia="宋体" w:cs="宋体"/>
                <w:b/>
                <w:kern w:val="0"/>
                <w:szCs w:val="21"/>
              </w:rPr>
            </w:pPr>
            <w:r>
              <w:rPr>
                <w:rFonts w:hint="eastAsia" w:ascii="宋体" w:hAnsi="宋体" w:eastAsia="宋体" w:cs="宋体"/>
                <w:b/>
                <w:kern w:val="0"/>
                <w:szCs w:val="21"/>
              </w:rPr>
              <w:t>说明</w:t>
            </w:r>
          </w:p>
        </w:tc>
      </w:tr>
      <w:tr w14:paraId="6E4EC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637" w:type="dxa"/>
            <w:vMerge w:val="restart"/>
            <w:noWrap w:val="0"/>
            <w:vAlign w:val="center"/>
          </w:tcPr>
          <w:p w14:paraId="28CD82E8">
            <w:pPr>
              <w:spacing w:line="240" w:lineRule="exact"/>
              <w:jc w:val="center"/>
              <w:rPr>
                <w:rFonts w:hint="eastAsia" w:ascii="宋体" w:hAnsi="宋体" w:eastAsia="宋体" w:cs="宋体"/>
                <w:szCs w:val="21"/>
              </w:rPr>
            </w:pPr>
            <w:r>
              <w:rPr>
                <w:rFonts w:hint="eastAsia" w:ascii="宋体" w:hAnsi="宋体" w:eastAsia="宋体" w:cs="宋体"/>
                <w:szCs w:val="21"/>
              </w:rPr>
              <w:t>供应商应符合的基本资格要求</w:t>
            </w:r>
          </w:p>
        </w:tc>
        <w:tc>
          <w:tcPr>
            <w:tcW w:w="1922" w:type="dxa"/>
            <w:gridSpan w:val="2"/>
            <w:noWrap w:val="0"/>
            <w:vAlign w:val="center"/>
          </w:tcPr>
          <w:p w14:paraId="419774B1">
            <w:pPr>
              <w:spacing w:line="240" w:lineRule="exact"/>
              <w:rPr>
                <w:rFonts w:hint="eastAsia" w:ascii="宋体" w:hAnsi="宋体" w:eastAsia="宋体" w:cs="宋体"/>
                <w:szCs w:val="21"/>
              </w:rPr>
            </w:pPr>
            <w:r>
              <w:rPr>
                <w:rFonts w:hint="eastAsia" w:ascii="宋体" w:hAnsi="宋体" w:eastAsia="宋体" w:cs="宋体"/>
                <w:color w:val="auto"/>
                <w:szCs w:val="21"/>
                <w:highlight w:val="none"/>
              </w:rPr>
              <w:t>（1）供应商有效主体资格证明</w:t>
            </w:r>
          </w:p>
        </w:tc>
        <w:tc>
          <w:tcPr>
            <w:tcW w:w="6914" w:type="dxa"/>
            <w:noWrap w:val="0"/>
            <w:vAlign w:val="center"/>
          </w:tcPr>
          <w:p w14:paraId="2B99BFE0">
            <w:pPr>
              <w:spacing w:line="240" w:lineRule="exact"/>
              <w:rPr>
                <w:rFonts w:hint="eastAsia" w:ascii="宋体" w:hAnsi="宋体" w:eastAsia="宋体" w:cs="宋体"/>
                <w:szCs w:val="21"/>
              </w:rPr>
            </w:pPr>
            <w:r>
              <w:rPr>
                <w:rFonts w:hint="eastAsia" w:ascii="宋体" w:hAnsi="宋体" w:eastAsia="宋体" w:cs="宋体"/>
                <w:color w:val="auto"/>
                <w:szCs w:val="21"/>
                <w:highlight w:val="none"/>
              </w:rPr>
              <w:t>审查供应商为法人或者其他组织的，提供营业执照等证明文件（如营业执照或者事业单位法人证书或者执业许可证等），供应商为自然人的，提供身份证扫描件。</w:t>
            </w:r>
          </w:p>
        </w:tc>
      </w:tr>
      <w:tr w14:paraId="41F9F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37" w:type="dxa"/>
            <w:vMerge w:val="continue"/>
            <w:noWrap w:val="0"/>
            <w:vAlign w:val="center"/>
          </w:tcPr>
          <w:p w14:paraId="340C9C2C">
            <w:pPr>
              <w:spacing w:line="240" w:lineRule="exact"/>
              <w:jc w:val="center"/>
              <w:rPr>
                <w:rFonts w:hint="eastAsia" w:ascii="宋体" w:hAnsi="宋体" w:eastAsia="宋体" w:cs="宋体"/>
                <w:szCs w:val="21"/>
              </w:rPr>
            </w:pPr>
          </w:p>
        </w:tc>
        <w:tc>
          <w:tcPr>
            <w:tcW w:w="1922" w:type="dxa"/>
            <w:gridSpan w:val="2"/>
            <w:noWrap w:val="0"/>
            <w:vAlign w:val="center"/>
          </w:tcPr>
          <w:p w14:paraId="1CEED9C8">
            <w:pPr>
              <w:spacing w:line="240" w:lineRule="exact"/>
              <w:rPr>
                <w:rFonts w:hint="eastAsia" w:ascii="宋体" w:hAnsi="宋体" w:eastAsia="宋体" w:cs="宋体"/>
                <w:szCs w:val="21"/>
              </w:rPr>
            </w:pPr>
            <w:r>
              <w:rPr>
                <w:rFonts w:hint="eastAsia" w:ascii="宋体" w:hAnsi="宋体" w:eastAsia="宋体" w:cs="宋体"/>
                <w:color w:val="auto"/>
                <w:szCs w:val="21"/>
                <w:highlight w:val="none"/>
                <w:lang w:val="zh-CN"/>
              </w:rPr>
              <w:t>（2）政府采购供应商资格信用承诺函</w:t>
            </w:r>
          </w:p>
        </w:tc>
        <w:tc>
          <w:tcPr>
            <w:tcW w:w="6914" w:type="dxa"/>
            <w:noWrap w:val="0"/>
            <w:vAlign w:val="center"/>
          </w:tcPr>
          <w:p w14:paraId="1A84CE30">
            <w:pPr>
              <w:spacing w:line="240" w:lineRule="exact"/>
              <w:rPr>
                <w:rFonts w:hint="eastAsia" w:ascii="宋体" w:hAnsi="宋体" w:eastAsia="宋体" w:cs="宋体"/>
                <w:szCs w:val="21"/>
              </w:rPr>
            </w:pPr>
            <w:r>
              <w:rPr>
                <w:rFonts w:hint="eastAsia" w:ascii="宋体" w:hAnsi="宋体" w:eastAsia="宋体" w:cs="宋体"/>
                <w:color w:val="auto"/>
                <w:szCs w:val="21"/>
                <w:highlight w:val="none"/>
              </w:rPr>
              <w:t>根据《关于推行政府采购信用承诺制度的通知》（柳财采〔2022〕9号）的要求，政府采购供应商应当以书面形式向采购人或政府采购代理机构作出信用承诺。格式见第</w:t>
            </w:r>
            <w:r>
              <w:rPr>
                <w:rFonts w:hint="eastAsia" w:ascii="宋体" w:hAnsi="宋体" w:cs="宋体"/>
                <w:color w:val="auto"/>
                <w:szCs w:val="21"/>
                <w:highlight w:val="none"/>
                <w:lang w:val="en-US" w:eastAsia="zh-CN"/>
              </w:rPr>
              <w:t>七</w:t>
            </w:r>
            <w:r>
              <w:rPr>
                <w:rFonts w:hint="eastAsia" w:ascii="宋体" w:hAnsi="宋体" w:eastAsia="宋体" w:cs="宋体"/>
                <w:color w:val="auto"/>
                <w:szCs w:val="21"/>
                <w:highlight w:val="none"/>
              </w:rPr>
              <w:t>章响应文件格式要求</w:t>
            </w:r>
          </w:p>
        </w:tc>
      </w:tr>
      <w:tr w14:paraId="00020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50" w:hRule="atLeast"/>
        </w:trPr>
        <w:tc>
          <w:tcPr>
            <w:tcW w:w="637" w:type="dxa"/>
            <w:noWrap w:val="0"/>
            <w:vAlign w:val="center"/>
          </w:tcPr>
          <w:p w14:paraId="3822F773">
            <w:pPr>
              <w:spacing w:line="240" w:lineRule="exact"/>
              <w:rPr>
                <w:rFonts w:hint="eastAsia" w:ascii="宋体" w:hAnsi="宋体" w:eastAsia="宋体" w:cs="宋体"/>
                <w:szCs w:val="21"/>
                <w:lang w:val="zh-CN"/>
              </w:rPr>
            </w:pPr>
            <w:r>
              <w:rPr>
                <w:rFonts w:hint="eastAsia" w:ascii="宋体" w:hAnsi="宋体" w:eastAsia="宋体" w:cs="宋体"/>
                <w:kern w:val="0"/>
                <w:szCs w:val="21"/>
              </w:rPr>
              <w:t>采购政策</w:t>
            </w:r>
          </w:p>
        </w:tc>
        <w:tc>
          <w:tcPr>
            <w:tcW w:w="1922" w:type="dxa"/>
            <w:gridSpan w:val="2"/>
            <w:noWrap w:val="0"/>
            <w:vAlign w:val="center"/>
          </w:tcPr>
          <w:p w14:paraId="69E08CAF">
            <w:pPr>
              <w:spacing w:line="240" w:lineRule="exact"/>
              <w:jc w:val="left"/>
              <w:rPr>
                <w:rFonts w:hint="eastAsia" w:ascii="宋体" w:hAnsi="宋体" w:eastAsia="宋体" w:cs="宋体"/>
                <w:color w:val="auto"/>
                <w:szCs w:val="21"/>
              </w:rPr>
            </w:pPr>
            <w:r>
              <w:rPr>
                <w:rFonts w:hint="eastAsia" w:ascii="宋体" w:hAnsi="宋体" w:eastAsia="宋体" w:cs="宋体"/>
                <w:color w:val="auto"/>
                <w:szCs w:val="21"/>
                <w:highlight w:val="none"/>
              </w:rPr>
              <w:t>落实政府采购政策需满足的资格要求</w:t>
            </w:r>
          </w:p>
        </w:tc>
        <w:tc>
          <w:tcPr>
            <w:tcW w:w="6914" w:type="dxa"/>
            <w:noWrap w:val="0"/>
            <w:vAlign w:val="center"/>
          </w:tcPr>
          <w:p w14:paraId="0F6CE6DE">
            <w:pPr>
              <w:spacing w:line="240" w:lineRule="exact"/>
              <w:jc w:val="left"/>
              <w:rPr>
                <w:rFonts w:hint="eastAsia" w:ascii="宋体" w:hAnsi="宋体" w:eastAsia="宋体" w:cs="宋体"/>
                <w:color w:val="auto"/>
                <w:szCs w:val="21"/>
              </w:rPr>
            </w:pPr>
            <w:r>
              <w:rPr>
                <w:rFonts w:hint="eastAsia" w:ascii="宋体" w:hAnsi="宋体" w:eastAsia="宋体" w:cs="宋体"/>
                <w:color w:val="auto"/>
                <w:szCs w:val="21"/>
              </w:rPr>
              <w:t>提供《中小企业声明函》，符合承建采购文件标明所属行业的标的物的工程施工单位应全部为中型或小型或微型企业的条件。</w:t>
            </w:r>
          </w:p>
          <w:p w14:paraId="2C2534B4">
            <w:pPr>
              <w:spacing w:line="240" w:lineRule="exact"/>
              <w:jc w:val="left"/>
              <w:rPr>
                <w:rFonts w:hint="eastAsia" w:ascii="宋体" w:hAnsi="宋体" w:eastAsia="宋体" w:cs="宋体"/>
                <w:color w:val="auto"/>
                <w:szCs w:val="21"/>
              </w:rPr>
            </w:pPr>
            <w:r>
              <w:rPr>
                <w:rFonts w:hint="eastAsia" w:ascii="宋体" w:hAnsi="宋体" w:eastAsia="宋体" w:cs="宋体"/>
                <w:color w:val="auto"/>
                <w:szCs w:val="21"/>
              </w:rPr>
              <w:t>注：1、符合监狱企业出具监狱企业证明文件的、符合残疾人福利性单位出具《残疾人福利性单位声明函》的视同中小企业。</w:t>
            </w:r>
          </w:p>
          <w:p w14:paraId="756993AC">
            <w:pPr>
              <w:spacing w:line="240" w:lineRule="exact"/>
              <w:jc w:val="left"/>
              <w:rPr>
                <w:rFonts w:hint="eastAsia" w:ascii="宋体" w:hAnsi="宋体" w:eastAsia="宋体" w:cs="宋体"/>
                <w:color w:val="auto"/>
                <w:szCs w:val="21"/>
              </w:rPr>
            </w:pPr>
            <w:r>
              <w:rPr>
                <w:rFonts w:hint="eastAsia" w:ascii="宋体" w:hAnsi="宋体" w:eastAsia="宋体" w:cs="宋体"/>
                <w:color w:val="auto"/>
                <w:szCs w:val="21"/>
              </w:rPr>
              <w:t>2、律师事务所、司法鉴定机构不适用《中小企业划型标准规定》，不享受中小企业发展政策。</w:t>
            </w:r>
          </w:p>
        </w:tc>
      </w:tr>
      <w:tr w14:paraId="12036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0" w:hRule="atLeast"/>
        </w:trPr>
        <w:tc>
          <w:tcPr>
            <w:tcW w:w="637" w:type="dxa"/>
            <w:vMerge w:val="restart"/>
            <w:noWrap w:val="0"/>
            <w:vAlign w:val="center"/>
          </w:tcPr>
          <w:p w14:paraId="48EA5CB9">
            <w:pPr>
              <w:spacing w:line="240" w:lineRule="exact"/>
              <w:jc w:val="center"/>
              <w:rPr>
                <w:rFonts w:hint="eastAsia" w:ascii="宋体" w:hAnsi="宋体" w:eastAsia="宋体" w:cs="宋体"/>
                <w:szCs w:val="21"/>
              </w:rPr>
            </w:pPr>
            <w:r>
              <w:rPr>
                <w:rFonts w:hint="eastAsia" w:ascii="宋体" w:hAnsi="宋体" w:eastAsia="宋体" w:cs="宋体"/>
                <w:color w:val="auto"/>
                <w:szCs w:val="21"/>
                <w:highlight w:val="none"/>
                <w:shd w:val="clear" w:color="auto" w:fill="auto"/>
                <w:lang w:val="zh-CN"/>
              </w:rPr>
              <w:t>供应商应符合的</w:t>
            </w:r>
            <w:r>
              <w:rPr>
                <w:rFonts w:hint="eastAsia" w:ascii="宋体" w:hAnsi="宋体" w:eastAsia="宋体" w:cs="宋体"/>
                <w:color w:val="auto"/>
                <w:szCs w:val="21"/>
                <w:highlight w:val="none"/>
                <w:shd w:val="clear" w:color="auto" w:fill="auto"/>
              </w:rPr>
              <w:t>特定资格条件</w:t>
            </w:r>
          </w:p>
        </w:tc>
        <w:tc>
          <w:tcPr>
            <w:tcW w:w="1922" w:type="dxa"/>
            <w:gridSpan w:val="2"/>
            <w:noWrap w:val="0"/>
            <w:vAlign w:val="center"/>
          </w:tcPr>
          <w:p w14:paraId="69DA54F9">
            <w:pPr>
              <w:spacing w:line="240" w:lineRule="exact"/>
              <w:jc w:val="left"/>
              <w:rPr>
                <w:rFonts w:hint="eastAsia" w:ascii="宋体" w:hAnsi="宋体" w:eastAsia="宋体" w:cs="宋体"/>
                <w:szCs w:val="21"/>
              </w:rPr>
            </w:pPr>
            <w:r>
              <w:rPr>
                <w:rFonts w:hint="eastAsia" w:ascii="宋体" w:hAnsi="宋体" w:eastAsia="宋体" w:cs="宋体"/>
                <w:szCs w:val="21"/>
              </w:rPr>
              <w:t>（1）资质要求</w:t>
            </w:r>
          </w:p>
        </w:tc>
        <w:tc>
          <w:tcPr>
            <w:tcW w:w="6914" w:type="dxa"/>
            <w:noWrap w:val="0"/>
            <w:vAlign w:val="center"/>
          </w:tcPr>
          <w:p w14:paraId="371B3612">
            <w:pPr>
              <w:spacing w:line="240" w:lineRule="exact"/>
              <w:jc w:val="left"/>
              <w:rPr>
                <w:rFonts w:hint="eastAsia"/>
              </w:rPr>
            </w:pPr>
            <w:r>
              <w:rPr>
                <w:rFonts w:hint="eastAsia" w:ascii="宋体" w:hAnsi="宋体" w:eastAsia="宋体" w:cs="宋体"/>
                <w:color w:val="auto"/>
                <w:szCs w:val="21"/>
              </w:rPr>
              <w:t>具备</w:t>
            </w:r>
            <w:r>
              <w:rPr>
                <w:rFonts w:hint="eastAsia" w:ascii="宋体" w:hAnsi="宋体" w:eastAsia="宋体" w:cs="宋体"/>
                <w:color w:val="auto"/>
                <w:szCs w:val="21"/>
                <w:lang w:val="en-US" w:eastAsia="zh-CN"/>
              </w:rPr>
              <w:t>有效的</w:t>
            </w:r>
            <w:r>
              <w:rPr>
                <w:rFonts w:hint="eastAsia" w:ascii="宋体" w:hAnsi="宋体" w:eastAsia="宋体" w:cs="宋体"/>
                <w:color w:val="auto"/>
                <w:szCs w:val="21"/>
              </w:rPr>
              <w:t>建筑工程施工总承包</w:t>
            </w:r>
            <w:r>
              <w:rPr>
                <w:rFonts w:hint="eastAsia" w:ascii="宋体" w:hAnsi="宋体" w:eastAsia="宋体" w:cs="宋体"/>
                <w:color w:val="auto"/>
                <w:szCs w:val="21"/>
                <w:lang w:val="en-US" w:eastAsia="zh-CN"/>
              </w:rPr>
              <w:t>二</w:t>
            </w:r>
            <w:r>
              <w:rPr>
                <w:rFonts w:hint="eastAsia" w:ascii="宋体" w:hAnsi="宋体" w:eastAsia="宋体" w:cs="宋体"/>
                <w:color w:val="auto"/>
                <w:szCs w:val="21"/>
              </w:rPr>
              <w:t>级（或根据《住房城乡建设部办公厅关于做好有关建设工程企业资质证书换领和延续工作的通知》，在证书换领前仍在资质证书有效期内的建筑工程施工总承包三级）以上（含本级）资质，具备有效的安全生产许可证。</w:t>
            </w:r>
            <w:r>
              <w:rPr>
                <w:rFonts w:hint="eastAsia" w:ascii="宋体" w:hAnsi="宋体" w:eastAsia="宋体" w:cs="宋体"/>
                <w:color w:val="auto"/>
                <w:szCs w:val="21"/>
                <w:lang w:eastAsia="zh-CN"/>
              </w:rPr>
              <w:t>提供复印件并加盖供应商电子签章。</w:t>
            </w:r>
          </w:p>
        </w:tc>
      </w:tr>
      <w:tr w14:paraId="68FFC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10" w:hRule="atLeast"/>
        </w:trPr>
        <w:tc>
          <w:tcPr>
            <w:tcW w:w="637" w:type="dxa"/>
            <w:vMerge w:val="continue"/>
            <w:noWrap w:val="0"/>
            <w:vAlign w:val="center"/>
          </w:tcPr>
          <w:p w14:paraId="2256DA68">
            <w:pPr>
              <w:spacing w:line="240" w:lineRule="exact"/>
              <w:jc w:val="center"/>
              <w:rPr>
                <w:rFonts w:hint="eastAsia" w:ascii="宋体" w:hAnsi="宋体" w:eastAsia="宋体" w:cs="宋体"/>
                <w:szCs w:val="21"/>
              </w:rPr>
            </w:pPr>
          </w:p>
        </w:tc>
        <w:tc>
          <w:tcPr>
            <w:tcW w:w="966" w:type="dxa"/>
            <w:vMerge w:val="restart"/>
            <w:noWrap w:val="0"/>
            <w:vAlign w:val="center"/>
          </w:tcPr>
          <w:p w14:paraId="674766CB">
            <w:pPr>
              <w:spacing w:line="240" w:lineRule="exact"/>
              <w:rPr>
                <w:rFonts w:hint="eastAsia" w:ascii="宋体" w:hAnsi="宋体" w:eastAsia="宋体" w:cs="宋体"/>
                <w:szCs w:val="21"/>
              </w:rPr>
            </w:pPr>
            <w:r>
              <w:rPr>
                <w:rFonts w:hint="eastAsia" w:ascii="宋体" w:hAnsi="宋体" w:eastAsia="宋体" w:cs="宋体"/>
                <w:szCs w:val="21"/>
              </w:rPr>
              <w:t>（2）人员要求</w:t>
            </w:r>
          </w:p>
        </w:tc>
        <w:tc>
          <w:tcPr>
            <w:tcW w:w="956" w:type="dxa"/>
            <w:noWrap w:val="0"/>
            <w:vAlign w:val="center"/>
          </w:tcPr>
          <w:p w14:paraId="212493D2">
            <w:pPr>
              <w:spacing w:line="240" w:lineRule="exact"/>
              <w:jc w:val="center"/>
              <w:rPr>
                <w:rFonts w:hint="eastAsia" w:ascii="宋体" w:hAnsi="宋体" w:eastAsia="宋体" w:cs="宋体"/>
                <w:szCs w:val="21"/>
              </w:rPr>
            </w:pPr>
            <w:r>
              <w:rPr>
                <w:rFonts w:hint="eastAsia" w:ascii="宋体" w:hAnsi="宋体" w:eastAsia="宋体" w:cs="宋体"/>
                <w:szCs w:val="21"/>
              </w:rPr>
              <w:t>项目</w:t>
            </w:r>
          </w:p>
          <w:p w14:paraId="28C3D8F8">
            <w:pPr>
              <w:spacing w:line="240" w:lineRule="exact"/>
              <w:jc w:val="center"/>
              <w:rPr>
                <w:rFonts w:hint="eastAsia" w:ascii="宋体" w:hAnsi="宋体" w:eastAsia="宋体" w:cs="宋体"/>
                <w:szCs w:val="21"/>
              </w:rPr>
            </w:pPr>
            <w:r>
              <w:rPr>
                <w:rFonts w:hint="eastAsia" w:ascii="宋体" w:hAnsi="宋体" w:eastAsia="宋体" w:cs="宋体"/>
                <w:szCs w:val="21"/>
              </w:rPr>
              <w:t>经理</w:t>
            </w:r>
          </w:p>
        </w:tc>
        <w:tc>
          <w:tcPr>
            <w:tcW w:w="6914" w:type="dxa"/>
            <w:noWrap w:val="0"/>
            <w:vAlign w:val="center"/>
          </w:tcPr>
          <w:p w14:paraId="2DDD34BC">
            <w:pPr>
              <w:spacing w:line="240" w:lineRule="exact"/>
              <w:rPr>
                <w:rFonts w:hint="eastAsia" w:ascii="宋体" w:hAnsi="宋体" w:eastAsia="宋体" w:cs="宋体"/>
                <w:szCs w:val="21"/>
                <w:lang w:eastAsia="zh-CN"/>
              </w:rPr>
            </w:pPr>
            <w:r>
              <w:rPr>
                <w:rFonts w:hint="eastAsia" w:ascii="宋体" w:hAnsi="宋体" w:eastAsia="宋体" w:cs="宋体"/>
                <w:szCs w:val="21"/>
                <w:highlight w:val="none"/>
                <w:lang w:val="en-US" w:eastAsia="zh-CN"/>
              </w:rPr>
              <w:t>具备有效的建筑工程</w:t>
            </w:r>
            <w:r>
              <w:rPr>
                <w:rFonts w:hint="eastAsia" w:ascii="宋体" w:hAnsi="宋体" w:eastAsia="宋体" w:cs="宋体"/>
                <w:szCs w:val="21"/>
                <w:highlight w:val="none"/>
                <w:lang w:eastAsia="zh-CN"/>
              </w:rPr>
              <w:t>专业</w:t>
            </w:r>
            <w:r>
              <w:rPr>
                <w:rFonts w:hint="eastAsia" w:ascii="宋体" w:hAnsi="宋体" w:eastAsia="宋体" w:cs="宋体"/>
                <w:szCs w:val="21"/>
                <w:highlight w:val="none"/>
                <w:lang w:val="en-US" w:eastAsia="zh-CN"/>
              </w:rPr>
              <w:t>二</w:t>
            </w:r>
            <w:r>
              <w:rPr>
                <w:rFonts w:hint="eastAsia" w:ascii="宋体" w:hAnsi="宋体" w:eastAsia="宋体" w:cs="宋体"/>
                <w:szCs w:val="21"/>
                <w:highlight w:val="none"/>
                <w:lang w:eastAsia="zh-CN"/>
              </w:rPr>
              <w:t>级以上（含本级）注册建造师执业资格，</w:t>
            </w:r>
            <w:r>
              <w:rPr>
                <w:rFonts w:hint="eastAsia" w:ascii="宋体" w:hAnsi="宋体" w:eastAsia="宋体" w:cs="宋体"/>
                <w:szCs w:val="21"/>
                <w:highlight w:val="none"/>
                <w:lang w:val="en-US" w:eastAsia="zh-CN"/>
              </w:rPr>
              <w:t>并</w:t>
            </w:r>
            <w:r>
              <w:rPr>
                <w:rFonts w:hint="eastAsia" w:ascii="宋体" w:hAnsi="宋体" w:eastAsia="宋体" w:cs="宋体"/>
                <w:szCs w:val="21"/>
                <w:highlight w:val="none"/>
                <w:lang w:eastAsia="zh-CN"/>
              </w:rPr>
              <w:t>具备有效的安全生产考核合格证书（B类）。本项目不接受有在建、已中标未开工或已列为其他项目中标（成交）候选人第一名的建造师作为项目经理（符合《广西壮族自治区建筑市场诚信卡管理暂行办法》第十六条第一款及桂建管﹝2016﹞70号、桂建管〔2020〕11号文除外）。</w:t>
            </w:r>
            <w:r>
              <w:rPr>
                <w:rFonts w:hint="eastAsia" w:ascii="宋体" w:hAnsi="宋体" w:eastAsia="宋体" w:cs="宋体"/>
                <w:color w:val="auto"/>
                <w:szCs w:val="21"/>
                <w:highlight w:val="none"/>
                <w:lang w:eastAsia="zh-CN"/>
              </w:rPr>
              <w:t>提供</w:t>
            </w:r>
            <w:r>
              <w:rPr>
                <w:rFonts w:hint="eastAsia" w:ascii="宋体" w:hAnsi="宋体" w:eastAsia="宋体" w:cs="宋体"/>
                <w:color w:val="auto"/>
                <w:szCs w:val="21"/>
                <w:highlight w:val="none"/>
                <w:lang w:val="en-US" w:eastAsia="zh-CN"/>
              </w:rPr>
              <w:t>证书</w:t>
            </w:r>
            <w:r>
              <w:rPr>
                <w:rFonts w:hint="eastAsia" w:ascii="宋体" w:hAnsi="宋体" w:eastAsia="宋体" w:cs="宋体"/>
                <w:color w:val="auto"/>
                <w:szCs w:val="21"/>
                <w:highlight w:val="none"/>
                <w:lang w:eastAsia="zh-CN"/>
              </w:rPr>
              <w:t>复印件</w:t>
            </w:r>
            <w:r>
              <w:rPr>
                <w:rFonts w:hint="eastAsia" w:ascii="宋体" w:hAnsi="宋体" w:cs="宋体"/>
                <w:color w:val="auto"/>
                <w:szCs w:val="21"/>
                <w:highlight w:val="none"/>
                <w:lang w:val="en-US" w:eastAsia="zh-CN"/>
              </w:rPr>
              <w:t>及承诺函</w:t>
            </w:r>
            <w:r>
              <w:rPr>
                <w:rFonts w:hint="eastAsia" w:ascii="宋体" w:hAnsi="宋体" w:eastAsia="宋体" w:cs="宋体"/>
                <w:color w:val="auto"/>
                <w:szCs w:val="21"/>
                <w:highlight w:val="none"/>
                <w:lang w:eastAsia="zh-CN"/>
              </w:rPr>
              <w:t>并加盖供应商电子签章。</w:t>
            </w:r>
          </w:p>
        </w:tc>
      </w:tr>
      <w:tr w14:paraId="29E3C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7" w:hRule="atLeast"/>
        </w:trPr>
        <w:tc>
          <w:tcPr>
            <w:tcW w:w="637" w:type="dxa"/>
            <w:vMerge w:val="continue"/>
            <w:noWrap w:val="0"/>
            <w:vAlign w:val="center"/>
          </w:tcPr>
          <w:p w14:paraId="7F997851">
            <w:pPr>
              <w:spacing w:line="240" w:lineRule="exact"/>
              <w:jc w:val="center"/>
              <w:rPr>
                <w:rFonts w:hint="eastAsia" w:ascii="宋体" w:hAnsi="宋体" w:eastAsia="宋体" w:cs="宋体"/>
                <w:szCs w:val="21"/>
              </w:rPr>
            </w:pPr>
          </w:p>
        </w:tc>
        <w:tc>
          <w:tcPr>
            <w:tcW w:w="966" w:type="dxa"/>
            <w:vMerge w:val="continue"/>
            <w:noWrap w:val="0"/>
            <w:vAlign w:val="top"/>
          </w:tcPr>
          <w:p w14:paraId="6DAD4975">
            <w:pPr>
              <w:spacing w:line="240" w:lineRule="exact"/>
              <w:jc w:val="left"/>
              <w:rPr>
                <w:rFonts w:hint="eastAsia" w:ascii="宋体" w:hAnsi="宋体" w:eastAsia="宋体" w:cs="宋体"/>
                <w:szCs w:val="21"/>
              </w:rPr>
            </w:pPr>
          </w:p>
        </w:tc>
        <w:tc>
          <w:tcPr>
            <w:tcW w:w="956" w:type="dxa"/>
            <w:noWrap w:val="0"/>
            <w:vAlign w:val="center"/>
          </w:tcPr>
          <w:p w14:paraId="4AC04849">
            <w:pPr>
              <w:spacing w:line="240" w:lineRule="exact"/>
              <w:jc w:val="center"/>
              <w:rPr>
                <w:rFonts w:hint="eastAsia" w:ascii="宋体" w:hAnsi="宋体" w:eastAsia="宋体" w:cs="宋体"/>
                <w:szCs w:val="21"/>
              </w:rPr>
            </w:pPr>
            <w:r>
              <w:rPr>
                <w:rFonts w:hint="eastAsia" w:ascii="宋体" w:hAnsi="宋体" w:eastAsia="宋体" w:cs="宋体"/>
                <w:szCs w:val="21"/>
              </w:rPr>
              <w:t>专职</w:t>
            </w:r>
          </w:p>
          <w:p w14:paraId="3CCA3E47">
            <w:pPr>
              <w:spacing w:line="240" w:lineRule="exact"/>
              <w:jc w:val="center"/>
              <w:rPr>
                <w:rFonts w:hint="eastAsia" w:ascii="宋体" w:hAnsi="宋体" w:eastAsia="宋体" w:cs="宋体"/>
                <w:szCs w:val="21"/>
              </w:rPr>
            </w:pPr>
            <w:r>
              <w:rPr>
                <w:rFonts w:hint="eastAsia" w:ascii="宋体" w:hAnsi="宋体" w:eastAsia="宋体" w:cs="宋体"/>
                <w:szCs w:val="21"/>
              </w:rPr>
              <w:t>安全员</w:t>
            </w:r>
          </w:p>
        </w:tc>
        <w:tc>
          <w:tcPr>
            <w:tcW w:w="6914" w:type="dxa"/>
            <w:noWrap w:val="0"/>
            <w:vAlign w:val="center"/>
          </w:tcPr>
          <w:p w14:paraId="298B4928">
            <w:pPr>
              <w:spacing w:line="240" w:lineRule="exact"/>
              <w:rPr>
                <w:rFonts w:hint="eastAsia" w:ascii="宋体" w:hAnsi="宋体" w:eastAsia="宋体" w:cs="宋体"/>
                <w:szCs w:val="21"/>
              </w:rPr>
            </w:pPr>
            <w:r>
              <w:rPr>
                <w:rFonts w:hint="eastAsia" w:ascii="宋体" w:hAnsi="宋体" w:eastAsia="宋体" w:cs="宋体"/>
                <w:szCs w:val="21"/>
              </w:rPr>
              <w:t>具备有效的安全生产考核合格证书（C类），人数符合住房和城乡建设部</w:t>
            </w:r>
            <w:r>
              <w:rPr>
                <w:rFonts w:hint="eastAsia" w:ascii="宋体" w:hAnsi="宋体" w:eastAsia="宋体" w:cs="宋体"/>
                <w:color w:val="auto"/>
                <w:highlight w:val="none"/>
              </w:rPr>
              <w:t>《建筑施工企业、工程项目安全生产管理机构设置及安全生产管理人员配备办法》（建质</w:t>
            </w:r>
            <w:r>
              <w:rPr>
                <w:rFonts w:hint="eastAsia" w:ascii="宋体" w:hAnsi="宋体" w:eastAsia="宋体" w:cs="宋体"/>
                <w:color w:val="auto"/>
                <w:highlight w:val="none"/>
                <w:lang w:val="en-US" w:eastAsia="zh-CN"/>
              </w:rPr>
              <w:t>规</w:t>
            </w:r>
            <w:r>
              <w:rPr>
                <w:rFonts w:hint="eastAsia" w:ascii="宋体" w:hAnsi="宋体" w:eastAsia="宋体" w:cs="宋体"/>
                <w:color w:val="auto"/>
                <w:highlight w:val="none"/>
              </w:rPr>
              <w:t>〔20</w:t>
            </w:r>
            <w:r>
              <w:rPr>
                <w:rFonts w:hint="eastAsia" w:ascii="宋体" w:hAnsi="宋体" w:eastAsia="宋体" w:cs="宋体"/>
                <w:color w:val="auto"/>
                <w:highlight w:val="none"/>
                <w:lang w:val="en-US" w:eastAsia="zh-CN"/>
              </w:rPr>
              <w:t>25</w:t>
            </w: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号）</w:t>
            </w:r>
            <w:r>
              <w:rPr>
                <w:rFonts w:hint="eastAsia" w:ascii="宋体" w:hAnsi="宋体" w:eastAsia="宋体" w:cs="宋体"/>
                <w:szCs w:val="21"/>
              </w:rPr>
              <w:t>的规定不少于</w:t>
            </w:r>
            <w:r>
              <w:rPr>
                <w:rFonts w:hint="eastAsia" w:ascii="宋体" w:hAnsi="宋体" w:eastAsia="宋体" w:cs="宋体"/>
                <w:szCs w:val="21"/>
                <w:lang w:val="en-US" w:eastAsia="zh-CN"/>
              </w:rPr>
              <w:t>1</w:t>
            </w:r>
            <w:r>
              <w:rPr>
                <w:rFonts w:hint="eastAsia" w:ascii="宋体" w:hAnsi="宋体" w:eastAsia="宋体" w:cs="宋体"/>
                <w:szCs w:val="21"/>
              </w:rPr>
              <w:t>人。</w:t>
            </w:r>
            <w:r>
              <w:rPr>
                <w:rFonts w:hint="eastAsia" w:ascii="宋体" w:hAnsi="宋体" w:eastAsia="宋体" w:cs="宋体"/>
                <w:color w:val="auto"/>
                <w:szCs w:val="21"/>
                <w:highlight w:val="none"/>
                <w:lang w:eastAsia="zh-CN"/>
              </w:rPr>
              <w:t>提供证书复印件并加盖供应商电子签章。</w:t>
            </w:r>
          </w:p>
        </w:tc>
      </w:tr>
      <w:tr w14:paraId="3F012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4" w:hRule="atLeast"/>
        </w:trPr>
        <w:tc>
          <w:tcPr>
            <w:tcW w:w="637" w:type="dxa"/>
            <w:vMerge w:val="continue"/>
            <w:noWrap w:val="0"/>
            <w:vAlign w:val="center"/>
          </w:tcPr>
          <w:p w14:paraId="3996FD1C">
            <w:pPr>
              <w:spacing w:line="240" w:lineRule="exact"/>
              <w:jc w:val="center"/>
              <w:rPr>
                <w:rFonts w:hint="eastAsia" w:ascii="宋体" w:hAnsi="宋体" w:eastAsia="宋体" w:cs="宋体"/>
                <w:szCs w:val="21"/>
              </w:rPr>
            </w:pPr>
          </w:p>
        </w:tc>
        <w:tc>
          <w:tcPr>
            <w:tcW w:w="1922" w:type="dxa"/>
            <w:gridSpan w:val="2"/>
            <w:noWrap w:val="0"/>
            <w:vAlign w:val="center"/>
          </w:tcPr>
          <w:p w14:paraId="361E23AD">
            <w:pPr>
              <w:spacing w:line="240" w:lineRule="exact"/>
              <w:rPr>
                <w:rFonts w:hint="eastAsia" w:ascii="宋体" w:hAnsi="宋体" w:eastAsia="宋体" w:cs="宋体"/>
                <w:szCs w:val="21"/>
              </w:rPr>
            </w:pPr>
            <w:r>
              <w:rPr>
                <w:rFonts w:hint="eastAsia" w:ascii="宋体" w:hAnsi="宋体" w:eastAsia="宋体" w:cs="宋体"/>
                <w:kern w:val="0"/>
                <w:szCs w:val="21"/>
              </w:rPr>
              <w:t>（</w:t>
            </w:r>
            <w:r>
              <w:rPr>
                <w:rFonts w:hint="eastAsia" w:ascii="宋体" w:hAnsi="宋体" w:eastAsia="宋体" w:cs="宋体"/>
                <w:kern w:val="0"/>
                <w:szCs w:val="21"/>
                <w:lang w:val="en-US" w:eastAsia="zh-CN"/>
              </w:rPr>
              <w:t>3</w:t>
            </w:r>
            <w:r>
              <w:rPr>
                <w:rFonts w:hint="eastAsia" w:ascii="宋体" w:hAnsi="宋体" w:eastAsia="宋体" w:cs="宋体"/>
                <w:kern w:val="0"/>
                <w:szCs w:val="21"/>
              </w:rPr>
              <w:t>）供应商不得参加响应的情形</w:t>
            </w:r>
          </w:p>
        </w:tc>
        <w:tc>
          <w:tcPr>
            <w:tcW w:w="6914" w:type="dxa"/>
            <w:noWrap w:val="0"/>
            <w:vAlign w:val="center"/>
          </w:tcPr>
          <w:p w14:paraId="4753A772">
            <w:pPr>
              <w:spacing w:line="240" w:lineRule="exact"/>
              <w:jc w:val="left"/>
              <w:rPr>
                <w:rFonts w:hint="eastAsia" w:ascii="宋体" w:hAnsi="宋体" w:eastAsia="宋体" w:cs="宋体"/>
                <w:kern w:val="0"/>
                <w:szCs w:val="21"/>
              </w:rPr>
            </w:pPr>
            <w:r>
              <w:rPr>
                <w:rFonts w:hint="eastAsia" w:ascii="宋体" w:hAnsi="宋体" w:eastAsia="宋体" w:cs="宋体"/>
                <w:kern w:val="0"/>
                <w:szCs w:val="21"/>
              </w:rPr>
              <w:t>单位负责人为同一人或者存在直接控股、管理关系的不同供应商，不得参加本项目同一合同项下的政府采购活动。为本项目提供整体设计、规范编制或者项目管理、监理、检测等服务的供应商，不得再参加本项目的采购活动。</w:t>
            </w:r>
          </w:p>
          <w:p w14:paraId="33AEA171">
            <w:pPr>
              <w:spacing w:line="240" w:lineRule="exact"/>
              <w:jc w:val="left"/>
              <w:rPr>
                <w:rFonts w:hint="eastAsia" w:ascii="宋体" w:hAnsi="宋体" w:eastAsia="宋体" w:cs="宋体"/>
                <w:szCs w:val="21"/>
              </w:rPr>
            </w:pPr>
            <w:r>
              <w:rPr>
                <w:rFonts w:hint="eastAsia" w:ascii="宋体" w:hAnsi="宋体" w:eastAsia="宋体" w:cs="宋体"/>
                <w:szCs w:val="21"/>
              </w:rPr>
              <w:t>须提供，格式见第</w:t>
            </w:r>
            <w:r>
              <w:rPr>
                <w:rFonts w:hint="eastAsia" w:ascii="宋体" w:hAnsi="宋体" w:cs="宋体"/>
                <w:szCs w:val="21"/>
                <w:lang w:val="en-US" w:eastAsia="zh-CN"/>
              </w:rPr>
              <w:t>七</w:t>
            </w:r>
            <w:r>
              <w:rPr>
                <w:rFonts w:hint="eastAsia" w:ascii="宋体" w:hAnsi="宋体" w:eastAsia="宋体" w:cs="宋体"/>
                <w:szCs w:val="21"/>
              </w:rPr>
              <w:t>章响应文件格式“供应商直接控股股东、管理关系信息表”。</w:t>
            </w:r>
          </w:p>
        </w:tc>
      </w:tr>
      <w:tr w14:paraId="5FD3F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trPr>
        <w:tc>
          <w:tcPr>
            <w:tcW w:w="637" w:type="dxa"/>
            <w:vMerge w:val="continue"/>
            <w:noWrap w:val="0"/>
            <w:vAlign w:val="center"/>
          </w:tcPr>
          <w:p w14:paraId="037CA64A">
            <w:pPr>
              <w:spacing w:line="240" w:lineRule="exact"/>
              <w:jc w:val="center"/>
              <w:rPr>
                <w:rFonts w:hint="eastAsia" w:ascii="宋体" w:hAnsi="宋体" w:eastAsia="宋体" w:cs="宋体"/>
                <w:szCs w:val="21"/>
              </w:rPr>
            </w:pPr>
          </w:p>
        </w:tc>
        <w:tc>
          <w:tcPr>
            <w:tcW w:w="1922" w:type="dxa"/>
            <w:gridSpan w:val="2"/>
            <w:noWrap w:val="0"/>
            <w:vAlign w:val="center"/>
          </w:tcPr>
          <w:p w14:paraId="7EB6D4E8">
            <w:pPr>
              <w:spacing w:line="240" w:lineRule="exact"/>
              <w:rPr>
                <w:rFonts w:hint="eastAsia" w:ascii="宋体" w:hAnsi="宋体" w:eastAsia="宋体" w:cs="宋体"/>
                <w:szCs w:val="21"/>
              </w:rPr>
            </w:pPr>
            <w:r>
              <w:rPr>
                <w:rFonts w:hint="eastAsia" w:ascii="宋体" w:hAnsi="宋体" w:eastAsia="宋体" w:cs="宋体"/>
                <w:szCs w:val="21"/>
              </w:rPr>
              <w:t>（</w:t>
            </w:r>
            <w:r>
              <w:rPr>
                <w:rFonts w:hint="eastAsia" w:ascii="宋体" w:hAnsi="宋体" w:eastAsia="宋体" w:cs="宋体"/>
                <w:szCs w:val="21"/>
                <w:lang w:val="en-US" w:eastAsia="zh-CN"/>
              </w:rPr>
              <w:t>4</w:t>
            </w:r>
            <w:r>
              <w:rPr>
                <w:rFonts w:hint="eastAsia" w:ascii="宋体" w:hAnsi="宋体" w:eastAsia="宋体" w:cs="宋体"/>
                <w:szCs w:val="21"/>
              </w:rPr>
              <w:t>）诚信要求</w:t>
            </w:r>
          </w:p>
        </w:tc>
        <w:tc>
          <w:tcPr>
            <w:tcW w:w="6914" w:type="dxa"/>
            <w:noWrap w:val="0"/>
            <w:vAlign w:val="center"/>
          </w:tcPr>
          <w:p w14:paraId="10FB0CBC">
            <w:pPr>
              <w:spacing w:line="240" w:lineRule="exact"/>
              <w:jc w:val="left"/>
              <w:rPr>
                <w:rFonts w:hint="eastAsia" w:ascii="宋体" w:hAnsi="宋体" w:eastAsia="宋体" w:cs="宋体"/>
                <w:szCs w:val="21"/>
              </w:rPr>
            </w:pPr>
            <w:r>
              <w:rPr>
                <w:rFonts w:hint="eastAsia" w:ascii="宋体" w:hAnsi="宋体" w:eastAsia="宋体" w:cs="宋体"/>
                <w:szCs w:val="21"/>
              </w:rPr>
              <w:t>未被列入失信被执行人、</w:t>
            </w:r>
            <w:r>
              <w:rPr>
                <w:rFonts w:hint="eastAsia" w:ascii="宋体" w:hAnsi="宋体" w:eastAsia="宋体" w:cs="宋体"/>
                <w:kern w:val="0"/>
                <w:szCs w:val="21"/>
              </w:rPr>
              <w:t>重大税收违法失信主体</w:t>
            </w:r>
            <w:r>
              <w:rPr>
                <w:rFonts w:hint="eastAsia" w:ascii="宋体" w:hAnsi="宋体" w:eastAsia="宋体" w:cs="宋体"/>
                <w:szCs w:val="21"/>
              </w:rPr>
              <w:t>、政府采购严重违法失信行为记录名单。</w:t>
            </w:r>
          </w:p>
        </w:tc>
      </w:tr>
      <w:tr w14:paraId="552FA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637" w:type="dxa"/>
            <w:vMerge w:val="continue"/>
            <w:noWrap w:val="0"/>
            <w:vAlign w:val="center"/>
          </w:tcPr>
          <w:p w14:paraId="4B6B214C">
            <w:pPr>
              <w:spacing w:line="240" w:lineRule="exact"/>
              <w:jc w:val="center"/>
              <w:rPr>
                <w:rFonts w:hint="eastAsia" w:ascii="宋体" w:hAnsi="宋体" w:eastAsia="宋体" w:cs="宋体"/>
                <w:szCs w:val="21"/>
              </w:rPr>
            </w:pPr>
          </w:p>
        </w:tc>
        <w:tc>
          <w:tcPr>
            <w:tcW w:w="1922" w:type="dxa"/>
            <w:gridSpan w:val="2"/>
            <w:noWrap w:val="0"/>
            <w:vAlign w:val="center"/>
          </w:tcPr>
          <w:p w14:paraId="31FE5649">
            <w:pPr>
              <w:rPr>
                <w:rFonts w:hint="eastAsia" w:ascii="宋体" w:hAnsi="宋体" w:eastAsia="宋体" w:cs="宋体"/>
              </w:rPr>
            </w:pPr>
            <w:r>
              <w:rPr>
                <w:rFonts w:hint="eastAsia" w:ascii="宋体" w:hAnsi="宋体" w:eastAsia="宋体" w:cs="宋体"/>
              </w:rPr>
              <w:t>（</w:t>
            </w:r>
            <w:r>
              <w:rPr>
                <w:rFonts w:hint="eastAsia" w:ascii="宋体" w:hAnsi="宋体" w:eastAsia="宋体" w:cs="宋体"/>
                <w:lang w:val="en-US" w:eastAsia="zh-CN"/>
              </w:rPr>
              <w:t>5</w:t>
            </w:r>
            <w:r>
              <w:rPr>
                <w:rFonts w:hint="eastAsia" w:ascii="宋体" w:hAnsi="宋体" w:eastAsia="宋体" w:cs="宋体"/>
              </w:rPr>
              <w:t>）分包</w:t>
            </w:r>
          </w:p>
        </w:tc>
        <w:tc>
          <w:tcPr>
            <w:tcW w:w="6914" w:type="dxa"/>
            <w:noWrap w:val="0"/>
            <w:vAlign w:val="center"/>
          </w:tcPr>
          <w:p w14:paraId="5DA32CA6">
            <w:pPr>
              <w:rPr>
                <w:rFonts w:hint="eastAsia" w:ascii="宋体" w:hAnsi="宋体" w:eastAsia="宋体" w:cs="宋体"/>
              </w:rPr>
            </w:pPr>
            <w:r>
              <w:rPr>
                <w:rFonts w:hint="eastAsia" w:ascii="宋体" w:hAnsi="宋体" w:eastAsia="宋体" w:cs="宋体"/>
                <w:highlight w:val="none"/>
              </w:rPr>
              <w:t>本项目不允许分包</w:t>
            </w:r>
          </w:p>
        </w:tc>
      </w:tr>
      <w:tr w14:paraId="15FED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5" w:hRule="atLeast"/>
        </w:trPr>
        <w:tc>
          <w:tcPr>
            <w:tcW w:w="637" w:type="dxa"/>
            <w:vMerge w:val="continue"/>
            <w:noWrap w:val="0"/>
            <w:vAlign w:val="center"/>
          </w:tcPr>
          <w:p w14:paraId="7D57450B">
            <w:pPr>
              <w:spacing w:line="240" w:lineRule="exact"/>
              <w:jc w:val="center"/>
              <w:rPr>
                <w:rFonts w:hint="eastAsia" w:ascii="宋体" w:hAnsi="宋体" w:eastAsia="宋体" w:cs="宋体"/>
                <w:szCs w:val="21"/>
              </w:rPr>
            </w:pPr>
          </w:p>
        </w:tc>
        <w:tc>
          <w:tcPr>
            <w:tcW w:w="1922" w:type="dxa"/>
            <w:gridSpan w:val="2"/>
            <w:noWrap w:val="0"/>
            <w:vAlign w:val="center"/>
          </w:tcPr>
          <w:p w14:paraId="1A454D0B">
            <w:pPr>
              <w:rPr>
                <w:rFonts w:hint="eastAsia" w:ascii="宋体" w:hAnsi="宋体" w:eastAsia="宋体" w:cs="宋体"/>
              </w:rPr>
            </w:pPr>
            <w:r>
              <w:rPr>
                <w:rFonts w:hint="eastAsia" w:ascii="宋体" w:hAnsi="宋体" w:eastAsia="宋体" w:cs="宋体"/>
              </w:rPr>
              <w:t>（</w:t>
            </w:r>
            <w:r>
              <w:rPr>
                <w:rFonts w:hint="eastAsia" w:ascii="宋体" w:hAnsi="宋体" w:eastAsia="宋体" w:cs="宋体"/>
                <w:lang w:val="en-US" w:eastAsia="zh-CN"/>
              </w:rPr>
              <w:t>6</w:t>
            </w:r>
            <w:r>
              <w:rPr>
                <w:rFonts w:hint="eastAsia" w:ascii="宋体" w:hAnsi="宋体" w:eastAsia="宋体" w:cs="宋体"/>
              </w:rPr>
              <w:t>）联合体</w:t>
            </w:r>
          </w:p>
        </w:tc>
        <w:tc>
          <w:tcPr>
            <w:tcW w:w="6914" w:type="dxa"/>
            <w:noWrap w:val="0"/>
            <w:vAlign w:val="center"/>
          </w:tcPr>
          <w:p w14:paraId="2F3F0185">
            <w:pPr>
              <w:rPr>
                <w:rFonts w:hint="eastAsia" w:ascii="宋体" w:hAnsi="宋体" w:eastAsia="宋体" w:cs="宋体"/>
              </w:rPr>
            </w:pPr>
            <w:r>
              <w:rPr>
                <w:rFonts w:hint="eastAsia" w:ascii="宋体" w:hAnsi="宋体" w:eastAsia="宋体" w:cs="宋体"/>
              </w:rPr>
              <w:t>本项目不接受联合体</w:t>
            </w:r>
          </w:p>
        </w:tc>
      </w:tr>
      <w:tr w14:paraId="1ECEC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trPr>
        <w:tc>
          <w:tcPr>
            <w:tcW w:w="637" w:type="dxa"/>
            <w:vMerge w:val="continue"/>
            <w:noWrap w:val="0"/>
            <w:vAlign w:val="center"/>
          </w:tcPr>
          <w:p w14:paraId="05096750">
            <w:pPr>
              <w:spacing w:line="240" w:lineRule="exact"/>
              <w:jc w:val="center"/>
              <w:rPr>
                <w:rFonts w:hint="eastAsia" w:ascii="宋体" w:hAnsi="宋体" w:eastAsia="宋体" w:cs="宋体"/>
                <w:szCs w:val="21"/>
              </w:rPr>
            </w:pPr>
          </w:p>
        </w:tc>
        <w:tc>
          <w:tcPr>
            <w:tcW w:w="1922" w:type="dxa"/>
            <w:gridSpan w:val="2"/>
            <w:noWrap w:val="0"/>
            <w:vAlign w:val="center"/>
          </w:tcPr>
          <w:p w14:paraId="6AFD2FEE">
            <w:pPr>
              <w:spacing w:line="240" w:lineRule="exact"/>
              <w:jc w:val="left"/>
              <w:rPr>
                <w:rFonts w:hint="eastAsia" w:ascii="宋体" w:hAnsi="宋体" w:eastAsia="宋体" w:cs="宋体"/>
                <w:szCs w:val="21"/>
              </w:rPr>
            </w:pPr>
            <w:r>
              <w:rPr>
                <w:rFonts w:hint="eastAsia" w:ascii="宋体" w:hAnsi="宋体" w:eastAsia="宋体" w:cs="宋体"/>
                <w:szCs w:val="21"/>
              </w:rPr>
              <w:t>（</w:t>
            </w:r>
            <w:r>
              <w:rPr>
                <w:rFonts w:hint="eastAsia" w:ascii="宋体" w:hAnsi="宋体" w:eastAsia="宋体" w:cs="宋体"/>
                <w:szCs w:val="21"/>
                <w:lang w:val="en-US" w:eastAsia="zh-CN"/>
              </w:rPr>
              <w:t>7</w:t>
            </w:r>
            <w:r>
              <w:rPr>
                <w:rFonts w:hint="eastAsia" w:ascii="宋体" w:hAnsi="宋体" w:eastAsia="宋体" w:cs="宋体"/>
                <w:szCs w:val="21"/>
              </w:rPr>
              <w:t>）其他要求</w:t>
            </w:r>
          </w:p>
        </w:tc>
        <w:tc>
          <w:tcPr>
            <w:tcW w:w="6914" w:type="dxa"/>
            <w:noWrap w:val="0"/>
            <w:vAlign w:val="center"/>
          </w:tcPr>
          <w:p w14:paraId="402B0F49">
            <w:pPr>
              <w:spacing w:line="312" w:lineRule="auto"/>
              <w:rPr>
                <w:rFonts w:hint="eastAsia" w:ascii="宋体" w:hAnsi="宋体" w:eastAsia="宋体" w:cs="宋体"/>
                <w:kern w:val="0"/>
                <w:szCs w:val="21"/>
              </w:rPr>
            </w:pPr>
            <w:r>
              <w:rPr>
                <w:rFonts w:hint="eastAsia" w:ascii="宋体" w:hAnsi="宋体" w:eastAsia="宋体" w:cs="宋体"/>
                <w:kern w:val="0"/>
                <w:szCs w:val="21"/>
              </w:rPr>
              <w:t>按照磋商公告规定获得采购文件。</w:t>
            </w:r>
          </w:p>
        </w:tc>
      </w:tr>
    </w:tbl>
    <w:p w14:paraId="6825E717">
      <w:pPr>
        <w:spacing w:before="120" w:line="320" w:lineRule="atLeast"/>
        <w:ind w:firstLine="211" w:firstLineChars="100"/>
        <w:outlineLvl w:val="1"/>
        <w:rPr>
          <w:rFonts w:hint="eastAsia" w:ascii="宋体" w:hAnsi="宋体" w:eastAsia="宋体" w:cs="宋体"/>
          <w:szCs w:val="21"/>
        </w:rPr>
      </w:pPr>
      <w:r>
        <w:rPr>
          <w:rFonts w:hint="eastAsia" w:ascii="宋体" w:hAnsi="宋体" w:eastAsia="宋体" w:cs="宋体"/>
          <w:b/>
          <w:bCs/>
          <w:kern w:val="0"/>
          <w:szCs w:val="21"/>
        </w:rPr>
        <w:t>3.符合性审查标准（不满足任何一项审查内容要求，符合性审查即为不合格）</w:t>
      </w:r>
    </w:p>
    <w:bookmarkEnd w:id="81"/>
    <w:bookmarkEnd w:id="82"/>
    <w:tbl>
      <w:tblPr>
        <w:tblStyle w:val="15"/>
        <w:tblW w:w="92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7"/>
        <w:gridCol w:w="2611"/>
        <w:gridCol w:w="5599"/>
      </w:tblGrid>
      <w:tr w14:paraId="0B811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1077" w:type="dxa"/>
            <w:noWrap w:val="0"/>
            <w:vAlign w:val="center"/>
          </w:tcPr>
          <w:p w14:paraId="33558210">
            <w:pPr>
              <w:spacing w:line="240" w:lineRule="exact"/>
              <w:jc w:val="center"/>
              <w:rPr>
                <w:rFonts w:hint="eastAsia" w:ascii="宋体" w:hAnsi="宋体" w:eastAsia="宋体" w:cs="宋体"/>
                <w:b/>
                <w:kern w:val="0"/>
                <w:szCs w:val="21"/>
              </w:rPr>
            </w:pPr>
            <w:r>
              <w:rPr>
                <w:rFonts w:hint="eastAsia" w:ascii="宋体" w:hAnsi="宋体" w:eastAsia="宋体" w:cs="宋体"/>
                <w:b/>
                <w:kern w:val="0"/>
                <w:szCs w:val="21"/>
              </w:rPr>
              <w:t>审查因素</w:t>
            </w:r>
          </w:p>
        </w:tc>
        <w:tc>
          <w:tcPr>
            <w:tcW w:w="2611" w:type="dxa"/>
            <w:noWrap w:val="0"/>
            <w:vAlign w:val="center"/>
          </w:tcPr>
          <w:p w14:paraId="12E2C055">
            <w:pPr>
              <w:spacing w:line="240" w:lineRule="exact"/>
              <w:jc w:val="center"/>
              <w:rPr>
                <w:rFonts w:hint="eastAsia" w:ascii="宋体" w:hAnsi="宋体" w:eastAsia="宋体" w:cs="宋体"/>
                <w:b/>
                <w:kern w:val="0"/>
                <w:szCs w:val="21"/>
              </w:rPr>
            </w:pPr>
            <w:r>
              <w:rPr>
                <w:rFonts w:hint="eastAsia" w:ascii="宋体" w:hAnsi="宋体" w:eastAsia="宋体" w:cs="宋体"/>
                <w:b/>
                <w:kern w:val="0"/>
                <w:szCs w:val="21"/>
              </w:rPr>
              <w:t>审查内容</w:t>
            </w:r>
          </w:p>
        </w:tc>
        <w:tc>
          <w:tcPr>
            <w:tcW w:w="5599" w:type="dxa"/>
            <w:noWrap w:val="0"/>
            <w:vAlign w:val="center"/>
          </w:tcPr>
          <w:p w14:paraId="0D42806E">
            <w:pPr>
              <w:spacing w:line="240" w:lineRule="exact"/>
              <w:jc w:val="center"/>
              <w:rPr>
                <w:rFonts w:hint="eastAsia" w:ascii="宋体" w:hAnsi="宋体" w:eastAsia="宋体" w:cs="宋体"/>
                <w:b/>
                <w:kern w:val="0"/>
                <w:szCs w:val="21"/>
              </w:rPr>
            </w:pPr>
            <w:r>
              <w:rPr>
                <w:rFonts w:hint="eastAsia" w:ascii="宋体" w:hAnsi="宋体" w:eastAsia="宋体" w:cs="宋体"/>
                <w:b/>
                <w:kern w:val="0"/>
                <w:szCs w:val="21"/>
              </w:rPr>
              <w:t>说明</w:t>
            </w:r>
          </w:p>
        </w:tc>
      </w:tr>
      <w:tr w14:paraId="4F455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6" w:hRule="atLeast"/>
        </w:trPr>
        <w:tc>
          <w:tcPr>
            <w:tcW w:w="1077" w:type="dxa"/>
            <w:vMerge w:val="restart"/>
            <w:noWrap w:val="0"/>
            <w:vAlign w:val="center"/>
          </w:tcPr>
          <w:p w14:paraId="3B4799D7">
            <w:pPr>
              <w:spacing w:line="240" w:lineRule="exact"/>
              <w:jc w:val="center"/>
              <w:rPr>
                <w:rFonts w:hint="eastAsia" w:ascii="宋体" w:hAnsi="宋体" w:eastAsia="宋体" w:cs="宋体"/>
                <w:szCs w:val="21"/>
              </w:rPr>
            </w:pPr>
            <w:r>
              <w:rPr>
                <w:rFonts w:hint="eastAsia" w:ascii="宋体" w:hAnsi="宋体" w:eastAsia="宋体" w:cs="宋体"/>
                <w:kern w:val="0"/>
                <w:szCs w:val="21"/>
              </w:rPr>
              <w:t>商务资信</w:t>
            </w:r>
          </w:p>
        </w:tc>
        <w:tc>
          <w:tcPr>
            <w:tcW w:w="2611" w:type="dxa"/>
            <w:noWrap w:val="0"/>
            <w:vAlign w:val="center"/>
          </w:tcPr>
          <w:p w14:paraId="52F4C916">
            <w:pPr>
              <w:spacing w:line="240" w:lineRule="exact"/>
              <w:rPr>
                <w:rFonts w:hint="eastAsia" w:ascii="宋体" w:hAnsi="宋体" w:eastAsia="宋体" w:cs="宋体"/>
              </w:rPr>
            </w:pPr>
            <w:r>
              <w:rPr>
                <w:rFonts w:hint="eastAsia" w:ascii="宋体" w:hAnsi="宋体" w:eastAsia="宋体" w:cs="宋体"/>
              </w:rPr>
              <w:t>法定代表人身份证明及授权委托书</w:t>
            </w:r>
          </w:p>
        </w:tc>
        <w:tc>
          <w:tcPr>
            <w:tcW w:w="5599" w:type="dxa"/>
            <w:noWrap w:val="0"/>
            <w:vAlign w:val="center"/>
          </w:tcPr>
          <w:p w14:paraId="05F0EF87">
            <w:pPr>
              <w:spacing w:line="240" w:lineRule="exact"/>
              <w:rPr>
                <w:rFonts w:hint="eastAsia" w:ascii="宋体" w:hAnsi="宋体" w:eastAsia="宋体" w:cs="宋体"/>
                <w:szCs w:val="21"/>
              </w:rPr>
            </w:pPr>
            <w:r>
              <w:rPr>
                <w:rFonts w:hint="eastAsia" w:ascii="宋体" w:hAnsi="宋体" w:eastAsia="宋体" w:cs="宋体"/>
                <w:szCs w:val="21"/>
              </w:rPr>
              <w:t>授权代表参加响应时审查</w:t>
            </w:r>
            <w:r>
              <w:rPr>
                <w:rFonts w:hint="eastAsia" w:ascii="宋体" w:hAnsi="宋体" w:eastAsia="宋体" w:cs="宋体"/>
              </w:rPr>
              <w:t>：</w:t>
            </w:r>
            <w:r>
              <w:rPr>
                <w:rFonts w:hint="eastAsia" w:ascii="宋体" w:hAnsi="宋体" w:eastAsia="宋体" w:cs="宋体"/>
                <w:szCs w:val="21"/>
              </w:rPr>
              <w:t xml:space="preserve">法定代表人授权委托书及附件 </w:t>
            </w:r>
          </w:p>
          <w:p w14:paraId="6AB91E75">
            <w:pPr>
              <w:spacing w:line="240" w:lineRule="exact"/>
              <w:rPr>
                <w:rFonts w:hint="eastAsia" w:ascii="宋体" w:hAnsi="宋体" w:eastAsia="宋体" w:cs="宋体"/>
                <w:szCs w:val="21"/>
              </w:rPr>
            </w:pPr>
            <w:r>
              <w:rPr>
                <w:rFonts w:hint="eastAsia" w:ascii="宋体" w:hAnsi="宋体" w:eastAsia="宋体" w:cs="宋体"/>
                <w:szCs w:val="21"/>
              </w:rPr>
              <w:t>法定代表人直接参加响应时审查</w:t>
            </w:r>
            <w:r>
              <w:rPr>
                <w:rFonts w:hint="eastAsia" w:ascii="宋体" w:hAnsi="宋体" w:eastAsia="宋体" w:cs="宋体"/>
              </w:rPr>
              <w:t>：</w:t>
            </w:r>
            <w:r>
              <w:rPr>
                <w:rFonts w:hint="eastAsia" w:ascii="宋体" w:hAnsi="宋体" w:eastAsia="宋体" w:cs="宋体"/>
                <w:szCs w:val="21"/>
              </w:rPr>
              <w:t>法定代表人身份证明及附件</w:t>
            </w:r>
          </w:p>
          <w:p w14:paraId="26A5FF18">
            <w:pPr>
              <w:spacing w:line="240" w:lineRule="exact"/>
              <w:rPr>
                <w:rFonts w:hint="eastAsia" w:ascii="宋体" w:hAnsi="宋体" w:eastAsia="宋体" w:cs="宋体"/>
              </w:rPr>
            </w:pPr>
            <w:r>
              <w:rPr>
                <w:rFonts w:hint="eastAsia" w:ascii="宋体" w:hAnsi="宋体" w:eastAsia="宋体" w:cs="宋体"/>
                <w:szCs w:val="21"/>
              </w:rPr>
              <w:t>格式及附件见第</w:t>
            </w:r>
            <w:r>
              <w:rPr>
                <w:rFonts w:hint="eastAsia" w:ascii="宋体" w:hAnsi="宋体" w:cs="宋体"/>
                <w:szCs w:val="21"/>
                <w:lang w:val="en-US" w:eastAsia="zh-CN"/>
              </w:rPr>
              <w:t>七</w:t>
            </w:r>
            <w:r>
              <w:rPr>
                <w:rFonts w:hint="eastAsia" w:ascii="宋体" w:hAnsi="宋体" w:eastAsia="宋体" w:cs="宋体"/>
                <w:szCs w:val="21"/>
              </w:rPr>
              <w:t>章响应文件格式要求</w:t>
            </w:r>
          </w:p>
        </w:tc>
      </w:tr>
      <w:tr w14:paraId="51F5B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077" w:type="dxa"/>
            <w:vMerge w:val="continue"/>
            <w:noWrap w:val="0"/>
            <w:vAlign w:val="center"/>
          </w:tcPr>
          <w:p w14:paraId="1DF23481">
            <w:pPr>
              <w:spacing w:line="240" w:lineRule="exact"/>
              <w:jc w:val="center"/>
              <w:rPr>
                <w:rFonts w:hint="eastAsia" w:ascii="宋体" w:hAnsi="宋体" w:eastAsia="宋体" w:cs="宋体"/>
                <w:kern w:val="0"/>
                <w:szCs w:val="21"/>
              </w:rPr>
            </w:pPr>
          </w:p>
        </w:tc>
        <w:tc>
          <w:tcPr>
            <w:tcW w:w="2611" w:type="dxa"/>
            <w:noWrap w:val="0"/>
            <w:vAlign w:val="center"/>
          </w:tcPr>
          <w:p w14:paraId="00338589">
            <w:pPr>
              <w:spacing w:line="240" w:lineRule="exact"/>
              <w:rPr>
                <w:rFonts w:hint="eastAsia" w:ascii="宋体" w:hAnsi="宋体" w:eastAsia="宋体" w:cs="宋体"/>
                <w:szCs w:val="21"/>
              </w:rPr>
            </w:pPr>
            <w:r>
              <w:rPr>
                <w:rFonts w:hint="eastAsia" w:ascii="宋体" w:hAnsi="宋体" w:eastAsia="宋体" w:cs="宋体"/>
                <w:szCs w:val="21"/>
              </w:rPr>
              <w:t>实质性条款响应</w:t>
            </w:r>
          </w:p>
        </w:tc>
        <w:tc>
          <w:tcPr>
            <w:tcW w:w="5599" w:type="dxa"/>
            <w:noWrap w:val="0"/>
            <w:vAlign w:val="center"/>
          </w:tcPr>
          <w:p w14:paraId="15BC9853">
            <w:pPr>
              <w:spacing w:line="240" w:lineRule="exact"/>
              <w:rPr>
                <w:rFonts w:hint="eastAsia" w:ascii="宋体" w:hAnsi="宋体" w:eastAsia="宋体" w:cs="宋体"/>
                <w:szCs w:val="21"/>
              </w:rPr>
            </w:pPr>
            <w:r>
              <w:rPr>
                <w:rFonts w:hint="eastAsia" w:ascii="宋体" w:hAnsi="宋体" w:eastAsia="宋体" w:cs="宋体"/>
                <w:color w:val="000000"/>
                <w:szCs w:val="21"/>
              </w:rPr>
              <w:t>采购文件实质性要求响应均无负偏离</w:t>
            </w:r>
          </w:p>
        </w:tc>
      </w:tr>
      <w:tr w14:paraId="21467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077" w:type="dxa"/>
            <w:vMerge w:val="continue"/>
            <w:noWrap w:val="0"/>
            <w:vAlign w:val="center"/>
          </w:tcPr>
          <w:p w14:paraId="1D393C45">
            <w:pPr>
              <w:spacing w:line="240" w:lineRule="exact"/>
              <w:jc w:val="center"/>
              <w:rPr>
                <w:rFonts w:hint="eastAsia" w:ascii="宋体" w:hAnsi="宋体" w:eastAsia="宋体" w:cs="宋体"/>
                <w:kern w:val="0"/>
                <w:szCs w:val="21"/>
              </w:rPr>
            </w:pPr>
          </w:p>
        </w:tc>
        <w:tc>
          <w:tcPr>
            <w:tcW w:w="2611" w:type="dxa"/>
            <w:noWrap w:val="0"/>
            <w:vAlign w:val="center"/>
          </w:tcPr>
          <w:p w14:paraId="6247161C">
            <w:pPr>
              <w:spacing w:line="240" w:lineRule="exact"/>
              <w:rPr>
                <w:rFonts w:hint="eastAsia" w:ascii="宋体" w:hAnsi="宋体" w:eastAsia="宋体" w:cs="宋体"/>
                <w:szCs w:val="21"/>
              </w:rPr>
            </w:pPr>
            <w:r>
              <w:rPr>
                <w:rFonts w:hint="eastAsia" w:ascii="宋体" w:hAnsi="宋体" w:eastAsia="宋体" w:cs="宋体"/>
                <w:szCs w:val="21"/>
              </w:rPr>
              <w:t>串通投标</w:t>
            </w:r>
          </w:p>
        </w:tc>
        <w:tc>
          <w:tcPr>
            <w:tcW w:w="5599" w:type="dxa"/>
            <w:noWrap w:val="0"/>
            <w:vAlign w:val="center"/>
          </w:tcPr>
          <w:p w14:paraId="02AADC82">
            <w:pPr>
              <w:spacing w:line="240" w:lineRule="exact"/>
              <w:rPr>
                <w:rFonts w:hint="eastAsia" w:ascii="宋体" w:hAnsi="宋体" w:eastAsia="宋体" w:cs="宋体"/>
                <w:szCs w:val="21"/>
              </w:rPr>
            </w:pPr>
            <w:r>
              <w:rPr>
                <w:rFonts w:hint="eastAsia" w:ascii="宋体" w:hAnsi="宋体" w:eastAsia="宋体" w:cs="宋体"/>
                <w:color w:val="000000"/>
                <w:szCs w:val="21"/>
              </w:rPr>
              <w:t>不属于供应商</w:t>
            </w:r>
            <w:r>
              <w:rPr>
                <w:rFonts w:hint="eastAsia" w:ascii="宋体" w:hAnsi="宋体" w:eastAsia="宋体" w:cs="宋体"/>
                <w:szCs w:val="21"/>
              </w:rPr>
              <w:t>须知正文第6.3.</w:t>
            </w:r>
            <w:r>
              <w:rPr>
                <w:rFonts w:hint="eastAsia" w:ascii="宋体" w:hAnsi="宋体" w:cs="宋体"/>
                <w:szCs w:val="21"/>
                <w:lang w:val="en-US" w:eastAsia="zh-CN"/>
              </w:rPr>
              <w:t>9</w:t>
            </w:r>
            <w:r>
              <w:rPr>
                <w:rFonts w:hint="eastAsia" w:ascii="宋体" w:hAnsi="宋体" w:eastAsia="宋体" w:cs="宋体"/>
                <w:szCs w:val="21"/>
              </w:rPr>
              <w:t>规定</w:t>
            </w:r>
            <w:r>
              <w:rPr>
                <w:rFonts w:hint="eastAsia" w:ascii="宋体" w:hAnsi="宋体" w:eastAsia="宋体" w:cs="宋体"/>
                <w:color w:val="000000"/>
                <w:szCs w:val="21"/>
              </w:rPr>
              <w:t>的串通投标情形，见</w:t>
            </w:r>
            <w:r>
              <w:rPr>
                <w:rFonts w:hint="eastAsia" w:ascii="宋体" w:hAnsi="宋体" w:eastAsia="宋体" w:cs="宋体"/>
                <w:szCs w:val="21"/>
              </w:rPr>
              <w:t>第</w:t>
            </w:r>
            <w:r>
              <w:rPr>
                <w:rFonts w:hint="eastAsia" w:ascii="宋体" w:hAnsi="宋体" w:cs="宋体"/>
                <w:szCs w:val="21"/>
                <w:lang w:val="en-US" w:eastAsia="zh-CN"/>
              </w:rPr>
              <w:t>七</w:t>
            </w:r>
            <w:r>
              <w:rPr>
                <w:rFonts w:hint="eastAsia" w:ascii="宋体" w:hAnsi="宋体" w:eastAsia="宋体" w:cs="宋体"/>
                <w:szCs w:val="21"/>
              </w:rPr>
              <w:t>章响应文件格式要求</w:t>
            </w:r>
          </w:p>
        </w:tc>
      </w:tr>
      <w:tr w14:paraId="523BA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077" w:type="dxa"/>
            <w:vMerge w:val="restart"/>
            <w:noWrap w:val="0"/>
            <w:vAlign w:val="center"/>
          </w:tcPr>
          <w:p w14:paraId="63FEF1B1">
            <w:pPr>
              <w:spacing w:line="240" w:lineRule="exact"/>
              <w:jc w:val="center"/>
              <w:rPr>
                <w:rFonts w:hint="eastAsia" w:ascii="宋体" w:hAnsi="宋体" w:eastAsia="宋体" w:cs="宋体"/>
                <w:kern w:val="0"/>
                <w:szCs w:val="21"/>
              </w:rPr>
            </w:pPr>
            <w:r>
              <w:rPr>
                <w:rFonts w:hint="eastAsia" w:ascii="宋体" w:hAnsi="宋体" w:eastAsia="宋体" w:cs="宋体"/>
                <w:kern w:val="0"/>
                <w:szCs w:val="21"/>
              </w:rPr>
              <w:t>技术</w:t>
            </w:r>
          </w:p>
        </w:tc>
        <w:tc>
          <w:tcPr>
            <w:tcW w:w="2611" w:type="dxa"/>
            <w:noWrap w:val="0"/>
            <w:vAlign w:val="center"/>
          </w:tcPr>
          <w:p w14:paraId="14E6288E">
            <w:pPr>
              <w:spacing w:line="240" w:lineRule="exact"/>
              <w:rPr>
                <w:rFonts w:hint="eastAsia" w:ascii="宋体" w:hAnsi="宋体" w:eastAsia="宋体" w:cs="宋体"/>
                <w:szCs w:val="21"/>
                <w:lang w:val="zh-CN"/>
              </w:rPr>
            </w:pPr>
            <w:r>
              <w:rPr>
                <w:rFonts w:hint="eastAsia" w:ascii="宋体" w:hAnsi="宋体" w:eastAsia="宋体" w:cs="宋体"/>
                <w:szCs w:val="21"/>
                <w:lang w:val="zh-CN"/>
              </w:rPr>
              <w:t>工期</w:t>
            </w:r>
          </w:p>
        </w:tc>
        <w:tc>
          <w:tcPr>
            <w:tcW w:w="5599" w:type="dxa"/>
            <w:noWrap w:val="0"/>
            <w:vAlign w:val="center"/>
          </w:tcPr>
          <w:p w14:paraId="51A460E8">
            <w:pPr>
              <w:spacing w:line="240" w:lineRule="exact"/>
              <w:rPr>
                <w:rFonts w:hint="eastAsia" w:ascii="宋体" w:hAnsi="宋体" w:eastAsia="宋体" w:cs="宋体"/>
                <w:szCs w:val="21"/>
                <w:lang w:val="zh-CN" w:eastAsia="zh-CN"/>
              </w:rPr>
            </w:pPr>
            <w:r>
              <w:rPr>
                <w:rFonts w:hint="eastAsia" w:ascii="宋体" w:hAnsi="宋体" w:eastAsia="宋体" w:cs="宋体"/>
                <w:szCs w:val="21"/>
              </w:rPr>
              <w:t>满足</w:t>
            </w:r>
            <w:r>
              <w:rPr>
                <w:rFonts w:hint="eastAsia" w:ascii="宋体" w:hAnsi="宋体" w:eastAsia="宋体" w:cs="宋体"/>
                <w:color w:val="000000"/>
                <w:szCs w:val="21"/>
              </w:rPr>
              <w:t>采购</w:t>
            </w:r>
            <w:r>
              <w:rPr>
                <w:rFonts w:hint="eastAsia" w:ascii="宋体" w:hAnsi="宋体" w:eastAsia="宋体" w:cs="宋体"/>
                <w:szCs w:val="21"/>
              </w:rPr>
              <w:t>文件规定</w:t>
            </w:r>
          </w:p>
        </w:tc>
      </w:tr>
      <w:tr w14:paraId="6FFD8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077" w:type="dxa"/>
            <w:vMerge w:val="continue"/>
            <w:noWrap w:val="0"/>
            <w:vAlign w:val="center"/>
          </w:tcPr>
          <w:p w14:paraId="4F9F6B74">
            <w:pPr>
              <w:spacing w:line="240" w:lineRule="exact"/>
              <w:jc w:val="center"/>
              <w:rPr>
                <w:rFonts w:hint="eastAsia" w:ascii="宋体" w:hAnsi="宋体" w:eastAsia="宋体" w:cs="宋体"/>
                <w:kern w:val="0"/>
                <w:szCs w:val="21"/>
              </w:rPr>
            </w:pPr>
          </w:p>
        </w:tc>
        <w:tc>
          <w:tcPr>
            <w:tcW w:w="2611" w:type="dxa"/>
            <w:noWrap w:val="0"/>
            <w:vAlign w:val="center"/>
          </w:tcPr>
          <w:p w14:paraId="42F0CB02">
            <w:pPr>
              <w:spacing w:line="240" w:lineRule="exact"/>
              <w:rPr>
                <w:rFonts w:hint="eastAsia" w:ascii="宋体" w:hAnsi="宋体" w:eastAsia="宋体" w:cs="宋体"/>
                <w:szCs w:val="21"/>
                <w:lang w:val="zh-CN"/>
              </w:rPr>
            </w:pPr>
            <w:r>
              <w:rPr>
                <w:rFonts w:hint="eastAsia" w:ascii="宋体" w:hAnsi="宋体" w:eastAsia="宋体" w:cs="宋体"/>
                <w:szCs w:val="21"/>
                <w:lang w:val="zh-CN"/>
              </w:rPr>
              <w:t>工程质量</w:t>
            </w:r>
          </w:p>
        </w:tc>
        <w:tc>
          <w:tcPr>
            <w:tcW w:w="5599" w:type="dxa"/>
            <w:noWrap w:val="0"/>
            <w:vAlign w:val="center"/>
          </w:tcPr>
          <w:p w14:paraId="03094000">
            <w:pPr>
              <w:spacing w:line="240" w:lineRule="exact"/>
              <w:rPr>
                <w:rFonts w:hint="eastAsia" w:ascii="宋体" w:hAnsi="宋体" w:eastAsia="宋体" w:cs="宋体"/>
                <w:szCs w:val="21"/>
                <w:lang w:val="zh-CN" w:eastAsia="zh-CN"/>
              </w:rPr>
            </w:pPr>
            <w:r>
              <w:rPr>
                <w:rFonts w:hint="eastAsia" w:ascii="宋体" w:hAnsi="宋体" w:eastAsia="宋体" w:cs="宋体"/>
                <w:szCs w:val="21"/>
              </w:rPr>
              <w:t>满足</w:t>
            </w:r>
            <w:r>
              <w:rPr>
                <w:rFonts w:hint="eastAsia" w:ascii="宋体" w:hAnsi="宋体" w:eastAsia="宋体" w:cs="宋体"/>
                <w:color w:val="000000"/>
                <w:szCs w:val="21"/>
              </w:rPr>
              <w:t>采购</w:t>
            </w:r>
            <w:r>
              <w:rPr>
                <w:rFonts w:hint="eastAsia" w:ascii="宋体" w:hAnsi="宋体" w:eastAsia="宋体" w:cs="宋体"/>
                <w:szCs w:val="21"/>
              </w:rPr>
              <w:t>文件规定</w:t>
            </w:r>
          </w:p>
        </w:tc>
      </w:tr>
      <w:tr w14:paraId="3AA37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077" w:type="dxa"/>
            <w:vMerge w:val="continue"/>
            <w:noWrap w:val="0"/>
            <w:vAlign w:val="center"/>
          </w:tcPr>
          <w:p w14:paraId="3C765026">
            <w:pPr>
              <w:spacing w:line="240" w:lineRule="exact"/>
              <w:jc w:val="center"/>
              <w:rPr>
                <w:rFonts w:hint="eastAsia" w:ascii="宋体" w:hAnsi="宋体" w:eastAsia="宋体" w:cs="宋体"/>
                <w:kern w:val="0"/>
                <w:szCs w:val="21"/>
              </w:rPr>
            </w:pPr>
          </w:p>
        </w:tc>
        <w:tc>
          <w:tcPr>
            <w:tcW w:w="2611" w:type="dxa"/>
            <w:noWrap w:val="0"/>
            <w:vAlign w:val="center"/>
          </w:tcPr>
          <w:p w14:paraId="3453EDF2">
            <w:pPr>
              <w:rPr>
                <w:rFonts w:hint="eastAsia" w:ascii="宋体" w:hAnsi="宋体" w:eastAsia="宋体" w:cs="宋体"/>
                <w:szCs w:val="21"/>
              </w:rPr>
            </w:pPr>
            <w:r>
              <w:rPr>
                <w:rFonts w:hint="eastAsia" w:ascii="宋体" w:hAnsi="宋体" w:eastAsia="宋体" w:cs="宋体"/>
                <w:szCs w:val="21"/>
              </w:rPr>
              <w:t>响应有效期</w:t>
            </w:r>
          </w:p>
        </w:tc>
        <w:tc>
          <w:tcPr>
            <w:tcW w:w="5599" w:type="dxa"/>
            <w:noWrap w:val="0"/>
            <w:vAlign w:val="center"/>
          </w:tcPr>
          <w:p w14:paraId="06F45A04">
            <w:pPr>
              <w:rPr>
                <w:rFonts w:hint="eastAsia" w:ascii="宋体" w:hAnsi="宋体" w:eastAsia="宋体" w:cs="宋体"/>
                <w:szCs w:val="21"/>
              </w:rPr>
            </w:pPr>
            <w:r>
              <w:rPr>
                <w:rFonts w:hint="eastAsia" w:ascii="宋体" w:hAnsi="宋体" w:eastAsia="宋体" w:cs="宋体"/>
                <w:szCs w:val="21"/>
              </w:rPr>
              <w:t>满足</w:t>
            </w:r>
            <w:r>
              <w:rPr>
                <w:rFonts w:hint="eastAsia" w:ascii="宋体" w:hAnsi="宋体" w:eastAsia="宋体" w:cs="宋体"/>
                <w:color w:val="000000"/>
                <w:szCs w:val="21"/>
              </w:rPr>
              <w:t>采购</w:t>
            </w:r>
            <w:r>
              <w:rPr>
                <w:rFonts w:hint="eastAsia" w:ascii="宋体" w:hAnsi="宋体" w:eastAsia="宋体" w:cs="宋体"/>
                <w:szCs w:val="21"/>
              </w:rPr>
              <w:t>文件规定</w:t>
            </w:r>
          </w:p>
        </w:tc>
      </w:tr>
      <w:tr w14:paraId="7E508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077" w:type="dxa"/>
            <w:vMerge w:val="continue"/>
            <w:noWrap w:val="0"/>
            <w:vAlign w:val="center"/>
          </w:tcPr>
          <w:p w14:paraId="5514E89E">
            <w:pPr>
              <w:spacing w:line="240" w:lineRule="exact"/>
              <w:jc w:val="center"/>
              <w:rPr>
                <w:rFonts w:hint="eastAsia" w:ascii="宋体" w:hAnsi="宋体" w:eastAsia="宋体" w:cs="宋体"/>
                <w:kern w:val="0"/>
                <w:szCs w:val="21"/>
              </w:rPr>
            </w:pPr>
          </w:p>
        </w:tc>
        <w:tc>
          <w:tcPr>
            <w:tcW w:w="2611" w:type="dxa"/>
            <w:noWrap w:val="0"/>
            <w:vAlign w:val="center"/>
          </w:tcPr>
          <w:p w14:paraId="65E7AD07">
            <w:pPr>
              <w:rPr>
                <w:rFonts w:hint="eastAsia" w:ascii="宋体" w:hAnsi="宋体" w:eastAsia="宋体" w:cs="宋体"/>
                <w:szCs w:val="21"/>
              </w:rPr>
            </w:pPr>
            <w:r>
              <w:rPr>
                <w:rFonts w:hint="eastAsia" w:ascii="宋体" w:hAnsi="宋体" w:eastAsia="宋体" w:cs="宋体"/>
                <w:szCs w:val="21"/>
              </w:rPr>
              <w:t>技术标准和要求</w:t>
            </w:r>
          </w:p>
        </w:tc>
        <w:tc>
          <w:tcPr>
            <w:tcW w:w="5599" w:type="dxa"/>
            <w:noWrap w:val="0"/>
            <w:vAlign w:val="center"/>
          </w:tcPr>
          <w:p w14:paraId="706EDC66">
            <w:pPr>
              <w:rPr>
                <w:rFonts w:hint="eastAsia" w:ascii="宋体" w:hAnsi="宋体" w:eastAsia="宋体" w:cs="宋体"/>
                <w:szCs w:val="21"/>
              </w:rPr>
            </w:pPr>
            <w:r>
              <w:rPr>
                <w:rFonts w:hint="eastAsia" w:ascii="宋体" w:hAnsi="宋体" w:eastAsia="宋体" w:cs="宋体"/>
                <w:szCs w:val="21"/>
              </w:rPr>
              <w:t>满足</w:t>
            </w:r>
            <w:r>
              <w:rPr>
                <w:rFonts w:hint="eastAsia" w:ascii="宋体" w:hAnsi="宋体" w:eastAsia="宋体" w:cs="宋体"/>
                <w:color w:val="000000"/>
                <w:szCs w:val="21"/>
              </w:rPr>
              <w:t>采购</w:t>
            </w:r>
            <w:r>
              <w:rPr>
                <w:rFonts w:hint="eastAsia" w:ascii="宋体" w:hAnsi="宋体" w:eastAsia="宋体" w:cs="宋体"/>
                <w:szCs w:val="21"/>
              </w:rPr>
              <w:t>文件规定</w:t>
            </w:r>
          </w:p>
        </w:tc>
      </w:tr>
      <w:tr w14:paraId="22F0C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077" w:type="dxa"/>
            <w:vMerge w:val="continue"/>
            <w:noWrap w:val="0"/>
            <w:vAlign w:val="center"/>
          </w:tcPr>
          <w:p w14:paraId="48425B69">
            <w:pPr>
              <w:spacing w:line="240" w:lineRule="exact"/>
              <w:jc w:val="center"/>
              <w:rPr>
                <w:rFonts w:hint="eastAsia" w:ascii="宋体" w:hAnsi="宋体" w:eastAsia="宋体" w:cs="宋体"/>
                <w:kern w:val="0"/>
                <w:szCs w:val="21"/>
              </w:rPr>
            </w:pPr>
          </w:p>
        </w:tc>
        <w:tc>
          <w:tcPr>
            <w:tcW w:w="2611" w:type="dxa"/>
            <w:noWrap w:val="0"/>
            <w:vAlign w:val="center"/>
          </w:tcPr>
          <w:p w14:paraId="4B60759A">
            <w:pPr>
              <w:spacing w:line="240" w:lineRule="exact"/>
              <w:rPr>
                <w:rFonts w:hint="eastAsia" w:ascii="宋体" w:hAnsi="宋体" w:eastAsia="宋体" w:cs="宋体"/>
                <w:szCs w:val="21"/>
                <w:lang w:val="zh-CN"/>
              </w:rPr>
            </w:pPr>
            <w:r>
              <w:rPr>
                <w:rFonts w:hint="eastAsia" w:ascii="宋体" w:hAnsi="宋体" w:eastAsia="宋体" w:cs="宋体"/>
                <w:szCs w:val="21"/>
                <w:lang w:val="en-US" w:eastAsia="zh-CN"/>
              </w:rPr>
              <w:t>权利义务</w:t>
            </w:r>
          </w:p>
        </w:tc>
        <w:tc>
          <w:tcPr>
            <w:tcW w:w="5599" w:type="dxa"/>
            <w:noWrap w:val="0"/>
            <w:vAlign w:val="center"/>
          </w:tcPr>
          <w:p w14:paraId="3E6FE3A3">
            <w:pPr>
              <w:spacing w:line="240" w:lineRule="exact"/>
              <w:rPr>
                <w:rFonts w:hint="eastAsia" w:ascii="宋体" w:hAnsi="宋体" w:eastAsia="宋体" w:cs="宋体"/>
                <w:szCs w:val="21"/>
                <w:lang w:val="zh-CN"/>
              </w:rPr>
            </w:pPr>
            <w:r>
              <w:rPr>
                <w:rFonts w:hint="eastAsia" w:ascii="宋体" w:hAnsi="宋体" w:eastAsia="宋体" w:cs="宋体"/>
                <w:szCs w:val="21"/>
                <w:lang w:val="en-US" w:eastAsia="zh-CN"/>
              </w:rPr>
              <w:t>响应函</w:t>
            </w:r>
            <w:r>
              <w:rPr>
                <w:rFonts w:hint="eastAsia" w:ascii="宋体" w:hAnsi="宋体" w:eastAsia="宋体" w:cs="宋体"/>
                <w:szCs w:val="21"/>
                <w:lang w:val="zh-CN"/>
              </w:rPr>
              <w:t>附录中的相关承诺符合或优于第</w:t>
            </w:r>
            <w:r>
              <w:rPr>
                <w:rFonts w:hint="eastAsia" w:ascii="宋体" w:hAnsi="宋体" w:cs="宋体"/>
                <w:szCs w:val="21"/>
                <w:lang w:val="en-US" w:eastAsia="zh-CN"/>
              </w:rPr>
              <w:t>六</w:t>
            </w:r>
            <w:r>
              <w:rPr>
                <w:rFonts w:hint="eastAsia" w:ascii="宋体" w:hAnsi="宋体" w:eastAsia="宋体" w:cs="宋体"/>
                <w:szCs w:val="21"/>
                <w:lang w:val="zh-CN"/>
              </w:rPr>
              <w:t>章“合同</w:t>
            </w:r>
            <w:r>
              <w:rPr>
                <w:rFonts w:hint="eastAsia" w:ascii="宋体" w:hAnsi="宋体" w:eastAsia="宋体" w:cs="宋体"/>
                <w:szCs w:val="21"/>
                <w:lang w:val="en-US" w:eastAsia="zh-CN"/>
              </w:rPr>
              <w:t>主要条款格式</w:t>
            </w:r>
            <w:r>
              <w:rPr>
                <w:rFonts w:hint="eastAsia" w:ascii="宋体" w:hAnsi="宋体" w:eastAsia="宋体" w:cs="宋体"/>
                <w:szCs w:val="21"/>
                <w:lang w:val="zh-CN"/>
              </w:rPr>
              <w:t>”的相关规定</w:t>
            </w:r>
          </w:p>
        </w:tc>
      </w:tr>
      <w:tr w14:paraId="7D273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1077" w:type="dxa"/>
            <w:vMerge w:val="restart"/>
            <w:noWrap w:val="0"/>
            <w:vAlign w:val="center"/>
          </w:tcPr>
          <w:p w14:paraId="06AB5A93">
            <w:pPr>
              <w:spacing w:line="240" w:lineRule="exact"/>
              <w:jc w:val="center"/>
              <w:rPr>
                <w:rFonts w:hint="eastAsia" w:ascii="宋体" w:hAnsi="宋体" w:eastAsia="宋体" w:cs="宋体"/>
                <w:szCs w:val="21"/>
              </w:rPr>
            </w:pPr>
            <w:r>
              <w:rPr>
                <w:rFonts w:hint="eastAsia" w:ascii="宋体" w:hAnsi="宋体" w:eastAsia="宋体" w:cs="宋体"/>
                <w:kern w:val="0"/>
                <w:szCs w:val="21"/>
              </w:rPr>
              <w:t>报价</w:t>
            </w:r>
          </w:p>
        </w:tc>
        <w:tc>
          <w:tcPr>
            <w:tcW w:w="2611" w:type="dxa"/>
            <w:noWrap w:val="0"/>
            <w:vAlign w:val="center"/>
          </w:tcPr>
          <w:p w14:paraId="2038C764">
            <w:pPr>
              <w:spacing w:line="240" w:lineRule="exact"/>
              <w:rPr>
                <w:rFonts w:hint="eastAsia" w:ascii="宋体" w:hAnsi="宋体" w:eastAsia="宋体" w:cs="宋体"/>
              </w:rPr>
            </w:pPr>
            <w:r>
              <w:rPr>
                <w:rFonts w:hint="eastAsia" w:ascii="宋体" w:hAnsi="宋体" w:eastAsia="宋体" w:cs="宋体"/>
                <w:szCs w:val="21"/>
                <w:lang w:val="zh-CN"/>
              </w:rPr>
              <w:t>已标价工程量清单</w:t>
            </w:r>
          </w:p>
        </w:tc>
        <w:tc>
          <w:tcPr>
            <w:tcW w:w="5599" w:type="dxa"/>
            <w:noWrap w:val="0"/>
            <w:vAlign w:val="center"/>
          </w:tcPr>
          <w:p w14:paraId="45B036B7">
            <w:pPr>
              <w:spacing w:line="240" w:lineRule="exact"/>
              <w:rPr>
                <w:rFonts w:hint="eastAsia" w:ascii="宋体" w:hAnsi="宋体" w:eastAsia="宋体" w:cs="宋体"/>
              </w:rPr>
            </w:pPr>
            <w:r>
              <w:rPr>
                <w:rFonts w:hint="eastAsia" w:ascii="宋体" w:hAnsi="宋体" w:eastAsia="宋体" w:cs="宋体"/>
                <w:szCs w:val="21"/>
                <w:lang w:val="zh-CN"/>
              </w:rPr>
              <w:t>符合</w:t>
            </w:r>
            <w:r>
              <w:rPr>
                <w:rFonts w:hint="eastAsia" w:ascii="宋体" w:hAnsi="宋体" w:eastAsia="宋体" w:cs="宋体"/>
                <w:szCs w:val="21"/>
              </w:rPr>
              <w:t>第</w:t>
            </w:r>
            <w:r>
              <w:rPr>
                <w:rFonts w:hint="eastAsia" w:ascii="宋体" w:hAnsi="宋体" w:cs="宋体"/>
                <w:szCs w:val="21"/>
                <w:lang w:val="en-US" w:eastAsia="zh-CN"/>
              </w:rPr>
              <w:t>三</w:t>
            </w:r>
            <w:r>
              <w:rPr>
                <w:rFonts w:hint="eastAsia" w:ascii="宋体" w:hAnsi="宋体" w:eastAsia="宋体" w:cs="宋体"/>
                <w:szCs w:val="21"/>
              </w:rPr>
              <w:t>章“工程量清单”及 “图纸”</w:t>
            </w:r>
            <w:r>
              <w:rPr>
                <w:rFonts w:hint="eastAsia" w:ascii="宋体" w:hAnsi="宋体" w:eastAsia="宋体" w:cs="宋体"/>
                <w:szCs w:val="21"/>
                <w:lang w:val="zh-CN"/>
              </w:rPr>
              <w:t>给出的范围、数量及编制要求</w:t>
            </w:r>
          </w:p>
        </w:tc>
      </w:tr>
      <w:tr w14:paraId="7B6C9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1077" w:type="dxa"/>
            <w:vMerge w:val="continue"/>
            <w:noWrap w:val="0"/>
            <w:vAlign w:val="center"/>
          </w:tcPr>
          <w:p w14:paraId="0A99CAA7">
            <w:pPr>
              <w:spacing w:line="240" w:lineRule="exact"/>
              <w:jc w:val="center"/>
              <w:rPr>
                <w:rFonts w:hint="eastAsia" w:ascii="宋体" w:hAnsi="宋体" w:eastAsia="宋体" w:cs="宋体"/>
                <w:szCs w:val="21"/>
              </w:rPr>
            </w:pPr>
          </w:p>
        </w:tc>
        <w:tc>
          <w:tcPr>
            <w:tcW w:w="2611" w:type="dxa"/>
            <w:noWrap w:val="0"/>
            <w:vAlign w:val="center"/>
          </w:tcPr>
          <w:p w14:paraId="45BF63B6">
            <w:pPr>
              <w:rPr>
                <w:rFonts w:hint="eastAsia" w:ascii="宋体" w:hAnsi="宋体" w:eastAsia="宋体" w:cs="宋体"/>
              </w:rPr>
            </w:pPr>
            <w:r>
              <w:rPr>
                <w:rFonts w:hint="eastAsia" w:ascii="宋体" w:hAnsi="宋体" w:eastAsia="宋体" w:cs="宋体"/>
              </w:rPr>
              <w:t>有效报价</w:t>
            </w:r>
          </w:p>
        </w:tc>
        <w:tc>
          <w:tcPr>
            <w:tcW w:w="5599" w:type="dxa"/>
            <w:noWrap w:val="0"/>
            <w:vAlign w:val="center"/>
          </w:tcPr>
          <w:p w14:paraId="5DE523D7">
            <w:pPr>
              <w:rPr>
                <w:rFonts w:hint="eastAsia" w:ascii="宋体" w:hAnsi="宋体" w:eastAsia="宋体" w:cs="宋体"/>
              </w:rPr>
            </w:pPr>
            <w:r>
              <w:rPr>
                <w:rFonts w:hint="eastAsia" w:ascii="宋体" w:hAnsi="宋体" w:eastAsia="宋体" w:cs="宋体"/>
                <w:color w:val="auto"/>
                <w:highlight w:val="none"/>
              </w:rPr>
              <w:t>最后报价未超出采购预算金额（包括分项预算），也未超出最高限价（</w:t>
            </w:r>
            <w:r>
              <w:rPr>
                <w:rFonts w:hint="eastAsia" w:ascii="宋体" w:hAnsi="宋体" w:cs="宋体"/>
                <w:color w:val="auto"/>
                <w:highlight w:val="none"/>
                <w:lang w:val="en-US" w:eastAsia="zh-CN"/>
              </w:rPr>
              <w:t>包括分项限价</w:t>
            </w:r>
            <w:r>
              <w:rPr>
                <w:rFonts w:hint="eastAsia" w:ascii="宋体" w:hAnsi="宋体" w:eastAsia="宋体" w:cs="宋体"/>
                <w:color w:val="auto"/>
                <w:highlight w:val="none"/>
              </w:rPr>
              <w:t>）</w:t>
            </w:r>
          </w:p>
        </w:tc>
      </w:tr>
      <w:tr w14:paraId="5BA4B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1077" w:type="dxa"/>
            <w:vMerge w:val="continue"/>
            <w:noWrap w:val="0"/>
            <w:vAlign w:val="center"/>
          </w:tcPr>
          <w:p w14:paraId="75104281">
            <w:pPr>
              <w:spacing w:line="240" w:lineRule="exact"/>
              <w:jc w:val="center"/>
              <w:rPr>
                <w:rFonts w:hint="eastAsia" w:ascii="宋体" w:hAnsi="宋体" w:eastAsia="宋体" w:cs="宋体"/>
                <w:szCs w:val="21"/>
              </w:rPr>
            </w:pPr>
          </w:p>
        </w:tc>
        <w:tc>
          <w:tcPr>
            <w:tcW w:w="2611" w:type="dxa"/>
            <w:noWrap w:val="0"/>
            <w:vAlign w:val="center"/>
          </w:tcPr>
          <w:p w14:paraId="01019450">
            <w:pPr>
              <w:rPr>
                <w:rFonts w:hint="eastAsia" w:ascii="宋体" w:hAnsi="宋体" w:eastAsia="宋体" w:cs="宋体"/>
              </w:rPr>
            </w:pPr>
            <w:r>
              <w:rPr>
                <w:rFonts w:hint="eastAsia" w:ascii="宋体" w:hAnsi="宋体" w:eastAsia="宋体" w:cs="宋体"/>
              </w:rPr>
              <w:t>漏项报价</w:t>
            </w:r>
          </w:p>
        </w:tc>
        <w:tc>
          <w:tcPr>
            <w:tcW w:w="5599" w:type="dxa"/>
            <w:noWrap w:val="0"/>
            <w:vAlign w:val="center"/>
          </w:tcPr>
          <w:p w14:paraId="5ACD79AB">
            <w:pPr>
              <w:rPr>
                <w:rFonts w:hint="eastAsia" w:ascii="宋体" w:hAnsi="宋体" w:eastAsia="宋体" w:cs="宋体"/>
              </w:rPr>
            </w:pPr>
            <w:r>
              <w:rPr>
                <w:rFonts w:hint="eastAsia" w:ascii="宋体" w:hAnsi="宋体" w:eastAsia="宋体" w:cs="宋体"/>
              </w:rPr>
              <w:t>未就所投分标进行报价或者存在漏项报价；</w:t>
            </w:r>
          </w:p>
        </w:tc>
      </w:tr>
      <w:tr w14:paraId="297D0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1077" w:type="dxa"/>
            <w:vMerge w:val="continue"/>
            <w:noWrap w:val="0"/>
            <w:vAlign w:val="center"/>
          </w:tcPr>
          <w:p w14:paraId="5697DCBF">
            <w:pPr>
              <w:spacing w:line="240" w:lineRule="exact"/>
              <w:jc w:val="center"/>
              <w:rPr>
                <w:rFonts w:hint="eastAsia" w:ascii="宋体" w:hAnsi="宋体" w:eastAsia="宋体" w:cs="宋体"/>
                <w:szCs w:val="21"/>
              </w:rPr>
            </w:pPr>
          </w:p>
        </w:tc>
        <w:tc>
          <w:tcPr>
            <w:tcW w:w="2611" w:type="dxa"/>
            <w:noWrap w:val="0"/>
            <w:vAlign w:val="center"/>
          </w:tcPr>
          <w:p w14:paraId="797150D5">
            <w:pPr>
              <w:rPr>
                <w:rFonts w:hint="eastAsia" w:ascii="宋体" w:hAnsi="宋体" w:eastAsia="宋体" w:cs="宋体"/>
              </w:rPr>
            </w:pPr>
            <w:r>
              <w:rPr>
                <w:rFonts w:hint="eastAsia" w:ascii="宋体" w:hAnsi="宋体" w:eastAsia="宋体" w:cs="宋体"/>
              </w:rPr>
              <w:t>响应报价唯一性</w:t>
            </w:r>
          </w:p>
        </w:tc>
        <w:tc>
          <w:tcPr>
            <w:tcW w:w="5599" w:type="dxa"/>
            <w:noWrap w:val="0"/>
            <w:vAlign w:val="center"/>
          </w:tcPr>
          <w:p w14:paraId="5E1F53AB">
            <w:pPr>
              <w:rPr>
                <w:rFonts w:hint="eastAsia" w:ascii="宋体" w:hAnsi="宋体" w:eastAsia="宋体" w:cs="宋体"/>
              </w:rPr>
            </w:pPr>
            <w:r>
              <w:rPr>
                <w:rFonts w:hint="eastAsia" w:ascii="宋体" w:hAnsi="宋体" w:eastAsia="宋体" w:cs="宋体"/>
              </w:rPr>
              <w:t>不存在有选择、有条件的最后报价（采购文件允许有备选方案或者其他约定的除外）</w:t>
            </w:r>
          </w:p>
        </w:tc>
      </w:tr>
      <w:tr w14:paraId="73575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 w:hRule="atLeast"/>
        </w:trPr>
        <w:tc>
          <w:tcPr>
            <w:tcW w:w="1077" w:type="dxa"/>
            <w:vMerge w:val="continue"/>
            <w:noWrap w:val="0"/>
            <w:vAlign w:val="center"/>
          </w:tcPr>
          <w:p w14:paraId="2DAABD7A">
            <w:pPr>
              <w:spacing w:line="240" w:lineRule="exact"/>
              <w:jc w:val="center"/>
              <w:rPr>
                <w:rFonts w:hint="eastAsia" w:ascii="宋体" w:hAnsi="宋体" w:eastAsia="宋体" w:cs="宋体"/>
                <w:szCs w:val="21"/>
              </w:rPr>
            </w:pPr>
          </w:p>
        </w:tc>
        <w:tc>
          <w:tcPr>
            <w:tcW w:w="2611" w:type="dxa"/>
            <w:noWrap w:val="0"/>
            <w:vAlign w:val="center"/>
          </w:tcPr>
          <w:p w14:paraId="4513524E">
            <w:pPr>
              <w:spacing w:line="240" w:lineRule="exact"/>
              <w:rPr>
                <w:rFonts w:hint="eastAsia" w:ascii="宋体" w:hAnsi="宋体" w:eastAsia="宋体" w:cs="宋体"/>
                <w:kern w:val="2"/>
                <w:sz w:val="21"/>
                <w:szCs w:val="24"/>
                <w:lang w:val="zh-CN" w:eastAsia="zh-CN" w:bidi="ar-SA"/>
              </w:rPr>
            </w:pPr>
            <w:r>
              <w:rPr>
                <w:rFonts w:hint="eastAsia" w:ascii="宋体" w:hAnsi="宋体" w:eastAsia="宋体" w:cs="宋体"/>
                <w:szCs w:val="21"/>
                <w:lang w:val="zh-CN"/>
              </w:rPr>
              <w:t>过低报价合理性</w:t>
            </w:r>
          </w:p>
        </w:tc>
        <w:tc>
          <w:tcPr>
            <w:tcW w:w="5599" w:type="dxa"/>
            <w:noWrap w:val="0"/>
            <w:vAlign w:val="center"/>
          </w:tcPr>
          <w:p w14:paraId="2FA009F6">
            <w:pPr>
              <w:spacing w:line="240" w:lineRule="exact"/>
              <w:rPr>
                <w:rFonts w:hint="eastAsia" w:ascii="宋体" w:hAnsi="宋体" w:eastAsia="宋体" w:cs="宋体"/>
                <w:kern w:val="2"/>
                <w:sz w:val="21"/>
                <w:szCs w:val="24"/>
                <w:lang w:val="en-US" w:eastAsia="zh-CN" w:bidi="ar-SA"/>
              </w:rPr>
            </w:pPr>
            <w:r>
              <w:rPr>
                <w:rFonts w:hint="eastAsia" w:ascii="宋体" w:hAnsi="宋体" w:eastAsia="宋体" w:cs="宋体"/>
                <w:lang w:val="en-US" w:eastAsia="zh-CN"/>
              </w:rPr>
              <w:t>供应商</w:t>
            </w:r>
            <w:r>
              <w:rPr>
                <w:rFonts w:hint="eastAsia" w:ascii="宋体" w:hAnsi="宋体" w:eastAsia="宋体" w:cs="宋体"/>
              </w:rPr>
              <w:t>的</w:t>
            </w:r>
            <w:r>
              <w:rPr>
                <w:rFonts w:hint="eastAsia" w:ascii="宋体" w:hAnsi="宋体" w:eastAsia="宋体" w:cs="宋体"/>
                <w:lang w:val="en-US" w:eastAsia="zh-CN"/>
              </w:rPr>
              <w:t>报价</w:t>
            </w:r>
            <w:r>
              <w:rPr>
                <w:rFonts w:hint="eastAsia" w:ascii="宋体" w:hAnsi="宋体" w:eastAsia="宋体" w:cs="宋体"/>
              </w:rPr>
              <w:t>存在异常低价问题</w:t>
            </w:r>
            <w:r>
              <w:rPr>
                <w:rFonts w:hint="eastAsia" w:ascii="宋体" w:hAnsi="宋体" w:eastAsia="宋体" w:cs="宋体"/>
                <w:lang w:val="en-US" w:eastAsia="zh-CN"/>
              </w:rPr>
              <w:t>的情形，评审委员会</w:t>
            </w:r>
            <w:r>
              <w:rPr>
                <w:rFonts w:hint="eastAsia" w:ascii="宋体" w:hAnsi="宋体" w:eastAsia="宋体" w:cs="宋体"/>
                <w:szCs w:val="21"/>
              </w:rPr>
              <w:t>应当要求其在</w:t>
            </w:r>
            <w:r>
              <w:rPr>
                <w:rFonts w:hint="eastAsia" w:ascii="宋体" w:hAnsi="宋体" w:eastAsia="宋体" w:cs="宋体"/>
                <w:szCs w:val="21"/>
                <w:lang w:val="en-US" w:eastAsia="zh-CN"/>
              </w:rPr>
              <w:t>评审</w:t>
            </w:r>
            <w:r>
              <w:rPr>
                <w:rFonts w:hint="eastAsia" w:ascii="宋体" w:hAnsi="宋体" w:eastAsia="宋体" w:cs="宋体"/>
                <w:szCs w:val="21"/>
              </w:rPr>
              <w:t>现场合理的时间内</w:t>
            </w:r>
            <w:r>
              <w:rPr>
                <w:rFonts w:hint="eastAsia" w:ascii="宋体" w:hAnsi="宋体" w:eastAsia="宋体" w:cs="宋体"/>
                <w:szCs w:val="21"/>
                <w:lang w:val="en-US" w:eastAsia="zh-CN"/>
              </w:rPr>
              <w:t>提供</w:t>
            </w:r>
            <w:r>
              <w:rPr>
                <w:rFonts w:hint="eastAsia" w:ascii="宋体" w:hAnsi="宋体" w:eastAsia="宋体" w:cs="宋体"/>
                <w:szCs w:val="21"/>
              </w:rPr>
              <w:t>报价合理性相关的书面说明及必要的证明材料。</w:t>
            </w:r>
            <w:r>
              <w:rPr>
                <w:rFonts w:hint="eastAsia" w:ascii="宋体" w:hAnsi="宋体" w:eastAsia="宋体" w:cs="宋体"/>
                <w:lang w:val="en-US" w:eastAsia="zh-CN"/>
              </w:rPr>
              <w:t>供应商</w:t>
            </w:r>
            <w:r>
              <w:rPr>
                <w:rFonts w:hint="eastAsia" w:ascii="宋体" w:hAnsi="宋体" w:eastAsia="宋体" w:cs="宋体"/>
              </w:rPr>
              <w:t>不能证明其报价合理性的，</w:t>
            </w:r>
            <w:r>
              <w:rPr>
                <w:rFonts w:hint="eastAsia" w:ascii="宋体" w:hAnsi="宋体" w:eastAsia="宋体" w:cs="宋体"/>
                <w:lang w:eastAsia="zh-CN"/>
              </w:rPr>
              <w:t>评审委员会</w:t>
            </w:r>
            <w:r>
              <w:rPr>
                <w:rFonts w:hint="eastAsia" w:ascii="宋体" w:hAnsi="宋体" w:eastAsia="宋体" w:cs="宋体"/>
              </w:rPr>
              <w:t>应当将其作为无效</w:t>
            </w:r>
            <w:r>
              <w:rPr>
                <w:rFonts w:hint="eastAsia" w:ascii="宋体" w:hAnsi="宋体" w:eastAsia="宋体" w:cs="宋体"/>
                <w:lang w:val="en-US" w:eastAsia="zh-CN"/>
              </w:rPr>
              <w:t>响应</w:t>
            </w:r>
            <w:r>
              <w:rPr>
                <w:rFonts w:hint="eastAsia" w:ascii="宋体" w:hAnsi="宋体" w:eastAsia="宋体" w:cs="宋体"/>
              </w:rPr>
              <w:t>处理。</w:t>
            </w:r>
          </w:p>
        </w:tc>
      </w:tr>
    </w:tbl>
    <w:p w14:paraId="1E9B5376">
      <w:pPr>
        <w:spacing w:before="120" w:line="320" w:lineRule="atLeast"/>
        <w:ind w:firstLine="413" w:firstLineChars="196"/>
        <w:outlineLvl w:val="1"/>
        <w:rPr>
          <w:rFonts w:hint="eastAsia" w:ascii="宋体" w:hAnsi="宋体" w:eastAsia="宋体" w:cs="宋体"/>
          <w:b/>
          <w:bCs/>
          <w:kern w:val="0"/>
          <w:szCs w:val="21"/>
        </w:rPr>
      </w:pPr>
      <w:r>
        <w:rPr>
          <w:rFonts w:hint="eastAsia" w:ascii="宋体" w:hAnsi="宋体" w:eastAsia="宋体" w:cs="宋体"/>
          <w:b/>
          <w:bCs/>
          <w:kern w:val="0"/>
          <w:szCs w:val="21"/>
        </w:rPr>
        <w:br w:type="page"/>
      </w:r>
      <w:r>
        <w:rPr>
          <w:rFonts w:hint="eastAsia" w:ascii="宋体" w:hAnsi="宋体" w:eastAsia="宋体" w:cs="宋体"/>
          <w:b/>
          <w:bCs/>
          <w:kern w:val="0"/>
          <w:szCs w:val="21"/>
        </w:rPr>
        <w:t>4.评审标准</w:t>
      </w:r>
    </w:p>
    <w:p w14:paraId="7B29D5C6">
      <w:pPr>
        <w:ind w:firstLine="420" w:firstLineChars="200"/>
        <w:rPr>
          <w:rFonts w:hint="eastAsia" w:ascii="宋体" w:hAnsi="宋体" w:eastAsia="宋体" w:cs="宋体"/>
        </w:rPr>
      </w:pPr>
      <w:r>
        <w:rPr>
          <w:rFonts w:hint="eastAsia" w:ascii="宋体" w:hAnsi="宋体" w:eastAsia="宋体" w:cs="宋体"/>
        </w:rPr>
        <w:t>（1）技术及商务资信分</w:t>
      </w:r>
    </w:p>
    <w:tbl>
      <w:tblPr>
        <w:tblStyle w:val="15"/>
        <w:tblW w:w="90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7"/>
        <w:gridCol w:w="619"/>
        <w:gridCol w:w="1500"/>
        <w:gridCol w:w="6424"/>
      </w:tblGrid>
      <w:tr w14:paraId="45BA8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 w:hRule="atLeast"/>
          <w:jc w:val="center"/>
        </w:trPr>
        <w:tc>
          <w:tcPr>
            <w:tcW w:w="497" w:type="dxa"/>
            <w:noWrap w:val="0"/>
            <w:vAlign w:val="center"/>
          </w:tcPr>
          <w:p w14:paraId="2E8B34C6">
            <w:pPr>
              <w:jc w:val="center"/>
              <w:rPr>
                <w:rFonts w:hint="eastAsia" w:ascii="宋体" w:hAnsi="宋体" w:eastAsia="宋体" w:cs="宋体"/>
                <w:b/>
                <w:szCs w:val="21"/>
              </w:rPr>
            </w:pPr>
            <w:r>
              <w:rPr>
                <w:rFonts w:hint="eastAsia" w:ascii="宋体" w:hAnsi="宋体" w:eastAsia="宋体" w:cs="宋体"/>
                <w:b/>
                <w:szCs w:val="21"/>
              </w:rPr>
              <w:t>序号</w:t>
            </w:r>
          </w:p>
        </w:tc>
        <w:tc>
          <w:tcPr>
            <w:tcW w:w="619" w:type="dxa"/>
            <w:noWrap w:val="0"/>
            <w:vAlign w:val="center"/>
          </w:tcPr>
          <w:p w14:paraId="3057E2AE">
            <w:pPr>
              <w:jc w:val="center"/>
              <w:rPr>
                <w:rFonts w:hint="eastAsia" w:ascii="宋体" w:hAnsi="宋体" w:eastAsia="宋体" w:cs="宋体"/>
                <w:b/>
                <w:szCs w:val="21"/>
              </w:rPr>
            </w:pPr>
            <w:r>
              <w:rPr>
                <w:rFonts w:hint="eastAsia" w:ascii="宋体" w:hAnsi="宋体" w:eastAsia="宋体" w:cs="宋体"/>
                <w:b/>
                <w:szCs w:val="21"/>
              </w:rPr>
              <w:t>类型</w:t>
            </w:r>
          </w:p>
        </w:tc>
        <w:tc>
          <w:tcPr>
            <w:tcW w:w="7924" w:type="dxa"/>
            <w:gridSpan w:val="2"/>
            <w:noWrap w:val="0"/>
            <w:vAlign w:val="top"/>
          </w:tcPr>
          <w:p w14:paraId="5556BFFC">
            <w:pPr>
              <w:jc w:val="center"/>
              <w:rPr>
                <w:rFonts w:hint="eastAsia" w:ascii="宋体" w:hAnsi="宋体" w:eastAsia="宋体" w:cs="宋体"/>
                <w:b/>
                <w:szCs w:val="21"/>
              </w:rPr>
            </w:pPr>
            <w:r>
              <w:rPr>
                <w:rFonts w:hint="eastAsia" w:ascii="宋体" w:hAnsi="宋体" w:eastAsia="宋体" w:cs="宋体"/>
                <w:b/>
                <w:szCs w:val="21"/>
              </w:rPr>
              <w:t>评分标准</w:t>
            </w:r>
          </w:p>
        </w:tc>
      </w:tr>
      <w:tr w14:paraId="758AE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 w:hRule="atLeast"/>
          <w:jc w:val="center"/>
        </w:trPr>
        <w:tc>
          <w:tcPr>
            <w:tcW w:w="497" w:type="dxa"/>
            <w:noWrap w:val="0"/>
            <w:vAlign w:val="center"/>
          </w:tcPr>
          <w:p w14:paraId="65F06B87">
            <w:pPr>
              <w:jc w:val="center"/>
              <w:rPr>
                <w:rFonts w:hint="eastAsia" w:ascii="宋体" w:hAnsi="宋体" w:eastAsia="宋体" w:cs="宋体"/>
                <w:b/>
                <w:szCs w:val="21"/>
                <w:highlight w:val="none"/>
                <w:lang w:val="en-US" w:eastAsia="zh-CN"/>
              </w:rPr>
            </w:pPr>
            <w:r>
              <w:rPr>
                <w:rFonts w:hint="eastAsia" w:ascii="宋体" w:hAnsi="宋体" w:cs="宋体"/>
                <w:b/>
                <w:szCs w:val="21"/>
                <w:highlight w:val="none"/>
                <w:lang w:val="en-US" w:eastAsia="zh-CN"/>
              </w:rPr>
              <w:t>1</w:t>
            </w:r>
          </w:p>
        </w:tc>
        <w:tc>
          <w:tcPr>
            <w:tcW w:w="619" w:type="dxa"/>
            <w:noWrap w:val="0"/>
            <w:vAlign w:val="center"/>
          </w:tcPr>
          <w:p w14:paraId="61B0E4E0">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技术分</w:t>
            </w:r>
          </w:p>
        </w:tc>
        <w:tc>
          <w:tcPr>
            <w:tcW w:w="1500" w:type="dxa"/>
            <w:vMerge w:val="restart"/>
            <w:noWrap w:val="0"/>
            <w:vAlign w:val="center"/>
          </w:tcPr>
          <w:p w14:paraId="165701DE">
            <w:pPr>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施工组织设计</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满分64分</w:t>
            </w:r>
            <w:r>
              <w:rPr>
                <w:rFonts w:hint="eastAsia" w:ascii="宋体" w:hAnsi="宋体" w:cs="宋体"/>
                <w:color w:val="auto"/>
                <w:szCs w:val="21"/>
                <w:highlight w:val="none"/>
                <w:lang w:eastAsia="zh-CN"/>
              </w:rPr>
              <w:t>）</w:t>
            </w:r>
          </w:p>
        </w:tc>
        <w:tc>
          <w:tcPr>
            <w:tcW w:w="6424" w:type="dxa"/>
            <w:noWrap w:val="0"/>
            <w:vAlign w:val="center"/>
          </w:tcPr>
          <w:p w14:paraId="25654F74">
            <w:pPr>
              <w:jc w:val="left"/>
              <w:rPr>
                <w:rFonts w:hint="eastAsia" w:ascii="宋体" w:hAnsi="宋体" w:eastAsia="宋体" w:cs="宋体"/>
                <w:color w:val="auto"/>
                <w:szCs w:val="21"/>
              </w:rPr>
            </w:pPr>
            <w:r>
              <w:rPr>
                <w:rFonts w:hint="eastAsia" w:ascii="宋体" w:hAnsi="宋体" w:eastAsia="宋体" w:cs="宋体"/>
                <w:color w:val="auto"/>
                <w:szCs w:val="21"/>
              </w:rPr>
              <w:t>主要施工方法（</w:t>
            </w:r>
            <w:r>
              <w:rPr>
                <w:rFonts w:hint="eastAsia" w:ascii="宋体" w:hAnsi="宋体" w:eastAsia="宋体" w:cs="宋体"/>
                <w:color w:val="auto"/>
                <w:szCs w:val="21"/>
                <w:lang w:val="en-US" w:eastAsia="zh-CN"/>
              </w:rPr>
              <w:t>满分9</w:t>
            </w:r>
            <w:r>
              <w:rPr>
                <w:rFonts w:hint="eastAsia" w:ascii="宋体" w:hAnsi="宋体" w:eastAsia="宋体" w:cs="宋体"/>
                <w:color w:val="auto"/>
                <w:szCs w:val="21"/>
              </w:rPr>
              <w:t>分）</w:t>
            </w:r>
          </w:p>
          <w:p w14:paraId="6146E82B">
            <w:pPr>
              <w:jc w:val="left"/>
              <w:rPr>
                <w:rFonts w:hint="eastAsia" w:ascii="宋体" w:hAnsi="宋体" w:eastAsia="宋体" w:cs="宋体"/>
                <w:color w:val="auto"/>
                <w:szCs w:val="21"/>
              </w:rPr>
            </w:pPr>
            <w:r>
              <w:rPr>
                <w:rFonts w:hint="eastAsia" w:ascii="宋体" w:hAnsi="宋体" w:eastAsia="宋体" w:cs="宋体"/>
                <w:color w:val="auto"/>
                <w:szCs w:val="21"/>
              </w:rPr>
              <w:t>一档（</w:t>
            </w:r>
            <w:r>
              <w:rPr>
                <w:rFonts w:hint="eastAsia" w:ascii="宋体" w:hAnsi="宋体" w:eastAsia="宋体" w:cs="宋体"/>
                <w:color w:val="auto"/>
                <w:szCs w:val="21"/>
                <w:lang w:val="en-US" w:eastAsia="zh-CN"/>
              </w:rPr>
              <w:t>9</w:t>
            </w:r>
            <w:r>
              <w:rPr>
                <w:rFonts w:hint="eastAsia" w:ascii="宋体" w:hAnsi="宋体" w:eastAsia="宋体" w:cs="宋体"/>
                <w:color w:val="auto"/>
                <w:szCs w:val="21"/>
              </w:rPr>
              <w:t>分）：各主要分部施工方法符合项目实际，有详尽的施工技术方案，方案能够针对本项目实际情况进行表述，有明显的针对性，拟采用的工艺先进、方法科学详细完整且适用于本项目，表述清晰能指导具体施工并确保安全。</w:t>
            </w:r>
          </w:p>
          <w:p w14:paraId="46003431">
            <w:pPr>
              <w:jc w:val="left"/>
              <w:rPr>
                <w:rFonts w:hint="eastAsia" w:ascii="宋体" w:hAnsi="宋体" w:eastAsia="宋体" w:cs="宋体"/>
                <w:color w:val="auto"/>
                <w:szCs w:val="21"/>
              </w:rPr>
            </w:pPr>
            <w:r>
              <w:rPr>
                <w:rFonts w:hint="eastAsia" w:ascii="宋体" w:hAnsi="宋体" w:eastAsia="宋体" w:cs="宋体"/>
                <w:color w:val="auto"/>
                <w:szCs w:val="21"/>
              </w:rPr>
              <w:t>二档（</w:t>
            </w:r>
            <w:r>
              <w:rPr>
                <w:rFonts w:hint="eastAsia" w:ascii="宋体" w:hAnsi="宋体" w:eastAsia="宋体" w:cs="宋体"/>
                <w:color w:val="auto"/>
                <w:szCs w:val="21"/>
                <w:lang w:val="en-US" w:eastAsia="zh-CN"/>
              </w:rPr>
              <w:t>6</w:t>
            </w:r>
            <w:r>
              <w:rPr>
                <w:rFonts w:hint="eastAsia" w:ascii="宋体" w:hAnsi="宋体" w:eastAsia="宋体" w:cs="宋体"/>
                <w:color w:val="auto"/>
                <w:szCs w:val="21"/>
              </w:rPr>
              <w:t>分）：各主要分部施工方法符合项目实际，有完整的施工技术方案，但是缺乏针对本项目实际情况的表述，工艺操作规范成熟、方法科学完整，能指导具体施工并确保安全。</w:t>
            </w:r>
          </w:p>
          <w:p w14:paraId="34DD391E">
            <w:pPr>
              <w:jc w:val="left"/>
              <w:rPr>
                <w:rFonts w:hint="eastAsia" w:ascii="宋体" w:hAnsi="宋体" w:eastAsia="宋体" w:cs="宋体"/>
                <w:color w:val="auto"/>
                <w:szCs w:val="21"/>
              </w:rPr>
            </w:pPr>
            <w:r>
              <w:rPr>
                <w:rFonts w:hint="eastAsia" w:ascii="宋体" w:hAnsi="宋体" w:eastAsia="宋体" w:cs="宋体"/>
                <w:color w:val="auto"/>
                <w:szCs w:val="21"/>
              </w:rPr>
              <w:t>三档（3分）：各主要分部施工方法符合项目实际，有施工技术方案，工艺落后、方法粗略，能指导施工并确保安全。</w:t>
            </w:r>
          </w:p>
          <w:p w14:paraId="62396C8D">
            <w:pPr>
              <w:jc w:val="left"/>
              <w:rPr>
                <w:rFonts w:hint="eastAsia" w:ascii="宋体" w:hAnsi="宋体" w:eastAsia="宋体" w:cs="宋体"/>
                <w:color w:val="4472C4"/>
                <w:kern w:val="0"/>
              </w:rPr>
            </w:pPr>
            <w:r>
              <w:rPr>
                <w:rFonts w:hint="eastAsia" w:ascii="宋体" w:hAnsi="宋体" w:eastAsia="宋体" w:cs="宋体"/>
                <w:color w:val="auto"/>
                <w:szCs w:val="21"/>
              </w:rPr>
              <w:t>四档（0分）：各主要分部施工方法不符合项目实际，有施工技术方案，工艺落后，不能指导具体施工并确保安全。</w:t>
            </w:r>
          </w:p>
        </w:tc>
      </w:tr>
      <w:tr w14:paraId="098AB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 w:hRule="atLeast"/>
          <w:jc w:val="center"/>
        </w:trPr>
        <w:tc>
          <w:tcPr>
            <w:tcW w:w="497" w:type="dxa"/>
            <w:noWrap w:val="0"/>
            <w:vAlign w:val="center"/>
          </w:tcPr>
          <w:p w14:paraId="05F58855">
            <w:pPr>
              <w:jc w:val="center"/>
              <w:rPr>
                <w:rFonts w:hint="eastAsia" w:ascii="宋体" w:hAnsi="宋体" w:eastAsia="宋体" w:cs="宋体"/>
                <w:b/>
                <w:szCs w:val="21"/>
                <w:highlight w:val="none"/>
                <w:lang w:val="en-US" w:eastAsia="zh-CN"/>
              </w:rPr>
            </w:pPr>
            <w:r>
              <w:rPr>
                <w:rFonts w:hint="eastAsia" w:ascii="宋体" w:hAnsi="宋体" w:cs="宋体"/>
                <w:b/>
                <w:szCs w:val="21"/>
                <w:highlight w:val="none"/>
                <w:lang w:val="en-US" w:eastAsia="zh-CN"/>
              </w:rPr>
              <w:t>2</w:t>
            </w:r>
          </w:p>
        </w:tc>
        <w:tc>
          <w:tcPr>
            <w:tcW w:w="619" w:type="dxa"/>
            <w:noWrap w:val="0"/>
            <w:vAlign w:val="center"/>
          </w:tcPr>
          <w:p w14:paraId="750E195E">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技术分</w:t>
            </w:r>
          </w:p>
        </w:tc>
        <w:tc>
          <w:tcPr>
            <w:tcW w:w="1500" w:type="dxa"/>
            <w:vMerge w:val="continue"/>
            <w:noWrap w:val="0"/>
            <w:vAlign w:val="top"/>
          </w:tcPr>
          <w:p w14:paraId="3122C6A1">
            <w:pPr>
              <w:rPr>
                <w:rFonts w:hint="eastAsia" w:ascii="宋体" w:hAnsi="宋体" w:eastAsia="宋体" w:cs="宋体"/>
                <w:color w:val="auto"/>
                <w:szCs w:val="21"/>
                <w:highlight w:val="none"/>
              </w:rPr>
            </w:pPr>
          </w:p>
        </w:tc>
        <w:tc>
          <w:tcPr>
            <w:tcW w:w="6424" w:type="dxa"/>
            <w:noWrap w:val="0"/>
            <w:vAlign w:val="center"/>
          </w:tcPr>
          <w:p w14:paraId="57DEDC97">
            <w:pPr>
              <w:jc w:val="left"/>
              <w:rPr>
                <w:rFonts w:hint="eastAsia" w:ascii="宋体" w:hAnsi="宋体" w:eastAsia="宋体" w:cs="宋体"/>
                <w:color w:val="auto"/>
                <w:kern w:val="0"/>
              </w:rPr>
            </w:pPr>
            <w:r>
              <w:rPr>
                <w:rFonts w:hint="eastAsia" w:ascii="宋体" w:hAnsi="宋体" w:eastAsia="宋体" w:cs="宋体"/>
                <w:color w:val="auto"/>
                <w:kern w:val="0"/>
              </w:rPr>
              <w:t>拟投入的主要物资及施工机械设备计划（</w:t>
            </w:r>
            <w:r>
              <w:rPr>
                <w:rFonts w:hint="eastAsia" w:ascii="宋体" w:hAnsi="宋体" w:eastAsia="宋体" w:cs="宋体"/>
                <w:color w:val="auto"/>
                <w:szCs w:val="21"/>
                <w:lang w:val="en-US" w:eastAsia="zh-CN"/>
              </w:rPr>
              <w:t>满分</w:t>
            </w:r>
            <w:r>
              <w:rPr>
                <w:rFonts w:hint="eastAsia" w:ascii="宋体" w:hAnsi="宋体" w:eastAsia="宋体" w:cs="宋体"/>
                <w:color w:val="auto"/>
                <w:kern w:val="0"/>
                <w:lang w:val="en-US" w:eastAsia="zh-CN"/>
              </w:rPr>
              <w:t>9</w:t>
            </w:r>
            <w:r>
              <w:rPr>
                <w:rFonts w:hint="eastAsia" w:ascii="宋体" w:hAnsi="宋体" w:eastAsia="宋体" w:cs="宋体"/>
                <w:color w:val="auto"/>
                <w:kern w:val="0"/>
              </w:rPr>
              <w:t>分）</w:t>
            </w:r>
          </w:p>
          <w:p w14:paraId="3D2FB9A4">
            <w:pPr>
              <w:autoSpaceDE w:val="0"/>
              <w:autoSpaceDN w:val="0"/>
              <w:adjustRightInd w:val="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一档（</w:t>
            </w:r>
            <w:r>
              <w:rPr>
                <w:rFonts w:hint="eastAsia" w:ascii="宋体" w:hAnsi="宋体" w:eastAsia="宋体" w:cs="宋体"/>
                <w:color w:val="auto"/>
                <w:kern w:val="0"/>
                <w:szCs w:val="21"/>
                <w:highlight w:val="none"/>
                <w:lang w:val="en-US" w:eastAsia="zh-CN"/>
              </w:rPr>
              <w:t>9</w:t>
            </w:r>
            <w:r>
              <w:rPr>
                <w:rFonts w:hint="eastAsia" w:ascii="宋体" w:hAnsi="宋体" w:eastAsia="宋体" w:cs="宋体"/>
                <w:color w:val="auto"/>
                <w:kern w:val="0"/>
                <w:szCs w:val="21"/>
                <w:highlight w:val="none"/>
              </w:rPr>
              <w:t>分）：投入的施工机械、设备、机具、施工材料有详细的组织计划且计划周密贴合施工实际要求，数量、选型配置计划内容详尽、进场时间安排贴合现场需要与进度计划呼应，满足施工需要。设有常用施工材料储备仓库，并提前准备充足施工材料。</w:t>
            </w:r>
          </w:p>
          <w:p w14:paraId="15037522">
            <w:pPr>
              <w:autoSpaceDE w:val="0"/>
              <w:autoSpaceDN w:val="0"/>
              <w:adjustRightInd w:val="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二档（</w:t>
            </w:r>
            <w:r>
              <w:rPr>
                <w:rFonts w:hint="eastAsia" w:ascii="宋体" w:hAnsi="宋体" w:eastAsia="宋体" w:cs="宋体"/>
                <w:color w:val="auto"/>
                <w:kern w:val="0"/>
                <w:szCs w:val="21"/>
                <w:highlight w:val="none"/>
                <w:lang w:val="en-US" w:eastAsia="zh-CN"/>
              </w:rPr>
              <w:t>6</w:t>
            </w:r>
            <w:r>
              <w:rPr>
                <w:rFonts w:hint="eastAsia" w:ascii="宋体" w:hAnsi="宋体" w:eastAsia="宋体" w:cs="宋体"/>
                <w:color w:val="auto"/>
                <w:kern w:val="0"/>
                <w:szCs w:val="21"/>
                <w:highlight w:val="none"/>
              </w:rPr>
              <w:t>分）：投入的施工机械、设备、机具、施工材料有详细的组织计划但计划不够贴合施工实际要求，数量、选型配置、进场时间安排与进度计划有偏差，但基本满足现场需要，满足施工需要。设有常用施工材料储备仓库，并提前准备少量施工材料。</w:t>
            </w:r>
          </w:p>
          <w:p w14:paraId="758CE173">
            <w:pPr>
              <w:autoSpaceDE w:val="0"/>
              <w:autoSpaceDN w:val="0"/>
              <w:adjustRightInd w:val="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三档（</w:t>
            </w:r>
            <w:r>
              <w:rPr>
                <w:rFonts w:hint="eastAsia" w:ascii="宋体" w:hAnsi="宋体" w:eastAsia="宋体" w:cs="宋体"/>
                <w:color w:val="auto"/>
                <w:kern w:val="0"/>
                <w:szCs w:val="21"/>
                <w:highlight w:val="none"/>
                <w:lang w:val="en-US" w:eastAsia="zh-CN"/>
              </w:rPr>
              <w:t>3</w:t>
            </w:r>
            <w:r>
              <w:rPr>
                <w:rFonts w:hint="eastAsia" w:ascii="宋体" w:hAnsi="宋体" w:eastAsia="宋体" w:cs="宋体"/>
                <w:color w:val="auto"/>
                <w:kern w:val="0"/>
                <w:szCs w:val="21"/>
                <w:highlight w:val="none"/>
              </w:rPr>
              <w:t>分）：投入的施工机械、设备、机具、施工材料有组织计划但计划粗略，数量、选型配置计划内容有缺项、进场时间安排与进度计划有偏差，基本满足施工需要。</w:t>
            </w:r>
          </w:p>
          <w:p w14:paraId="4769B61B">
            <w:pPr>
              <w:rPr>
                <w:rFonts w:hint="eastAsia" w:ascii="宋体" w:hAnsi="宋体" w:eastAsia="宋体" w:cs="宋体"/>
                <w:color w:val="4472C4"/>
                <w:kern w:val="0"/>
              </w:rPr>
            </w:pPr>
            <w:r>
              <w:rPr>
                <w:rFonts w:hint="eastAsia" w:ascii="宋体" w:hAnsi="宋体" w:eastAsia="宋体" w:cs="宋体"/>
                <w:color w:val="auto"/>
                <w:kern w:val="0"/>
                <w:szCs w:val="21"/>
                <w:highlight w:val="none"/>
              </w:rPr>
              <w:t>四档（0分）：施工机械、设备、机具、投入的施工材料无组织计划，数量、选型配置、进场时间安排不切实际，不满足施工需要。</w:t>
            </w:r>
          </w:p>
        </w:tc>
      </w:tr>
      <w:tr w14:paraId="0FE55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 w:hRule="atLeast"/>
          <w:jc w:val="center"/>
        </w:trPr>
        <w:tc>
          <w:tcPr>
            <w:tcW w:w="497" w:type="dxa"/>
            <w:noWrap w:val="0"/>
            <w:vAlign w:val="center"/>
          </w:tcPr>
          <w:p w14:paraId="62526245">
            <w:pPr>
              <w:jc w:val="center"/>
              <w:rPr>
                <w:rFonts w:hint="eastAsia" w:ascii="宋体" w:hAnsi="宋体" w:eastAsia="宋体" w:cs="宋体"/>
                <w:b/>
                <w:szCs w:val="21"/>
                <w:lang w:val="en-US" w:eastAsia="zh-CN"/>
              </w:rPr>
            </w:pPr>
            <w:r>
              <w:rPr>
                <w:rFonts w:hint="eastAsia" w:ascii="宋体" w:hAnsi="宋体" w:cs="宋体"/>
                <w:b/>
                <w:szCs w:val="21"/>
                <w:highlight w:val="none"/>
                <w:lang w:val="en-US" w:eastAsia="zh-CN"/>
              </w:rPr>
              <w:t>3</w:t>
            </w:r>
          </w:p>
        </w:tc>
        <w:tc>
          <w:tcPr>
            <w:tcW w:w="619" w:type="dxa"/>
            <w:noWrap w:val="0"/>
            <w:vAlign w:val="center"/>
          </w:tcPr>
          <w:p w14:paraId="426B892B">
            <w:pPr>
              <w:jc w:val="center"/>
              <w:rPr>
                <w:rFonts w:hint="eastAsia" w:ascii="宋体" w:hAnsi="宋体" w:eastAsia="宋体" w:cs="宋体"/>
                <w:color w:val="4472C4"/>
                <w:szCs w:val="21"/>
              </w:rPr>
            </w:pPr>
            <w:r>
              <w:rPr>
                <w:rFonts w:hint="eastAsia" w:ascii="宋体" w:hAnsi="宋体" w:eastAsia="宋体" w:cs="宋体"/>
                <w:color w:val="auto"/>
                <w:szCs w:val="21"/>
              </w:rPr>
              <w:t>技术分</w:t>
            </w:r>
          </w:p>
        </w:tc>
        <w:tc>
          <w:tcPr>
            <w:tcW w:w="1500" w:type="dxa"/>
            <w:vMerge w:val="continue"/>
            <w:noWrap w:val="0"/>
            <w:vAlign w:val="top"/>
          </w:tcPr>
          <w:p w14:paraId="3B2A7C47">
            <w:pPr>
              <w:rPr>
                <w:rFonts w:hint="eastAsia" w:ascii="宋体" w:hAnsi="宋体" w:eastAsia="宋体" w:cs="宋体"/>
                <w:color w:val="4472C4"/>
                <w:szCs w:val="21"/>
              </w:rPr>
            </w:pPr>
          </w:p>
        </w:tc>
        <w:tc>
          <w:tcPr>
            <w:tcW w:w="6424" w:type="dxa"/>
            <w:noWrap w:val="0"/>
            <w:vAlign w:val="center"/>
          </w:tcPr>
          <w:p w14:paraId="7E919B27">
            <w:pPr>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劳动力安排计划（</w:t>
            </w:r>
            <w:r>
              <w:rPr>
                <w:rFonts w:hint="eastAsia" w:ascii="宋体" w:hAnsi="宋体" w:eastAsia="宋体" w:cs="宋体"/>
                <w:color w:val="auto"/>
                <w:szCs w:val="21"/>
                <w:lang w:val="en-US" w:eastAsia="zh-CN"/>
              </w:rPr>
              <w:t>满分</w:t>
            </w:r>
            <w:r>
              <w:rPr>
                <w:rFonts w:hint="eastAsia" w:ascii="宋体" w:hAnsi="宋体" w:eastAsia="宋体" w:cs="宋体"/>
                <w:color w:val="auto"/>
                <w:kern w:val="0"/>
                <w:highlight w:val="none"/>
                <w:lang w:val="en-US" w:eastAsia="zh-CN"/>
              </w:rPr>
              <w:t>6</w:t>
            </w:r>
            <w:r>
              <w:rPr>
                <w:rFonts w:hint="eastAsia" w:ascii="宋体" w:hAnsi="宋体" w:eastAsia="宋体" w:cs="宋体"/>
                <w:color w:val="auto"/>
                <w:kern w:val="0"/>
                <w:highlight w:val="none"/>
              </w:rPr>
              <w:t>分）</w:t>
            </w:r>
          </w:p>
          <w:p w14:paraId="7CEE340D">
            <w:pPr>
              <w:autoSpaceDE w:val="0"/>
              <w:autoSpaceDN w:val="0"/>
              <w:adjustRightInd w:val="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一档（</w:t>
            </w:r>
            <w:r>
              <w:rPr>
                <w:rFonts w:hint="eastAsia" w:ascii="宋体" w:hAnsi="宋体" w:eastAsia="宋体" w:cs="宋体"/>
                <w:color w:val="auto"/>
                <w:kern w:val="0"/>
                <w:szCs w:val="21"/>
                <w:highlight w:val="none"/>
                <w:lang w:val="en-US" w:eastAsia="zh-CN"/>
              </w:rPr>
              <w:t>6</w:t>
            </w:r>
            <w:r>
              <w:rPr>
                <w:rFonts w:hint="eastAsia" w:ascii="宋体" w:hAnsi="宋体" w:eastAsia="宋体" w:cs="宋体"/>
                <w:color w:val="auto"/>
                <w:kern w:val="0"/>
                <w:szCs w:val="21"/>
                <w:highlight w:val="none"/>
              </w:rPr>
              <w:t>分）：各主要施工工序有详细周密的劳动力安排计划，有各工种劳动力安排计划，劳动力投入贴合现场需要与进度计划呼应，</w:t>
            </w:r>
            <w:r>
              <w:rPr>
                <w:rFonts w:hint="eastAsia" w:ascii="宋体" w:hAnsi="宋体" w:eastAsia="宋体" w:cs="宋体"/>
                <w:color w:val="auto"/>
                <w:kern w:val="0"/>
                <w:szCs w:val="21"/>
                <w:highlight w:val="none"/>
                <w:lang w:val="en-US" w:eastAsia="zh-CN"/>
              </w:rPr>
              <w:t>完全</w:t>
            </w:r>
            <w:r>
              <w:rPr>
                <w:rFonts w:hint="eastAsia" w:ascii="宋体" w:hAnsi="宋体" w:eastAsia="宋体" w:cs="宋体"/>
                <w:color w:val="auto"/>
                <w:kern w:val="0"/>
                <w:szCs w:val="21"/>
                <w:highlight w:val="none"/>
              </w:rPr>
              <w:t>满足施工需要。</w:t>
            </w:r>
          </w:p>
          <w:p w14:paraId="04B0FB77">
            <w:pPr>
              <w:autoSpaceDE w:val="0"/>
              <w:autoSpaceDN w:val="0"/>
              <w:adjustRightInd w:val="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二档（</w:t>
            </w:r>
            <w:r>
              <w:rPr>
                <w:rFonts w:hint="eastAsia" w:ascii="宋体" w:hAnsi="宋体" w:eastAsia="宋体" w:cs="宋体"/>
                <w:color w:val="auto"/>
                <w:kern w:val="0"/>
                <w:szCs w:val="21"/>
                <w:highlight w:val="none"/>
                <w:lang w:val="en-US" w:eastAsia="zh-CN"/>
              </w:rPr>
              <w:t>4</w:t>
            </w:r>
            <w:r>
              <w:rPr>
                <w:rFonts w:hint="eastAsia" w:ascii="宋体" w:hAnsi="宋体" w:eastAsia="宋体" w:cs="宋体"/>
                <w:color w:val="auto"/>
                <w:kern w:val="0"/>
                <w:szCs w:val="21"/>
                <w:highlight w:val="none"/>
              </w:rPr>
              <w:t>分）：各主要施工工序有劳动力安排计划，有各工种劳动力安排计划，劳动力投入满足现场需要与进度计划呼应，满足施工需要。</w:t>
            </w:r>
          </w:p>
          <w:p w14:paraId="4135826E">
            <w:pPr>
              <w:autoSpaceDE w:val="0"/>
              <w:autoSpaceDN w:val="0"/>
              <w:adjustRightInd w:val="0"/>
              <w:jc w:val="left"/>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三档（</w:t>
            </w:r>
            <w:r>
              <w:rPr>
                <w:rFonts w:hint="eastAsia" w:ascii="宋体" w:hAnsi="宋体" w:eastAsia="宋体" w:cs="宋体"/>
                <w:color w:val="auto"/>
                <w:kern w:val="0"/>
                <w:szCs w:val="21"/>
                <w:highlight w:val="none"/>
                <w:lang w:val="en-US" w:eastAsia="zh-CN"/>
              </w:rPr>
              <w:t>2</w:t>
            </w:r>
            <w:r>
              <w:rPr>
                <w:rFonts w:hint="eastAsia" w:ascii="宋体" w:hAnsi="宋体" w:eastAsia="宋体" w:cs="宋体"/>
                <w:color w:val="auto"/>
                <w:kern w:val="0"/>
                <w:szCs w:val="21"/>
                <w:highlight w:val="none"/>
              </w:rPr>
              <w:t>分）：各主要施工工序只有劳动力安排计划，无各工种劳动力安排计划，劳动力投入与进度计划有偏差，基本满足施工需要。</w:t>
            </w:r>
          </w:p>
          <w:p w14:paraId="27F2DA4E">
            <w:pPr>
              <w:rPr>
                <w:rFonts w:hint="eastAsia" w:ascii="宋体" w:hAnsi="宋体" w:eastAsia="宋体" w:cs="宋体"/>
                <w:color w:val="4472C4"/>
                <w:kern w:val="0"/>
              </w:rPr>
            </w:pPr>
            <w:r>
              <w:rPr>
                <w:rFonts w:hint="eastAsia" w:ascii="宋体" w:hAnsi="宋体" w:eastAsia="宋体" w:cs="宋体"/>
                <w:color w:val="auto"/>
                <w:kern w:val="0"/>
                <w:szCs w:val="21"/>
                <w:highlight w:val="none"/>
              </w:rPr>
              <w:t>四档（0分）：各主要施工工序无劳动力安排计划，劳动力投入不足，不满足施工需要。</w:t>
            </w:r>
          </w:p>
        </w:tc>
      </w:tr>
      <w:tr w14:paraId="3B51A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 w:hRule="atLeast"/>
          <w:jc w:val="center"/>
        </w:trPr>
        <w:tc>
          <w:tcPr>
            <w:tcW w:w="497" w:type="dxa"/>
            <w:noWrap w:val="0"/>
            <w:vAlign w:val="center"/>
          </w:tcPr>
          <w:p w14:paraId="60618CDB">
            <w:pPr>
              <w:jc w:val="center"/>
              <w:rPr>
                <w:rFonts w:hint="eastAsia" w:ascii="宋体" w:hAnsi="宋体" w:eastAsia="宋体" w:cs="宋体"/>
                <w:b/>
                <w:szCs w:val="21"/>
                <w:lang w:val="en-US" w:eastAsia="zh-CN"/>
              </w:rPr>
            </w:pPr>
            <w:r>
              <w:rPr>
                <w:rFonts w:hint="eastAsia" w:ascii="宋体" w:hAnsi="宋体" w:cs="宋体"/>
                <w:b/>
                <w:szCs w:val="21"/>
                <w:highlight w:val="none"/>
                <w:lang w:val="en-US" w:eastAsia="zh-CN"/>
              </w:rPr>
              <w:t>4</w:t>
            </w:r>
          </w:p>
        </w:tc>
        <w:tc>
          <w:tcPr>
            <w:tcW w:w="619" w:type="dxa"/>
            <w:noWrap w:val="0"/>
            <w:vAlign w:val="center"/>
          </w:tcPr>
          <w:p w14:paraId="4B0F9A4A">
            <w:pPr>
              <w:jc w:val="center"/>
              <w:rPr>
                <w:rFonts w:hint="eastAsia" w:ascii="宋体" w:hAnsi="宋体" w:eastAsia="宋体" w:cs="宋体"/>
                <w:color w:val="auto"/>
                <w:szCs w:val="21"/>
              </w:rPr>
            </w:pPr>
            <w:r>
              <w:rPr>
                <w:rFonts w:hint="eastAsia" w:ascii="宋体" w:hAnsi="宋体" w:eastAsia="宋体" w:cs="宋体"/>
                <w:color w:val="auto"/>
                <w:szCs w:val="21"/>
              </w:rPr>
              <w:t>技术分</w:t>
            </w:r>
          </w:p>
        </w:tc>
        <w:tc>
          <w:tcPr>
            <w:tcW w:w="1500" w:type="dxa"/>
            <w:vMerge w:val="continue"/>
            <w:noWrap w:val="0"/>
            <w:vAlign w:val="top"/>
          </w:tcPr>
          <w:p w14:paraId="240ECD5A">
            <w:pPr>
              <w:rPr>
                <w:rFonts w:hint="eastAsia" w:ascii="宋体" w:hAnsi="宋体" w:eastAsia="宋体" w:cs="宋体"/>
                <w:color w:val="4472C4"/>
                <w:szCs w:val="21"/>
              </w:rPr>
            </w:pPr>
          </w:p>
        </w:tc>
        <w:tc>
          <w:tcPr>
            <w:tcW w:w="6424" w:type="dxa"/>
            <w:noWrap w:val="0"/>
            <w:vAlign w:val="center"/>
          </w:tcPr>
          <w:p w14:paraId="699A087F">
            <w:pPr>
              <w:jc w:val="left"/>
              <w:rPr>
                <w:rFonts w:hint="eastAsia" w:ascii="宋体" w:hAnsi="宋体" w:eastAsia="宋体" w:cs="宋体"/>
                <w:color w:val="auto"/>
                <w:kern w:val="0"/>
              </w:rPr>
            </w:pPr>
            <w:r>
              <w:rPr>
                <w:rFonts w:hint="eastAsia" w:ascii="宋体" w:hAnsi="宋体" w:eastAsia="宋体" w:cs="宋体"/>
                <w:color w:val="auto"/>
                <w:kern w:val="0"/>
              </w:rPr>
              <w:t>确保工程质量的技术组织措施（</w:t>
            </w:r>
            <w:r>
              <w:rPr>
                <w:rFonts w:hint="eastAsia" w:ascii="宋体" w:hAnsi="宋体" w:eastAsia="宋体" w:cs="宋体"/>
                <w:color w:val="auto"/>
                <w:szCs w:val="21"/>
                <w:lang w:val="en-US" w:eastAsia="zh-CN"/>
              </w:rPr>
              <w:t>满分</w:t>
            </w:r>
            <w:r>
              <w:rPr>
                <w:rFonts w:hint="eastAsia" w:ascii="宋体" w:hAnsi="宋体" w:eastAsia="宋体" w:cs="宋体"/>
                <w:color w:val="auto"/>
                <w:kern w:val="0"/>
                <w:lang w:val="en-US" w:eastAsia="zh-CN"/>
              </w:rPr>
              <w:t>6</w:t>
            </w:r>
            <w:r>
              <w:rPr>
                <w:rFonts w:hint="eastAsia" w:ascii="宋体" w:hAnsi="宋体" w:eastAsia="宋体" w:cs="宋体"/>
                <w:color w:val="auto"/>
                <w:kern w:val="0"/>
              </w:rPr>
              <w:t>分）</w:t>
            </w:r>
          </w:p>
          <w:p w14:paraId="49AFE142">
            <w:pPr>
              <w:autoSpaceDE w:val="0"/>
              <w:autoSpaceDN w:val="0"/>
              <w:adjustRightInd w:val="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一档（</w:t>
            </w:r>
            <w:r>
              <w:rPr>
                <w:rFonts w:hint="eastAsia" w:ascii="宋体" w:hAnsi="宋体" w:eastAsia="宋体" w:cs="宋体"/>
                <w:color w:val="auto"/>
                <w:kern w:val="0"/>
                <w:szCs w:val="21"/>
                <w:highlight w:val="none"/>
                <w:lang w:val="en-US" w:eastAsia="zh-CN"/>
              </w:rPr>
              <w:t>6</w:t>
            </w:r>
            <w:r>
              <w:rPr>
                <w:rFonts w:hint="eastAsia" w:ascii="宋体" w:hAnsi="宋体" w:eastAsia="宋体" w:cs="宋体"/>
                <w:color w:val="auto"/>
                <w:kern w:val="0"/>
                <w:szCs w:val="21"/>
                <w:highlight w:val="none"/>
              </w:rPr>
              <w:t>分）：有专门的质量技术管理班子和制度，且人员配备完善符合施工需要，制度健全。主要工序有质量技术保证措施和手段，自控体系完整，能有效保证技术质量，达到承诺的质量标准。管理人员具有相应岗位资格证书，班子人员达</w:t>
            </w:r>
            <w:r>
              <w:rPr>
                <w:rFonts w:hint="eastAsia" w:ascii="宋体" w:hAnsi="宋体" w:eastAsia="宋体" w:cs="宋体"/>
                <w:color w:val="auto"/>
                <w:kern w:val="0"/>
                <w:szCs w:val="21"/>
                <w:highlight w:val="none"/>
                <w:lang w:val="en-US" w:eastAsia="zh-CN"/>
              </w:rPr>
              <w:t>5</w:t>
            </w:r>
            <w:r>
              <w:rPr>
                <w:rFonts w:hint="eastAsia" w:ascii="宋体" w:hAnsi="宋体" w:eastAsia="宋体" w:cs="宋体"/>
                <w:color w:val="auto"/>
                <w:kern w:val="0"/>
                <w:szCs w:val="21"/>
                <w:highlight w:val="none"/>
              </w:rPr>
              <w:t>人，且中级职称及以上人员达</w:t>
            </w:r>
            <w:r>
              <w:rPr>
                <w:rFonts w:hint="eastAsia" w:ascii="宋体" w:hAnsi="宋体" w:eastAsia="宋体" w:cs="宋体"/>
                <w:color w:val="auto"/>
                <w:kern w:val="0"/>
                <w:szCs w:val="21"/>
                <w:highlight w:val="none"/>
                <w:lang w:val="en-US" w:eastAsia="zh-CN"/>
              </w:rPr>
              <w:t>3</w:t>
            </w:r>
            <w:r>
              <w:rPr>
                <w:rFonts w:hint="eastAsia" w:ascii="宋体" w:hAnsi="宋体" w:eastAsia="宋体" w:cs="宋体"/>
                <w:color w:val="auto"/>
                <w:kern w:val="0"/>
                <w:szCs w:val="21"/>
                <w:highlight w:val="none"/>
              </w:rPr>
              <w:t>人。</w:t>
            </w:r>
          </w:p>
          <w:p w14:paraId="455E42ED">
            <w:pPr>
              <w:autoSpaceDE w:val="0"/>
              <w:autoSpaceDN w:val="0"/>
              <w:adjustRightInd w:val="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二档（</w:t>
            </w:r>
            <w:r>
              <w:rPr>
                <w:rFonts w:hint="eastAsia" w:ascii="宋体" w:hAnsi="宋体" w:eastAsia="宋体" w:cs="宋体"/>
                <w:color w:val="auto"/>
                <w:kern w:val="0"/>
                <w:szCs w:val="21"/>
                <w:highlight w:val="none"/>
                <w:lang w:val="en-US" w:eastAsia="zh-CN"/>
              </w:rPr>
              <w:t>4</w:t>
            </w:r>
            <w:r>
              <w:rPr>
                <w:rFonts w:hint="eastAsia" w:ascii="宋体" w:hAnsi="宋体" w:eastAsia="宋体" w:cs="宋体"/>
                <w:color w:val="auto"/>
                <w:kern w:val="0"/>
                <w:szCs w:val="21"/>
                <w:highlight w:val="none"/>
              </w:rPr>
              <w:t>分）：有质量技术管理班子和制度，且人员配备满足施工需要，制度健全。主要工序有质量技术保证措施和手段，自控体系完整，能有效保证技术质量，达到承诺的质量标准。管理人员具有相应岗位资格证书，班子人员达</w:t>
            </w:r>
            <w:r>
              <w:rPr>
                <w:rFonts w:hint="eastAsia" w:ascii="宋体" w:hAnsi="宋体" w:eastAsia="宋体" w:cs="宋体"/>
                <w:color w:val="auto"/>
                <w:kern w:val="0"/>
                <w:szCs w:val="21"/>
                <w:highlight w:val="none"/>
                <w:lang w:val="en-US" w:eastAsia="zh-CN"/>
              </w:rPr>
              <w:t>4</w:t>
            </w:r>
            <w:r>
              <w:rPr>
                <w:rFonts w:hint="eastAsia" w:ascii="宋体" w:hAnsi="宋体" w:eastAsia="宋体" w:cs="宋体"/>
                <w:color w:val="auto"/>
                <w:kern w:val="0"/>
                <w:szCs w:val="21"/>
                <w:highlight w:val="none"/>
              </w:rPr>
              <w:t>人，且中级职称及以上人员达2人。</w:t>
            </w:r>
          </w:p>
          <w:p w14:paraId="15178256">
            <w:pPr>
              <w:autoSpaceDE w:val="0"/>
              <w:autoSpaceDN w:val="0"/>
              <w:adjustRightInd w:val="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三档（</w:t>
            </w:r>
            <w:r>
              <w:rPr>
                <w:rFonts w:hint="eastAsia" w:ascii="宋体" w:hAnsi="宋体" w:eastAsia="宋体" w:cs="宋体"/>
                <w:color w:val="auto"/>
                <w:kern w:val="0"/>
                <w:szCs w:val="21"/>
                <w:highlight w:val="none"/>
                <w:lang w:val="en-US" w:eastAsia="zh-CN"/>
              </w:rPr>
              <w:t>2</w:t>
            </w:r>
            <w:r>
              <w:rPr>
                <w:rFonts w:hint="eastAsia" w:ascii="宋体" w:hAnsi="宋体" w:eastAsia="宋体" w:cs="宋体"/>
                <w:color w:val="auto"/>
                <w:kern w:val="0"/>
                <w:szCs w:val="21"/>
                <w:highlight w:val="none"/>
              </w:rPr>
              <w:t>分）：有质量技术管理班子和制度。主要工序有质量技术保证措施和手段，自控体系有缺漏，基本能保证技术质量，达到承诺的质量标准。管理人员具有相应岗位资格证书，班子人员达3人，且中级职称及以上人员达1人。</w:t>
            </w:r>
          </w:p>
          <w:p w14:paraId="10C1DED8">
            <w:pPr>
              <w:rPr>
                <w:rFonts w:hint="eastAsia" w:ascii="宋体" w:hAnsi="宋体" w:eastAsia="宋体" w:cs="宋体"/>
                <w:color w:val="4472C4"/>
                <w:szCs w:val="21"/>
              </w:rPr>
            </w:pPr>
            <w:r>
              <w:rPr>
                <w:rFonts w:hint="eastAsia" w:ascii="宋体" w:hAnsi="宋体" w:eastAsia="宋体" w:cs="宋体"/>
                <w:color w:val="auto"/>
                <w:kern w:val="0"/>
                <w:szCs w:val="21"/>
                <w:highlight w:val="none"/>
              </w:rPr>
              <w:t>四档（0分）：有质量技术管理班子和制度。主要工序无质量技术保证措施和手段，自控体系有重大缺漏，不能有效保证技术质量。</w:t>
            </w:r>
          </w:p>
        </w:tc>
      </w:tr>
      <w:tr w14:paraId="100E4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 w:hRule="atLeast"/>
          <w:jc w:val="center"/>
        </w:trPr>
        <w:tc>
          <w:tcPr>
            <w:tcW w:w="497" w:type="dxa"/>
            <w:noWrap w:val="0"/>
            <w:vAlign w:val="center"/>
          </w:tcPr>
          <w:p w14:paraId="3FBD8AEA">
            <w:pPr>
              <w:jc w:val="center"/>
              <w:rPr>
                <w:rFonts w:hint="eastAsia" w:ascii="宋体" w:hAnsi="宋体" w:eastAsia="宋体" w:cs="宋体"/>
                <w:b/>
                <w:szCs w:val="21"/>
                <w:lang w:val="en-US" w:eastAsia="zh-CN"/>
              </w:rPr>
            </w:pPr>
            <w:r>
              <w:rPr>
                <w:rFonts w:hint="eastAsia" w:ascii="宋体" w:hAnsi="宋体" w:cs="宋体"/>
                <w:b/>
                <w:szCs w:val="21"/>
                <w:highlight w:val="none"/>
                <w:lang w:val="en-US" w:eastAsia="zh-CN"/>
              </w:rPr>
              <w:t>5</w:t>
            </w:r>
          </w:p>
        </w:tc>
        <w:tc>
          <w:tcPr>
            <w:tcW w:w="619" w:type="dxa"/>
            <w:noWrap w:val="0"/>
            <w:vAlign w:val="center"/>
          </w:tcPr>
          <w:p w14:paraId="61C2DBC7">
            <w:pPr>
              <w:jc w:val="center"/>
              <w:rPr>
                <w:rFonts w:hint="eastAsia" w:ascii="宋体" w:hAnsi="宋体" w:eastAsia="宋体" w:cs="宋体"/>
                <w:color w:val="auto"/>
                <w:szCs w:val="21"/>
              </w:rPr>
            </w:pPr>
            <w:r>
              <w:rPr>
                <w:rFonts w:hint="eastAsia" w:ascii="宋体" w:hAnsi="宋体" w:eastAsia="宋体" w:cs="宋体"/>
                <w:color w:val="auto"/>
                <w:szCs w:val="21"/>
              </w:rPr>
              <w:t>技术分</w:t>
            </w:r>
          </w:p>
        </w:tc>
        <w:tc>
          <w:tcPr>
            <w:tcW w:w="1500" w:type="dxa"/>
            <w:vMerge w:val="continue"/>
            <w:noWrap w:val="0"/>
            <w:vAlign w:val="top"/>
          </w:tcPr>
          <w:p w14:paraId="01840359">
            <w:pPr>
              <w:rPr>
                <w:rFonts w:hint="eastAsia" w:ascii="宋体" w:hAnsi="宋体" w:eastAsia="宋体" w:cs="宋体"/>
                <w:color w:val="4472C4"/>
                <w:szCs w:val="21"/>
              </w:rPr>
            </w:pPr>
          </w:p>
        </w:tc>
        <w:tc>
          <w:tcPr>
            <w:tcW w:w="6424" w:type="dxa"/>
            <w:noWrap w:val="0"/>
            <w:vAlign w:val="center"/>
          </w:tcPr>
          <w:p w14:paraId="207A184E">
            <w:pPr>
              <w:jc w:val="left"/>
              <w:rPr>
                <w:rFonts w:hint="eastAsia" w:ascii="宋体" w:hAnsi="宋体" w:eastAsia="宋体" w:cs="宋体"/>
                <w:color w:val="auto"/>
                <w:kern w:val="0"/>
              </w:rPr>
            </w:pPr>
            <w:r>
              <w:rPr>
                <w:rFonts w:hint="eastAsia" w:ascii="宋体" w:hAnsi="宋体" w:eastAsia="宋体" w:cs="宋体"/>
                <w:color w:val="auto"/>
                <w:kern w:val="0"/>
              </w:rPr>
              <w:t>确保安全生产的技术组织措施（</w:t>
            </w:r>
            <w:r>
              <w:rPr>
                <w:rFonts w:hint="eastAsia" w:ascii="宋体" w:hAnsi="宋体" w:eastAsia="宋体" w:cs="宋体"/>
                <w:color w:val="auto"/>
                <w:szCs w:val="21"/>
                <w:lang w:val="en-US" w:eastAsia="zh-CN"/>
              </w:rPr>
              <w:t>满分</w:t>
            </w:r>
            <w:r>
              <w:rPr>
                <w:rFonts w:hint="eastAsia" w:ascii="宋体" w:hAnsi="宋体" w:eastAsia="宋体" w:cs="宋体"/>
                <w:color w:val="auto"/>
                <w:kern w:val="0"/>
                <w:lang w:val="en-US" w:eastAsia="zh-CN"/>
              </w:rPr>
              <w:t>6</w:t>
            </w:r>
            <w:r>
              <w:rPr>
                <w:rFonts w:hint="eastAsia" w:ascii="宋体" w:hAnsi="宋体" w:eastAsia="宋体" w:cs="宋体"/>
                <w:color w:val="auto"/>
                <w:kern w:val="0"/>
              </w:rPr>
              <w:t>分）</w:t>
            </w:r>
          </w:p>
          <w:p w14:paraId="78A4B721">
            <w:pPr>
              <w:autoSpaceDE w:val="0"/>
              <w:autoSpaceDN w:val="0"/>
              <w:adjustRightInd w:val="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一档（</w:t>
            </w:r>
            <w:r>
              <w:rPr>
                <w:rFonts w:hint="eastAsia" w:ascii="宋体" w:hAnsi="宋体" w:eastAsia="宋体" w:cs="宋体"/>
                <w:color w:val="auto"/>
                <w:kern w:val="0"/>
                <w:szCs w:val="21"/>
                <w:highlight w:val="none"/>
                <w:lang w:val="en-US" w:eastAsia="zh-CN"/>
              </w:rPr>
              <w:t>6</w:t>
            </w:r>
            <w:r>
              <w:rPr>
                <w:rFonts w:hint="eastAsia" w:ascii="宋体" w:hAnsi="宋体" w:eastAsia="宋体" w:cs="宋体"/>
                <w:color w:val="auto"/>
                <w:kern w:val="0"/>
                <w:szCs w:val="21"/>
                <w:highlight w:val="none"/>
              </w:rPr>
              <w:t>分）：有专门的安全管理人员和制度，且人员配备完善符合施工需要，制度健全，各道工序安全技术措施针对性强，符合实际且满足有关安全技术标准要求。现场防火、应急救援、社会治安安全措施得力。</w:t>
            </w:r>
          </w:p>
          <w:p w14:paraId="7996B5B0">
            <w:pPr>
              <w:autoSpaceDE w:val="0"/>
              <w:autoSpaceDN w:val="0"/>
              <w:adjustRightInd w:val="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二档（</w:t>
            </w:r>
            <w:r>
              <w:rPr>
                <w:rFonts w:hint="eastAsia" w:ascii="宋体" w:hAnsi="宋体" w:eastAsia="宋体" w:cs="宋体"/>
                <w:color w:val="auto"/>
                <w:kern w:val="0"/>
                <w:szCs w:val="21"/>
                <w:highlight w:val="none"/>
                <w:lang w:val="en-US" w:eastAsia="zh-CN"/>
              </w:rPr>
              <w:t>4</w:t>
            </w:r>
            <w:r>
              <w:rPr>
                <w:rFonts w:hint="eastAsia" w:ascii="宋体" w:hAnsi="宋体" w:eastAsia="宋体" w:cs="宋体"/>
                <w:color w:val="auto"/>
                <w:kern w:val="0"/>
                <w:szCs w:val="21"/>
                <w:highlight w:val="none"/>
              </w:rPr>
              <w:t>分）：有安全管理人员和制度，且人员配备满足施工需要，制度健全，各道工序安全技术措施针对性强，符合实际且满足有关安全技术标准要求。现场防火、应急救援、社会治安安全措施得力。</w:t>
            </w:r>
          </w:p>
          <w:p w14:paraId="1939804B">
            <w:pPr>
              <w:autoSpaceDE w:val="0"/>
              <w:autoSpaceDN w:val="0"/>
              <w:adjustRightInd w:val="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三档（</w:t>
            </w:r>
            <w:r>
              <w:rPr>
                <w:rFonts w:hint="eastAsia" w:ascii="宋体" w:hAnsi="宋体" w:eastAsia="宋体" w:cs="宋体"/>
                <w:color w:val="auto"/>
                <w:kern w:val="0"/>
                <w:szCs w:val="21"/>
                <w:highlight w:val="none"/>
                <w:lang w:val="en-US" w:eastAsia="zh-CN"/>
              </w:rPr>
              <w:t>2</w:t>
            </w:r>
            <w:r>
              <w:rPr>
                <w:rFonts w:hint="eastAsia" w:ascii="宋体" w:hAnsi="宋体" w:eastAsia="宋体" w:cs="宋体"/>
                <w:color w:val="auto"/>
                <w:kern w:val="0"/>
                <w:szCs w:val="21"/>
                <w:highlight w:val="none"/>
              </w:rPr>
              <w:t>分）：有安全管理人员和制度，各道工序安全技术措施针对性差，满足有关安全技术标准要求。现场防火、应急救援、社会治安安全措施差。</w:t>
            </w:r>
          </w:p>
          <w:p w14:paraId="23E90DD2">
            <w:pPr>
              <w:autoSpaceDE w:val="0"/>
              <w:autoSpaceDN w:val="0"/>
              <w:adjustRightInd w:val="0"/>
              <w:jc w:val="left"/>
              <w:rPr>
                <w:rFonts w:hint="eastAsia" w:ascii="宋体" w:hAnsi="宋体" w:eastAsia="宋体" w:cs="宋体"/>
                <w:color w:val="4472C4"/>
                <w:szCs w:val="21"/>
              </w:rPr>
            </w:pPr>
            <w:r>
              <w:rPr>
                <w:rFonts w:hint="eastAsia" w:ascii="宋体" w:hAnsi="宋体" w:eastAsia="宋体" w:cs="宋体"/>
                <w:color w:val="auto"/>
                <w:kern w:val="0"/>
                <w:szCs w:val="21"/>
                <w:highlight w:val="none"/>
              </w:rPr>
              <w:t>四档（0分）：有安全管理人员和制度，各道工序安全技术措施无针对性，</w:t>
            </w:r>
            <w:r>
              <w:rPr>
                <w:rFonts w:hint="eastAsia" w:ascii="宋体" w:hAnsi="宋体" w:eastAsia="宋体" w:cs="宋体"/>
                <w:color w:val="auto"/>
                <w:kern w:val="0"/>
                <w:szCs w:val="21"/>
                <w:highlight w:val="none"/>
                <w:lang w:val="en-US" w:eastAsia="zh-CN"/>
              </w:rPr>
              <w:t>不</w:t>
            </w:r>
            <w:r>
              <w:rPr>
                <w:rFonts w:hint="eastAsia" w:ascii="宋体" w:hAnsi="宋体" w:eastAsia="宋体" w:cs="宋体"/>
                <w:color w:val="auto"/>
                <w:kern w:val="0"/>
                <w:szCs w:val="21"/>
                <w:highlight w:val="none"/>
              </w:rPr>
              <w:t>满足有关安全技术标准要求。现场防火、应急救援、社会治安安全措施差。</w:t>
            </w:r>
          </w:p>
        </w:tc>
      </w:tr>
      <w:tr w14:paraId="11C13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 w:hRule="atLeast"/>
          <w:jc w:val="center"/>
        </w:trPr>
        <w:tc>
          <w:tcPr>
            <w:tcW w:w="497" w:type="dxa"/>
            <w:noWrap w:val="0"/>
            <w:vAlign w:val="center"/>
          </w:tcPr>
          <w:p w14:paraId="13D6DE82">
            <w:pPr>
              <w:jc w:val="center"/>
              <w:rPr>
                <w:rFonts w:hint="eastAsia" w:ascii="宋体" w:hAnsi="宋体" w:eastAsia="宋体" w:cs="宋体"/>
                <w:b/>
                <w:szCs w:val="21"/>
                <w:highlight w:val="yellow"/>
                <w:lang w:val="en-US" w:eastAsia="zh-CN"/>
              </w:rPr>
            </w:pPr>
            <w:r>
              <w:rPr>
                <w:rFonts w:hint="eastAsia" w:ascii="宋体" w:hAnsi="宋体" w:cs="宋体"/>
                <w:b/>
                <w:szCs w:val="21"/>
                <w:highlight w:val="none"/>
                <w:lang w:val="en-US" w:eastAsia="zh-CN"/>
              </w:rPr>
              <w:t>6</w:t>
            </w:r>
          </w:p>
        </w:tc>
        <w:tc>
          <w:tcPr>
            <w:tcW w:w="619" w:type="dxa"/>
            <w:noWrap w:val="0"/>
            <w:vAlign w:val="center"/>
          </w:tcPr>
          <w:p w14:paraId="05AA157A">
            <w:pPr>
              <w:jc w:val="center"/>
              <w:rPr>
                <w:rFonts w:hint="eastAsia" w:ascii="宋体" w:hAnsi="宋体" w:eastAsia="宋体" w:cs="宋体"/>
                <w:color w:val="4472C4"/>
                <w:szCs w:val="21"/>
              </w:rPr>
            </w:pPr>
            <w:r>
              <w:rPr>
                <w:rFonts w:hint="eastAsia" w:ascii="宋体" w:hAnsi="宋体" w:eastAsia="宋体" w:cs="宋体"/>
                <w:color w:val="auto"/>
                <w:szCs w:val="21"/>
              </w:rPr>
              <w:t>技术分</w:t>
            </w:r>
          </w:p>
        </w:tc>
        <w:tc>
          <w:tcPr>
            <w:tcW w:w="1500" w:type="dxa"/>
            <w:vMerge w:val="continue"/>
            <w:noWrap w:val="0"/>
            <w:vAlign w:val="top"/>
          </w:tcPr>
          <w:p w14:paraId="1C9E2859">
            <w:pPr>
              <w:rPr>
                <w:rFonts w:hint="eastAsia" w:ascii="宋体" w:hAnsi="宋体" w:eastAsia="宋体" w:cs="宋体"/>
                <w:color w:val="4472C4"/>
                <w:szCs w:val="21"/>
              </w:rPr>
            </w:pPr>
          </w:p>
        </w:tc>
        <w:tc>
          <w:tcPr>
            <w:tcW w:w="6424" w:type="dxa"/>
            <w:noWrap w:val="0"/>
            <w:vAlign w:val="center"/>
          </w:tcPr>
          <w:p w14:paraId="1BDF8E81">
            <w:pPr>
              <w:rPr>
                <w:rFonts w:hint="eastAsia" w:ascii="宋体" w:hAnsi="宋体" w:eastAsia="宋体" w:cs="宋体"/>
                <w:color w:val="auto"/>
                <w:kern w:val="0"/>
              </w:rPr>
            </w:pPr>
            <w:r>
              <w:rPr>
                <w:rFonts w:hint="eastAsia" w:ascii="宋体" w:hAnsi="宋体" w:eastAsia="宋体" w:cs="宋体"/>
                <w:color w:val="auto"/>
                <w:kern w:val="0"/>
              </w:rPr>
              <w:t>确保工期的技术组织措施（</w:t>
            </w:r>
            <w:r>
              <w:rPr>
                <w:rFonts w:hint="eastAsia" w:ascii="宋体" w:hAnsi="宋体" w:eastAsia="宋体" w:cs="宋体"/>
                <w:color w:val="auto"/>
                <w:szCs w:val="21"/>
                <w:lang w:val="en-US" w:eastAsia="zh-CN"/>
              </w:rPr>
              <w:t>满分</w:t>
            </w:r>
            <w:r>
              <w:rPr>
                <w:rFonts w:hint="eastAsia" w:ascii="宋体" w:hAnsi="宋体" w:eastAsia="宋体" w:cs="宋体"/>
                <w:color w:val="auto"/>
                <w:kern w:val="0"/>
                <w:lang w:val="en-US" w:eastAsia="zh-CN"/>
              </w:rPr>
              <w:t>6</w:t>
            </w:r>
            <w:r>
              <w:rPr>
                <w:rFonts w:hint="eastAsia" w:ascii="宋体" w:hAnsi="宋体" w:eastAsia="宋体" w:cs="宋体"/>
                <w:color w:val="auto"/>
                <w:kern w:val="0"/>
              </w:rPr>
              <w:t>分）</w:t>
            </w:r>
          </w:p>
          <w:p w14:paraId="6ADA7DC4">
            <w:pPr>
              <w:autoSpaceDE w:val="0"/>
              <w:autoSpaceDN w:val="0"/>
              <w:adjustRightInd w:val="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一档（</w:t>
            </w:r>
            <w:r>
              <w:rPr>
                <w:rFonts w:hint="eastAsia" w:ascii="宋体" w:hAnsi="宋体" w:eastAsia="宋体" w:cs="宋体"/>
                <w:color w:val="auto"/>
                <w:kern w:val="0"/>
                <w:szCs w:val="21"/>
                <w:highlight w:val="none"/>
                <w:lang w:val="en-US" w:eastAsia="zh-CN"/>
              </w:rPr>
              <w:t>6</w:t>
            </w:r>
            <w:r>
              <w:rPr>
                <w:rFonts w:hint="eastAsia" w:ascii="宋体" w:hAnsi="宋体" w:eastAsia="宋体" w:cs="宋体"/>
                <w:color w:val="auto"/>
                <w:kern w:val="0"/>
                <w:szCs w:val="21"/>
                <w:highlight w:val="none"/>
              </w:rPr>
              <w:t>分）：在施工工艺、施工方法、材料选用、劳动力安排、技术等方面有保证工期的具体措施且措施得当。有控制工期的施工进度计划。有施工总进度表或施工网络图，各项计划图表编制完善，安排科学周密，符合本项目施工实际要求。承诺的维修时限优于磋商文件的要求并提供了为提前竣工而编制了详细、科学合理的实施方案。</w:t>
            </w:r>
          </w:p>
          <w:p w14:paraId="36403EA1">
            <w:pPr>
              <w:autoSpaceDE w:val="0"/>
              <w:autoSpaceDN w:val="0"/>
              <w:adjustRightInd w:val="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二档（</w:t>
            </w:r>
            <w:r>
              <w:rPr>
                <w:rFonts w:hint="eastAsia" w:ascii="宋体" w:hAnsi="宋体" w:eastAsia="宋体" w:cs="宋体"/>
                <w:color w:val="auto"/>
                <w:kern w:val="0"/>
                <w:szCs w:val="21"/>
                <w:highlight w:val="none"/>
                <w:lang w:val="en-US" w:eastAsia="zh-CN"/>
              </w:rPr>
              <w:t>4</w:t>
            </w:r>
            <w:r>
              <w:rPr>
                <w:rFonts w:hint="eastAsia" w:ascii="宋体" w:hAnsi="宋体" w:eastAsia="宋体" w:cs="宋体"/>
                <w:color w:val="auto"/>
                <w:kern w:val="0"/>
                <w:szCs w:val="21"/>
                <w:highlight w:val="none"/>
              </w:rPr>
              <w:t>分）：施工工艺、施工方法、材料选用、劳动力安排、技术等方面有保证工期的具体措施。有控制工期的施工进度计划。有施工总进度表或施工网络图，各项计划图表编制完善，符合本项目施工实际要求。承诺的</w:t>
            </w:r>
            <w:r>
              <w:rPr>
                <w:rFonts w:hint="eastAsia" w:ascii="宋体" w:hAnsi="宋体" w:eastAsia="宋体" w:cs="宋体"/>
                <w:color w:val="auto"/>
                <w:kern w:val="0"/>
                <w:szCs w:val="21"/>
                <w:highlight w:val="none"/>
                <w:lang w:val="en-US" w:eastAsia="zh-CN"/>
              </w:rPr>
              <w:t>维修时限</w:t>
            </w:r>
            <w:r>
              <w:rPr>
                <w:rFonts w:hint="eastAsia" w:ascii="宋体" w:hAnsi="宋体" w:eastAsia="宋体" w:cs="宋体"/>
                <w:color w:val="auto"/>
                <w:kern w:val="0"/>
                <w:szCs w:val="21"/>
                <w:highlight w:val="none"/>
              </w:rPr>
              <w:t>满足或优于磋商文件的要求。</w:t>
            </w:r>
          </w:p>
          <w:p w14:paraId="4BB0A651">
            <w:pPr>
              <w:autoSpaceDE w:val="0"/>
              <w:autoSpaceDN w:val="0"/>
              <w:adjustRightInd w:val="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三档（</w:t>
            </w:r>
            <w:r>
              <w:rPr>
                <w:rFonts w:hint="eastAsia" w:ascii="宋体" w:hAnsi="宋体" w:eastAsia="宋体" w:cs="宋体"/>
                <w:color w:val="auto"/>
                <w:kern w:val="0"/>
                <w:szCs w:val="21"/>
                <w:highlight w:val="none"/>
                <w:lang w:val="en-US" w:eastAsia="zh-CN"/>
              </w:rPr>
              <w:t>2</w:t>
            </w:r>
            <w:r>
              <w:rPr>
                <w:rFonts w:hint="eastAsia" w:ascii="宋体" w:hAnsi="宋体" w:eastAsia="宋体" w:cs="宋体"/>
                <w:color w:val="auto"/>
                <w:kern w:val="0"/>
                <w:szCs w:val="21"/>
                <w:highlight w:val="none"/>
              </w:rPr>
              <w:t>分）：施工工艺、施工方法、材料选用、劳动力安排、技术等方面有措施。有控制工期的施工进度计划。有施工总进度表或施工网络图，各项计划图表编制粗略，基本符合本项目施工实际要求。承诺的维修时限满足磋商文件的要求。</w:t>
            </w:r>
          </w:p>
          <w:p w14:paraId="59A0B431">
            <w:pPr>
              <w:autoSpaceDE w:val="0"/>
              <w:autoSpaceDN w:val="0"/>
              <w:adjustRightInd w:val="0"/>
              <w:jc w:val="left"/>
              <w:rPr>
                <w:rFonts w:hint="eastAsia" w:ascii="宋体" w:hAnsi="宋体" w:eastAsia="宋体" w:cs="宋体"/>
                <w:color w:val="4472C4"/>
                <w:szCs w:val="21"/>
              </w:rPr>
            </w:pPr>
            <w:r>
              <w:rPr>
                <w:rFonts w:hint="eastAsia" w:ascii="宋体" w:hAnsi="宋体" w:eastAsia="宋体" w:cs="宋体"/>
                <w:color w:val="auto"/>
                <w:kern w:val="0"/>
                <w:szCs w:val="21"/>
                <w:highlight w:val="none"/>
              </w:rPr>
              <w:t>四档（0分）：施工工艺、施工方法、材料选用、劳动力安排、技术等方面有措施。有控制工期的施工进度计划。有施工总进度表或施工网络图，各项计划图表编制差，不符合本项目施工实际要求。</w:t>
            </w:r>
          </w:p>
        </w:tc>
      </w:tr>
      <w:tr w14:paraId="7648C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 w:hRule="atLeast"/>
          <w:jc w:val="center"/>
        </w:trPr>
        <w:tc>
          <w:tcPr>
            <w:tcW w:w="497" w:type="dxa"/>
            <w:noWrap w:val="0"/>
            <w:vAlign w:val="center"/>
          </w:tcPr>
          <w:p w14:paraId="29E39779">
            <w:pPr>
              <w:jc w:val="center"/>
              <w:rPr>
                <w:rFonts w:hint="eastAsia" w:ascii="宋体" w:hAnsi="宋体" w:eastAsia="宋体" w:cs="宋体"/>
                <w:b/>
                <w:szCs w:val="21"/>
                <w:lang w:val="en-US" w:eastAsia="zh-CN"/>
              </w:rPr>
            </w:pPr>
            <w:r>
              <w:rPr>
                <w:rFonts w:hint="eastAsia" w:ascii="宋体" w:hAnsi="宋体" w:cs="宋体"/>
                <w:b/>
                <w:szCs w:val="21"/>
                <w:highlight w:val="none"/>
                <w:lang w:val="en-US" w:eastAsia="zh-CN"/>
              </w:rPr>
              <w:t>7</w:t>
            </w:r>
          </w:p>
        </w:tc>
        <w:tc>
          <w:tcPr>
            <w:tcW w:w="619" w:type="dxa"/>
            <w:noWrap w:val="0"/>
            <w:vAlign w:val="center"/>
          </w:tcPr>
          <w:p w14:paraId="78E1CE2B">
            <w:pPr>
              <w:jc w:val="center"/>
              <w:rPr>
                <w:rFonts w:hint="eastAsia" w:ascii="宋体" w:hAnsi="宋体" w:eastAsia="宋体" w:cs="宋体"/>
                <w:color w:val="auto"/>
                <w:szCs w:val="21"/>
              </w:rPr>
            </w:pPr>
            <w:r>
              <w:rPr>
                <w:rFonts w:hint="eastAsia" w:ascii="宋体" w:hAnsi="宋体" w:eastAsia="宋体" w:cs="宋体"/>
                <w:color w:val="auto"/>
                <w:szCs w:val="21"/>
              </w:rPr>
              <w:t>技术分</w:t>
            </w:r>
          </w:p>
        </w:tc>
        <w:tc>
          <w:tcPr>
            <w:tcW w:w="1500" w:type="dxa"/>
            <w:vMerge w:val="continue"/>
            <w:noWrap w:val="0"/>
            <w:vAlign w:val="top"/>
          </w:tcPr>
          <w:p w14:paraId="5CECF442">
            <w:pPr>
              <w:rPr>
                <w:rFonts w:hint="eastAsia" w:ascii="宋体" w:hAnsi="宋体" w:eastAsia="宋体" w:cs="宋体"/>
                <w:color w:val="4472C4"/>
                <w:szCs w:val="21"/>
              </w:rPr>
            </w:pPr>
          </w:p>
        </w:tc>
        <w:tc>
          <w:tcPr>
            <w:tcW w:w="6424" w:type="dxa"/>
            <w:noWrap w:val="0"/>
            <w:vAlign w:val="center"/>
          </w:tcPr>
          <w:p w14:paraId="4C55CBE8">
            <w:pPr>
              <w:jc w:val="left"/>
              <w:rPr>
                <w:rFonts w:hint="eastAsia" w:ascii="宋体" w:hAnsi="宋体" w:eastAsia="宋体" w:cs="宋体"/>
                <w:color w:val="auto"/>
                <w:kern w:val="0"/>
              </w:rPr>
            </w:pPr>
            <w:r>
              <w:rPr>
                <w:rFonts w:hint="eastAsia" w:ascii="宋体" w:hAnsi="宋体" w:eastAsia="宋体" w:cs="宋体"/>
                <w:color w:val="auto"/>
                <w:kern w:val="0"/>
              </w:rPr>
              <w:t>确保文明施工的技术组织措施（</w:t>
            </w:r>
            <w:r>
              <w:rPr>
                <w:rFonts w:hint="eastAsia" w:ascii="宋体" w:hAnsi="宋体" w:eastAsia="宋体" w:cs="宋体"/>
                <w:color w:val="auto"/>
                <w:szCs w:val="21"/>
                <w:lang w:val="en-US" w:eastAsia="zh-CN"/>
              </w:rPr>
              <w:t>满分</w:t>
            </w:r>
            <w:r>
              <w:rPr>
                <w:rFonts w:hint="eastAsia" w:ascii="宋体" w:hAnsi="宋体" w:eastAsia="宋体" w:cs="宋体"/>
                <w:color w:val="auto"/>
                <w:kern w:val="0"/>
                <w:lang w:val="en-US" w:eastAsia="zh-CN"/>
              </w:rPr>
              <w:t>6</w:t>
            </w:r>
            <w:r>
              <w:rPr>
                <w:rFonts w:hint="eastAsia" w:ascii="宋体" w:hAnsi="宋体" w:eastAsia="宋体" w:cs="宋体"/>
                <w:color w:val="auto"/>
                <w:kern w:val="0"/>
              </w:rPr>
              <w:t>分）</w:t>
            </w:r>
          </w:p>
          <w:p w14:paraId="68E057E3">
            <w:pPr>
              <w:autoSpaceDE w:val="0"/>
              <w:autoSpaceDN w:val="0"/>
              <w:adjustRightInd w:val="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一</w:t>
            </w:r>
            <w:r>
              <w:rPr>
                <w:rFonts w:hint="eastAsia" w:ascii="宋体" w:hAnsi="宋体" w:eastAsia="宋体" w:cs="宋体"/>
                <w:color w:val="auto"/>
                <w:kern w:val="0"/>
                <w:szCs w:val="21"/>
                <w:highlight w:val="none"/>
              </w:rPr>
              <w:t>档（</w:t>
            </w:r>
            <w:r>
              <w:rPr>
                <w:rFonts w:hint="eastAsia" w:ascii="宋体" w:hAnsi="宋体" w:eastAsia="宋体" w:cs="宋体"/>
                <w:color w:val="auto"/>
                <w:kern w:val="0"/>
                <w:szCs w:val="21"/>
                <w:highlight w:val="none"/>
                <w:lang w:val="en-US" w:eastAsia="zh-CN"/>
              </w:rPr>
              <w:t>6</w:t>
            </w:r>
            <w:r>
              <w:rPr>
                <w:rFonts w:hint="eastAsia" w:ascii="宋体" w:hAnsi="宋体" w:eastAsia="宋体" w:cs="宋体"/>
                <w:color w:val="auto"/>
                <w:kern w:val="0"/>
                <w:szCs w:val="21"/>
                <w:highlight w:val="none"/>
              </w:rPr>
              <w:t>分）：针对本工程项目特点，有现场文明施工、环境保护措施，且措施内容达到《建筑施工安全生产检查标准》（JGJ59-2011）合格标准并符合《广西壮族自治区建筑工程文明施工导则》要求。各项措施周全、具体、有效。有具体实现现场文明施工目标的承诺。</w:t>
            </w:r>
          </w:p>
          <w:p w14:paraId="6B5B4367">
            <w:pPr>
              <w:autoSpaceDE w:val="0"/>
              <w:autoSpaceDN w:val="0"/>
              <w:adjustRightInd w:val="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二档（</w:t>
            </w:r>
            <w:r>
              <w:rPr>
                <w:rFonts w:hint="eastAsia" w:ascii="宋体" w:hAnsi="宋体" w:eastAsia="宋体" w:cs="宋体"/>
                <w:color w:val="auto"/>
                <w:kern w:val="0"/>
                <w:szCs w:val="21"/>
                <w:highlight w:val="none"/>
                <w:lang w:val="en-US" w:eastAsia="zh-CN"/>
              </w:rPr>
              <w:t>4</w:t>
            </w:r>
            <w:r>
              <w:rPr>
                <w:rFonts w:hint="eastAsia" w:ascii="宋体" w:hAnsi="宋体" w:eastAsia="宋体" w:cs="宋体"/>
                <w:color w:val="auto"/>
                <w:kern w:val="0"/>
                <w:szCs w:val="21"/>
                <w:highlight w:val="none"/>
              </w:rPr>
              <w:t>分）：针对本工程项目特点，有现场文明施工、环境保护措施，且措施内容达到《建筑施工安全生产检查标准》（JGJ59-2011）合格标准并符合《广西壮族自治区建筑工程文明施工导则》要求。有实现现场文明施工目标的承诺。</w:t>
            </w:r>
          </w:p>
          <w:p w14:paraId="04CD87A1">
            <w:pPr>
              <w:autoSpaceDE w:val="0"/>
              <w:autoSpaceDN w:val="0"/>
              <w:adjustRightInd w:val="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三档（</w:t>
            </w:r>
            <w:r>
              <w:rPr>
                <w:rFonts w:hint="eastAsia" w:ascii="宋体" w:hAnsi="宋体" w:eastAsia="宋体" w:cs="宋体"/>
                <w:color w:val="auto"/>
                <w:kern w:val="0"/>
                <w:szCs w:val="21"/>
                <w:highlight w:val="none"/>
                <w:lang w:val="en-US" w:eastAsia="zh-CN"/>
              </w:rPr>
              <w:t>2</w:t>
            </w:r>
            <w:r>
              <w:rPr>
                <w:rFonts w:hint="eastAsia" w:ascii="宋体" w:hAnsi="宋体" w:eastAsia="宋体" w:cs="宋体"/>
                <w:color w:val="auto"/>
                <w:kern w:val="0"/>
                <w:szCs w:val="21"/>
                <w:highlight w:val="none"/>
              </w:rPr>
              <w:t>分）：有现场文明施工、环境保护措施，且措施内容达到《建筑施工安全生产检查标准》（JGJ59-2011）合格标准并符合《广西壮族自治区建筑工程文明施工导则》要求。有实现现场文明施工目标的承诺。</w:t>
            </w:r>
          </w:p>
          <w:p w14:paraId="188D1C5B">
            <w:pPr>
              <w:autoSpaceDE w:val="0"/>
              <w:autoSpaceDN w:val="0"/>
              <w:adjustRightInd w:val="0"/>
              <w:jc w:val="left"/>
              <w:rPr>
                <w:rFonts w:hint="eastAsia" w:ascii="宋体" w:hAnsi="宋体" w:eastAsia="宋体" w:cs="宋体"/>
                <w:color w:val="4472C4"/>
                <w:kern w:val="0"/>
              </w:rPr>
            </w:pPr>
            <w:r>
              <w:rPr>
                <w:rFonts w:hint="eastAsia" w:ascii="宋体" w:hAnsi="宋体" w:eastAsia="宋体" w:cs="宋体"/>
                <w:color w:val="auto"/>
                <w:kern w:val="0"/>
                <w:szCs w:val="21"/>
                <w:highlight w:val="none"/>
              </w:rPr>
              <w:t>四档（0分）：有现场文明施工、环境保护措施，且措施内容达到《建筑施工安全生产检查标准》（JGJ59-2011）合格标准并符合《广西壮族自治区建筑工程文明施工导则》要求。无实现现场文明施工目标的承诺。</w:t>
            </w:r>
          </w:p>
        </w:tc>
      </w:tr>
      <w:tr w14:paraId="15173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 w:hRule="atLeast"/>
          <w:jc w:val="center"/>
        </w:trPr>
        <w:tc>
          <w:tcPr>
            <w:tcW w:w="497" w:type="dxa"/>
            <w:noWrap w:val="0"/>
            <w:vAlign w:val="center"/>
          </w:tcPr>
          <w:p w14:paraId="62C45B39">
            <w:pPr>
              <w:jc w:val="center"/>
              <w:rPr>
                <w:rFonts w:hint="eastAsia" w:ascii="宋体" w:hAnsi="宋体" w:eastAsia="宋体" w:cs="宋体"/>
                <w:b/>
                <w:szCs w:val="21"/>
                <w:lang w:val="en-US" w:eastAsia="zh-CN"/>
              </w:rPr>
            </w:pPr>
            <w:r>
              <w:rPr>
                <w:rFonts w:hint="eastAsia" w:ascii="宋体" w:hAnsi="宋体" w:cs="宋体"/>
                <w:b/>
                <w:szCs w:val="21"/>
                <w:highlight w:val="none"/>
                <w:lang w:val="en-US" w:eastAsia="zh-CN"/>
              </w:rPr>
              <w:t>8</w:t>
            </w:r>
          </w:p>
        </w:tc>
        <w:tc>
          <w:tcPr>
            <w:tcW w:w="619" w:type="dxa"/>
            <w:noWrap w:val="0"/>
            <w:vAlign w:val="center"/>
          </w:tcPr>
          <w:p w14:paraId="42DD3C4E">
            <w:pPr>
              <w:jc w:val="center"/>
              <w:rPr>
                <w:rFonts w:hint="eastAsia" w:ascii="宋体" w:hAnsi="宋体" w:eastAsia="宋体" w:cs="宋体"/>
                <w:color w:val="auto"/>
                <w:szCs w:val="21"/>
              </w:rPr>
            </w:pPr>
            <w:r>
              <w:rPr>
                <w:rFonts w:hint="eastAsia" w:ascii="宋体" w:hAnsi="宋体" w:eastAsia="宋体" w:cs="宋体"/>
                <w:color w:val="auto"/>
                <w:szCs w:val="21"/>
              </w:rPr>
              <w:t>技术分</w:t>
            </w:r>
          </w:p>
        </w:tc>
        <w:tc>
          <w:tcPr>
            <w:tcW w:w="1500" w:type="dxa"/>
            <w:vMerge w:val="continue"/>
            <w:noWrap w:val="0"/>
            <w:vAlign w:val="top"/>
          </w:tcPr>
          <w:p w14:paraId="209B61E0">
            <w:pPr>
              <w:rPr>
                <w:rFonts w:hint="eastAsia" w:ascii="宋体" w:hAnsi="宋体" w:eastAsia="宋体" w:cs="宋体"/>
                <w:color w:val="4472C4"/>
                <w:szCs w:val="21"/>
              </w:rPr>
            </w:pPr>
          </w:p>
        </w:tc>
        <w:tc>
          <w:tcPr>
            <w:tcW w:w="6424" w:type="dxa"/>
            <w:noWrap w:val="0"/>
            <w:vAlign w:val="center"/>
          </w:tcPr>
          <w:p w14:paraId="4A221064">
            <w:pPr>
              <w:autoSpaceDE w:val="0"/>
              <w:autoSpaceDN w:val="0"/>
              <w:adjustRightInd w:val="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工程施工的重点和难点及保证措施（</w:t>
            </w:r>
            <w:r>
              <w:rPr>
                <w:rFonts w:hint="eastAsia" w:ascii="宋体" w:hAnsi="宋体" w:eastAsia="宋体" w:cs="宋体"/>
                <w:color w:val="auto"/>
                <w:szCs w:val="21"/>
                <w:highlight w:val="none"/>
                <w:lang w:val="en-US" w:eastAsia="zh-CN"/>
              </w:rPr>
              <w:t>满分</w:t>
            </w:r>
            <w:r>
              <w:rPr>
                <w:rFonts w:hint="eastAsia" w:ascii="宋体" w:hAnsi="宋体" w:cs="宋体"/>
                <w:color w:val="auto"/>
                <w:kern w:val="0"/>
                <w:szCs w:val="21"/>
                <w:highlight w:val="none"/>
                <w:lang w:val="en-US" w:eastAsia="zh-CN"/>
              </w:rPr>
              <w:t>9</w:t>
            </w:r>
            <w:r>
              <w:rPr>
                <w:rFonts w:hint="eastAsia" w:ascii="宋体" w:hAnsi="宋体" w:eastAsia="宋体" w:cs="宋体"/>
                <w:color w:val="auto"/>
                <w:kern w:val="0"/>
                <w:szCs w:val="21"/>
                <w:highlight w:val="none"/>
              </w:rPr>
              <w:t>分）</w:t>
            </w:r>
          </w:p>
          <w:p w14:paraId="3C6FF7FC">
            <w:pPr>
              <w:autoSpaceDE w:val="0"/>
              <w:autoSpaceDN w:val="0"/>
              <w:adjustRightInd w:val="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一</w:t>
            </w:r>
            <w:r>
              <w:rPr>
                <w:rFonts w:hint="eastAsia" w:ascii="宋体" w:hAnsi="宋体" w:eastAsia="宋体" w:cs="宋体"/>
                <w:color w:val="auto"/>
                <w:kern w:val="0"/>
                <w:szCs w:val="21"/>
                <w:highlight w:val="none"/>
              </w:rPr>
              <w:t>档（</w:t>
            </w:r>
            <w:r>
              <w:rPr>
                <w:rFonts w:hint="eastAsia" w:ascii="宋体" w:hAnsi="宋体" w:cs="宋体"/>
                <w:color w:val="auto"/>
                <w:kern w:val="0"/>
                <w:szCs w:val="21"/>
                <w:highlight w:val="none"/>
                <w:lang w:val="en-US" w:eastAsia="zh-CN"/>
              </w:rPr>
              <w:t>9</w:t>
            </w:r>
            <w:r>
              <w:rPr>
                <w:rFonts w:hint="eastAsia" w:ascii="宋体" w:hAnsi="宋体" w:eastAsia="宋体" w:cs="宋体"/>
                <w:color w:val="auto"/>
                <w:kern w:val="0"/>
                <w:szCs w:val="21"/>
                <w:highlight w:val="none"/>
              </w:rPr>
              <w:t>分）：针对</w:t>
            </w:r>
            <w:r>
              <w:rPr>
                <w:rFonts w:hint="eastAsia" w:ascii="宋体" w:hAnsi="宋体" w:eastAsia="宋体" w:cs="宋体"/>
                <w:color w:val="auto"/>
                <w:kern w:val="0"/>
                <w:szCs w:val="21"/>
                <w:highlight w:val="none"/>
                <w:lang w:val="en-US" w:eastAsia="zh-CN"/>
              </w:rPr>
              <w:t>项目</w:t>
            </w:r>
            <w:r>
              <w:rPr>
                <w:rFonts w:hint="eastAsia" w:ascii="宋体" w:hAnsi="宋体" w:eastAsia="宋体" w:cs="宋体"/>
                <w:color w:val="auto"/>
                <w:kern w:val="0"/>
                <w:szCs w:val="21"/>
                <w:highlight w:val="none"/>
              </w:rPr>
              <w:t>工程的特点，阐述的重点和难点详细、全面，解决重点和难点问题的方法针对性强且合理</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lang w:val="en-US" w:eastAsia="zh-CN"/>
              </w:rPr>
              <w:t>完全满足要求</w:t>
            </w:r>
            <w:r>
              <w:rPr>
                <w:rFonts w:hint="eastAsia" w:ascii="宋体" w:hAnsi="宋体" w:eastAsia="宋体" w:cs="宋体"/>
                <w:color w:val="auto"/>
                <w:kern w:val="0"/>
                <w:szCs w:val="21"/>
                <w:highlight w:val="none"/>
              </w:rPr>
              <w:t>。</w:t>
            </w:r>
          </w:p>
          <w:p w14:paraId="0CC17F6E">
            <w:pPr>
              <w:autoSpaceDE w:val="0"/>
              <w:autoSpaceDN w:val="0"/>
              <w:adjustRightInd w:val="0"/>
              <w:jc w:val="left"/>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二</w:t>
            </w:r>
            <w:r>
              <w:rPr>
                <w:rFonts w:hint="eastAsia" w:ascii="宋体" w:hAnsi="宋体" w:eastAsia="宋体" w:cs="宋体"/>
                <w:color w:val="auto"/>
                <w:kern w:val="0"/>
                <w:szCs w:val="21"/>
                <w:highlight w:val="none"/>
              </w:rPr>
              <w:t>档（</w:t>
            </w:r>
            <w:r>
              <w:rPr>
                <w:rFonts w:hint="eastAsia" w:ascii="宋体" w:hAnsi="宋体" w:cs="宋体"/>
                <w:color w:val="auto"/>
                <w:kern w:val="0"/>
                <w:szCs w:val="21"/>
                <w:highlight w:val="none"/>
                <w:lang w:val="en-US" w:eastAsia="zh-CN"/>
              </w:rPr>
              <w:t>6</w:t>
            </w:r>
            <w:r>
              <w:rPr>
                <w:rFonts w:hint="eastAsia" w:ascii="宋体" w:hAnsi="宋体" w:eastAsia="宋体" w:cs="宋体"/>
                <w:color w:val="auto"/>
                <w:kern w:val="0"/>
                <w:szCs w:val="21"/>
                <w:highlight w:val="none"/>
              </w:rPr>
              <w:t>分）：针对</w:t>
            </w:r>
            <w:r>
              <w:rPr>
                <w:rFonts w:hint="eastAsia" w:ascii="宋体" w:hAnsi="宋体" w:eastAsia="宋体" w:cs="宋体"/>
                <w:color w:val="auto"/>
                <w:kern w:val="0"/>
                <w:szCs w:val="21"/>
                <w:highlight w:val="none"/>
                <w:lang w:val="en-US" w:eastAsia="zh-CN"/>
              </w:rPr>
              <w:t>项目</w:t>
            </w:r>
            <w:r>
              <w:rPr>
                <w:rFonts w:hint="eastAsia" w:ascii="宋体" w:hAnsi="宋体" w:eastAsia="宋体" w:cs="宋体"/>
                <w:color w:val="auto"/>
                <w:kern w:val="0"/>
                <w:szCs w:val="21"/>
                <w:highlight w:val="none"/>
              </w:rPr>
              <w:t>工程的特点，阐述的重点和难点完整，解决重点和难点问题的方法</w:t>
            </w:r>
            <w:r>
              <w:rPr>
                <w:rFonts w:hint="eastAsia" w:ascii="宋体" w:hAnsi="宋体" w:eastAsia="宋体" w:cs="宋体"/>
                <w:color w:val="auto"/>
                <w:kern w:val="0"/>
                <w:szCs w:val="21"/>
                <w:highlight w:val="none"/>
                <w:lang w:val="en-US" w:eastAsia="zh-CN"/>
              </w:rPr>
              <w:t>满足要求</w:t>
            </w:r>
            <w:r>
              <w:rPr>
                <w:rFonts w:hint="eastAsia" w:ascii="宋体" w:hAnsi="宋体" w:eastAsia="宋体" w:cs="宋体"/>
                <w:color w:val="auto"/>
                <w:kern w:val="0"/>
                <w:szCs w:val="21"/>
                <w:highlight w:val="none"/>
              </w:rPr>
              <w:t>。</w:t>
            </w:r>
          </w:p>
          <w:p w14:paraId="75B7B3C3">
            <w:pPr>
              <w:autoSpaceDE w:val="0"/>
              <w:autoSpaceDN w:val="0"/>
              <w:adjustRightInd w:val="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三</w:t>
            </w:r>
            <w:r>
              <w:rPr>
                <w:rFonts w:hint="eastAsia" w:ascii="宋体" w:hAnsi="宋体" w:eastAsia="宋体" w:cs="宋体"/>
                <w:color w:val="auto"/>
                <w:kern w:val="0"/>
                <w:szCs w:val="21"/>
                <w:highlight w:val="none"/>
              </w:rPr>
              <w:t>档（</w:t>
            </w:r>
            <w:r>
              <w:rPr>
                <w:rFonts w:hint="eastAsia" w:ascii="宋体" w:hAnsi="宋体" w:cs="宋体"/>
                <w:color w:val="auto"/>
                <w:kern w:val="0"/>
                <w:szCs w:val="21"/>
                <w:highlight w:val="none"/>
                <w:lang w:val="en-US" w:eastAsia="zh-CN"/>
              </w:rPr>
              <w:t>3</w:t>
            </w:r>
            <w:r>
              <w:rPr>
                <w:rFonts w:hint="eastAsia" w:ascii="宋体" w:hAnsi="宋体" w:eastAsia="宋体" w:cs="宋体"/>
                <w:color w:val="auto"/>
                <w:kern w:val="0"/>
                <w:szCs w:val="21"/>
                <w:highlight w:val="none"/>
              </w:rPr>
              <w:t>分）针对</w:t>
            </w:r>
            <w:r>
              <w:rPr>
                <w:rFonts w:hint="eastAsia" w:ascii="宋体" w:hAnsi="宋体" w:eastAsia="宋体" w:cs="宋体"/>
                <w:color w:val="auto"/>
                <w:kern w:val="0"/>
                <w:szCs w:val="21"/>
                <w:highlight w:val="none"/>
                <w:lang w:val="en-US" w:eastAsia="zh-CN"/>
              </w:rPr>
              <w:t>项目</w:t>
            </w:r>
            <w:r>
              <w:rPr>
                <w:rFonts w:hint="eastAsia" w:ascii="宋体" w:hAnsi="宋体" w:eastAsia="宋体" w:cs="宋体"/>
                <w:color w:val="auto"/>
                <w:kern w:val="0"/>
                <w:szCs w:val="21"/>
                <w:highlight w:val="none"/>
              </w:rPr>
              <w:t>工程的特点，阐述的重点和难点</w:t>
            </w:r>
            <w:r>
              <w:rPr>
                <w:rFonts w:hint="eastAsia" w:ascii="宋体" w:hAnsi="宋体" w:eastAsia="宋体" w:cs="宋体"/>
                <w:color w:val="auto"/>
                <w:kern w:val="0"/>
                <w:szCs w:val="21"/>
                <w:highlight w:val="none"/>
                <w:lang w:val="en-US" w:eastAsia="zh-CN"/>
              </w:rPr>
              <w:t>详细，有</w:t>
            </w:r>
            <w:r>
              <w:rPr>
                <w:rFonts w:hint="eastAsia" w:ascii="宋体" w:hAnsi="宋体" w:eastAsia="宋体" w:cs="宋体"/>
                <w:color w:val="auto"/>
                <w:kern w:val="0"/>
                <w:szCs w:val="21"/>
                <w:highlight w:val="none"/>
              </w:rPr>
              <w:t>解决重点和难点问题的方法。</w:t>
            </w:r>
          </w:p>
          <w:p w14:paraId="27680DCD">
            <w:pPr>
              <w:autoSpaceDE w:val="0"/>
              <w:autoSpaceDN w:val="0"/>
              <w:adjustRightInd w:val="0"/>
              <w:jc w:val="left"/>
              <w:rPr>
                <w:rFonts w:hint="eastAsia" w:ascii="宋体" w:hAnsi="宋体" w:eastAsia="宋体" w:cs="宋体"/>
                <w:color w:val="4472C4"/>
                <w:szCs w:val="21"/>
              </w:rPr>
            </w:pPr>
            <w:r>
              <w:rPr>
                <w:rFonts w:hint="eastAsia" w:ascii="宋体" w:hAnsi="宋体" w:eastAsia="宋体" w:cs="宋体"/>
                <w:color w:val="auto"/>
                <w:kern w:val="0"/>
                <w:szCs w:val="21"/>
                <w:highlight w:val="none"/>
                <w:lang w:val="en-US" w:eastAsia="zh-CN"/>
              </w:rPr>
              <w:t>四</w:t>
            </w:r>
            <w:r>
              <w:rPr>
                <w:rFonts w:hint="eastAsia" w:ascii="宋体" w:hAnsi="宋体" w:eastAsia="宋体" w:cs="宋体"/>
                <w:color w:val="auto"/>
                <w:kern w:val="0"/>
                <w:szCs w:val="21"/>
                <w:highlight w:val="none"/>
              </w:rPr>
              <w:t>档（0分）：针对</w:t>
            </w:r>
            <w:r>
              <w:rPr>
                <w:rFonts w:hint="eastAsia" w:ascii="宋体" w:hAnsi="宋体" w:eastAsia="宋体" w:cs="宋体"/>
                <w:color w:val="auto"/>
                <w:kern w:val="0"/>
                <w:szCs w:val="21"/>
                <w:highlight w:val="none"/>
                <w:lang w:val="en-US" w:eastAsia="zh-CN"/>
              </w:rPr>
              <w:t>项目</w:t>
            </w:r>
            <w:r>
              <w:rPr>
                <w:rFonts w:hint="eastAsia" w:ascii="宋体" w:hAnsi="宋体" w:eastAsia="宋体" w:cs="宋体"/>
                <w:color w:val="auto"/>
                <w:kern w:val="0"/>
                <w:szCs w:val="21"/>
                <w:highlight w:val="none"/>
              </w:rPr>
              <w:t>工程的特点，阐述的重点和难点简单，</w:t>
            </w:r>
            <w:r>
              <w:rPr>
                <w:rFonts w:hint="eastAsia" w:ascii="宋体" w:hAnsi="宋体" w:eastAsia="宋体" w:cs="宋体"/>
                <w:color w:val="auto"/>
                <w:kern w:val="0"/>
                <w:szCs w:val="21"/>
                <w:highlight w:val="none"/>
                <w:lang w:val="en-US" w:eastAsia="zh-CN"/>
              </w:rPr>
              <w:t>无</w:t>
            </w:r>
            <w:r>
              <w:rPr>
                <w:rFonts w:hint="eastAsia" w:ascii="宋体" w:hAnsi="宋体" w:eastAsia="宋体" w:cs="宋体"/>
                <w:color w:val="auto"/>
                <w:kern w:val="0"/>
                <w:szCs w:val="21"/>
                <w:highlight w:val="none"/>
              </w:rPr>
              <w:t>解决重点和难点问题的方法。</w:t>
            </w:r>
          </w:p>
        </w:tc>
      </w:tr>
      <w:tr w14:paraId="52D7A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 w:hRule="atLeast"/>
          <w:jc w:val="center"/>
        </w:trPr>
        <w:tc>
          <w:tcPr>
            <w:tcW w:w="497" w:type="dxa"/>
            <w:noWrap w:val="0"/>
            <w:vAlign w:val="center"/>
          </w:tcPr>
          <w:p w14:paraId="6D54B7B6">
            <w:pPr>
              <w:jc w:val="center"/>
              <w:rPr>
                <w:rFonts w:hint="default" w:ascii="宋体" w:hAnsi="宋体" w:eastAsia="宋体" w:cs="宋体"/>
                <w:b/>
                <w:szCs w:val="21"/>
                <w:highlight w:val="none"/>
                <w:lang w:val="en-US" w:eastAsia="zh-CN"/>
              </w:rPr>
            </w:pPr>
            <w:r>
              <w:rPr>
                <w:rFonts w:hint="eastAsia" w:ascii="宋体" w:hAnsi="宋体" w:cs="宋体"/>
                <w:b/>
                <w:szCs w:val="21"/>
                <w:highlight w:val="none"/>
                <w:lang w:val="en-US" w:eastAsia="zh-CN"/>
              </w:rPr>
              <w:t>9</w:t>
            </w:r>
          </w:p>
        </w:tc>
        <w:tc>
          <w:tcPr>
            <w:tcW w:w="619" w:type="dxa"/>
            <w:noWrap w:val="0"/>
            <w:vAlign w:val="center"/>
          </w:tcPr>
          <w:p w14:paraId="72681C99">
            <w:pPr>
              <w:jc w:val="center"/>
              <w:rPr>
                <w:rFonts w:hint="eastAsia" w:ascii="宋体" w:hAnsi="宋体" w:eastAsia="宋体" w:cs="宋体"/>
                <w:color w:val="auto"/>
                <w:szCs w:val="21"/>
              </w:rPr>
            </w:pPr>
            <w:r>
              <w:rPr>
                <w:rFonts w:hint="eastAsia" w:ascii="宋体" w:hAnsi="宋体" w:eastAsia="宋体" w:cs="宋体"/>
                <w:color w:val="auto"/>
                <w:szCs w:val="21"/>
              </w:rPr>
              <w:t>技术分</w:t>
            </w:r>
          </w:p>
        </w:tc>
        <w:tc>
          <w:tcPr>
            <w:tcW w:w="1500" w:type="dxa"/>
            <w:vMerge w:val="continue"/>
            <w:noWrap w:val="0"/>
            <w:vAlign w:val="top"/>
          </w:tcPr>
          <w:p w14:paraId="185EBFD0">
            <w:pPr>
              <w:rPr>
                <w:rFonts w:hint="eastAsia" w:ascii="宋体" w:hAnsi="宋体" w:eastAsia="宋体" w:cs="宋体"/>
                <w:color w:val="4472C4"/>
                <w:szCs w:val="21"/>
              </w:rPr>
            </w:pPr>
          </w:p>
        </w:tc>
        <w:tc>
          <w:tcPr>
            <w:tcW w:w="6424" w:type="dxa"/>
            <w:noWrap w:val="0"/>
            <w:vAlign w:val="center"/>
          </w:tcPr>
          <w:p w14:paraId="10AF0299">
            <w:pPr>
              <w:autoSpaceDE w:val="0"/>
              <w:autoSpaceDN w:val="0"/>
              <w:adjustRightInd w:val="0"/>
              <w:jc w:val="left"/>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施工总平面布置图（满分</w:t>
            </w:r>
            <w:r>
              <w:rPr>
                <w:rFonts w:hint="eastAsia" w:ascii="宋体" w:hAnsi="宋体" w:cs="宋体"/>
                <w:color w:val="auto"/>
                <w:kern w:val="0"/>
                <w:szCs w:val="21"/>
                <w:highlight w:val="none"/>
                <w:lang w:val="en-US" w:eastAsia="zh-CN"/>
              </w:rPr>
              <w:t>7</w:t>
            </w:r>
            <w:r>
              <w:rPr>
                <w:rFonts w:hint="eastAsia" w:ascii="宋体" w:hAnsi="宋体" w:eastAsia="宋体" w:cs="宋体"/>
                <w:color w:val="auto"/>
                <w:kern w:val="0"/>
                <w:szCs w:val="21"/>
                <w:highlight w:val="none"/>
                <w:lang w:val="en-US" w:eastAsia="zh-CN"/>
              </w:rPr>
              <w:t>分）</w:t>
            </w:r>
          </w:p>
          <w:p w14:paraId="30B473F4">
            <w:pPr>
              <w:autoSpaceDE w:val="0"/>
              <w:autoSpaceDN w:val="0"/>
              <w:adjustRightInd w:val="0"/>
              <w:jc w:val="left"/>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一档（</w:t>
            </w:r>
            <w:r>
              <w:rPr>
                <w:rFonts w:hint="eastAsia" w:ascii="宋体" w:hAnsi="宋体" w:cs="宋体"/>
                <w:color w:val="auto"/>
                <w:kern w:val="0"/>
                <w:szCs w:val="21"/>
                <w:highlight w:val="none"/>
                <w:lang w:val="en-US" w:eastAsia="zh-CN"/>
              </w:rPr>
              <w:t>7</w:t>
            </w:r>
            <w:r>
              <w:rPr>
                <w:rFonts w:hint="eastAsia" w:ascii="宋体" w:hAnsi="宋体" w:eastAsia="宋体" w:cs="宋体"/>
                <w:color w:val="auto"/>
                <w:kern w:val="0"/>
                <w:szCs w:val="21"/>
                <w:highlight w:val="none"/>
                <w:lang w:val="en-US" w:eastAsia="zh-CN"/>
              </w:rPr>
              <w:t xml:space="preserve">分）：有施工总平面布置图，安排科学合理、详尽，完全符 </w:t>
            </w:r>
          </w:p>
          <w:p w14:paraId="32B9D588">
            <w:pPr>
              <w:autoSpaceDE w:val="0"/>
              <w:autoSpaceDN w:val="0"/>
              <w:adjustRightInd w:val="0"/>
              <w:jc w:val="left"/>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 xml:space="preserve">合本项目施工实际要求。 </w:t>
            </w:r>
          </w:p>
          <w:p w14:paraId="1896F4E4">
            <w:pPr>
              <w:autoSpaceDE w:val="0"/>
              <w:autoSpaceDN w:val="0"/>
              <w:adjustRightInd w:val="0"/>
              <w:jc w:val="left"/>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二档（</w:t>
            </w:r>
            <w:r>
              <w:rPr>
                <w:rFonts w:hint="eastAsia" w:ascii="宋体" w:hAnsi="宋体" w:cs="宋体"/>
                <w:color w:val="auto"/>
                <w:kern w:val="0"/>
                <w:szCs w:val="21"/>
                <w:highlight w:val="none"/>
                <w:lang w:val="en-US" w:eastAsia="zh-CN"/>
              </w:rPr>
              <w:t>5</w:t>
            </w:r>
            <w:r>
              <w:rPr>
                <w:rFonts w:hint="eastAsia" w:ascii="宋体" w:hAnsi="宋体" w:eastAsia="宋体" w:cs="宋体"/>
                <w:color w:val="auto"/>
                <w:kern w:val="0"/>
                <w:szCs w:val="21"/>
                <w:highlight w:val="none"/>
                <w:lang w:val="en-US" w:eastAsia="zh-CN"/>
              </w:rPr>
              <w:t xml:space="preserve">分）：有施工总平面布置图，安排合理，能满足本项目施 </w:t>
            </w:r>
          </w:p>
          <w:p w14:paraId="7EC2E443">
            <w:pPr>
              <w:autoSpaceDE w:val="0"/>
              <w:autoSpaceDN w:val="0"/>
              <w:adjustRightInd w:val="0"/>
              <w:jc w:val="left"/>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 xml:space="preserve">工实际要求。 </w:t>
            </w:r>
          </w:p>
          <w:p w14:paraId="0462DC36">
            <w:pPr>
              <w:autoSpaceDE w:val="0"/>
              <w:autoSpaceDN w:val="0"/>
              <w:adjustRightInd w:val="0"/>
              <w:jc w:val="left"/>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三档（</w:t>
            </w:r>
            <w:r>
              <w:rPr>
                <w:rFonts w:hint="eastAsia" w:ascii="宋体" w:hAnsi="宋体" w:cs="宋体"/>
                <w:color w:val="auto"/>
                <w:kern w:val="0"/>
                <w:szCs w:val="21"/>
                <w:highlight w:val="none"/>
                <w:lang w:val="en-US" w:eastAsia="zh-CN"/>
              </w:rPr>
              <w:t>2</w:t>
            </w:r>
            <w:r>
              <w:rPr>
                <w:rFonts w:hint="eastAsia" w:ascii="宋体" w:hAnsi="宋体" w:eastAsia="宋体" w:cs="宋体"/>
                <w:color w:val="auto"/>
                <w:kern w:val="0"/>
                <w:szCs w:val="21"/>
                <w:highlight w:val="none"/>
                <w:lang w:val="en-US" w:eastAsia="zh-CN"/>
              </w:rPr>
              <w:t>分）：有施工总平面布置图，安排不合理，不符合本项目施</w:t>
            </w:r>
          </w:p>
          <w:p w14:paraId="5166172A">
            <w:pPr>
              <w:autoSpaceDE w:val="0"/>
              <w:autoSpaceDN w:val="0"/>
              <w:adjustRightInd w:val="0"/>
              <w:jc w:val="left"/>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 xml:space="preserve">工实际要求。 </w:t>
            </w:r>
          </w:p>
          <w:p w14:paraId="7EF5DB48">
            <w:pPr>
              <w:autoSpaceDE w:val="0"/>
              <w:autoSpaceDN w:val="0"/>
              <w:adjustRightInd w:val="0"/>
              <w:jc w:val="left"/>
              <w:rPr>
                <w:rFonts w:hint="eastAsia" w:ascii="宋体" w:hAnsi="宋体" w:eastAsia="宋体" w:cs="宋体"/>
                <w:color w:val="4472C4"/>
                <w:szCs w:val="21"/>
              </w:rPr>
            </w:pPr>
            <w:r>
              <w:rPr>
                <w:rFonts w:hint="eastAsia" w:ascii="宋体" w:hAnsi="宋体" w:eastAsia="宋体" w:cs="宋体"/>
                <w:color w:val="auto"/>
                <w:kern w:val="0"/>
                <w:szCs w:val="21"/>
                <w:highlight w:val="none"/>
                <w:lang w:val="en-US" w:eastAsia="zh-CN"/>
              </w:rPr>
              <w:t>四档（0分）：无施工总平面布置图。</w:t>
            </w:r>
          </w:p>
        </w:tc>
      </w:tr>
      <w:tr w14:paraId="3FED1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7" w:hRule="atLeast"/>
          <w:jc w:val="center"/>
        </w:trPr>
        <w:tc>
          <w:tcPr>
            <w:tcW w:w="497" w:type="dxa"/>
            <w:noWrap w:val="0"/>
            <w:vAlign w:val="center"/>
          </w:tcPr>
          <w:p w14:paraId="3AAE6429">
            <w:pPr>
              <w:jc w:val="center"/>
              <w:rPr>
                <w:rFonts w:hint="default" w:ascii="宋体" w:hAnsi="宋体" w:eastAsia="宋体" w:cs="宋体"/>
                <w:b/>
                <w:szCs w:val="21"/>
                <w:highlight w:val="none"/>
                <w:lang w:val="en-US" w:eastAsia="zh-CN"/>
              </w:rPr>
            </w:pPr>
            <w:r>
              <w:rPr>
                <w:rFonts w:hint="eastAsia" w:ascii="宋体" w:hAnsi="宋体" w:cs="宋体"/>
                <w:b/>
                <w:szCs w:val="21"/>
                <w:highlight w:val="none"/>
                <w:lang w:val="en-US" w:eastAsia="zh-CN"/>
              </w:rPr>
              <w:t>10</w:t>
            </w:r>
          </w:p>
        </w:tc>
        <w:tc>
          <w:tcPr>
            <w:tcW w:w="619" w:type="dxa"/>
            <w:noWrap w:val="0"/>
            <w:vAlign w:val="center"/>
          </w:tcPr>
          <w:p w14:paraId="089EEDED">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商务分</w:t>
            </w:r>
          </w:p>
        </w:tc>
        <w:tc>
          <w:tcPr>
            <w:tcW w:w="1500" w:type="dxa"/>
            <w:noWrap w:val="0"/>
            <w:vAlign w:val="center"/>
          </w:tcPr>
          <w:p w14:paraId="109D8A23">
            <w:pPr>
              <w:spacing w:line="320" w:lineRule="exact"/>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项目经理</w:t>
            </w:r>
          </w:p>
          <w:p w14:paraId="474038CD">
            <w:pPr>
              <w:spacing w:line="320" w:lineRule="exact"/>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（满分1分）</w:t>
            </w:r>
          </w:p>
        </w:tc>
        <w:tc>
          <w:tcPr>
            <w:tcW w:w="6424" w:type="dxa"/>
            <w:noWrap w:val="0"/>
            <w:vAlign w:val="center"/>
          </w:tcPr>
          <w:p w14:paraId="0D81C9A4">
            <w:pPr>
              <w:spacing w:line="320" w:lineRule="exact"/>
              <w:rPr>
                <w:rFonts w:hint="eastAsia" w:ascii="宋体" w:hAnsi="宋体" w:eastAsia="宋体" w:cs="宋体"/>
                <w:color w:val="auto"/>
                <w:szCs w:val="21"/>
                <w:highlight w:val="yellow"/>
                <w:lang w:eastAsia="zh-CN"/>
              </w:rPr>
            </w:pPr>
            <w:r>
              <w:rPr>
                <w:rFonts w:hint="eastAsia" w:ascii="宋体" w:hAnsi="宋体" w:eastAsia="宋体" w:cs="宋体"/>
                <w:color w:val="auto"/>
                <w:szCs w:val="21"/>
                <w:highlight w:val="none"/>
              </w:rPr>
              <w:t>供应商拟投入本项目的项目经理具有中级及以上职称的得1分，满分1分</w:t>
            </w:r>
            <w:r>
              <w:rPr>
                <w:rFonts w:hint="eastAsia" w:ascii="宋体" w:hAnsi="宋体" w:eastAsia="宋体" w:cs="宋体"/>
                <w:b/>
                <w:bCs/>
                <w:color w:val="auto"/>
                <w:szCs w:val="21"/>
                <w:highlight w:val="none"/>
              </w:rPr>
              <w:t>（响应文件中提供拟投入项目经理职称证书）</w:t>
            </w:r>
            <w:r>
              <w:rPr>
                <w:rFonts w:hint="eastAsia" w:ascii="宋体" w:hAnsi="宋体" w:eastAsia="宋体" w:cs="宋体"/>
                <w:color w:val="auto"/>
                <w:szCs w:val="21"/>
                <w:highlight w:val="none"/>
              </w:rPr>
              <w:t>。</w:t>
            </w:r>
          </w:p>
        </w:tc>
      </w:tr>
      <w:tr w14:paraId="05725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7" w:hRule="atLeast"/>
          <w:jc w:val="center"/>
        </w:trPr>
        <w:tc>
          <w:tcPr>
            <w:tcW w:w="497" w:type="dxa"/>
            <w:noWrap w:val="0"/>
            <w:vAlign w:val="center"/>
          </w:tcPr>
          <w:p w14:paraId="609DEDD7">
            <w:pPr>
              <w:jc w:val="center"/>
              <w:rPr>
                <w:rFonts w:hint="default" w:ascii="宋体" w:hAnsi="宋体" w:cs="宋体"/>
                <w:b/>
                <w:szCs w:val="21"/>
                <w:highlight w:val="none"/>
                <w:lang w:val="en-US" w:eastAsia="zh-CN"/>
              </w:rPr>
            </w:pPr>
            <w:r>
              <w:rPr>
                <w:rFonts w:hint="eastAsia" w:ascii="宋体" w:hAnsi="宋体" w:cs="宋体"/>
                <w:b/>
                <w:szCs w:val="21"/>
                <w:highlight w:val="none"/>
                <w:lang w:val="en-US" w:eastAsia="zh-CN"/>
              </w:rPr>
              <w:t>11</w:t>
            </w:r>
          </w:p>
        </w:tc>
        <w:tc>
          <w:tcPr>
            <w:tcW w:w="619" w:type="dxa"/>
            <w:noWrap w:val="0"/>
            <w:vAlign w:val="center"/>
          </w:tcPr>
          <w:p w14:paraId="25EDD0BF">
            <w:pPr>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商务分</w:t>
            </w:r>
          </w:p>
        </w:tc>
        <w:tc>
          <w:tcPr>
            <w:tcW w:w="1500" w:type="dxa"/>
            <w:noWrap w:val="0"/>
            <w:vAlign w:val="center"/>
          </w:tcPr>
          <w:p w14:paraId="3FC63EB0">
            <w:pPr>
              <w:spacing w:line="320" w:lineRule="exact"/>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业绩分</w:t>
            </w:r>
          </w:p>
          <w:p w14:paraId="23B5854C">
            <w:pPr>
              <w:spacing w:line="320" w:lineRule="exact"/>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（满分5分）</w:t>
            </w:r>
          </w:p>
        </w:tc>
        <w:tc>
          <w:tcPr>
            <w:tcW w:w="6424" w:type="dxa"/>
            <w:noWrap w:val="0"/>
            <w:vAlign w:val="center"/>
          </w:tcPr>
          <w:p w14:paraId="336403D3">
            <w:pPr>
              <w:tabs>
                <w:tab w:val="left" w:pos="1359"/>
              </w:tabs>
              <w:spacing w:line="320" w:lineRule="exact"/>
              <w:rPr>
                <w:rFonts w:hint="default" w:ascii="宋体" w:hAnsi="宋体" w:eastAsia="宋体" w:cs="宋体"/>
                <w:b/>
                <w:bCs/>
                <w:color w:val="auto"/>
                <w:szCs w:val="21"/>
                <w:highlight w:val="yellow"/>
                <w:lang w:val="en-US" w:eastAsia="zh-CN"/>
              </w:rPr>
            </w:pPr>
            <w:r>
              <w:rPr>
                <w:rFonts w:hint="eastAsia" w:ascii="宋体" w:hAnsi="宋体" w:eastAsia="宋体" w:cs="宋体"/>
                <w:color w:val="auto"/>
                <w:szCs w:val="21"/>
                <w:highlight w:val="none"/>
              </w:rPr>
              <w:t>202</w:t>
            </w: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rPr>
              <w:t>年1月1日以来（从竣工验收合格之日起至响应文件递交截止之日止）完成过类似工程的1项得1分（满分5分）。</w:t>
            </w:r>
            <w:r>
              <w:rPr>
                <w:rFonts w:hint="eastAsia" w:ascii="宋体" w:hAnsi="宋体" w:eastAsia="宋体" w:cs="宋体"/>
                <w:b/>
                <w:bCs/>
                <w:color w:val="auto"/>
                <w:szCs w:val="21"/>
                <w:highlight w:val="none"/>
              </w:rPr>
              <w:t>须提供合同及竣工验收报告并加盖供应商公章，否则不予计分）</w:t>
            </w:r>
          </w:p>
        </w:tc>
      </w:tr>
    </w:tbl>
    <w:p w14:paraId="73898985">
      <w:pPr>
        <w:ind w:firstLine="420" w:firstLineChars="200"/>
        <w:rPr>
          <w:rFonts w:hint="eastAsia" w:ascii="宋体" w:hAnsi="宋体" w:eastAsia="宋体" w:cs="宋体"/>
        </w:rPr>
      </w:pPr>
    </w:p>
    <w:p w14:paraId="7FA96FA1">
      <w:pPr>
        <w:ind w:firstLine="315" w:firstLineChars="150"/>
        <w:rPr>
          <w:rFonts w:hint="eastAsia" w:ascii="宋体" w:hAnsi="宋体" w:eastAsia="宋体" w:cs="宋体"/>
          <w:lang w:val="zh-CN"/>
        </w:rPr>
      </w:pPr>
      <w:r>
        <w:rPr>
          <w:rFonts w:hint="eastAsia" w:ascii="宋体" w:hAnsi="宋体" w:eastAsia="宋体" w:cs="宋体"/>
          <w:lang w:val="zh-CN"/>
        </w:rPr>
        <w:t>（2）</w:t>
      </w:r>
      <w:r>
        <w:rPr>
          <w:rFonts w:hint="eastAsia" w:ascii="宋体" w:hAnsi="宋体" w:cs="宋体"/>
          <w:lang w:val="en-US" w:eastAsia="zh-CN"/>
        </w:rPr>
        <w:t>响应</w:t>
      </w:r>
      <w:r>
        <w:rPr>
          <w:rFonts w:hint="eastAsia" w:ascii="宋体" w:hAnsi="宋体" w:eastAsia="宋体" w:cs="宋体"/>
          <w:lang w:val="zh-CN"/>
        </w:rPr>
        <w:t>报价分</w:t>
      </w:r>
    </w:p>
    <w:tbl>
      <w:tblPr>
        <w:tblStyle w:val="15"/>
        <w:tblW w:w="84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4"/>
        <w:gridCol w:w="1858"/>
        <w:gridCol w:w="3705"/>
        <w:gridCol w:w="2131"/>
      </w:tblGrid>
      <w:tr w14:paraId="53C3B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 w:hRule="atLeast"/>
          <w:jc w:val="center"/>
        </w:trPr>
        <w:tc>
          <w:tcPr>
            <w:tcW w:w="794" w:type="dxa"/>
            <w:noWrap w:val="0"/>
            <w:vAlign w:val="center"/>
          </w:tcPr>
          <w:p w14:paraId="4B0D18FD">
            <w:pPr>
              <w:jc w:val="center"/>
              <w:rPr>
                <w:rFonts w:hint="eastAsia" w:ascii="宋体" w:hAnsi="宋体" w:eastAsia="宋体" w:cs="宋体"/>
                <w:b/>
                <w:szCs w:val="21"/>
              </w:rPr>
            </w:pPr>
            <w:r>
              <w:rPr>
                <w:rFonts w:hint="eastAsia" w:ascii="宋体" w:hAnsi="宋体" w:eastAsia="宋体" w:cs="宋体"/>
                <w:b/>
                <w:szCs w:val="21"/>
              </w:rPr>
              <w:t>序号</w:t>
            </w:r>
          </w:p>
        </w:tc>
        <w:tc>
          <w:tcPr>
            <w:tcW w:w="1858" w:type="dxa"/>
            <w:noWrap w:val="0"/>
            <w:vAlign w:val="center"/>
          </w:tcPr>
          <w:p w14:paraId="26633528">
            <w:pPr>
              <w:jc w:val="center"/>
              <w:rPr>
                <w:rFonts w:hint="eastAsia" w:ascii="宋体" w:hAnsi="宋体" w:eastAsia="宋体" w:cs="宋体"/>
                <w:b/>
                <w:szCs w:val="21"/>
              </w:rPr>
            </w:pPr>
            <w:r>
              <w:rPr>
                <w:rFonts w:hint="eastAsia" w:ascii="宋体" w:hAnsi="宋体" w:eastAsia="宋体" w:cs="宋体"/>
                <w:b/>
                <w:szCs w:val="21"/>
              </w:rPr>
              <w:t>类型</w:t>
            </w:r>
          </w:p>
        </w:tc>
        <w:tc>
          <w:tcPr>
            <w:tcW w:w="3705" w:type="dxa"/>
            <w:noWrap w:val="0"/>
            <w:vAlign w:val="center"/>
          </w:tcPr>
          <w:p w14:paraId="2E1E76E0">
            <w:pPr>
              <w:jc w:val="center"/>
              <w:rPr>
                <w:rFonts w:hint="eastAsia" w:ascii="宋体" w:hAnsi="宋体" w:eastAsia="宋体" w:cs="宋体"/>
                <w:b/>
                <w:szCs w:val="21"/>
              </w:rPr>
            </w:pPr>
            <w:r>
              <w:rPr>
                <w:rFonts w:hint="eastAsia" w:ascii="宋体" w:hAnsi="宋体" w:eastAsia="宋体" w:cs="宋体"/>
                <w:b/>
                <w:szCs w:val="21"/>
              </w:rPr>
              <w:t>评分标准</w:t>
            </w:r>
          </w:p>
        </w:tc>
        <w:tc>
          <w:tcPr>
            <w:tcW w:w="2131" w:type="dxa"/>
            <w:noWrap w:val="0"/>
            <w:vAlign w:val="center"/>
          </w:tcPr>
          <w:p w14:paraId="7E4F8AA5">
            <w:pPr>
              <w:jc w:val="center"/>
              <w:rPr>
                <w:rFonts w:hint="eastAsia" w:ascii="宋体" w:hAnsi="宋体" w:eastAsia="宋体" w:cs="宋体"/>
                <w:b/>
                <w:szCs w:val="21"/>
              </w:rPr>
            </w:pPr>
            <w:r>
              <w:rPr>
                <w:rFonts w:hint="eastAsia" w:ascii="宋体" w:hAnsi="宋体" w:eastAsia="宋体" w:cs="宋体"/>
                <w:b/>
                <w:szCs w:val="21"/>
              </w:rPr>
              <w:t>说明</w:t>
            </w:r>
          </w:p>
        </w:tc>
      </w:tr>
      <w:tr w14:paraId="405E4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 w:hRule="atLeast"/>
          <w:jc w:val="center"/>
        </w:trPr>
        <w:tc>
          <w:tcPr>
            <w:tcW w:w="794" w:type="dxa"/>
            <w:noWrap w:val="0"/>
            <w:vAlign w:val="center"/>
          </w:tcPr>
          <w:p w14:paraId="20059C29">
            <w:pPr>
              <w:jc w:val="center"/>
              <w:rPr>
                <w:rFonts w:hint="eastAsia" w:ascii="宋体" w:hAnsi="宋体" w:eastAsia="宋体" w:cs="宋体"/>
                <w:b/>
                <w:szCs w:val="21"/>
              </w:rPr>
            </w:pPr>
            <w:r>
              <w:rPr>
                <w:rFonts w:hint="eastAsia" w:ascii="宋体" w:hAnsi="宋体" w:eastAsia="宋体" w:cs="宋体"/>
                <w:b/>
                <w:szCs w:val="21"/>
              </w:rPr>
              <w:t>1</w:t>
            </w:r>
          </w:p>
        </w:tc>
        <w:tc>
          <w:tcPr>
            <w:tcW w:w="1858" w:type="dxa"/>
            <w:noWrap w:val="0"/>
            <w:vAlign w:val="center"/>
          </w:tcPr>
          <w:p w14:paraId="30A9822E">
            <w:pPr>
              <w:jc w:val="center"/>
              <w:rPr>
                <w:rFonts w:hint="eastAsia" w:ascii="宋体" w:hAnsi="宋体" w:eastAsia="宋体" w:cs="宋体"/>
                <w:szCs w:val="21"/>
              </w:rPr>
            </w:pPr>
            <w:r>
              <w:rPr>
                <w:rFonts w:hint="eastAsia" w:ascii="宋体" w:hAnsi="宋体" w:cs="宋体"/>
                <w:szCs w:val="21"/>
                <w:lang w:val="en-US" w:eastAsia="zh-CN"/>
              </w:rPr>
              <w:t>响应</w:t>
            </w:r>
            <w:r>
              <w:rPr>
                <w:rFonts w:hint="eastAsia" w:ascii="宋体" w:hAnsi="宋体" w:eastAsia="宋体" w:cs="宋体"/>
                <w:szCs w:val="21"/>
              </w:rPr>
              <w:t>报价分</w:t>
            </w:r>
          </w:p>
          <w:p w14:paraId="08BB865F">
            <w:pPr>
              <w:jc w:val="center"/>
              <w:rPr>
                <w:rFonts w:hint="eastAsia" w:ascii="宋体" w:hAnsi="宋体" w:eastAsia="宋体" w:cs="宋体"/>
                <w:color w:val="4472C4"/>
                <w:szCs w:val="21"/>
                <w:lang w:eastAsia="zh-CN"/>
              </w:rPr>
            </w:pPr>
            <w:r>
              <w:rPr>
                <w:rFonts w:hint="eastAsia" w:ascii="宋体" w:hAnsi="宋体" w:cs="宋体"/>
                <w:szCs w:val="21"/>
                <w:lang w:eastAsia="zh-CN"/>
              </w:rPr>
              <w:t>（</w:t>
            </w:r>
            <w:r>
              <w:rPr>
                <w:rFonts w:hint="eastAsia" w:ascii="宋体" w:hAnsi="宋体" w:cs="宋体"/>
                <w:szCs w:val="21"/>
                <w:lang w:val="en-US" w:eastAsia="zh-CN"/>
              </w:rPr>
              <w:t>满分30分</w:t>
            </w:r>
            <w:r>
              <w:rPr>
                <w:rFonts w:hint="eastAsia" w:ascii="宋体" w:hAnsi="宋体" w:cs="宋体"/>
                <w:szCs w:val="21"/>
                <w:lang w:eastAsia="zh-CN"/>
              </w:rPr>
              <w:t>）</w:t>
            </w:r>
          </w:p>
        </w:tc>
        <w:tc>
          <w:tcPr>
            <w:tcW w:w="3705" w:type="dxa"/>
            <w:noWrap w:val="0"/>
            <w:vAlign w:val="center"/>
          </w:tcPr>
          <w:p w14:paraId="7FF20C61">
            <w:pPr>
              <w:rPr>
                <w:rFonts w:hint="eastAsia" w:ascii="宋体" w:hAnsi="宋体" w:eastAsia="宋体" w:cs="宋体"/>
                <w:szCs w:val="21"/>
              </w:rPr>
            </w:pPr>
            <w:r>
              <w:rPr>
                <w:rFonts w:hint="eastAsia" w:ascii="宋体" w:hAnsi="宋体" w:eastAsia="宋体" w:cs="宋体"/>
                <w:szCs w:val="21"/>
              </w:rPr>
              <w:t>以满足采购文件要求且价格最低的</w:t>
            </w:r>
            <w:r>
              <w:rPr>
                <w:rFonts w:hint="eastAsia" w:ascii="宋体" w:hAnsi="宋体" w:eastAsia="宋体" w:cs="宋体"/>
                <w:szCs w:val="21"/>
                <w:lang w:val="en-US" w:eastAsia="zh-CN"/>
              </w:rPr>
              <w:t>最后</w:t>
            </w:r>
            <w:r>
              <w:rPr>
                <w:rFonts w:hint="eastAsia" w:ascii="宋体" w:hAnsi="宋体" w:eastAsia="宋体" w:cs="宋体"/>
                <w:szCs w:val="21"/>
              </w:rPr>
              <w:t>报价为评</w:t>
            </w:r>
            <w:r>
              <w:rPr>
                <w:rFonts w:hint="eastAsia" w:ascii="宋体" w:hAnsi="宋体" w:eastAsia="宋体" w:cs="宋体"/>
                <w:szCs w:val="21"/>
                <w:lang w:val="en-US" w:eastAsia="zh-CN"/>
              </w:rPr>
              <w:t>审</w:t>
            </w:r>
            <w:r>
              <w:rPr>
                <w:rFonts w:hint="eastAsia" w:ascii="宋体" w:hAnsi="宋体" w:eastAsia="宋体" w:cs="宋体"/>
                <w:szCs w:val="21"/>
              </w:rPr>
              <w:t>基准价，其价格分为满分。其他供应商的价格分统一按照下列公式计算：</w:t>
            </w:r>
            <w:r>
              <w:rPr>
                <w:rFonts w:hint="eastAsia" w:ascii="宋体" w:hAnsi="宋体" w:eastAsia="宋体" w:cs="宋体"/>
                <w:szCs w:val="21"/>
                <w:lang w:val="en-US" w:eastAsia="zh-CN"/>
              </w:rPr>
              <w:t>最后</w:t>
            </w:r>
            <w:r>
              <w:rPr>
                <w:rFonts w:hint="eastAsia" w:ascii="宋体" w:hAnsi="宋体" w:eastAsia="宋体" w:cs="宋体"/>
                <w:szCs w:val="21"/>
              </w:rPr>
              <w:t>报价得分=（评</w:t>
            </w:r>
            <w:r>
              <w:rPr>
                <w:rFonts w:hint="eastAsia" w:ascii="宋体" w:hAnsi="宋体" w:eastAsia="宋体" w:cs="宋体"/>
                <w:szCs w:val="21"/>
                <w:lang w:val="en-US" w:eastAsia="zh-CN"/>
              </w:rPr>
              <w:t>审</w:t>
            </w:r>
            <w:r>
              <w:rPr>
                <w:rFonts w:hint="eastAsia" w:ascii="宋体" w:hAnsi="宋体" w:eastAsia="宋体" w:cs="宋体"/>
                <w:szCs w:val="21"/>
              </w:rPr>
              <w:t>基准价/</w:t>
            </w:r>
            <w:r>
              <w:rPr>
                <w:rFonts w:hint="eastAsia" w:ascii="宋体" w:hAnsi="宋体" w:eastAsia="宋体" w:cs="宋体"/>
                <w:szCs w:val="21"/>
                <w:lang w:val="en-US" w:eastAsia="zh-CN"/>
              </w:rPr>
              <w:t>最后</w:t>
            </w:r>
            <w:r>
              <w:rPr>
                <w:rFonts w:hint="eastAsia" w:ascii="宋体" w:hAnsi="宋体" w:eastAsia="宋体" w:cs="宋体"/>
                <w:szCs w:val="21"/>
              </w:rPr>
              <w:t>报价）×</w:t>
            </w:r>
            <w:r>
              <w:rPr>
                <w:rFonts w:hint="eastAsia" w:ascii="宋体" w:hAnsi="宋体" w:eastAsia="宋体" w:cs="宋体"/>
                <w:szCs w:val="21"/>
                <w:lang w:val="en-US" w:eastAsia="zh-CN"/>
              </w:rPr>
              <w:t>最后</w:t>
            </w:r>
            <w:r>
              <w:rPr>
                <w:rFonts w:hint="eastAsia" w:ascii="宋体" w:hAnsi="宋体" w:eastAsia="宋体" w:cs="宋体"/>
                <w:szCs w:val="21"/>
              </w:rPr>
              <w:t>报价分满分分值。</w:t>
            </w:r>
          </w:p>
        </w:tc>
        <w:tc>
          <w:tcPr>
            <w:tcW w:w="2131" w:type="dxa"/>
            <w:noWrap w:val="0"/>
            <w:vAlign w:val="center"/>
          </w:tcPr>
          <w:p w14:paraId="07A63682">
            <w:pPr>
              <w:rPr>
                <w:rFonts w:hint="eastAsia" w:ascii="宋体" w:hAnsi="宋体" w:eastAsia="宋体" w:cs="宋体"/>
                <w:color w:val="4472C4"/>
                <w:szCs w:val="21"/>
              </w:rPr>
            </w:pPr>
            <w:r>
              <w:rPr>
                <w:rFonts w:hint="eastAsia" w:ascii="宋体" w:hAnsi="宋体" w:eastAsia="宋体" w:cs="宋体"/>
                <w:color w:val="auto"/>
                <w:szCs w:val="21"/>
                <w:lang w:val="en-US" w:eastAsia="zh-CN"/>
              </w:rPr>
              <w:t>本项目专门面向中小微企业采购，不享受价格政策性扣除。</w:t>
            </w:r>
          </w:p>
        </w:tc>
      </w:tr>
    </w:tbl>
    <w:p w14:paraId="2A361398">
      <w:pPr>
        <w:rPr>
          <w:rFonts w:hint="eastAsia" w:ascii="宋体" w:hAnsi="宋体" w:eastAsia="宋体" w:cs="宋体"/>
        </w:rPr>
      </w:pPr>
    </w:p>
    <w:p w14:paraId="11AAC19E">
      <w:pPr>
        <w:ind w:firstLine="315" w:firstLineChars="150"/>
        <w:rPr>
          <w:rFonts w:hint="eastAsia" w:ascii="宋体" w:hAnsi="宋体" w:eastAsia="宋体" w:cs="宋体"/>
        </w:rPr>
      </w:pPr>
      <w:r>
        <w:rPr>
          <w:rFonts w:hint="eastAsia" w:ascii="宋体" w:hAnsi="宋体" w:eastAsia="宋体" w:cs="宋体"/>
        </w:rPr>
        <w:t>（</w:t>
      </w:r>
      <w:r>
        <w:rPr>
          <w:rFonts w:hint="eastAsia" w:ascii="宋体" w:hAnsi="宋体" w:cs="宋体"/>
          <w:lang w:val="en-US" w:eastAsia="zh-CN"/>
        </w:rPr>
        <w:t>3</w:t>
      </w:r>
      <w:r>
        <w:rPr>
          <w:rFonts w:hint="eastAsia" w:ascii="宋体" w:hAnsi="宋体" w:eastAsia="宋体" w:cs="宋体"/>
        </w:rPr>
        <w:t>）综合得分</w:t>
      </w:r>
    </w:p>
    <w:tbl>
      <w:tblPr>
        <w:tblStyle w:val="15"/>
        <w:tblW w:w="92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5"/>
        <w:gridCol w:w="2675"/>
        <w:gridCol w:w="2625"/>
        <w:gridCol w:w="2762"/>
      </w:tblGrid>
      <w:tr w14:paraId="6060C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 w:hRule="atLeast"/>
          <w:jc w:val="center"/>
        </w:trPr>
        <w:tc>
          <w:tcPr>
            <w:tcW w:w="1225" w:type="dxa"/>
            <w:noWrap w:val="0"/>
            <w:vAlign w:val="center"/>
          </w:tcPr>
          <w:p w14:paraId="23A1BAD9">
            <w:pPr>
              <w:jc w:val="center"/>
              <w:rPr>
                <w:rFonts w:hint="eastAsia" w:ascii="宋体" w:hAnsi="宋体" w:eastAsia="宋体" w:cs="宋体"/>
                <w:b/>
                <w:szCs w:val="21"/>
              </w:rPr>
            </w:pPr>
            <w:r>
              <w:rPr>
                <w:rFonts w:hint="eastAsia" w:ascii="宋体" w:hAnsi="宋体" w:eastAsia="宋体" w:cs="宋体"/>
                <w:b/>
                <w:szCs w:val="21"/>
              </w:rPr>
              <w:t>分项</w:t>
            </w:r>
          </w:p>
        </w:tc>
        <w:tc>
          <w:tcPr>
            <w:tcW w:w="2675" w:type="dxa"/>
            <w:noWrap w:val="0"/>
            <w:vAlign w:val="center"/>
          </w:tcPr>
          <w:p w14:paraId="7EF33B3D">
            <w:pPr>
              <w:jc w:val="center"/>
              <w:rPr>
                <w:rFonts w:hint="eastAsia" w:ascii="宋体" w:hAnsi="宋体" w:eastAsia="宋体" w:cs="宋体"/>
                <w:b/>
                <w:szCs w:val="21"/>
              </w:rPr>
            </w:pPr>
            <w:r>
              <w:rPr>
                <w:rFonts w:hint="eastAsia" w:ascii="宋体" w:hAnsi="宋体" w:eastAsia="宋体" w:cs="宋体"/>
                <w:b/>
                <w:szCs w:val="21"/>
              </w:rPr>
              <w:t>技术及商务资信分</w:t>
            </w:r>
          </w:p>
        </w:tc>
        <w:tc>
          <w:tcPr>
            <w:tcW w:w="2625" w:type="dxa"/>
            <w:noWrap w:val="0"/>
            <w:vAlign w:val="center"/>
          </w:tcPr>
          <w:p w14:paraId="781032A6">
            <w:pPr>
              <w:jc w:val="center"/>
              <w:rPr>
                <w:rFonts w:hint="eastAsia" w:ascii="宋体" w:hAnsi="宋体" w:eastAsia="宋体" w:cs="宋体"/>
                <w:b/>
                <w:szCs w:val="21"/>
              </w:rPr>
            </w:pPr>
            <w:r>
              <w:rPr>
                <w:rFonts w:hint="eastAsia" w:ascii="宋体" w:hAnsi="宋体" w:cs="宋体"/>
                <w:b/>
                <w:szCs w:val="21"/>
                <w:lang w:val="en-US" w:eastAsia="zh-CN"/>
              </w:rPr>
              <w:t>响应</w:t>
            </w:r>
            <w:r>
              <w:rPr>
                <w:rFonts w:hint="eastAsia" w:ascii="宋体" w:hAnsi="宋体" w:eastAsia="宋体" w:cs="宋体"/>
                <w:b/>
                <w:szCs w:val="21"/>
              </w:rPr>
              <w:t>报价得分</w:t>
            </w:r>
          </w:p>
        </w:tc>
        <w:tc>
          <w:tcPr>
            <w:tcW w:w="2762" w:type="dxa"/>
            <w:noWrap w:val="0"/>
            <w:vAlign w:val="center"/>
          </w:tcPr>
          <w:p w14:paraId="071289C5">
            <w:pPr>
              <w:jc w:val="center"/>
              <w:rPr>
                <w:rFonts w:hint="eastAsia" w:ascii="宋体" w:hAnsi="宋体" w:eastAsia="宋体" w:cs="宋体"/>
                <w:b/>
                <w:szCs w:val="21"/>
              </w:rPr>
            </w:pPr>
            <w:r>
              <w:rPr>
                <w:rFonts w:hint="eastAsia" w:ascii="宋体" w:hAnsi="宋体" w:eastAsia="宋体" w:cs="宋体"/>
                <w:b/>
                <w:szCs w:val="21"/>
              </w:rPr>
              <w:t>总分</w:t>
            </w:r>
          </w:p>
        </w:tc>
      </w:tr>
      <w:tr w14:paraId="57C4C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1" w:hRule="atLeast"/>
          <w:jc w:val="center"/>
        </w:trPr>
        <w:tc>
          <w:tcPr>
            <w:tcW w:w="1225" w:type="dxa"/>
            <w:noWrap w:val="0"/>
            <w:vAlign w:val="center"/>
          </w:tcPr>
          <w:p w14:paraId="6CFDDEE7">
            <w:pPr>
              <w:jc w:val="center"/>
              <w:rPr>
                <w:rFonts w:hint="eastAsia" w:ascii="宋体" w:hAnsi="宋体" w:eastAsia="宋体" w:cs="宋体"/>
                <w:b/>
                <w:color w:val="auto"/>
                <w:szCs w:val="21"/>
              </w:rPr>
            </w:pPr>
            <w:r>
              <w:rPr>
                <w:rFonts w:hint="eastAsia" w:ascii="宋体" w:hAnsi="宋体" w:eastAsia="宋体" w:cs="宋体"/>
                <w:b/>
                <w:color w:val="auto"/>
                <w:szCs w:val="21"/>
              </w:rPr>
              <w:t>分值</w:t>
            </w:r>
          </w:p>
        </w:tc>
        <w:tc>
          <w:tcPr>
            <w:tcW w:w="2675" w:type="dxa"/>
            <w:noWrap w:val="0"/>
            <w:vAlign w:val="center"/>
          </w:tcPr>
          <w:p w14:paraId="125957B8">
            <w:pPr>
              <w:jc w:val="center"/>
              <w:rPr>
                <w:rFonts w:hint="default" w:ascii="宋体" w:hAnsi="宋体" w:eastAsia="宋体" w:cs="宋体"/>
                <w:color w:val="auto"/>
                <w:szCs w:val="21"/>
                <w:lang w:val="en-US" w:eastAsia="zh-CN"/>
              </w:rPr>
            </w:pPr>
            <w:r>
              <w:rPr>
                <w:rFonts w:hint="eastAsia" w:ascii="宋体" w:hAnsi="宋体" w:cs="宋体"/>
                <w:color w:val="auto"/>
                <w:szCs w:val="21"/>
                <w:lang w:val="en-US" w:eastAsia="zh-CN"/>
              </w:rPr>
              <w:t>70</w:t>
            </w:r>
          </w:p>
        </w:tc>
        <w:tc>
          <w:tcPr>
            <w:tcW w:w="2625" w:type="dxa"/>
            <w:noWrap w:val="0"/>
            <w:vAlign w:val="center"/>
          </w:tcPr>
          <w:p w14:paraId="6E97ABFA">
            <w:pPr>
              <w:jc w:val="center"/>
              <w:rPr>
                <w:rFonts w:hint="default" w:ascii="宋体" w:hAnsi="宋体" w:eastAsia="宋体" w:cs="宋体"/>
                <w:color w:val="auto"/>
                <w:szCs w:val="21"/>
                <w:lang w:val="en-US" w:eastAsia="zh-CN"/>
              </w:rPr>
            </w:pPr>
            <w:r>
              <w:rPr>
                <w:rFonts w:hint="eastAsia" w:ascii="宋体" w:hAnsi="宋体" w:cs="宋体"/>
                <w:color w:val="auto"/>
                <w:szCs w:val="21"/>
                <w:lang w:val="en-US" w:eastAsia="zh-CN"/>
              </w:rPr>
              <w:t>30</w:t>
            </w:r>
          </w:p>
        </w:tc>
        <w:tc>
          <w:tcPr>
            <w:tcW w:w="2762" w:type="dxa"/>
            <w:noWrap w:val="0"/>
            <w:vAlign w:val="center"/>
          </w:tcPr>
          <w:p w14:paraId="30DA7A27">
            <w:pPr>
              <w:jc w:val="center"/>
              <w:rPr>
                <w:rFonts w:hint="default" w:ascii="宋体" w:hAnsi="宋体" w:eastAsia="宋体" w:cs="宋体"/>
                <w:color w:val="auto"/>
                <w:szCs w:val="21"/>
                <w:lang w:val="en-US" w:eastAsia="zh-CN"/>
              </w:rPr>
            </w:pPr>
            <w:r>
              <w:rPr>
                <w:rFonts w:hint="eastAsia" w:ascii="宋体" w:hAnsi="宋体" w:cs="宋体"/>
                <w:color w:val="auto"/>
                <w:szCs w:val="21"/>
                <w:lang w:val="en-US" w:eastAsia="zh-CN"/>
              </w:rPr>
              <w:t>100</w:t>
            </w:r>
          </w:p>
        </w:tc>
      </w:tr>
      <w:tr w14:paraId="42D58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1" w:hRule="atLeast"/>
          <w:jc w:val="center"/>
        </w:trPr>
        <w:tc>
          <w:tcPr>
            <w:tcW w:w="9287" w:type="dxa"/>
            <w:gridSpan w:val="4"/>
            <w:noWrap w:val="0"/>
            <w:vAlign w:val="center"/>
          </w:tcPr>
          <w:p w14:paraId="0CCC2FF9">
            <w:pPr>
              <w:rPr>
                <w:rFonts w:hint="eastAsia" w:ascii="宋体" w:hAnsi="宋体" w:eastAsia="宋体" w:cs="宋体"/>
                <w:color w:val="auto"/>
                <w:szCs w:val="21"/>
              </w:rPr>
            </w:pPr>
            <w:r>
              <w:rPr>
                <w:rFonts w:hint="eastAsia" w:ascii="宋体" w:hAnsi="宋体" w:eastAsia="宋体" w:cs="宋体"/>
                <w:color w:val="auto"/>
                <w:szCs w:val="21"/>
              </w:rPr>
              <w:t>综合得分=技术及商务资信分+</w:t>
            </w:r>
            <w:r>
              <w:rPr>
                <w:rFonts w:hint="eastAsia" w:ascii="宋体" w:hAnsi="宋体" w:eastAsia="宋体" w:cs="宋体"/>
                <w:color w:val="auto"/>
                <w:szCs w:val="21"/>
                <w:lang w:val="en-US" w:eastAsia="zh-CN"/>
              </w:rPr>
              <w:t>响应</w:t>
            </w:r>
            <w:r>
              <w:rPr>
                <w:rFonts w:hint="eastAsia" w:ascii="宋体" w:hAnsi="宋体" w:eastAsia="宋体" w:cs="宋体"/>
                <w:color w:val="auto"/>
                <w:szCs w:val="21"/>
              </w:rPr>
              <w:t>报价得分（</w:t>
            </w:r>
            <w:r>
              <w:rPr>
                <w:rFonts w:hint="eastAsia" w:ascii="宋体" w:hAnsi="宋体" w:eastAsia="宋体" w:cs="宋体"/>
                <w:color w:val="auto"/>
              </w:rPr>
              <w:t>注：各</w:t>
            </w:r>
            <w:r>
              <w:rPr>
                <w:rFonts w:hint="eastAsia" w:ascii="宋体" w:hAnsi="宋体" w:eastAsia="宋体" w:cs="宋体"/>
                <w:color w:val="auto"/>
                <w:szCs w:val="21"/>
              </w:rPr>
              <w:t>项评分分值计算保留小数点后两位，小数点后第三位“四舍五入”）</w:t>
            </w:r>
          </w:p>
        </w:tc>
      </w:tr>
    </w:tbl>
    <w:p w14:paraId="543A0284">
      <w:pPr>
        <w:spacing w:before="120" w:line="320" w:lineRule="atLeast"/>
        <w:ind w:firstLine="643" w:firstLineChars="200"/>
        <w:rPr>
          <w:rFonts w:hint="eastAsia" w:ascii="宋体" w:hAnsi="宋体" w:eastAsia="宋体" w:cs="宋体"/>
          <w:b/>
          <w:sz w:val="32"/>
          <w:szCs w:val="32"/>
        </w:rPr>
        <w:sectPr>
          <w:headerReference r:id="rId16" w:type="first"/>
          <w:headerReference r:id="rId15" w:type="default"/>
          <w:pgSz w:w="11906" w:h="16838"/>
          <w:pgMar w:top="1418" w:right="1417" w:bottom="1417" w:left="1418" w:header="851" w:footer="992" w:gutter="0"/>
          <w:cols w:space="720" w:num="1"/>
          <w:docGrid w:linePitch="312" w:charSpace="0"/>
        </w:sectPr>
      </w:pPr>
    </w:p>
    <w:bookmarkEnd w:id="0"/>
    <w:bookmarkEnd w:id="1"/>
    <w:p w14:paraId="2560DF36">
      <w:pPr>
        <w:pStyle w:val="11"/>
        <w:snapToGrid w:val="0"/>
        <w:spacing w:before="120" w:after="120" w:line="320" w:lineRule="exact"/>
        <w:jc w:val="center"/>
        <w:outlineLvl w:val="0"/>
        <w:rPr>
          <w:rFonts w:hint="eastAsia" w:ascii="宋体" w:hAnsi="宋体" w:eastAsia="宋体" w:cs="宋体"/>
          <w:b/>
          <w:bCs/>
          <w:sz w:val="32"/>
          <w:szCs w:val="32"/>
        </w:rPr>
      </w:pPr>
      <w:bookmarkStart w:id="83" w:name="_Toc14811"/>
      <w:bookmarkStart w:id="84" w:name="_Hlk89190624"/>
      <w:r>
        <w:rPr>
          <w:rFonts w:hint="eastAsia" w:ascii="宋体" w:hAnsi="宋体" w:eastAsia="宋体" w:cs="宋体"/>
          <w:b/>
          <w:bCs/>
          <w:sz w:val="32"/>
          <w:szCs w:val="32"/>
        </w:rPr>
        <w:t>第</w:t>
      </w:r>
      <w:r>
        <w:rPr>
          <w:rFonts w:hint="eastAsia" w:hAnsi="宋体" w:cs="宋体"/>
          <w:b/>
          <w:bCs/>
          <w:sz w:val="32"/>
          <w:szCs w:val="32"/>
          <w:lang w:val="en-US" w:eastAsia="zh-CN"/>
        </w:rPr>
        <w:t>六</w:t>
      </w:r>
      <w:r>
        <w:rPr>
          <w:rFonts w:hint="eastAsia" w:ascii="宋体" w:hAnsi="宋体" w:eastAsia="宋体" w:cs="宋体"/>
          <w:b/>
          <w:bCs/>
          <w:sz w:val="32"/>
          <w:szCs w:val="32"/>
        </w:rPr>
        <w:t>章  合同主要条款格式</w:t>
      </w:r>
      <w:bookmarkEnd w:id="83"/>
    </w:p>
    <w:bookmarkEnd w:id="84"/>
    <w:p w14:paraId="4B4F973C">
      <w:pPr>
        <w:spacing w:line="360" w:lineRule="auto"/>
        <w:rPr>
          <w:rFonts w:hint="eastAsia" w:ascii="宋体" w:hAnsi="宋体" w:eastAsia="宋体" w:cs="宋体"/>
        </w:rPr>
      </w:pPr>
    </w:p>
    <w:p w14:paraId="573F6A89">
      <w:pPr>
        <w:spacing w:line="360" w:lineRule="auto"/>
        <w:rPr>
          <w:rFonts w:hint="eastAsia" w:ascii="宋体" w:hAnsi="宋体" w:eastAsia="宋体" w:cs="宋体"/>
        </w:rPr>
      </w:pPr>
    </w:p>
    <w:p w14:paraId="78B31D2E">
      <w:pPr>
        <w:spacing w:line="360" w:lineRule="auto"/>
        <w:rPr>
          <w:rFonts w:hint="eastAsia" w:ascii="宋体" w:hAnsi="宋体" w:eastAsia="宋体" w:cs="宋体"/>
        </w:rPr>
      </w:pPr>
    </w:p>
    <w:p w14:paraId="3C0009AB">
      <w:pPr>
        <w:wordWrap w:val="0"/>
        <w:spacing w:line="240" w:lineRule="auto"/>
        <w:ind w:left="0" w:firstLine="0"/>
        <w:jc w:val="right"/>
        <w:rPr>
          <w:rFonts w:ascii="宋体" w:hAnsi="宋体" w:eastAsia="宋体" w:cs="宋体"/>
          <w:b/>
          <w:color w:val="auto"/>
          <w:sz w:val="72"/>
          <w:szCs w:val="72"/>
          <w:highlight w:val="none"/>
        </w:rPr>
      </w:pPr>
      <w:bookmarkStart w:id="85" w:name="_Toc407135191"/>
      <w:bookmarkStart w:id="86" w:name="_Toc15860"/>
      <w:bookmarkStart w:id="87" w:name="_Toc296890982"/>
      <w:bookmarkStart w:id="88" w:name="_Toc373227552"/>
      <w:bookmarkStart w:id="89" w:name="_Toc351203480"/>
      <w:bookmarkStart w:id="90" w:name="_Toc373478199"/>
      <w:bookmarkStart w:id="91" w:name="_Toc389065255"/>
      <w:bookmarkStart w:id="92" w:name="_Toc296503025"/>
      <w:bookmarkStart w:id="93" w:name="EB65729a57b0ed4032909b38b1b878589c"/>
      <w:r>
        <w:rPr>
          <w:rFonts w:hint="eastAsia" w:ascii="宋体" w:hAnsi="宋体" w:eastAsia="宋体" w:cs="宋体"/>
          <w:color w:val="auto"/>
          <w:sz w:val="28"/>
          <w:szCs w:val="28"/>
          <w:highlight w:val="none"/>
        </w:rPr>
        <w:t>合同编号：LRYJJHT2026   -HQBZB-JJB</w:t>
      </w:r>
    </w:p>
    <w:p w14:paraId="61529F1A">
      <w:pPr>
        <w:widowControl w:val="0"/>
        <w:adjustRightInd w:val="0"/>
        <w:spacing w:line="420" w:lineRule="atLeast"/>
        <w:jc w:val="left"/>
        <w:rPr>
          <w:rFonts w:ascii="宋体" w:hAnsi="宋体" w:eastAsia="宋体" w:cs="宋体"/>
          <w:color w:val="auto"/>
          <w:kern w:val="0"/>
          <w:sz w:val="21"/>
          <w:szCs w:val="24"/>
          <w:highlight w:val="none"/>
          <w:lang w:val="en-US" w:eastAsia="zh-CN" w:bidi="ar-SA"/>
        </w:rPr>
      </w:pPr>
    </w:p>
    <w:p w14:paraId="427EB3B6">
      <w:pPr>
        <w:spacing w:line="240" w:lineRule="auto"/>
        <w:ind w:left="0" w:firstLine="0"/>
        <w:jc w:val="center"/>
        <w:rPr>
          <w:rFonts w:hint="eastAsia" w:ascii="宋体" w:hAnsi="宋体" w:eastAsia="宋体" w:cs="宋体"/>
          <w:b/>
          <w:color w:val="auto"/>
          <w:sz w:val="44"/>
          <w:szCs w:val="44"/>
          <w:highlight w:val="none"/>
          <w:lang w:eastAsia="zh-CN"/>
        </w:rPr>
      </w:pPr>
      <w:r>
        <w:rPr>
          <w:rFonts w:hint="eastAsia" w:ascii="宋体" w:hAnsi="宋体" w:cs="宋体"/>
          <w:b/>
          <w:color w:val="auto"/>
          <w:sz w:val="44"/>
          <w:szCs w:val="44"/>
          <w:highlight w:val="none"/>
          <w:lang w:eastAsia="zh-CN"/>
        </w:rPr>
        <w:t>柳州市人民医院眼科手术室装修改造工程</w:t>
      </w:r>
    </w:p>
    <w:p w14:paraId="464E89FD">
      <w:pPr>
        <w:spacing w:line="240" w:lineRule="auto"/>
        <w:ind w:left="0" w:firstLine="0"/>
        <w:jc w:val="center"/>
        <w:rPr>
          <w:rFonts w:ascii="宋体" w:hAnsi="宋体" w:eastAsia="宋体" w:cs="宋体"/>
          <w:b/>
          <w:color w:val="auto"/>
          <w:sz w:val="48"/>
          <w:szCs w:val="48"/>
          <w:highlight w:val="none"/>
        </w:rPr>
      </w:pPr>
    </w:p>
    <w:p w14:paraId="1121DD8B">
      <w:pPr>
        <w:spacing w:line="240" w:lineRule="auto"/>
        <w:ind w:left="0" w:firstLine="0"/>
        <w:jc w:val="center"/>
        <w:rPr>
          <w:rFonts w:ascii="宋体" w:hAnsi="宋体" w:eastAsia="宋体" w:cs="宋体"/>
          <w:color w:val="auto"/>
          <w:sz w:val="80"/>
          <w:szCs w:val="80"/>
          <w:highlight w:val="none"/>
        </w:rPr>
      </w:pPr>
      <w:r>
        <w:rPr>
          <w:rFonts w:hint="eastAsia" w:ascii="宋体" w:hAnsi="宋体" w:eastAsia="宋体" w:cs="宋体"/>
          <w:color w:val="auto"/>
          <w:sz w:val="80"/>
          <w:szCs w:val="80"/>
          <w:highlight w:val="none"/>
        </w:rPr>
        <w:t>施工合同书</w:t>
      </w:r>
    </w:p>
    <w:p w14:paraId="5FDED796">
      <w:pPr>
        <w:spacing w:line="240" w:lineRule="auto"/>
        <w:ind w:left="0" w:firstLine="0"/>
        <w:rPr>
          <w:rFonts w:ascii="宋体" w:hAnsi="宋体" w:eastAsia="宋体" w:cs="宋体"/>
          <w:color w:val="auto"/>
          <w:sz w:val="32"/>
          <w:szCs w:val="32"/>
          <w:highlight w:val="none"/>
        </w:rPr>
      </w:pPr>
    </w:p>
    <w:p w14:paraId="4CB542CC">
      <w:pPr>
        <w:spacing w:line="400" w:lineRule="exact"/>
        <w:ind w:left="1365" w:hanging="1365" w:hangingChars="650"/>
        <w:rPr>
          <w:rFonts w:ascii="宋体" w:hAnsi="宋体" w:eastAsia="宋体" w:cs="宋体"/>
          <w:color w:val="auto"/>
          <w:szCs w:val="21"/>
          <w:highlight w:val="none"/>
        </w:rPr>
      </w:pPr>
    </w:p>
    <w:p w14:paraId="18BE4C28">
      <w:pPr>
        <w:widowControl w:val="0"/>
        <w:spacing w:after="120"/>
        <w:ind w:left="420" w:leftChars="200" w:firstLine="420" w:firstLineChars="200"/>
        <w:jc w:val="both"/>
        <w:rPr>
          <w:rFonts w:ascii="宋体" w:hAnsi="宋体" w:eastAsia="宋体" w:cs="宋体"/>
          <w:color w:val="auto"/>
          <w:kern w:val="2"/>
          <w:sz w:val="21"/>
          <w:szCs w:val="28"/>
          <w:highlight w:val="none"/>
          <w:lang w:val="en-US" w:eastAsia="zh-CN" w:bidi="ar-SA"/>
        </w:rPr>
      </w:pPr>
    </w:p>
    <w:p w14:paraId="7D381EA3">
      <w:pPr>
        <w:widowControl w:val="0"/>
        <w:spacing w:after="120"/>
        <w:ind w:left="420" w:leftChars="200" w:firstLine="420" w:firstLineChars="200"/>
        <w:jc w:val="both"/>
        <w:rPr>
          <w:rFonts w:ascii="宋体" w:hAnsi="宋体" w:eastAsia="宋体" w:cs="宋体"/>
          <w:color w:val="auto"/>
          <w:kern w:val="2"/>
          <w:sz w:val="21"/>
          <w:szCs w:val="28"/>
          <w:highlight w:val="none"/>
          <w:lang w:val="en-US" w:eastAsia="zh-CN" w:bidi="ar-SA"/>
        </w:rPr>
      </w:pPr>
    </w:p>
    <w:p w14:paraId="6B0C1940">
      <w:pPr>
        <w:widowControl w:val="0"/>
        <w:spacing w:after="120"/>
        <w:ind w:left="420" w:leftChars="200" w:firstLine="420" w:firstLineChars="200"/>
        <w:jc w:val="both"/>
        <w:rPr>
          <w:rFonts w:ascii="宋体" w:hAnsi="宋体" w:eastAsia="宋体" w:cs="宋体"/>
          <w:color w:val="auto"/>
          <w:kern w:val="2"/>
          <w:sz w:val="21"/>
          <w:szCs w:val="28"/>
          <w:highlight w:val="none"/>
          <w:lang w:val="en-US" w:eastAsia="zh-CN" w:bidi="ar-SA"/>
        </w:rPr>
      </w:pPr>
    </w:p>
    <w:p w14:paraId="6542DEB9">
      <w:pPr>
        <w:widowControl w:val="0"/>
        <w:spacing w:after="120"/>
        <w:ind w:left="0" w:leftChars="0" w:firstLine="0" w:firstLineChars="0"/>
        <w:jc w:val="both"/>
        <w:rPr>
          <w:rFonts w:ascii="宋体" w:hAnsi="宋体" w:eastAsia="宋体" w:cs="宋体"/>
          <w:color w:val="auto"/>
          <w:kern w:val="2"/>
          <w:sz w:val="21"/>
          <w:szCs w:val="28"/>
          <w:highlight w:val="none"/>
          <w:lang w:val="en-US" w:eastAsia="zh-CN" w:bidi="ar-SA"/>
        </w:rPr>
      </w:pPr>
    </w:p>
    <w:p w14:paraId="41452C1F">
      <w:pPr>
        <w:spacing w:line="400" w:lineRule="exact"/>
        <w:ind w:left="0" w:firstLine="0"/>
        <w:jc w:val="center"/>
        <w:rPr>
          <w:rFonts w:ascii="宋体" w:hAnsi="宋体" w:eastAsia="宋体" w:cs="宋体"/>
          <w:b/>
          <w:color w:val="auto"/>
          <w:sz w:val="32"/>
          <w:szCs w:val="32"/>
          <w:highlight w:val="none"/>
        </w:rPr>
      </w:pPr>
    </w:p>
    <w:p w14:paraId="26217991">
      <w:pPr>
        <w:spacing w:line="400" w:lineRule="exact"/>
        <w:ind w:left="0" w:firstLine="0"/>
        <w:rPr>
          <w:rFonts w:ascii="宋体" w:hAnsi="宋体" w:eastAsia="宋体" w:cs="宋体"/>
          <w:bCs/>
          <w:color w:val="auto"/>
          <w:sz w:val="32"/>
          <w:szCs w:val="32"/>
          <w:highlight w:val="none"/>
          <w:u w:val="single"/>
        </w:rPr>
      </w:pPr>
      <w:r>
        <w:rPr>
          <w:rFonts w:hint="eastAsia" w:ascii="宋体" w:hAnsi="宋体" w:eastAsia="宋体" w:cs="宋体"/>
          <w:bCs/>
          <w:color w:val="auto"/>
          <w:sz w:val="32"/>
          <w:szCs w:val="32"/>
          <w:highlight w:val="none"/>
        </w:rPr>
        <w:t>发包人（全称）：</w:t>
      </w:r>
      <w:bookmarkStart w:id="94" w:name="_Hlk29285837"/>
      <w:bookmarkEnd w:id="94"/>
      <w:r>
        <w:rPr>
          <w:rFonts w:hint="eastAsia" w:ascii="宋体" w:hAnsi="宋体" w:eastAsia="宋体" w:cs="宋体"/>
          <w:bCs/>
          <w:color w:val="auto"/>
          <w:sz w:val="32"/>
          <w:szCs w:val="32"/>
          <w:highlight w:val="none"/>
          <w:u w:val="single"/>
        </w:rPr>
        <w:t>柳州市人民医院</w:t>
      </w:r>
    </w:p>
    <w:p w14:paraId="242D02FE">
      <w:pPr>
        <w:spacing w:line="240" w:lineRule="auto"/>
        <w:ind w:left="0" w:firstLine="640" w:firstLineChars="200"/>
        <w:rPr>
          <w:rFonts w:ascii="宋体" w:hAnsi="宋体" w:eastAsia="宋体" w:cs="宋体"/>
          <w:bCs/>
          <w:color w:val="auto"/>
          <w:sz w:val="32"/>
          <w:szCs w:val="32"/>
          <w:highlight w:val="none"/>
        </w:rPr>
      </w:pPr>
    </w:p>
    <w:p w14:paraId="0CB79ED7">
      <w:pPr>
        <w:spacing w:line="400" w:lineRule="exact"/>
        <w:ind w:left="0" w:firstLine="0"/>
        <w:rPr>
          <w:rFonts w:hint="default" w:ascii="宋体" w:hAnsi="宋体" w:eastAsia="宋体" w:cs="宋体"/>
          <w:b/>
          <w:color w:val="auto"/>
          <w:sz w:val="32"/>
          <w:szCs w:val="32"/>
          <w:highlight w:val="none"/>
          <w:lang w:val="en-US" w:eastAsia="zh-CN"/>
        </w:rPr>
      </w:pPr>
      <w:r>
        <w:rPr>
          <w:rFonts w:hint="eastAsia" w:ascii="宋体" w:hAnsi="宋体" w:eastAsia="宋体" w:cs="宋体"/>
          <w:bCs/>
          <w:color w:val="auto"/>
          <w:sz w:val="32"/>
          <w:szCs w:val="32"/>
          <w:highlight w:val="none"/>
        </w:rPr>
        <w:t>承包人（全称）：</w:t>
      </w:r>
      <w:r>
        <w:rPr>
          <w:rFonts w:hint="eastAsia" w:ascii="宋体" w:hAnsi="宋体" w:cs="宋体"/>
          <w:bCs/>
          <w:color w:val="auto"/>
          <w:sz w:val="32"/>
          <w:szCs w:val="32"/>
          <w:highlight w:val="none"/>
          <w:u w:val="single"/>
          <w:lang w:val="en-US" w:eastAsia="zh-CN"/>
        </w:rPr>
        <w:t xml:space="preserve">           </w:t>
      </w:r>
    </w:p>
    <w:p w14:paraId="28D636F4">
      <w:pPr>
        <w:widowControl w:val="0"/>
        <w:adjustRightInd w:val="0"/>
        <w:spacing w:line="420" w:lineRule="atLeast"/>
        <w:jc w:val="left"/>
        <w:rPr>
          <w:rFonts w:ascii="宋体" w:hAnsi="宋体" w:eastAsia="宋体" w:cs="宋体"/>
          <w:b/>
          <w:color w:val="auto"/>
          <w:kern w:val="0"/>
          <w:sz w:val="32"/>
          <w:szCs w:val="32"/>
          <w:highlight w:val="none"/>
          <w:lang w:val="en-US" w:eastAsia="zh-CN" w:bidi="ar-SA"/>
        </w:rPr>
      </w:pPr>
    </w:p>
    <w:p w14:paraId="3A22861A">
      <w:pPr>
        <w:widowControl w:val="0"/>
        <w:ind w:firstLine="838" w:firstLineChars="262"/>
        <w:jc w:val="both"/>
        <w:rPr>
          <w:rFonts w:ascii="宋体" w:hAnsi="宋体" w:eastAsia="宋体" w:cs="宋体"/>
          <w:color w:val="auto"/>
          <w:kern w:val="0"/>
          <w:sz w:val="32"/>
          <w:szCs w:val="32"/>
          <w:highlight w:val="none"/>
          <w:lang w:val="en-US" w:eastAsia="zh-CN" w:bidi="ar-SA"/>
        </w:rPr>
      </w:pPr>
      <w:r>
        <w:rPr>
          <w:rFonts w:hint="eastAsia" w:ascii="宋体" w:hAnsi="宋体" w:eastAsia="宋体" w:cs="宋体"/>
          <w:color w:val="auto"/>
          <w:kern w:val="0"/>
          <w:sz w:val="32"/>
          <w:szCs w:val="32"/>
          <w:highlight w:val="none"/>
          <w:lang w:val="en-US" w:eastAsia="zh-CN" w:bidi="ar-SA"/>
        </w:rPr>
        <w:t>签订日期：2026年  月   日</w:t>
      </w:r>
    </w:p>
    <w:p w14:paraId="31DBDF91">
      <w:pPr>
        <w:spacing w:before="340" w:after="330"/>
        <w:ind w:firstLine="840" w:firstLineChars="300"/>
        <w:jc w:val="left"/>
        <w:outlineLvl w:val="0"/>
        <w:rPr>
          <w:rFonts w:ascii="宋体" w:hAnsi="宋体" w:cs="宋体"/>
          <w:b/>
          <w:bCs/>
          <w:color w:val="auto"/>
          <w:kern w:val="44"/>
          <w:sz w:val="30"/>
          <w:szCs w:val="30"/>
          <w:highlight w:val="none"/>
        </w:rPr>
        <w:sectPr>
          <w:pgSz w:w="11905" w:h="16838"/>
          <w:pgMar w:top="1417" w:right="1417" w:bottom="1417" w:left="1417" w:header="850" w:footer="992" w:gutter="0"/>
          <w:cols w:space="720" w:num="1"/>
          <w:docGrid w:type="lines" w:linePitch="319" w:charSpace="0"/>
        </w:sectPr>
      </w:pPr>
      <w:bookmarkStart w:id="95" w:name="_Toc3245"/>
      <w:bookmarkStart w:id="96" w:name="_Toc26969"/>
      <w:bookmarkStart w:id="97" w:name="_Toc27851"/>
      <w:r>
        <w:rPr>
          <w:rFonts w:hint="eastAsia" w:ascii="宋体" w:hAnsi="宋体" w:eastAsia="宋体" w:cs="宋体"/>
          <w:color w:val="auto"/>
          <w:sz w:val="28"/>
          <w:szCs w:val="28"/>
          <w:highlight w:val="none"/>
          <w:lang w:val="zh-CN"/>
        </w:rPr>
        <w:t>签订地点：</w:t>
      </w:r>
      <w:bookmarkEnd w:id="95"/>
      <w:bookmarkEnd w:id="96"/>
      <w:r>
        <w:rPr>
          <w:rFonts w:hint="eastAsia" w:hAnsi="宋体" w:eastAsia="宋体" w:cs="宋体"/>
          <w:color w:val="auto"/>
          <w:sz w:val="32"/>
          <w:szCs w:val="32"/>
          <w:highlight w:val="none"/>
          <w:lang w:val="zh-CN"/>
        </w:rPr>
        <w:t>柳州市文昌路</w:t>
      </w:r>
      <w:r>
        <w:rPr>
          <w:rFonts w:hint="eastAsia" w:ascii="宋体" w:hAnsi="宋体" w:eastAsia="宋体" w:cs="宋体"/>
          <w:color w:val="auto"/>
          <w:sz w:val="32"/>
          <w:szCs w:val="32"/>
          <w:highlight w:val="none"/>
          <w:lang w:val="zh-CN"/>
        </w:rPr>
        <w:t>8</w:t>
      </w:r>
      <w:r>
        <w:rPr>
          <w:rFonts w:hint="eastAsia" w:hAnsi="宋体" w:eastAsia="宋体" w:cs="宋体"/>
          <w:color w:val="auto"/>
          <w:sz w:val="32"/>
          <w:szCs w:val="32"/>
          <w:highlight w:val="none"/>
          <w:lang w:val="zh-CN"/>
        </w:rPr>
        <w:t>号</w:t>
      </w:r>
      <w:bookmarkEnd w:id="97"/>
    </w:p>
    <w:p w14:paraId="5F004DCC">
      <w:pPr>
        <w:keepNext/>
        <w:keepLines/>
        <w:spacing w:line="360" w:lineRule="auto"/>
        <w:ind w:left="0" w:firstLine="0"/>
        <w:jc w:val="center"/>
        <w:outlineLvl w:val="0"/>
        <w:rPr>
          <w:rFonts w:ascii="宋体" w:hAnsi="宋体" w:eastAsia="宋体" w:cs="宋体"/>
          <w:b/>
          <w:bCs/>
          <w:color w:val="auto"/>
          <w:kern w:val="44"/>
          <w:sz w:val="30"/>
          <w:szCs w:val="30"/>
          <w:highlight w:val="none"/>
        </w:rPr>
      </w:pPr>
      <w:bookmarkStart w:id="98" w:name="_Toc31042"/>
      <w:bookmarkStart w:id="99" w:name="_Toc17663"/>
      <w:bookmarkStart w:id="100" w:name="_Toc14029"/>
      <w:r>
        <w:rPr>
          <w:rFonts w:hint="eastAsia" w:ascii="宋体" w:hAnsi="宋体" w:eastAsia="宋体" w:cs="宋体"/>
          <w:b/>
          <w:bCs/>
          <w:color w:val="auto"/>
          <w:kern w:val="44"/>
          <w:sz w:val="30"/>
          <w:szCs w:val="30"/>
          <w:highlight w:val="none"/>
        </w:rPr>
        <w:t>第一部分 合同协议书</w:t>
      </w:r>
      <w:bookmarkEnd w:id="85"/>
      <w:bookmarkEnd w:id="86"/>
      <w:bookmarkEnd w:id="87"/>
      <w:bookmarkEnd w:id="88"/>
      <w:bookmarkEnd w:id="89"/>
      <w:bookmarkEnd w:id="90"/>
      <w:bookmarkEnd w:id="91"/>
      <w:bookmarkEnd w:id="92"/>
      <w:bookmarkEnd w:id="98"/>
      <w:bookmarkEnd w:id="99"/>
      <w:bookmarkEnd w:id="100"/>
    </w:p>
    <w:p w14:paraId="7126DE6D">
      <w:pPr>
        <w:spacing w:line="240" w:lineRule="auto"/>
        <w:ind w:left="0" w:firstLine="0"/>
        <w:rPr>
          <w:rFonts w:eastAsia="宋体"/>
          <w:color w:val="auto"/>
          <w:highlight w:val="none"/>
        </w:rPr>
      </w:pPr>
    </w:p>
    <w:p w14:paraId="1EEEB7BA">
      <w:pPr>
        <w:spacing w:line="360" w:lineRule="auto"/>
        <w:ind w:left="0" w:firstLine="0"/>
        <w:rPr>
          <w:rFonts w:ascii="宋体" w:hAnsi="宋体" w:eastAsia="宋体"/>
          <w:b/>
          <w:color w:val="auto"/>
          <w:szCs w:val="21"/>
          <w:highlight w:val="none"/>
          <w:u w:val="single"/>
        </w:rPr>
      </w:pPr>
      <w:r>
        <w:rPr>
          <w:rFonts w:hint="eastAsia" w:ascii="宋体" w:hAnsi="宋体" w:eastAsia="宋体"/>
          <w:b/>
          <w:color w:val="auto"/>
          <w:szCs w:val="21"/>
          <w:highlight w:val="none"/>
        </w:rPr>
        <w:t>发包人（全称）：</w:t>
      </w:r>
      <w:r>
        <w:rPr>
          <w:rFonts w:hint="eastAsia" w:ascii="宋体" w:hAnsi="宋体" w:eastAsia="宋体" w:cs="宋体"/>
          <w:b/>
          <w:color w:val="auto"/>
          <w:szCs w:val="21"/>
          <w:highlight w:val="none"/>
          <w:u w:val="single"/>
        </w:rPr>
        <w:t xml:space="preserve">    柳州市人民医院  </w:t>
      </w:r>
    </w:p>
    <w:p w14:paraId="3A2424F2">
      <w:pPr>
        <w:spacing w:line="240" w:lineRule="auto"/>
        <w:ind w:left="0" w:firstLine="0"/>
        <w:rPr>
          <w:rFonts w:ascii="宋体" w:hAnsi="宋体" w:eastAsia="宋体"/>
          <w:b/>
          <w:color w:val="auto"/>
          <w:szCs w:val="21"/>
          <w:highlight w:val="none"/>
          <w:u w:val="single"/>
        </w:rPr>
      </w:pPr>
      <w:r>
        <w:rPr>
          <w:rFonts w:hint="eastAsia" w:ascii="宋体" w:hAnsi="宋体" w:eastAsia="宋体"/>
          <w:b/>
          <w:color w:val="auto"/>
          <w:szCs w:val="21"/>
          <w:highlight w:val="none"/>
        </w:rPr>
        <w:t>承包人（全称）：</w:t>
      </w:r>
      <w:r>
        <w:rPr>
          <w:rFonts w:hint="eastAsia" w:ascii="宋体" w:hAnsi="宋体" w:eastAsia="宋体" w:cs="宋体"/>
          <w:b/>
          <w:color w:val="auto"/>
          <w:szCs w:val="21"/>
          <w:highlight w:val="none"/>
          <w:u w:val="single"/>
        </w:rPr>
        <w:t xml:space="preserve">    </w:t>
      </w:r>
      <w:r>
        <w:rPr>
          <w:rFonts w:hint="eastAsia" w:ascii="宋体" w:hAnsi="宋体" w:cs="宋体"/>
          <w:b/>
          <w:color w:val="auto"/>
          <w:szCs w:val="21"/>
          <w:highlight w:val="none"/>
          <w:u w:val="single"/>
          <w:lang w:val="en-US" w:eastAsia="zh-CN"/>
        </w:rPr>
        <w:t xml:space="preserve">      </w:t>
      </w:r>
      <w:r>
        <w:rPr>
          <w:rFonts w:hint="eastAsia" w:ascii="宋体" w:hAnsi="宋体" w:eastAsia="宋体" w:cs="宋体"/>
          <w:b/>
          <w:color w:val="auto"/>
          <w:szCs w:val="21"/>
          <w:highlight w:val="none"/>
          <w:u w:val="single"/>
        </w:rPr>
        <w:t xml:space="preserve"> </w:t>
      </w:r>
    </w:p>
    <w:p w14:paraId="6CF0DDCB">
      <w:pPr>
        <w:spacing w:line="240" w:lineRule="auto"/>
        <w:ind w:left="0" w:firstLine="0"/>
        <w:rPr>
          <w:rFonts w:eastAsia="宋体"/>
          <w:color w:val="auto"/>
          <w:highlight w:val="none"/>
        </w:rPr>
      </w:pPr>
    </w:p>
    <w:p w14:paraId="09AF9F7D">
      <w:pPr>
        <w:snapToGrid w:val="0"/>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根据《中华人民共和国民法典》、《中华人民共和国建筑法》及有关法律规定，遵循平等、自愿、公平和诚实信用的原则，双方就</w:t>
      </w:r>
      <w:r>
        <w:rPr>
          <w:rFonts w:hint="eastAsia" w:ascii="宋体" w:hAnsi="宋体" w:cs="宋体"/>
          <w:b/>
          <w:bCs/>
          <w:color w:val="auto"/>
          <w:szCs w:val="21"/>
          <w:highlight w:val="none"/>
          <w:u w:val="single"/>
          <w:lang w:eastAsia="zh-CN"/>
        </w:rPr>
        <w:t>柳州市人民医院眼科手术室装修改造工程</w:t>
      </w:r>
      <w:r>
        <w:rPr>
          <w:rFonts w:hint="eastAsia" w:ascii="宋体" w:hAnsi="宋体" w:eastAsia="宋体" w:cs="宋体"/>
          <w:color w:val="auto"/>
          <w:szCs w:val="21"/>
          <w:highlight w:val="none"/>
        </w:rPr>
        <w:t>施工及有关事项协商一致共同达成如下协议：</w:t>
      </w:r>
    </w:p>
    <w:p w14:paraId="20993D9F">
      <w:pPr>
        <w:spacing w:line="400" w:lineRule="exact"/>
        <w:ind w:left="0" w:firstLine="420" w:firstLineChars="200"/>
        <w:outlineLvl w:val="0"/>
        <w:rPr>
          <w:rFonts w:ascii="宋体" w:hAnsi="宋体" w:eastAsia="宋体" w:cs="宋体"/>
          <w:color w:val="auto"/>
          <w:highlight w:val="none"/>
        </w:rPr>
      </w:pPr>
      <w:bookmarkStart w:id="101" w:name="_Toc14635"/>
      <w:bookmarkStart w:id="102" w:name="_Toc22522"/>
      <w:bookmarkStart w:id="103" w:name="_Toc10579"/>
      <w:bookmarkStart w:id="104" w:name="_Toc9672"/>
      <w:r>
        <w:rPr>
          <w:rFonts w:hint="eastAsia" w:ascii="宋体" w:hAnsi="宋体" w:eastAsia="宋体" w:cs="宋体"/>
          <w:color w:val="auto"/>
          <w:highlight w:val="none"/>
        </w:rPr>
        <w:t>一、工程概况</w:t>
      </w:r>
      <w:bookmarkEnd w:id="101"/>
      <w:bookmarkEnd w:id="102"/>
      <w:bookmarkEnd w:id="103"/>
      <w:bookmarkEnd w:id="104"/>
    </w:p>
    <w:p w14:paraId="01B04D7B">
      <w:pPr>
        <w:snapToGrid w:val="0"/>
        <w:spacing w:line="400" w:lineRule="exact"/>
        <w:ind w:left="0" w:firstLine="420" w:firstLineChars="200"/>
        <w:rPr>
          <w:rFonts w:ascii="宋体" w:hAnsi="宋体" w:eastAsia="宋体" w:cs="宋体"/>
          <w:color w:val="auto"/>
          <w:szCs w:val="21"/>
          <w:highlight w:val="none"/>
          <w:u w:val="single"/>
        </w:rPr>
      </w:pPr>
      <w:r>
        <w:rPr>
          <w:rFonts w:hint="eastAsia" w:ascii="宋体" w:hAnsi="宋体" w:eastAsia="宋体" w:cs="宋体"/>
          <w:bCs/>
          <w:color w:val="auto"/>
          <w:szCs w:val="21"/>
          <w:highlight w:val="none"/>
        </w:rPr>
        <w:t>1.工程名称</w:t>
      </w:r>
      <w:r>
        <w:rPr>
          <w:rFonts w:hint="eastAsia" w:ascii="宋体" w:hAnsi="宋体" w:eastAsia="宋体" w:cs="宋体"/>
          <w:color w:val="auto"/>
          <w:szCs w:val="21"/>
          <w:highlight w:val="none"/>
        </w:rPr>
        <w:t>：</w:t>
      </w:r>
      <w:r>
        <w:rPr>
          <w:rFonts w:hint="eastAsia" w:ascii="宋体" w:hAnsi="宋体" w:cs="宋体"/>
          <w:b/>
          <w:bCs/>
          <w:color w:val="auto"/>
          <w:szCs w:val="21"/>
          <w:highlight w:val="none"/>
          <w:u w:val="single"/>
          <w:lang w:eastAsia="zh-CN"/>
        </w:rPr>
        <w:t>柳州市人民医院眼科手术室装修改造工程</w:t>
      </w:r>
      <w:r>
        <w:rPr>
          <w:rFonts w:hint="eastAsia" w:ascii="宋体" w:hAnsi="宋体" w:eastAsia="宋体" w:cs="宋体"/>
          <w:color w:val="auto"/>
          <w:szCs w:val="21"/>
          <w:highlight w:val="none"/>
        </w:rPr>
        <w:t>。</w:t>
      </w:r>
    </w:p>
    <w:p w14:paraId="2AF353B0">
      <w:pPr>
        <w:snapToGrid w:val="0"/>
        <w:spacing w:line="400" w:lineRule="exact"/>
        <w:ind w:left="0"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2.工程地点：</w:t>
      </w:r>
      <w:r>
        <w:rPr>
          <w:rFonts w:hint="eastAsia" w:asciiTheme="minorEastAsia" w:hAnsiTheme="minorEastAsia" w:eastAsiaTheme="minorEastAsia" w:cstheme="minorEastAsia"/>
          <w:sz w:val="24"/>
          <w:szCs w:val="24"/>
          <w:highlight w:val="none"/>
          <w:u w:val="single"/>
          <w:lang w:val="en-US" w:eastAsia="zh-CN"/>
        </w:rPr>
        <w:t>柳州市文昌路8号</w:t>
      </w:r>
      <w:r>
        <w:rPr>
          <w:rFonts w:hint="eastAsia" w:ascii="宋体" w:hAnsi="宋体" w:eastAsia="宋体" w:cs="宋体"/>
          <w:color w:val="auto"/>
          <w:szCs w:val="21"/>
          <w:highlight w:val="none"/>
        </w:rPr>
        <w:t>。</w:t>
      </w:r>
    </w:p>
    <w:p w14:paraId="53E36352">
      <w:pPr>
        <w:snapToGrid w:val="0"/>
        <w:spacing w:line="400" w:lineRule="exact"/>
        <w:ind w:left="0" w:firstLine="420" w:firstLineChars="200"/>
        <w:rPr>
          <w:rFonts w:ascii="宋体" w:hAnsi="宋体" w:eastAsia="宋体" w:cs="宋体"/>
          <w:bCs/>
          <w:color w:val="auto"/>
          <w:szCs w:val="21"/>
          <w:highlight w:val="none"/>
          <w:u w:val="single"/>
        </w:rPr>
      </w:pPr>
      <w:r>
        <w:rPr>
          <w:rFonts w:hint="eastAsia" w:ascii="宋体" w:hAnsi="宋体" w:eastAsia="宋体" w:cs="宋体"/>
          <w:bCs/>
          <w:color w:val="auto"/>
          <w:szCs w:val="21"/>
          <w:highlight w:val="none"/>
        </w:rPr>
        <w:t>3.工程立项批准文号：</w:t>
      </w:r>
      <w:r>
        <w:rPr>
          <w:rFonts w:hint="eastAsia" w:ascii="宋体" w:hAnsi="宋体" w:eastAsia="宋体" w:cs="宋体"/>
          <w:b/>
          <w:bCs w:val="0"/>
          <w:color w:val="auto"/>
          <w:szCs w:val="21"/>
          <w:highlight w:val="none"/>
          <w:u w:val="single"/>
          <w:lang w:val="en-US" w:eastAsia="zh-CN"/>
        </w:rPr>
        <w:t xml:space="preserve">      </w:t>
      </w:r>
      <w:r>
        <w:rPr>
          <w:rFonts w:hint="eastAsia" w:ascii="宋体" w:hAnsi="宋体" w:eastAsia="宋体" w:cs="宋体"/>
          <w:b/>
          <w:bCs w:val="0"/>
          <w:color w:val="auto"/>
          <w:szCs w:val="21"/>
          <w:highlight w:val="none"/>
          <w:u w:val="single"/>
        </w:rPr>
        <w:t>年</w:t>
      </w:r>
      <w:r>
        <w:rPr>
          <w:rFonts w:hint="eastAsia" w:ascii="宋体" w:hAnsi="宋体" w:eastAsia="宋体" w:cs="宋体"/>
          <w:b/>
          <w:bCs w:val="0"/>
          <w:color w:val="auto"/>
          <w:szCs w:val="21"/>
          <w:highlight w:val="none"/>
          <w:u w:val="single"/>
          <w:lang w:val="en-US" w:eastAsia="zh-CN"/>
        </w:rPr>
        <w:t xml:space="preserve">  </w:t>
      </w:r>
      <w:r>
        <w:rPr>
          <w:rFonts w:hint="eastAsia" w:ascii="宋体" w:hAnsi="宋体" w:eastAsia="宋体" w:cs="宋体"/>
          <w:b/>
          <w:bCs w:val="0"/>
          <w:color w:val="auto"/>
          <w:szCs w:val="21"/>
          <w:highlight w:val="none"/>
          <w:u w:val="single"/>
        </w:rPr>
        <w:t>月</w:t>
      </w:r>
      <w:r>
        <w:rPr>
          <w:rFonts w:hint="eastAsia" w:ascii="宋体" w:hAnsi="宋体" w:eastAsia="宋体" w:cs="宋体"/>
          <w:b/>
          <w:bCs w:val="0"/>
          <w:color w:val="auto"/>
          <w:szCs w:val="21"/>
          <w:highlight w:val="none"/>
          <w:u w:val="single"/>
          <w:lang w:val="en-US" w:eastAsia="zh-CN"/>
        </w:rPr>
        <w:t xml:space="preserve">  </w:t>
      </w:r>
      <w:r>
        <w:rPr>
          <w:rFonts w:hint="eastAsia" w:ascii="宋体" w:hAnsi="宋体" w:eastAsia="宋体" w:cs="宋体"/>
          <w:b/>
          <w:bCs w:val="0"/>
          <w:color w:val="auto"/>
          <w:szCs w:val="21"/>
          <w:highlight w:val="none"/>
          <w:u w:val="single"/>
        </w:rPr>
        <w:t>日第</w:t>
      </w:r>
      <w:r>
        <w:rPr>
          <w:rFonts w:hint="eastAsia" w:ascii="宋体" w:hAnsi="宋体" w:eastAsia="宋体" w:cs="宋体"/>
          <w:b/>
          <w:bCs w:val="0"/>
          <w:color w:val="auto"/>
          <w:szCs w:val="21"/>
          <w:highlight w:val="none"/>
          <w:u w:val="single"/>
          <w:lang w:val="en-US" w:eastAsia="zh-CN"/>
        </w:rPr>
        <w:t xml:space="preserve">    </w:t>
      </w:r>
      <w:r>
        <w:rPr>
          <w:rFonts w:hint="eastAsia" w:ascii="宋体" w:hAnsi="宋体" w:eastAsia="宋体" w:cs="宋体"/>
          <w:b/>
          <w:bCs w:val="0"/>
          <w:color w:val="auto"/>
          <w:szCs w:val="21"/>
          <w:highlight w:val="none"/>
          <w:u w:val="single"/>
        </w:rPr>
        <w:t>次院长办公会纪要</w:t>
      </w:r>
      <w:r>
        <w:rPr>
          <w:rFonts w:hint="eastAsia" w:ascii="宋体" w:hAnsi="宋体" w:eastAsia="宋体" w:cs="宋体"/>
          <w:b/>
          <w:bCs w:val="0"/>
          <w:color w:val="auto"/>
          <w:kern w:val="0"/>
          <w:sz w:val="21"/>
          <w:szCs w:val="21"/>
          <w:highlight w:val="none"/>
          <w:u w:val="single"/>
          <w:lang w:val="en-US" w:eastAsia="zh-CN" w:bidi="ar"/>
        </w:rPr>
        <w:t>。</w:t>
      </w:r>
      <w:r>
        <w:rPr>
          <w:rFonts w:ascii="宋体" w:hAnsi="宋体" w:eastAsia="宋体" w:cs="宋体"/>
          <w:b/>
          <w:bCs w:val="0"/>
          <w:color w:val="auto"/>
          <w:kern w:val="0"/>
          <w:sz w:val="21"/>
          <w:szCs w:val="21"/>
          <w:highlight w:val="none"/>
          <w:u w:val="single"/>
          <w:lang w:val="en-US" w:eastAsia="zh-CN" w:bidi="ar"/>
        </w:rPr>
        <w:t xml:space="preserve"> </w:t>
      </w:r>
    </w:p>
    <w:p w14:paraId="364FA983">
      <w:pPr>
        <w:snapToGrid w:val="0"/>
        <w:spacing w:line="400" w:lineRule="exact"/>
        <w:ind w:left="0"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4.资金来源：</w:t>
      </w:r>
      <w:r>
        <w:rPr>
          <w:rFonts w:hint="eastAsia" w:ascii="宋体" w:hAnsi="宋体" w:eastAsia="宋体" w:cs="宋体"/>
          <w:color w:val="auto"/>
          <w:szCs w:val="21"/>
          <w:highlight w:val="none"/>
          <w:u w:val="single"/>
        </w:rPr>
        <w:t>发包人自筹</w:t>
      </w:r>
      <w:r>
        <w:rPr>
          <w:rFonts w:hint="eastAsia" w:ascii="宋体" w:hAnsi="宋体" w:eastAsia="宋体" w:cs="宋体"/>
          <w:bCs/>
          <w:color w:val="auto"/>
          <w:szCs w:val="21"/>
          <w:highlight w:val="none"/>
        </w:rPr>
        <w:t>。</w:t>
      </w:r>
    </w:p>
    <w:p w14:paraId="0347105C">
      <w:pPr>
        <w:snapToGrid w:val="0"/>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bCs/>
          <w:color w:val="auto"/>
          <w:szCs w:val="21"/>
          <w:highlight w:val="none"/>
        </w:rPr>
        <w:t>5.工程承包范围：</w:t>
      </w:r>
      <w:r>
        <w:rPr>
          <w:rFonts w:hint="eastAsia" w:ascii="宋体" w:hAnsi="宋体" w:eastAsia="宋体" w:cs="宋体"/>
          <w:color w:val="auto"/>
          <w:szCs w:val="21"/>
          <w:highlight w:val="none"/>
          <w:u w:val="single"/>
        </w:rPr>
        <w:t>详见发包人提供的施工图纸及工程量清单</w:t>
      </w:r>
      <w:r>
        <w:rPr>
          <w:rFonts w:hint="eastAsia" w:ascii="宋体" w:hAnsi="宋体" w:eastAsia="宋体" w:cs="宋体"/>
          <w:color w:val="auto"/>
          <w:szCs w:val="21"/>
          <w:highlight w:val="none"/>
        </w:rPr>
        <w:t>。</w:t>
      </w:r>
    </w:p>
    <w:p w14:paraId="1C4C3758">
      <w:pPr>
        <w:spacing w:line="400" w:lineRule="exact"/>
        <w:ind w:left="0" w:firstLine="420" w:firstLineChars="200"/>
        <w:outlineLvl w:val="0"/>
        <w:rPr>
          <w:rFonts w:ascii="宋体" w:hAnsi="宋体" w:eastAsia="宋体" w:cs="宋体"/>
          <w:color w:val="auto"/>
          <w:highlight w:val="none"/>
        </w:rPr>
      </w:pPr>
      <w:bookmarkStart w:id="105" w:name="_Toc5247"/>
      <w:bookmarkStart w:id="106" w:name="_Toc26667"/>
      <w:bookmarkStart w:id="107" w:name="_Toc20980"/>
      <w:bookmarkStart w:id="108" w:name="_Toc20826"/>
      <w:r>
        <w:rPr>
          <w:rFonts w:hint="eastAsia" w:ascii="宋体" w:hAnsi="宋体" w:eastAsia="宋体" w:cs="宋体"/>
          <w:color w:val="auto"/>
          <w:highlight w:val="none"/>
        </w:rPr>
        <w:t>二、合同工期</w:t>
      </w:r>
      <w:bookmarkEnd w:id="105"/>
      <w:bookmarkEnd w:id="106"/>
      <w:bookmarkEnd w:id="107"/>
      <w:bookmarkEnd w:id="108"/>
    </w:p>
    <w:p w14:paraId="218C0EE1">
      <w:pPr>
        <w:snapToGrid w:val="0"/>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计划开工日期：</w:t>
      </w:r>
      <w:r>
        <w:rPr>
          <w:rFonts w:hint="eastAsia" w:ascii="宋体" w:hAnsi="宋体" w:eastAsia="宋体" w:cs="宋体"/>
          <w:color w:val="auto"/>
          <w:szCs w:val="21"/>
          <w:highlight w:val="none"/>
          <w:u w:val="single"/>
        </w:rPr>
        <w:t>2026年  月  日</w:t>
      </w:r>
      <w:r>
        <w:rPr>
          <w:rFonts w:hint="eastAsia" w:ascii="宋体" w:hAnsi="宋体" w:eastAsia="宋体" w:cs="宋体"/>
          <w:color w:val="auto"/>
          <w:szCs w:val="21"/>
          <w:highlight w:val="none"/>
        </w:rPr>
        <w:t>。</w:t>
      </w:r>
    </w:p>
    <w:p w14:paraId="2AE317DE">
      <w:pPr>
        <w:snapToGrid w:val="0"/>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计划竣工日期：</w:t>
      </w:r>
      <w:r>
        <w:rPr>
          <w:rFonts w:hint="eastAsia" w:ascii="宋体" w:hAnsi="宋体" w:eastAsia="宋体" w:cs="宋体"/>
          <w:color w:val="auto"/>
          <w:szCs w:val="21"/>
          <w:highlight w:val="none"/>
          <w:u w:val="single"/>
        </w:rPr>
        <w:t>2026年  月  日</w:t>
      </w:r>
      <w:r>
        <w:rPr>
          <w:rFonts w:hint="eastAsia" w:ascii="宋体" w:hAnsi="宋体" w:eastAsia="宋体" w:cs="宋体"/>
          <w:color w:val="auto"/>
          <w:szCs w:val="21"/>
          <w:highlight w:val="none"/>
        </w:rPr>
        <w:t>。</w:t>
      </w:r>
    </w:p>
    <w:p w14:paraId="144916A0">
      <w:pPr>
        <w:snapToGrid w:val="0"/>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工期总日历天数：</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天。工期总日历天数与根据前述计划开竣工日期计算的工期天数不一致的，以工期总日历天数为准。</w:t>
      </w:r>
    </w:p>
    <w:p w14:paraId="6A45CB45">
      <w:pPr>
        <w:spacing w:line="400" w:lineRule="exact"/>
        <w:ind w:left="0" w:firstLine="420" w:firstLineChars="200"/>
        <w:outlineLvl w:val="0"/>
        <w:rPr>
          <w:rFonts w:ascii="宋体" w:hAnsi="宋体" w:eastAsia="宋体" w:cs="宋体"/>
          <w:color w:val="auto"/>
          <w:highlight w:val="none"/>
        </w:rPr>
      </w:pPr>
      <w:bookmarkStart w:id="109" w:name="_Toc2678"/>
      <w:bookmarkStart w:id="110" w:name="_Toc27514"/>
      <w:bookmarkStart w:id="111" w:name="_Toc14554"/>
      <w:bookmarkStart w:id="112" w:name="_Toc458"/>
      <w:r>
        <w:rPr>
          <w:rFonts w:hint="eastAsia" w:ascii="宋体" w:hAnsi="宋体" w:eastAsia="宋体" w:cs="宋体"/>
          <w:color w:val="auto"/>
          <w:highlight w:val="none"/>
        </w:rPr>
        <w:t>三、质量标准：工程质量符合</w:t>
      </w:r>
      <w:r>
        <w:rPr>
          <w:rFonts w:hint="eastAsia" w:ascii="宋体" w:hAnsi="宋体" w:eastAsia="宋体" w:cs="宋体"/>
          <w:color w:val="auto"/>
          <w:highlight w:val="none"/>
          <w:u w:val="single"/>
        </w:rPr>
        <w:t>合格</w:t>
      </w:r>
      <w:r>
        <w:rPr>
          <w:rFonts w:hint="eastAsia" w:ascii="宋体" w:hAnsi="宋体" w:eastAsia="宋体" w:cs="宋体"/>
          <w:color w:val="auto"/>
          <w:highlight w:val="none"/>
        </w:rPr>
        <w:t>标准。</w:t>
      </w:r>
      <w:bookmarkEnd w:id="109"/>
      <w:bookmarkEnd w:id="110"/>
      <w:bookmarkEnd w:id="111"/>
      <w:bookmarkEnd w:id="112"/>
    </w:p>
    <w:p w14:paraId="115D3F6C">
      <w:pPr>
        <w:spacing w:line="400" w:lineRule="exact"/>
        <w:ind w:left="0" w:firstLine="420" w:firstLineChars="200"/>
        <w:outlineLvl w:val="0"/>
        <w:rPr>
          <w:rFonts w:ascii="宋体" w:hAnsi="宋体" w:eastAsia="宋体" w:cs="宋体"/>
          <w:color w:val="auto"/>
          <w:highlight w:val="none"/>
        </w:rPr>
      </w:pPr>
      <w:bookmarkStart w:id="113" w:name="_Toc17167"/>
      <w:bookmarkStart w:id="114" w:name="_Toc2727"/>
      <w:bookmarkStart w:id="115" w:name="_Toc13671"/>
      <w:bookmarkStart w:id="116" w:name="_Toc23316"/>
      <w:r>
        <w:rPr>
          <w:rFonts w:hint="eastAsia" w:ascii="宋体" w:hAnsi="宋体" w:eastAsia="宋体" w:cs="宋体"/>
          <w:color w:val="auto"/>
          <w:highlight w:val="none"/>
        </w:rPr>
        <w:t>四、签约合同价与合同价格形式</w:t>
      </w:r>
      <w:bookmarkEnd w:id="113"/>
      <w:bookmarkEnd w:id="114"/>
      <w:bookmarkEnd w:id="115"/>
      <w:bookmarkEnd w:id="116"/>
    </w:p>
    <w:p w14:paraId="6C3EBB1F">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 合同价为</w:t>
      </w:r>
      <w:r>
        <w:rPr>
          <w:rFonts w:hint="eastAsia" w:ascii="宋体" w:hAnsi="宋体" w:eastAsia="宋体" w:cs="宋体"/>
          <w:color w:val="auto"/>
          <w:szCs w:val="21"/>
          <w:highlight w:val="none"/>
          <w:u w:val="none"/>
        </w:rPr>
        <w:t>：</w:t>
      </w:r>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szCs w:val="21"/>
          <w:highlight w:val="none"/>
        </w:rPr>
        <w:t>；</w:t>
      </w:r>
    </w:p>
    <w:p w14:paraId="441C30D0">
      <w:pPr>
        <w:spacing w:line="400" w:lineRule="exact"/>
        <w:ind w:left="0" w:firstLine="420" w:firstLineChars="200"/>
        <w:rPr>
          <w:rFonts w:hint="default" w:ascii="宋体" w:hAnsi="宋体" w:eastAsia="宋体" w:cs="宋体"/>
          <w:color w:val="auto"/>
          <w:szCs w:val="21"/>
          <w:highlight w:val="none"/>
          <w:u w:val="single"/>
          <w:lang w:val="en-US" w:eastAsia="zh-CN"/>
        </w:rPr>
      </w:pPr>
      <w:r>
        <w:rPr>
          <w:rFonts w:hint="eastAsia" w:ascii="宋体" w:hAnsi="宋体" w:eastAsia="宋体" w:cs="宋体"/>
          <w:color w:val="auto"/>
          <w:szCs w:val="21"/>
          <w:highlight w:val="none"/>
        </w:rPr>
        <w:t>签约合同价为：</w:t>
      </w:r>
      <w:r>
        <w:rPr>
          <w:rFonts w:hint="eastAsia" w:ascii="宋体" w:hAnsi="宋体" w:cs="宋体"/>
          <w:color w:val="auto"/>
          <w:szCs w:val="21"/>
          <w:highlight w:val="none"/>
          <w:u w:val="single"/>
          <w:lang w:val="en-US" w:eastAsia="zh-CN"/>
        </w:rPr>
        <w:t xml:space="preserve">           </w:t>
      </w:r>
    </w:p>
    <w:p w14:paraId="5C30A84E">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其中：</w:t>
      </w:r>
    </w:p>
    <w:p w14:paraId="4C84BDC0">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（1）安全文明施工费：</w:t>
      </w:r>
    </w:p>
    <w:p w14:paraId="6B75650F">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人民币（大写）</w:t>
      </w:r>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szCs w:val="21"/>
          <w:highlight w:val="none"/>
        </w:rPr>
        <w:t>；</w:t>
      </w:r>
    </w:p>
    <w:p w14:paraId="30A15428">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（2）材料和工程设备暂估价金额：</w:t>
      </w:r>
    </w:p>
    <w:p w14:paraId="510CC17F">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人民币（大写）</w:t>
      </w:r>
      <w:r>
        <w:rPr>
          <w:rFonts w:hint="eastAsia" w:ascii="宋体" w:hAnsi="宋体" w:eastAsia="宋体" w:cs="宋体"/>
          <w:color w:val="auto"/>
          <w:szCs w:val="21"/>
          <w:highlight w:val="none"/>
          <w:u w:val="single"/>
        </w:rPr>
        <w:t xml:space="preserve">   /  </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  </w:t>
      </w:r>
      <w:r>
        <w:rPr>
          <w:rFonts w:hint="eastAsia" w:ascii="宋体" w:hAnsi="宋体" w:eastAsia="宋体" w:cs="宋体"/>
          <w:color w:val="auto"/>
          <w:szCs w:val="21"/>
          <w:highlight w:val="none"/>
        </w:rPr>
        <w:t>）；</w:t>
      </w:r>
    </w:p>
    <w:p w14:paraId="1491147B">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（3）专业工程暂估价金额：</w:t>
      </w:r>
    </w:p>
    <w:p w14:paraId="4C3C5392">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人民币（大写）</w:t>
      </w:r>
      <w:r>
        <w:rPr>
          <w:rFonts w:hint="eastAsia" w:ascii="宋体" w:hAnsi="宋体" w:eastAsia="宋体" w:cs="宋体"/>
          <w:color w:val="auto"/>
          <w:szCs w:val="21"/>
          <w:highlight w:val="none"/>
          <w:u w:val="single"/>
        </w:rPr>
        <w:t xml:space="preserve">   / </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6F8F97BA">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（4）安全生产责任保险费暂估价金额：</w:t>
      </w:r>
    </w:p>
    <w:p w14:paraId="2695754C">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人民币（大写）</w:t>
      </w:r>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szCs w:val="21"/>
          <w:highlight w:val="none"/>
        </w:rPr>
        <w:t>；</w:t>
      </w:r>
    </w:p>
    <w:p w14:paraId="0B2AAC13">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（5）暂列金额：</w:t>
      </w:r>
    </w:p>
    <w:p w14:paraId="560CF1B8">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人民币（大写）</w:t>
      </w:r>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szCs w:val="21"/>
          <w:highlight w:val="none"/>
        </w:rPr>
        <w:t>。</w:t>
      </w:r>
    </w:p>
    <w:p w14:paraId="57432DBA">
      <w:pPr>
        <w:snapToGrid w:val="0"/>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2.合同价格形式：</w:t>
      </w:r>
      <w:r>
        <w:rPr>
          <w:rFonts w:hint="eastAsia" w:ascii="宋体" w:hAnsi="宋体" w:eastAsia="宋体" w:cs="宋体"/>
          <w:color w:val="auto"/>
          <w:szCs w:val="21"/>
          <w:highlight w:val="none"/>
          <w:u w:val="single"/>
        </w:rPr>
        <w:t>固定单价合同</w:t>
      </w:r>
      <w:r>
        <w:rPr>
          <w:rFonts w:hint="eastAsia" w:ascii="宋体" w:hAnsi="宋体" w:eastAsia="宋体" w:cs="宋体"/>
          <w:color w:val="auto"/>
          <w:szCs w:val="21"/>
          <w:highlight w:val="none"/>
        </w:rPr>
        <w:t>。</w:t>
      </w:r>
    </w:p>
    <w:p w14:paraId="7D7961BE">
      <w:pPr>
        <w:spacing w:line="400" w:lineRule="exact"/>
        <w:ind w:left="0" w:firstLine="420" w:firstLineChars="200"/>
        <w:rPr>
          <w:rFonts w:ascii="宋体" w:hAnsi="宋体" w:eastAsia="宋体" w:cs="宋体"/>
          <w:color w:val="auto"/>
          <w:szCs w:val="21"/>
          <w:highlight w:val="none"/>
          <w:u w:val="single"/>
        </w:rPr>
      </w:pPr>
      <w:r>
        <w:rPr>
          <w:rFonts w:hint="eastAsia" w:ascii="宋体" w:hAnsi="宋体" w:eastAsia="宋体" w:cs="宋体"/>
          <w:color w:val="auto"/>
          <w:szCs w:val="21"/>
          <w:highlight w:val="none"/>
        </w:rPr>
        <w:t>3.工程款支付账户：</w:t>
      </w:r>
    </w:p>
    <w:p w14:paraId="3D83C1A0">
      <w:pPr>
        <w:widowControl/>
        <w:spacing w:line="400" w:lineRule="exact"/>
        <w:ind w:left="0" w:firstLine="420" w:firstLineChars="200"/>
        <w:jc w:val="left"/>
        <w:rPr>
          <w:rFonts w:hint="eastAsia" w:ascii="宋体" w:hAnsi="宋体" w:cs="宋体"/>
          <w:color w:val="auto"/>
          <w:szCs w:val="21"/>
          <w:highlight w:val="none"/>
          <w:u w:val="single"/>
          <w:lang w:val="en-US" w:eastAsia="zh-CN"/>
        </w:rPr>
      </w:pPr>
      <w:r>
        <w:rPr>
          <w:rFonts w:hint="eastAsia" w:ascii="宋体" w:hAnsi="宋体" w:cs="宋体"/>
          <w:color w:val="auto"/>
          <w:szCs w:val="21"/>
          <w:highlight w:val="none"/>
          <w:lang w:val="en-US" w:eastAsia="zh-CN"/>
        </w:rPr>
        <w:t>银行</w:t>
      </w:r>
      <w:r>
        <w:rPr>
          <w:rFonts w:hint="eastAsia" w:ascii="宋体" w:hAnsi="宋体" w:eastAsia="宋体" w:cs="宋体"/>
          <w:color w:val="auto"/>
          <w:szCs w:val="21"/>
          <w:highlight w:val="none"/>
        </w:rPr>
        <w:t>账号：</w:t>
      </w:r>
      <w:r>
        <w:rPr>
          <w:rFonts w:hint="eastAsia" w:ascii="宋体" w:hAnsi="宋体" w:cs="宋体"/>
          <w:color w:val="auto"/>
          <w:szCs w:val="21"/>
          <w:highlight w:val="none"/>
          <w:u w:val="single"/>
          <w:lang w:val="en-US" w:eastAsia="zh-CN"/>
        </w:rPr>
        <w:t xml:space="preserve">              </w:t>
      </w:r>
    </w:p>
    <w:p w14:paraId="2625F587">
      <w:pPr>
        <w:widowControl/>
        <w:spacing w:line="400" w:lineRule="exact"/>
        <w:ind w:left="0" w:firstLine="420" w:firstLineChars="200"/>
        <w:jc w:val="left"/>
        <w:rPr>
          <w:rFonts w:ascii="宋体" w:hAnsi="宋体" w:eastAsia="宋体" w:cs="宋体"/>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lang w:val="en-US" w:eastAsia="zh-CN" w:bidi="ar-SA"/>
        </w:rPr>
        <w:t>开户银行：</w:t>
      </w:r>
      <w:r>
        <w:rPr>
          <w:rFonts w:hint="eastAsia" w:ascii="宋体" w:hAnsi="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u w:val="single"/>
          <w:lang w:val="en-US" w:eastAsia="zh-CN" w:bidi="ar-SA"/>
        </w:rPr>
        <w:t xml:space="preserve"> </w:t>
      </w:r>
    </w:p>
    <w:p w14:paraId="21FBB8E0">
      <w:pPr>
        <w:spacing w:line="400" w:lineRule="exact"/>
        <w:ind w:left="0"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4.增值税计税方法</w:t>
      </w:r>
    </w:p>
    <w:p w14:paraId="785D6632">
      <w:pPr>
        <w:spacing w:line="400" w:lineRule="exact"/>
        <w:ind w:left="0"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sym w:font="Wingdings 2" w:char="0052"/>
      </w:r>
      <w:r>
        <w:rPr>
          <w:rFonts w:hint="eastAsia" w:ascii="宋体" w:hAnsi="宋体" w:eastAsia="宋体" w:cs="宋体"/>
          <w:bCs/>
          <w:color w:val="auto"/>
          <w:szCs w:val="21"/>
          <w:highlight w:val="none"/>
        </w:rPr>
        <w:t>一般计税法□简易计税法</w:t>
      </w:r>
    </w:p>
    <w:p w14:paraId="591805B8">
      <w:pPr>
        <w:spacing w:line="400" w:lineRule="exact"/>
        <w:ind w:left="0"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备注：按照《关于全面推开营业税改征增值税试点的通知》（财税〔2016〕36号）规定，营改增后，建设工程计价分为一般计税方法和简易计税方法。除清包工工程、甲供工程的建设工程可采用简易计税方法外，其他一般纳税人提供建筑服务的建设工程，采用一般计税方法。】</w:t>
      </w:r>
    </w:p>
    <w:p w14:paraId="25C96C6E">
      <w:pPr>
        <w:spacing w:line="400" w:lineRule="exact"/>
        <w:ind w:left="0"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5．人工、材料、机械市场价格形式</w:t>
      </w:r>
    </w:p>
    <w:p w14:paraId="299A14C8">
      <w:pPr>
        <w:spacing w:line="400" w:lineRule="exact"/>
        <w:ind w:left="0"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sym w:font="Wingdings 2" w:char="0052"/>
      </w:r>
      <w:r>
        <w:rPr>
          <w:rFonts w:hint="eastAsia" w:ascii="宋体" w:hAnsi="宋体" w:eastAsia="宋体" w:cs="宋体"/>
          <w:bCs/>
          <w:color w:val="auto"/>
          <w:szCs w:val="21"/>
          <w:highlight w:val="none"/>
        </w:rPr>
        <w:t>除税价格□含税价格</w:t>
      </w:r>
    </w:p>
    <w:p w14:paraId="3A7B7208">
      <w:pPr>
        <w:snapToGrid w:val="0"/>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bCs/>
          <w:color w:val="auto"/>
          <w:szCs w:val="21"/>
          <w:highlight w:val="none"/>
        </w:rPr>
        <w:t>【备注：按照《关于全面推开营业税改征增值税试点的通知》（财税〔2016〕36号）规定，增值税计税方法为一般计税方法的，人工、材料、机械市场价格形式采用除税价格；增值税计税方法为简易计税方法的，人工、材料、机械市场价格形式采用含税价格。除清包工工程、甲供工程的建设工程可采用简易计税方法外，其他一般纳税人提供建筑服务的建设工程，采用一般计税方法。】</w:t>
      </w:r>
    </w:p>
    <w:p w14:paraId="3A8BD2C1">
      <w:pPr>
        <w:spacing w:line="400" w:lineRule="exact"/>
        <w:ind w:left="0" w:firstLine="420" w:firstLineChars="200"/>
        <w:outlineLvl w:val="0"/>
        <w:rPr>
          <w:rFonts w:ascii="宋体" w:hAnsi="宋体" w:eastAsia="宋体" w:cs="宋体"/>
          <w:color w:val="auto"/>
          <w:szCs w:val="21"/>
          <w:highlight w:val="none"/>
        </w:rPr>
      </w:pPr>
      <w:bookmarkStart w:id="117" w:name="_Toc28829"/>
      <w:bookmarkStart w:id="118" w:name="_Toc29444"/>
      <w:bookmarkStart w:id="119" w:name="_Toc8230"/>
      <w:bookmarkStart w:id="120" w:name="_Toc18169"/>
      <w:r>
        <w:rPr>
          <w:rFonts w:hint="eastAsia" w:ascii="宋体" w:hAnsi="宋体" w:eastAsia="宋体" w:cs="宋体"/>
          <w:color w:val="auto"/>
          <w:szCs w:val="21"/>
          <w:highlight w:val="none"/>
        </w:rPr>
        <w:t>五、项目经理</w:t>
      </w:r>
      <w:bookmarkEnd w:id="117"/>
      <w:bookmarkEnd w:id="118"/>
      <w:bookmarkEnd w:id="119"/>
      <w:bookmarkEnd w:id="120"/>
    </w:p>
    <w:p w14:paraId="619419D9">
      <w:pPr>
        <w:spacing w:line="400" w:lineRule="exact"/>
        <w:ind w:left="0" w:firstLine="420" w:firstLineChars="200"/>
        <w:rPr>
          <w:rFonts w:hint="default" w:ascii="宋体" w:hAnsi="宋体" w:eastAsia="宋体" w:cs="宋体"/>
          <w:color w:val="auto"/>
          <w:szCs w:val="21"/>
          <w:highlight w:val="none"/>
          <w:u w:val="single"/>
          <w:lang w:val="en-US" w:eastAsia="zh-CN"/>
        </w:rPr>
      </w:pPr>
      <w:r>
        <w:rPr>
          <w:rFonts w:hint="eastAsia" w:ascii="宋体" w:hAnsi="宋体" w:eastAsia="宋体" w:cs="宋体"/>
          <w:color w:val="auto"/>
          <w:szCs w:val="21"/>
          <w:highlight w:val="none"/>
        </w:rPr>
        <w:t>承包人项目经理：</w:t>
      </w:r>
      <w:bookmarkStart w:id="121" w:name="_Toc31884"/>
      <w:r>
        <w:rPr>
          <w:rFonts w:hint="eastAsia" w:ascii="宋体" w:hAnsi="宋体" w:cs="宋体"/>
          <w:color w:val="auto"/>
          <w:szCs w:val="21"/>
          <w:highlight w:val="none"/>
          <w:u w:val="single"/>
          <w:lang w:val="en-US" w:eastAsia="zh-CN"/>
        </w:rPr>
        <w:t xml:space="preserve">            </w:t>
      </w:r>
    </w:p>
    <w:p w14:paraId="4548A06A">
      <w:pPr>
        <w:spacing w:line="400" w:lineRule="exact"/>
        <w:ind w:left="0" w:firstLine="420" w:firstLineChars="200"/>
        <w:rPr>
          <w:rFonts w:ascii="宋体" w:hAnsi="宋体" w:eastAsia="宋体" w:cs="宋体"/>
          <w:color w:val="auto"/>
          <w:highlight w:val="none"/>
        </w:rPr>
      </w:pPr>
      <w:r>
        <w:rPr>
          <w:rFonts w:hint="eastAsia" w:ascii="宋体" w:hAnsi="宋体" w:eastAsia="宋体" w:cs="宋体"/>
          <w:color w:val="auto"/>
          <w:szCs w:val="21"/>
          <w:highlight w:val="none"/>
        </w:rPr>
        <w:t>六、合同</w:t>
      </w:r>
      <w:r>
        <w:rPr>
          <w:rFonts w:hint="eastAsia" w:ascii="宋体" w:hAnsi="宋体" w:eastAsia="宋体" w:cs="宋体"/>
          <w:color w:val="auto"/>
          <w:highlight w:val="none"/>
        </w:rPr>
        <w:t>文件构成</w:t>
      </w:r>
      <w:bookmarkEnd w:id="121"/>
    </w:p>
    <w:p w14:paraId="450CA348">
      <w:pPr>
        <w:snapToGrid w:val="0"/>
        <w:spacing w:line="400" w:lineRule="exact"/>
        <w:ind w:left="0"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本协议书与下列文件一起构成合同文件：</w:t>
      </w:r>
    </w:p>
    <w:p w14:paraId="6F78B52B">
      <w:pPr>
        <w:autoSpaceDE w:val="0"/>
        <w:autoSpaceDN w:val="0"/>
        <w:adjustRightInd w:val="0"/>
        <w:snapToGrid w:val="0"/>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（1）成交通知书（如果有）；</w:t>
      </w:r>
    </w:p>
    <w:p w14:paraId="068E7DDA">
      <w:pPr>
        <w:autoSpaceDE w:val="0"/>
        <w:autoSpaceDN w:val="0"/>
        <w:adjustRightInd w:val="0"/>
        <w:snapToGrid w:val="0"/>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（2）磋商函及其附录（如果有）； </w:t>
      </w:r>
    </w:p>
    <w:p w14:paraId="2B10F356">
      <w:pPr>
        <w:autoSpaceDE w:val="0"/>
        <w:autoSpaceDN w:val="0"/>
        <w:adjustRightInd w:val="0"/>
        <w:snapToGrid w:val="0"/>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（3）专用合同条款及其附件；</w:t>
      </w:r>
    </w:p>
    <w:p w14:paraId="08085523">
      <w:pPr>
        <w:autoSpaceDE w:val="0"/>
        <w:autoSpaceDN w:val="0"/>
        <w:adjustRightInd w:val="0"/>
        <w:snapToGrid w:val="0"/>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（4）通用合同条款；</w:t>
      </w:r>
    </w:p>
    <w:p w14:paraId="7F3CA308">
      <w:pPr>
        <w:autoSpaceDE w:val="0"/>
        <w:autoSpaceDN w:val="0"/>
        <w:adjustRightInd w:val="0"/>
        <w:snapToGrid w:val="0"/>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（5）技术标准和要求；</w:t>
      </w:r>
    </w:p>
    <w:p w14:paraId="71631CAA">
      <w:pPr>
        <w:autoSpaceDE w:val="0"/>
        <w:autoSpaceDN w:val="0"/>
        <w:adjustRightInd w:val="0"/>
        <w:snapToGrid w:val="0"/>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（6）图纸；</w:t>
      </w:r>
    </w:p>
    <w:p w14:paraId="554FEC00">
      <w:pPr>
        <w:autoSpaceDE w:val="0"/>
        <w:autoSpaceDN w:val="0"/>
        <w:adjustRightInd w:val="0"/>
        <w:snapToGrid w:val="0"/>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（7）已标价工程量清单或预算书；</w:t>
      </w:r>
    </w:p>
    <w:p w14:paraId="55B4407C">
      <w:pPr>
        <w:autoSpaceDE w:val="0"/>
        <w:autoSpaceDN w:val="0"/>
        <w:adjustRightInd w:val="0"/>
        <w:snapToGrid w:val="0"/>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（8）其他合同文件。</w:t>
      </w:r>
    </w:p>
    <w:p w14:paraId="6B46736D">
      <w:pPr>
        <w:autoSpaceDE w:val="0"/>
        <w:autoSpaceDN w:val="0"/>
        <w:adjustRightInd w:val="0"/>
        <w:snapToGrid w:val="0"/>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在合同订立及履行过程中形成的与合同有关的文件均构成合同文件组成部分。</w:t>
      </w:r>
    </w:p>
    <w:p w14:paraId="1C8AA1E4">
      <w:pPr>
        <w:autoSpaceDE w:val="0"/>
        <w:autoSpaceDN w:val="0"/>
        <w:adjustRightInd w:val="0"/>
        <w:snapToGrid w:val="0"/>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上述各项合同文件包括合同当事人就该项合同文件所作出的补充和修改，属于同一类内容的文件，应以最新签署的为准。</w:t>
      </w:r>
    </w:p>
    <w:p w14:paraId="2805CDCB">
      <w:pPr>
        <w:spacing w:line="400" w:lineRule="exact"/>
        <w:ind w:left="0" w:firstLine="420" w:firstLineChars="200"/>
        <w:outlineLvl w:val="0"/>
        <w:rPr>
          <w:rFonts w:ascii="宋体" w:hAnsi="宋体" w:eastAsia="宋体" w:cs="宋体"/>
          <w:color w:val="auto"/>
          <w:highlight w:val="none"/>
        </w:rPr>
      </w:pPr>
      <w:bookmarkStart w:id="122" w:name="_Toc21503"/>
      <w:bookmarkStart w:id="123" w:name="_Toc31366"/>
      <w:bookmarkStart w:id="124" w:name="_Toc17485"/>
      <w:bookmarkStart w:id="125" w:name="_Toc7813"/>
      <w:r>
        <w:rPr>
          <w:rFonts w:hint="eastAsia" w:ascii="宋体" w:hAnsi="宋体" w:eastAsia="宋体" w:cs="宋体"/>
          <w:color w:val="auto"/>
          <w:highlight w:val="none"/>
        </w:rPr>
        <w:t>七、承诺</w:t>
      </w:r>
      <w:bookmarkEnd w:id="122"/>
      <w:bookmarkEnd w:id="123"/>
      <w:bookmarkEnd w:id="124"/>
      <w:bookmarkEnd w:id="125"/>
    </w:p>
    <w:p w14:paraId="5327E015">
      <w:pPr>
        <w:snapToGrid w:val="0"/>
        <w:spacing w:line="400" w:lineRule="exact"/>
        <w:ind w:left="0"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1.发包人承诺按照法律规定履行项目审批手续、筹集工程建设资金并按照合同约定的期限和方式支付合同价款。</w:t>
      </w:r>
    </w:p>
    <w:p w14:paraId="0055F410">
      <w:pPr>
        <w:snapToGrid w:val="0"/>
        <w:spacing w:line="400" w:lineRule="exact"/>
        <w:ind w:left="0"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2.承包人承诺按照法律规定及合同约定组织完成工程施工，确保工程质量和安全，不进行转包及违法分包，并在缺陷责任期及保修期内承担相应的工程维修责任。</w:t>
      </w:r>
    </w:p>
    <w:p w14:paraId="0940BC22">
      <w:pPr>
        <w:snapToGrid w:val="0"/>
        <w:spacing w:line="400" w:lineRule="exact"/>
        <w:ind w:left="0" w:firstLine="420" w:firstLineChars="200"/>
        <w:rPr>
          <w:rFonts w:hint="eastAsia" w:ascii="宋体" w:hAnsi="宋体" w:eastAsia="宋体" w:cs="宋体"/>
          <w:bCs/>
          <w:color w:val="auto"/>
          <w:szCs w:val="21"/>
          <w:highlight w:val="none"/>
          <w:lang w:val="en-US" w:eastAsia="zh-CN"/>
        </w:rPr>
      </w:pPr>
      <w:r>
        <w:rPr>
          <w:rFonts w:hint="eastAsia" w:ascii="宋体" w:hAnsi="宋体" w:cs="宋体"/>
          <w:bCs/>
          <w:color w:val="auto"/>
          <w:szCs w:val="21"/>
          <w:highlight w:val="none"/>
          <w:lang w:val="en-US" w:eastAsia="zh-CN"/>
        </w:rPr>
        <w:t>3.乙方必须承诺不从事商业贿赂活动，一旦被列入商业贿赂不良记录后，甲乙双方所签订的合同自动解除，乙方必须承担违约的相关责任。</w:t>
      </w:r>
    </w:p>
    <w:p w14:paraId="1590E09B">
      <w:pPr>
        <w:spacing w:line="400" w:lineRule="exact"/>
        <w:ind w:left="0" w:firstLine="420" w:firstLineChars="200"/>
        <w:outlineLvl w:val="0"/>
        <w:rPr>
          <w:rFonts w:ascii="宋体" w:hAnsi="宋体" w:eastAsia="宋体" w:cs="宋体"/>
          <w:color w:val="auto"/>
          <w:highlight w:val="none"/>
        </w:rPr>
      </w:pPr>
      <w:bookmarkStart w:id="126" w:name="_Toc4383"/>
      <w:bookmarkStart w:id="127" w:name="_Toc13109"/>
      <w:bookmarkStart w:id="128" w:name="_Toc2225"/>
      <w:bookmarkStart w:id="129" w:name="_Toc31601"/>
      <w:r>
        <w:rPr>
          <w:rFonts w:hint="eastAsia" w:ascii="宋体" w:hAnsi="宋体" w:eastAsia="宋体" w:cs="宋体"/>
          <w:color w:val="auto"/>
          <w:highlight w:val="none"/>
        </w:rPr>
        <w:t>八、词语含义</w:t>
      </w:r>
      <w:bookmarkEnd w:id="126"/>
      <w:bookmarkEnd w:id="127"/>
      <w:bookmarkEnd w:id="128"/>
      <w:bookmarkEnd w:id="129"/>
    </w:p>
    <w:p w14:paraId="639A97F1">
      <w:pPr>
        <w:snapToGrid w:val="0"/>
        <w:spacing w:line="400" w:lineRule="exact"/>
        <w:ind w:left="0"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本协议书中词语含义与第二部分通用合同条款中赋予的含义相同。</w:t>
      </w:r>
    </w:p>
    <w:p w14:paraId="2D4768E9">
      <w:pPr>
        <w:spacing w:line="400" w:lineRule="exact"/>
        <w:ind w:left="0" w:firstLine="420" w:firstLineChars="200"/>
        <w:outlineLvl w:val="0"/>
        <w:rPr>
          <w:rFonts w:ascii="宋体" w:hAnsi="宋体" w:eastAsia="宋体" w:cs="宋体"/>
          <w:color w:val="auto"/>
          <w:highlight w:val="none"/>
        </w:rPr>
      </w:pPr>
      <w:bookmarkStart w:id="130" w:name="_Toc22915"/>
      <w:bookmarkStart w:id="131" w:name="_Toc14462"/>
      <w:bookmarkStart w:id="132" w:name="_Toc13195"/>
      <w:bookmarkStart w:id="133" w:name="_Toc28586"/>
      <w:r>
        <w:rPr>
          <w:rFonts w:hint="eastAsia" w:ascii="宋体" w:hAnsi="宋体" w:eastAsia="宋体" w:cs="宋体"/>
          <w:color w:val="auto"/>
          <w:highlight w:val="none"/>
        </w:rPr>
        <w:t>九、签订时间</w:t>
      </w:r>
      <w:bookmarkEnd w:id="130"/>
      <w:bookmarkEnd w:id="131"/>
      <w:bookmarkEnd w:id="132"/>
      <w:bookmarkEnd w:id="133"/>
    </w:p>
    <w:p w14:paraId="078C6375">
      <w:pPr>
        <w:snapToGrid w:val="0"/>
        <w:spacing w:line="400" w:lineRule="exact"/>
        <w:ind w:left="0"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本合同于</w:t>
      </w:r>
      <w:r>
        <w:rPr>
          <w:rFonts w:hint="eastAsia" w:ascii="宋体" w:hAnsi="宋体" w:eastAsia="宋体" w:cs="宋体"/>
          <w:bCs/>
          <w:color w:val="auto"/>
          <w:szCs w:val="21"/>
          <w:highlight w:val="none"/>
          <w:u w:val="single"/>
        </w:rPr>
        <w:t>2026</w:t>
      </w:r>
      <w:r>
        <w:rPr>
          <w:rFonts w:hint="eastAsia" w:ascii="宋体" w:hAnsi="宋体" w:eastAsia="宋体" w:cs="宋体"/>
          <w:bCs/>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bCs/>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bCs/>
          <w:color w:val="auto"/>
          <w:szCs w:val="21"/>
          <w:highlight w:val="none"/>
        </w:rPr>
        <w:t>日签订。</w:t>
      </w:r>
    </w:p>
    <w:p w14:paraId="45839C2A">
      <w:pPr>
        <w:spacing w:line="400" w:lineRule="exact"/>
        <w:ind w:left="0" w:firstLine="420" w:firstLineChars="200"/>
        <w:outlineLvl w:val="0"/>
        <w:rPr>
          <w:rFonts w:ascii="宋体" w:hAnsi="宋体" w:eastAsia="宋体" w:cs="宋体"/>
          <w:color w:val="auto"/>
          <w:highlight w:val="none"/>
        </w:rPr>
      </w:pPr>
      <w:bookmarkStart w:id="134" w:name="_Toc20491"/>
      <w:bookmarkStart w:id="135" w:name="_Toc28892"/>
      <w:bookmarkStart w:id="136" w:name="_Toc15923"/>
      <w:bookmarkStart w:id="137" w:name="_Toc8834"/>
      <w:r>
        <w:rPr>
          <w:rFonts w:hint="eastAsia" w:ascii="宋体" w:hAnsi="宋体" w:eastAsia="宋体" w:cs="宋体"/>
          <w:color w:val="auto"/>
          <w:highlight w:val="none"/>
        </w:rPr>
        <w:t>十、签订地点</w:t>
      </w:r>
      <w:bookmarkEnd w:id="134"/>
      <w:bookmarkEnd w:id="135"/>
      <w:bookmarkEnd w:id="136"/>
      <w:bookmarkEnd w:id="137"/>
    </w:p>
    <w:p w14:paraId="21B6D483">
      <w:pPr>
        <w:snapToGrid w:val="0"/>
        <w:spacing w:line="400" w:lineRule="exact"/>
        <w:ind w:left="0"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本合同在</w:t>
      </w:r>
      <w:r>
        <w:rPr>
          <w:rFonts w:hint="eastAsia" w:ascii="宋体" w:hAnsi="宋体" w:eastAsia="宋体" w:cs="宋体"/>
          <w:bCs/>
          <w:color w:val="auto"/>
          <w:szCs w:val="21"/>
          <w:highlight w:val="none"/>
          <w:u w:val="single"/>
        </w:rPr>
        <w:t xml:space="preserve"> 柳州市人民医院 </w:t>
      </w:r>
      <w:r>
        <w:rPr>
          <w:rFonts w:hint="eastAsia" w:ascii="宋体" w:hAnsi="宋体" w:eastAsia="宋体" w:cs="宋体"/>
          <w:bCs/>
          <w:color w:val="auto"/>
          <w:szCs w:val="21"/>
          <w:highlight w:val="none"/>
        </w:rPr>
        <w:t>签订。</w:t>
      </w:r>
    </w:p>
    <w:p w14:paraId="45CE3A33">
      <w:pPr>
        <w:spacing w:line="400" w:lineRule="exact"/>
        <w:ind w:left="0" w:firstLine="420" w:firstLineChars="200"/>
        <w:outlineLvl w:val="0"/>
        <w:rPr>
          <w:rFonts w:ascii="宋体" w:hAnsi="宋体" w:eastAsia="宋体" w:cs="宋体"/>
          <w:color w:val="auto"/>
          <w:highlight w:val="none"/>
        </w:rPr>
      </w:pPr>
      <w:bookmarkStart w:id="138" w:name="_Toc22515"/>
      <w:bookmarkStart w:id="139" w:name="_Toc24326"/>
      <w:bookmarkStart w:id="140" w:name="_Toc29796"/>
      <w:bookmarkStart w:id="141" w:name="_Toc15903"/>
      <w:r>
        <w:rPr>
          <w:rFonts w:hint="eastAsia" w:ascii="宋体" w:hAnsi="宋体" w:eastAsia="宋体" w:cs="宋体"/>
          <w:color w:val="auto"/>
          <w:highlight w:val="none"/>
        </w:rPr>
        <w:t>十一、补充协议</w:t>
      </w:r>
      <w:bookmarkEnd w:id="138"/>
      <w:bookmarkEnd w:id="139"/>
      <w:bookmarkEnd w:id="140"/>
      <w:bookmarkEnd w:id="141"/>
    </w:p>
    <w:p w14:paraId="32515409">
      <w:pPr>
        <w:snapToGrid w:val="0"/>
        <w:spacing w:line="400" w:lineRule="exact"/>
        <w:ind w:left="0" w:firstLine="420" w:firstLineChars="200"/>
        <w:rPr>
          <w:rFonts w:ascii="宋体" w:hAnsi="宋体" w:eastAsia="宋体" w:cs="宋体"/>
          <w:b/>
          <w:bCs/>
          <w:color w:val="auto"/>
          <w:szCs w:val="21"/>
          <w:highlight w:val="none"/>
        </w:rPr>
      </w:pPr>
      <w:r>
        <w:rPr>
          <w:rFonts w:hint="eastAsia" w:ascii="宋体" w:hAnsi="宋体" w:eastAsia="宋体" w:cs="宋体"/>
          <w:bCs/>
          <w:color w:val="auto"/>
          <w:szCs w:val="21"/>
          <w:highlight w:val="none"/>
        </w:rPr>
        <w:t>合同未尽事宜，合同当事人另行签订补充协议。补充协议是合同的组成部分。</w:t>
      </w:r>
    </w:p>
    <w:p w14:paraId="2F8E8790">
      <w:pPr>
        <w:spacing w:line="400" w:lineRule="exact"/>
        <w:ind w:left="0" w:firstLine="420" w:firstLineChars="200"/>
        <w:outlineLvl w:val="0"/>
        <w:rPr>
          <w:rFonts w:ascii="宋体" w:hAnsi="宋体" w:eastAsia="宋体" w:cs="宋体"/>
          <w:color w:val="auto"/>
          <w:highlight w:val="none"/>
        </w:rPr>
      </w:pPr>
      <w:bookmarkStart w:id="142" w:name="_Toc12889"/>
      <w:bookmarkStart w:id="143" w:name="_Toc20180"/>
      <w:bookmarkStart w:id="144" w:name="_Toc11762"/>
      <w:bookmarkStart w:id="145" w:name="_Toc19596"/>
      <w:r>
        <w:rPr>
          <w:rFonts w:hint="eastAsia" w:ascii="宋体" w:hAnsi="宋体" w:eastAsia="宋体" w:cs="宋体"/>
          <w:color w:val="auto"/>
          <w:highlight w:val="none"/>
        </w:rPr>
        <w:t>十二、合同生效</w:t>
      </w:r>
      <w:bookmarkEnd w:id="142"/>
      <w:bookmarkEnd w:id="143"/>
      <w:bookmarkEnd w:id="144"/>
      <w:bookmarkEnd w:id="145"/>
    </w:p>
    <w:p w14:paraId="16A57AEC">
      <w:pPr>
        <w:snapToGrid w:val="0"/>
        <w:spacing w:line="400" w:lineRule="exact"/>
        <w:ind w:left="0"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本合同自</w:t>
      </w:r>
      <w:r>
        <w:rPr>
          <w:rFonts w:hint="eastAsia" w:ascii="宋体" w:hAnsi="宋体" w:eastAsia="宋体" w:cs="宋体"/>
          <w:bCs/>
          <w:color w:val="auto"/>
          <w:szCs w:val="21"/>
          <w:highlight w:val="none"/>
          <w:u w:val="single"/>
        </w:rPr>
        <w:t>双方签订之日</w:t>
      </w:r>
      <w:r>
        <w:rPr>
          <w:rFonts w:hint="eastAsia" w:ascii="宋体" w:hAnsi="宋体" w:eastAsia="宋体" w:cs="宋体"/>
          <w:bCs/>
          <w:color w:val="auto"/>
          <w:szCs w:val="21"/>
          <w:highlight w:val="none"/>
        </w:rPr>
        <w:t>起生效。</w:t>
      </w:r>
    </w:p>
    <w:p w14:paraId="790CEC93">
      <w:pPr>
        <w:spacing w:line="400" w:lineRule="exact"/>
        <w:ind w:left="0" w:firstLine="420" w:firstLineChars="200"/>
        <w:outlineLvl w:val="0"/>
        <w:rPr>
          <w:rFonts w:ascii="宋体" w:hAnsi="宋体" w:eastAsia="宋体" w:cs="宋体"/>
          <w:color w:val="auto"/>
          <w:highlight w:val="none"/>
        </w:rPr>
      </w:pPr>
      <w:bookmarkStart w:id="146" w:name="_Toc29569"/>
      <w:bookmarkStart w:id="147" w:name="_Toc4355"/>
      <w:bookmarkStart w:id="148" w:name="_Toc17509"/>
      <w:bookmarkStart w:id="149" w:name="_Toc3013"/>
      <w:r>
        <w:rPr>
          <w:rFonts w:hint="eastAsia" w:ascii="宋体" w:hAnsi="宋体" w:eastAsia="宋体" w:cs="宋体"/>
          <w:color w:val="auto"/>
          <w:highlight w:val="none"/>
        </w:rPr>
        <w:t>十三、合同份数</w:t>
      </w:r>
      <w:bookmarkEnd w:id="146"/>
      <w:bookmarkEnd w:id="147"/>
      <w:bookmarkEnd w:id="148"/>
      <w:bookmarkEnd w:id="149"/>
    </w:p>
    <w:p w14:paraId="5FB8D752">
      <w:pPr>
        <w:snapToGrid w:val="0"/>
        <w:spacing w:line="400" w:lineRule="exact"/>
        <w:ind w:left="0"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本合同一式</w:t>
      </w:r>
      <w:r>
        <w:rPr>
          <w:rFonts w:hint="eastAsia" w:ascii="宋体" w:hAnsi="宋体" w:eastAsia="宋体" w:cs="宋体"/>
          <w:bCs/>
          <w:color w:val="auto"/>
          <w:szCs w:val="21"/>
          <w:highlight w:val="none"/>
          <w:u w:val="single"/>
        </w:rPr>
        <w:t>陆</w:t>
      </w:r>
      <w:r>
        <w:rPr>
          <w:rFonts w:hint="eastAsia" w:ascii="宋体" w:hAnsi="宋体" w:eastAsia="宋体" w:cs="宋体"/>
          <w:bCs/>
          <w:color w:val="auto"/>
          <w:szCs w:val="21"/>
          <w:highlight w:val="none"/>
        </w:rPr>
        <w:t>份，均具有同等法律效力，发包人执</w:t>
      </w:r>
      <w:r>
        <w:rPr>
          <w:rFonts w:hint="eastAsia" w:ascii="宋体" w:hAnsi="宋体" w:eastAsia="宋体" w:cs="宋体"/>
          <w:bCs/>
          <w:color w:val="auto"/>
          <w:szCs w:val="21"/>
          <w:highlight w:val="none"/>
          <w:u w:val="single"/>
        </w:rPr>
        <w:t>肆</w:t>
      </w:r>
      <w:r>
        <w:rPr>
          <w:rFonts w:hint="eastAsia" w:ascii="宋体" w:hAnsi="宋体" w:eastAsia="宋体" w:cs="宋体"/>
          <w:bCs/>
          <w:color w:val="auto"/>
          <w:szCs w:val="21"/>
          <w:highlight w:val="none"/>
        </w:rPr>
        <w:t>份，承包人执</w:t>
      </w:r>
      <w:r>
        <w:rPr>
          <w:rFonts w:hint="eastAsia" w:ascii="宋体" w:hAnsi="宋体" w:eastAsia="宋体" w:cs="宋体"/>
          <w:bCs/>
          <w:color w:val="auto"/>
          <w:szCs w:val="21"/>
          <w:highlight w:val="none"/>
          <w:u w:val="single"/>
        </w:rPr>
        <w:t>贰</w:t>
      </w:r>
      <w:r>
        <w:rPr>
          <w:rFonts w:hint="eastAsia" w:ascii="宋体" w:hAnsi="宋体" w:eastAsia="宋体" w:cs="宋体"/>
          <w:bCs/>
          <w:color w:val="auto"/>
          <w:szCs w:val="21"/>
          <w:highlight w:val="none"/>
        </w:rPr>
        <w:t>份。</w:t>
      </w:r>
    </w:p>
    <w:p w14:paraId="12C2C88C">
      <w:pPr>
        <w:spacing w:line="400" w:lineRule="exact"/>
        <w:ind w:left="0" w:firstLine="420" w:firstLineChars="200"/>
        <w:rPr>
          <w:rFonts w:ascii="宋体" w:hAnsi="宋体" w:eastAsia="宋体" w:cs="宋体"/>
          <w:color w:val="auto"/>
          <w:szCs w:val="28"/>
          <w:highlight w:val="none"/>
        </w:rPr>
      </w:pPr>
    </w:p>
    <w:p w14:paraId="67226358">
      <w:pPr>
        <w:snapToGrid w:val="0"/>
        <w:spacing w:line="340" w:lineRule="exact"/>
        <w:ind w:left="6510" w:right="-160" w:rightChars="-76" w:hanging="6510" w:hangingChars="3100"/>
        <w:rPr>
          <w:rFonts w:ascii="宋体" w:hAnsi="宋体" w:eastAsia="宋体"/>
          <w:bCs/>
          <w:color w:val="auto"/>
          <w:szCs w:val="21"/>
          <w:highlight w:val="none"/>
        </w:rPr>
      </w:pPr>
      <w:r>
        <w:rPr>
          <w:rFonts w:hint="eastAsia" w:ascii="宋体" w:hAnsi="宋体" w:eastAsia="宋体"/>
          <w:color w:val="auto"/>
          <w:szCs w:val="21"/>
          <w:highlight w:val="none"/>
        </w:rPr>
        <w:t>发包人（公章）：</w:t>
      </w:r>
      <w:r>
        <w:rPr>
          <w:rFonts w:hint="eastAsia" w:ascii="宋体" w:hAnsi="宋体" w:eastAsia="宋体" w:cs="MingLiU_HKSCS"/>
          <w:color w:val="auto"/>
          <w:szCs w:val="21"/>
          <w:highlight w:val="none"/>
        </w:rPr>
        <w:t xml:space="preserve">柳州市人民医院                 </w:t>
      </w:r>
      <w:r>
        <w:rPr>
          <w:rFonts w:hint="eastAsia" w:ascii="宋体" w:hAnsi="宋体" w:eastAsia="宋体"/>
          <w:color w:val="auto"/>
          <w:szCs w:val="21"/>
          <w:highlight w:val="none"/>
        </w:rPr>
        <w:t>承包人（公章）：</w:t>
      </w:r>
    </w:p>
    <w:p w14:paraId="7CE71A01">
      <w:pPr>
        <w:snapToGrid w:val="0"/>
        <w:spacing w:line="340" w:lineRule="exact"/>
        <w:ind w:left="0" w:firstLine="0"/>
        <w:rPr>
          <w:rFonts w:ascii="宋体" w:hAnsi="宋体" w:eastAsia="宋体"/>
          <w:color w:val="auto"/>
          <w:szCs w:val="21"/>
          <w:highlight w:val="none"/>
        </w:rPr>
      </w:pPr>
      <w:r>
        <w:rPr>
          <w:rFonts w:hint="eastAsia" w:ascii="宋体" w:hAnsi="宋体" w:eastAsia="宋体"/>
          <w:color w:val="auto"/>
          <w:szCs w:val="21"/>
          <w:highlight w:val="none"/>
        </w:rPr>
        <w:t>法定代表人（签字或盖章）：                     法定代表人（签字或盖章）：</w:t>
      </w:r>
    </w:p>
    <w:p w14:paraId="11604457">
      <w:pPr>
        <w:tabs>
          <w:tab w:val="left" w:pos="3969"/>
        </w:tabs>
        <w:snapToGrid w:val="0"/>
        <w:spacing w:line="340" w:lineRule="exact"/>
        <w:ind w:left="0" w:firstLine="0"/>
        <w:rPr>
          <w:rFonts w:ascii="宋体" w:hAnsi="宋体" w:eastAsia="宋体"/>
          <w:color w:val="auto"/>
          <w:szCs w:val="21"/>
          <w:highlight w:val="none"/>
        </w:rPr>
      </w:pPr>
      <w:r>
        <w:rPr>
          <w:rFonts w:hint="eastAsia" w:ascii="宋体" w:hAnsi="宋体" w:eastAsia="宋体"/>
          <w:color w:val="auto"/>
          <w:szCs w:val="21"/>
          <w:highlight w:val="none"/>
        </w:rPr>
        <w:t xml:space="preserve">或委托代理人（签字或盖章）：                   </w:t>
      </w:r>
      <w:r>
        <w:rPr>
          <w:rFonts w:hint="eastAsia" w:ascii="宋体" w:hAnsi="宋体" w:eastAsia="宋体" w:cs="MingLiU_HKSCS"/>
          <w:color w:val="auto"/>
          <w:szCs w:val="21"/>
          <w:highlight w:val="none"/>
        </w:rPr>
        <w:t>或</w:t>
      </w:r>
      <w:r>
        <w:rPr>
          <w:rFonts w:hint="eastAsia" w:ascii="宋体" w:hAnsi="宋体" w:eastAsia="宋体"/>
          <w:color w:val="auto"/>
          <w:szCs w:val="21"/>
          <w:highlight w:val="none"/>
        </w:rPr>
        <w:t>委托代理人（签字或盖章）：</w:t>
      </w:r>
    </w:p>
    <w:p w14:paraId="302390EB">
      <w:pPr>
        <w:spacing w:after="120" w:line="240" w:lineRule="auto"/>
        <w:ind w:left="420" w:leftChars="200" w:firstLine="420" w:firstLineChars="200"/>
        <w:rPr>
          <w:rFonts w:eastAsia="宋体"/>
          <w:color w:val="auto"/>
          <w:szCs w:val="28"/>
          <w:highlight w:val="none"/>
        </w:rPr>
      </w:pPr>
    </w:p>
    <w:p w14:paraId="676CA2AA">
      <w:pPr>
        <w:spacing w:line="360" w:lineRule="auto"/>
        <w:ind w:left="0" w:firstLine="0"/>
        <w:jc w:val="left"/>
        <w:rPr>
          <w:rFonts w:ascii="宋体" w:hAnsi="宋体" w:eastAsia="宋体"/>
          <w:bCs/>
          <w:color w:val="auto"/>
          <w:szCs w:val="21"/>
          <w:highlight w:val="none"/>
        </w:rPr>
      </w:pPr>
      <w:r>
        <w:rPr>
          <w:rFonts w:hint="eastAsia" w:ascii="宋体" w:hAnsi="宋体" w:eastAsia="宋体"/>
          <w:color w:val="auto"/>
          <w:szCs w:val="21"/>
          <w:highlight w:val="none"/>
        </w:rPr>
        <w:t xml:space="preserve">地  址： </w:t>
      </w:r>
      <w:r>
        <w:rPr>
          <w:rFonts w:hint="eastAsia" w:ascii="宋体" w:hAnsi="宋体" w:eastAsia="宋体" w:cs="MingLiU_HKSCS"/>
          <w:color w:val="auto"/>
          <w:szCs w:val="21"/>
          <w:highlight w:val="none"/>
        </w:rPr>
        <w:t xml:space="preserve">柳州市文昌路8号                      </w:t>
      </w:r>
      <w:r>
        <w:rPr>
          <w:rFonts w:hint="eastAsia" w:ascii="宋体" w:hAnsi="宋体" w:eastAsia="宋体"/>
          <w:bCs/>
          <w:color w:val="auto"/>
          <w:szCs w:val="21"/>
          <w:highlight w:val="none"/>
        </w:rPr>
        <w:t>地  址：</w:t>
      </w:r>
    </w:p>
    <w:p w14:paraId="46D5E2F5">
      <w:pPr>
        <w:spacing w:line="360" w:lineRule="auto"/>
        <w:ind w:left="5460" w:hanging="5460" w:hangingChars="2600"/>
        <w:jc w:val="left"/>
        <w:rPr>
          <w:rFonts w:ascii="宋体" w:hAnsi="宋体" w:eastAsia="宋体"/>
          <w:bCs/>
          <w:color w:val="auto"/>
          <w:szCs w:val="21"/>
          <w:highlight w:val="none"/>
        </w:rPr>
      </w:pPr>
      <w:r>
        <w:rPr>
          <w:rFonts w:hint="eastAsia" w:ascii="宋体" w:hAnsi="宋体" w:eastAsia="宋体"/>
          <w:bCs/>
          <w:color w:val="auto"/>
          <w:szCs w:val="21"/>
          <w:highlight w:val="none"/>
        </w:rPr>
        <w:t>电  话：0772-2662078                           电  话：</w:t>
      </w:r>
    </w:p>
    <w:p w14:paraId="778D1F06">
      <w:pPr>
        <w:tabs>
          <w:tab w:val="left" w:pos="3828"/>
        </w:tabs>
        <w:snapToGrid w:val="0"/>
        <w:spacing w:line="360" w:lineRule="auto"/>
        <w:ind w:left="0" w:right="-328" w:rightChars="-156" w:firstLine="0"/>
        <w:rPr>
          <w:rFonts w:ascii="宋体" w:hAnsi="宋体" w:eastAsia="宋体" w:cs="宋体"/>
          <w:color w:val="auto"/>
          <w:szCs w:val="21"/>
          <w:highlight w:val="none"/>
        </w:rPr>
      </w:pPr>
      <w:r>
        <w:rPr>
          <w:rFonts w:hint="eastAsia" w:ascii="宋体" w:hAnsi="宋体" w:eastAsia="宋体"/>
          <w:bCs/>
          <w:color w:val="auto"/>
          <w:szCs w:val="21"/>
          <w:highlight w:val="none"/>
        </w:rPr>
        <w:t>传  真：0772-2662017                           传  真：</w:t>
      </w:r>
    </w:p>
    <w:p w14:paraId="31E25DBC">
      <w:pPr>
        <w:tabs>
          <w:tab w:val="left" w:pos="3828"/>
        </w:tabs>
        <w:snapToGrid w:val="0"/>
        <w:spacing w:line="360" w:lineRule="auto"/>
        <w:ind w:left="0" w:firstLine="0"/>
        <w:rPr>
          <w:rFonts w:ascii="宋体" w:hAnsi="宋体" w:eastAsia="宋体"/>
          <w:bCs/>
          <w:color w:val="auto"/>
          <w:szCs w:val="21"/>
          <w:highlight w:val="none"/>
        </w:rPr>
      </w:pPr>
      <w:r>
        <w:rPr>
          <w:rFonts w:hint="eastAsia" w:ascii="宋体" w:hAnsi="宋体" w:eastAsia="宋体"/>
          <w:bCs/>
          <w:color w:val="auto"/>
          <w:szCs w:val="21"/>
          <w:highlight w:val="none"/>
        </w:rPr>
        <w:t>电子信箱：</w:t>
      </w:r>
      <w:r>
        <w:rPr>
          <w:rFonts w:hint="eastAsia" w:ascii="宋体" w:hAnsi="宋体"/>
          <w:bCs/>
          <w:color w:val="auto"/>
          <w:szCs w:val="21"/>
          <w:highlight w:val="none"/>
          <w:lang w:val="en-US" w:eastAsia="zh-CN"/>
        </w:rPr>
        <w:t>lzsrmyyjjk2662090@163.</w:t>
      </w:r>
      <w:r>
        <w:rPr>
          <w:rFonts w:hint="eastAsia" w:ascii="宋体" w:hAnsi="宋体" w:eastAsia="宋体"/>
          <w:bCs/>
          <w:color w:val="auto"/>
          <w:szCs w:val="21"/>
          <w:highlight w:val="none"/>
        </w:rPr>
        <w:t>com            电子信箱：</w:t>
      </w:r>
    </w:p>
    <w:p w14:paraId="572A74A1">
      <w:pPr>
        <w:tabs>
          <w:tab w:val="left" w:pos="3828"/>
        </w:tabs>
        <w:snapToGrid w:val="0"/>
        <w:spacing w:line="360" w:lineRule="auto"/>
        <w:ind w:left="0" w:firstLine="0"/>
        <w:rPr>
          <w:rFonts w:ascii="宋体" w:hAnsi="宋体" w:eastAsia="宋体"/>
          <w:bCs/>
          <w:color w:val="auto"/>
          <w:spacing w:val="-20"/>
          <w:szCs w:val="21"/>
          <w:highlight w:val="none"/>
        </w:rPr>
      </w:pPr>
      <w:r>
        <w:rPr>
          <w:rFonts w:hint="eastAsia" w:ascii="宋体" w:hAnsi="宋体" w:eastAsia="宋体"/>
          <w:bCs/>
          <w:color w:val="auto"/>
          <w:szCs w:val="21"/>
          <w:highlight w:val="none"/>
        </w:rPr>
        <w:t>开户银行：中国建设银行柳州文昌路支行           开户银行：</w:t>
      </w:r>
    </w:p>
    <w:p w14:paraId="35652EA6">
      <w:pPr>
        <w:spacing w:line="360" w:lineRule="auto"/>
        <w:ind w:left="0" w:firstLine="0"/>
        <w:rPr>
          <w:rFonts w:ascii="宋体" w:hAnsi="宋体" w:eastAsia="宋体"/>
          <w:bCs/>
          <w:color w:val="auto"/>
          <w:szCs w:val="21"/>
          <w:highlight w:val="none"/>
        </w:rPr>
      </w:pPr>
      <w:r>
        <w:rPr>
          <w:rFonts w:hint="eastAsia" w:ascii="宋体" w:hAnsi="宋体" w:eastAsia="宋体"/>
          <w:bCs/>
          <w:color w:val="auto"/>
          <w:szCs w:val="21"/>
          <w:highlight w:val="none"/>
        </w:rPr>
        <w:t>账  号：45001625240050501610                   账  号：</w:t>
      </w:r>
    </w:p>
    <w:p w14:paraId="0685E5E5">
      <w:pPr>
        <w:snapToGrid w:val="0"/>
        <w:spacing w:line="360" w:lineRule="auto"/>
        <w:ind w:left="0" w:firstLine="0"/>
        <w:rPr>
          <w:rFonts w:ascii="宋体" w:hAnsi="宋体" w:eastAsia="宋体"/>
          <w:bCs/>
          <w:color w:val="auto"/>
          <w:szCs w:val="21"/>
          <w:highlight w:val="none"/>
        </w:rPr>
      </w:pPr>
      <w:r>
        <w:rPr>
          <w:rFonts w:hint="eastAsia" w:ascii="宋体" w:hAnsi="宋体" w:eastAsia="宋体"/>
          <w:bCs/>
          <w:color w:val="auto"/>
          <w:szCs w:val="21"/>
          <w:highlight w:val="none"/>
        </w:rPr>
        <w:t>邮政编码：545006                               邮政编码：</w:t>
      </w:r>
    </w:p>
    <w:p w14:paraId="0F86D2EF">
      <w:pPr>
        <w:widowControl w:val="0"/>
        <w:spacing w:after="0" w:line="400" w:lineRule="exact"/>
        <w:ind w:firstLine="420" w:firstLineChars="200"/>
        <w:jc w:val="both"/>
        <w:rPr>
          <w:rFonts w:ascii="宋体" w:hAnsi="宋体" w:eastAsia="宋体" w:cs="宋体"/>
          <w:color w:val="auto"/>
          <w:kern w:val="2"/>
          <w:sz w:val="21"/>
          <w:szCs w:val="24"/>
          <w:highlight w:val="none"/>
          <w:lang w:val="en-US" w:eastAsia="zh-CN" w:bidi="ar-SA"/>
        </w:rPr>
      </w:pPr>
    </w:p>
    <w:p w14:paraId="174A9D27">
      <w:pPr>
        <w:widowControl w:val="0"/>
        <w:spacing w:after="0" w:line="400" w:lineRule="exact"/>
        <w:ind w:left="0" w:leftChars="0" w:firstLine="420" w:firstLineChars="200"/>
        <w:jc w:val="both"/>
        <w:rPr>
          <w:rFonts w:ascii="宋体" w:hAnsi="宋体" w:eastAsia="宋体" w:cs="宋体"/>
          <w:color w:val="auto"/>
          <w:kern w:val="2"/>
          <w:sz w:val="21"/>
          <w:szCs w:val="28"/>
          <w:highlight w:val="none"/>
          <w:lang w:val="en-US" w:eastAsia="zh-CN" w:bidi="ar-SA"/>
        </w:rPr>
      </w:pPr>
    </w:p>
    <w:p w14:paraId="71E9EF55">
      <w:pPr>
        <w:widowControl w:val="0"/>
        <w:spacing w:after="120"/>
        <w:ind w:firstLine="210" w:firstLineChars="100"/>
        <w:jc w:val="both"/>
        <w:rPr>
          <w:rFonts w:ascii="Times New Roman" w:hAnsi="Times New Roman" w:eastAsia="宋体" w:cs="Times New Roman"/>
          <w:color w:val="auto"/>
          <w:kern w:val="2"/>
          <w:sz w:val="21"/>
          <w:szCs w:val="24"/>
          <w:highlight w:val="none"/>
          <w:lang w:val="en-US" w:eastAsia="zh-CN" w:bidi="ar-SA"/>
        </w:rPr>
      </w:pPr>
    </w:p>
    <w:p w14:paraId="57ACD2D7">
      <w:pPr>
        <w:widowControl w:val="0"/>
        <w:ind w:left="1680"/>
        <w:jc w:val="both"/>
        <w:rPr>
          <w:rFonts w:ascii="宋体" w:hAnsi="宋体" w:eastAsia="宋体" w:cs="宋体"/>
          <w:color w:val="auto"/>
          <w:kern w:val="2"/>
          <w:sz w:val="18"/>
          <w:szCs w:val="21"/>
          <w:highlight w:val="none"/>
          <w:lang w:val="en-US" w:eastAsia="zh-CN" w:bidi="ar-SA"/>
        </w:rPr>
      </w:pPr>
    </w:p>
    <w:p w14:paraId="784A674C">
      <w:pPr>
        <w:widowControl w:val="0"/>
        <w:ind w:left="1680"/>
        <w:jc w:val="both"/>
        <w:rPr>
          <w:rFonts w:ascii="宋体" w:hAnsi="宋体" w:eastAsia="宋体" w:cs="宋体"/>
          <w:color w:val="auto"/>
          <w:kern w:val="2"/>
          <w:sz w:val="18"/>
          <w:szCs w:val="21"/>
          <w:highlight w:val="none"/>
          <w:lang w:val="en-US" w:eastAsia="zh-CN" w:bidi="ar-SA"/>
        </w:rPr>
      </w:pPr>
    </w:p>
    <w:p w14:paraId="33958067">
      <w:pPr>
        <w:widowControl w:val="0"/>
        <w:ind w:left="1680"/>
        <w:jc w:val="both"/>
        <w:rPr>
          <w:rFonts w:ascii="宋体" w:hAnsi="宋体" w:eastAsia="宋体" w:cs="宋体"/>
          <w:color w:val="auto"/>
          <w:kern w:val="2"/>
          <w:sz w:val="18"/>
          <w:szCs w:val="21"/>
          <w:highlight w:val="none"/>
          <w:lang w:val="en-US" w:eastAsia="zh-CN" w:bidi="ar-SA"/>
        </w:rPr>
      </w:pPr>
    </w:p>
    <w:p w14:paraId="7CF10C7D">
      <w:pPr>
        <w:widowControl w:val="0"/>
        <w:ind w:left="1680"/>
        <w:jc w:val="both"/>
        <w:rPr>
          <w:rFonts w:ascii="宋体" w:hAnsi="宋体" w:eastAsia="宋体" w:cs="宋体"/>
          <w:color w:val="auto"/>
          <w:kern w:val="2"/>
          <w:sz w:val="18"/>
          <w:szCs w:val="21"/>
          <w:highlight w:val="none"/>
          <w:lang w:val="en-US" w:eastAsia="zh-CN" w:bidi="ar-SA"/>
        </w:rPr>
      </w:pPr>
    </w:p>
    <w:p w14:paraId="71518CF4">
      <w:pPr>
        <w:widowControl w:val="0"/>
        <w:ind w:left="1680"/>
        <w:jc w:val="both"/>
        <w:rPr>
          <w:rFonts w:ascii="宋体" w:hAnsi="宋体" w:eastAsia="宋体" w:cs="宋体"/>
          <w:color w:val="auto"/>
          <w:kern w:val="2"/>
          <w:sz w:val="18"/>
          <w:szCs w:val="21"/>
          <w:highlight w:val="none"/>
          <w:lang w:val="en-US" w:eastAsia="zh-CN" w:bidi="ar-SA"/>
        </w:rPr>
      </w:pPr>
    </w:p>
    <w:p w14:paraId="7FA4BBA8">
      <w:pPr>
        <w:spacing w:line="240" w:lineRule="auto"/>
        <w:ind w:left="0" w:firstLine="0"/>
        <w:rPr>
          <w:rFonts w:ascii="宋体" w:hAnsi="宋体" w:eastAsia="宋体" w:cs="宋体"/>
          <w:color w:val="auto"/>
          <w:highlight w:val="none"/>
        </w:rPr>
      </w:pPr>
    </w:p>
    <w:p w14:paraId="24621F6D">
      <w:pPr>
        <w:widowControl w:val="0"/>
        <w:spacing w:after="120"/>
        <w:jc w:val="both"/>
        <w:rPr>
          <w:rFonts w:ascii="宋体" w:hAnsi="宋体" w:eastAsia="宋体" w:cs="宋体"/>
          <w:color w:val="auto"/>
          <w:kern w:val="2"/>
          <w:sz w:val="21"/>
          <w:szCs w:val="24"/>
          <w:highlight w:val="none"/>
          <w:lang w:val="en-US" w:eastAsia="zh-CN" w:bidi="ar-SA"/>
        </w:rPr>
      </w:pPr>
    </w:p>
    <w:p w14:paraId="5FE7D6D9">
      <w:pPr>
        <w:widowControl w:val="0"/>
        <w:spacing w:after="120"/>
        <w:jc w:val="both"/>
        <w:rPr>
          <w:rFonts w:ascii="宋体" w:hAnsi="宋体" w:eastAsia="宋体" w:cs="宋体"/>
          <w:color w:val="auto"/>
          <w:kern w:val="2"/>
          <w:sz w:val="21"/>
          <w:szCs w:val="24"/>
          <w:highlight w:val="none"/>
          <w:lang w:val="en-US" w:eastAsia="zh-CN" w:bidi="ar-SA"/>
        </w:rPr>
      </w:pPr>
    </w:p>
    <w:p w14:paraId="73629592">
      <w:pPr>
        <w:spacing w:line="240" w:lineRule="auto"/>
        <w:ind w:left="0" w:firstLine="0"/>
        <w:rPr>
          <w:rFonts w:eastAsia="宋体"/>
          <w:color w:val="auto"/>
          <w:highlight w:val="none"/>
        </w:rPr>
      </w:pPr>
    </w:p>
    <w:p w14:paraId="3A66AF5E">
      <w:pPr>
        <w:spacing w:line="360" w:lineRule="auto"/>
        <w:ind w:left="0" w:firstLine="0"/>
        <w:jc w:val="center"/>
        <w:outlineLvl w:val="0"/>
        <w:rPr>
          <w:rFonts w:ascii="宋体" w:hAnsi="宋体" w:eastAsia="宋体" w:cs="宋体"/>
          <w:b/>
          <w:color w:val="auto"/>
          <w:sz w:val="30"/>
          <w:szCs w:val="30"/>
          <w:highlight w:val="none"/>
        </w:rPr>
      </w:pPr>
      <w:bookmarkStart w:id="150" w:name="_Toc24231"/>
      <w:bookmarkStart w:id="151" w:name="_Toc28181"/>
      <w:bookmarkStart w:id="152" w:name="_Toc226"/>
      <w:bookmarkStart w:id="153" w:name="_Toc26196"/>
      <w:r>
        <w:rPr>
          <w:rFonts w:hint="eastAsia" w:ascii="宋体" w:hAnsi="宋体" w:eastAsia="宋体" w:cs="宋体"/>
          <w:b/>
          <w:color w:val="auto"/>
          <w:sz w:val="30"/>
          <w:szCs w:val="30"/>
          <w:highlight w:val="none"/>
        </w:rPr>
        <w:t>第二节  通用合同条款</w:t>
      </w:r>
      <w:bookmarkEnd w:id="150"/>
      <w:bookmarkEnd w:id="151"/>
      <w:bookmarkEnd w:id="152"/>
      <w:bookmarkEnd w:id="153"/>
    </w:p>
    <w:p w14:paraId="1CD7972E">
      <w:pPr>
        <w:spacing w:line="360" w:lineRule="exact"/>
        <w:ind w:left="0" w:firstLine="422" w:firstLineChars="200"/>
        <w:jc w:val="center"/>
        <w:rPr>
          <w:rFonts w:ascii="宋体" w:hAnsi="宋体" w:eastAsia="宋体" w:cs="宋体"/>
          <w:b/>
          <w:color w:val="auto"/>
          <w:kern w:val="0"/>
          <w:szCs w:val="21"/>
          <w:highlight w:val="none"/>
        </w:rPr>
      </w:pPr>
    </w:p>
    <w:p w14:paraId="59649787">
      <w:pPr>
        <w:spacing w:line="400" w:lineRule="exact"/>
        <w:ind w:left="0" w:firstLine="422" w:firstLineChars="200"/>
        <w:rPr>
          <w:rFonts w:ascii="宋体" w:hAnsi="宋体" w:eastAsia="宋体" w:cs="宋体"/>
          <w:color w:val="auto"/>
          <w:szCs w:val="21"/>
          <w:highlight w:val="none"/>
        </w:rPr>
      </w:pPr>
      <w:r>
        <w:rPr>
          <w:rFonts w:hint="eastAsia" w:ascii="宋体" w:hAnsi="宋体" w:eastAsia="宋体" w:cs="宋体"/>
          <w:b/>
          <w:color w:val="auto"/>
          <w:kern w:val="0"/>
          <w:szCs w:val="21"/>
          <w:highlight w:val="none"/>
        </w:rPr>
        <w:t>采用《建设工程施工合同（示范文本）》（GF—2017—0201）。</w:t>
      </w:r>
    </w:p>
    <w:p w14:paraId="023F96FB">
      <w:pPr>
        <w:spacing w:line="600" w:lineRule="exact"/>
        <w:ind w:left="0" w:firstLine="723" w:firstLineChars="200"/>
        <w:jc w:val="center"/>
        <w:rPr>
          <w:rFonts w:ascii="宋体" w:hAnsi="宋体" w:eastAsia="宋体" w:cs="宋体"/>
          <w:b/>
          <w:color w:val="auto"/>
          <w:sz w:val="36"/>
          <w:szCs w:val="36"/>
          <w:highlight w:val="none"/>
        </w:rPr>
      </w:pPr>
      <w:bookmarkStart w:id="154" w:name="_Toc351203632"/>
    </w:p>
    <w:p w14:paraId="67678D9C">
      <w:pPr>
        <w:spacing w:line="360" w:lineRule="auto"/>
        <w:ind w:left="0" w:firstLine="0"/>
        <w:jc w:val="center"/>
        <w:outlineLvl w:val="0"/>
        <w:rPr>
          <w:rFonts w:ascii="宋体" w:hAnsi="宋体" w:eastAsia="宋体" w:cs="宋体"/>
          <w:b/>
          <w:color w:val="auto"/>
          <w:sz w:val="30"/>
          <w:szCs w:val="30"/>
          <w:highlight w:val="none"/>
        </w:rPr>
      </w:pPr>
      <w:bookmarkStart w:id="155" w:name="_Toc16184"/>
      <w:bookmarkStart w:id="156" w:name="_Toc24676"/>
      <w:bookmarkStart w:id="157" w:name="_Toc2283"/>
      <w:bookmarkStart w:id="158" w:name="_Toc25537"/>
      <w:r>
        <w:rPr>
          <w:rFonts w:hint="eastAsia" w:ascii="宋体" w:hAnsi="宋体" w:eastAsia="宋体" w:cs="宋体"/>
          <w:b/>
          <w:color w:val="auto"/>
          <w:sz w:val="30"/>
          <w:szCs w:val="30"/>
          <w:highlight w:val="none"/>
        </w:rPr>
        <w:t>第三节  专用合同条款</w:t>
      </w:r>
      <w:bookmarkEnd w:id="154"/>
      <w:bookmarkEnd w:id="155"/>
      <w:bookmarkEnd w:id="156"/>
      <w:bookmarkEnd w:id="157"/>
      <w:bookmarkEnd w:id="158"/>
      <w:bookmarkStart w:id="159" w:name="_Toc351203633"/>
    </w:p>
    <w:bookmarkEnd w:id="159"/>
    <w:p w14:paraId="5F4D6983">
      <w:pPr>
        <w:keepNext/>
        <w:keepLines/>
        <w:spacing w:line="400" w:lineRule="exact"/>
        <w:ind w:left="0" w:firstLine="422" w:firstLineChars="200"/>
        <w:outlineLvl w:val="3"/>
        <w:rPr>
          <w:rFonts w:ascii="宋体" w:hAnsi="宋体" w:eastAsia="宋体" w:cs="宋体"/>
          <w:b/>
          <w:bCs/>
          <w:color w:val="auto"/>
          <w:szCs w:val="21"/>
          <w:highlight w:val="none"/>
        </w:rPr>
      </w:pPr>
      <w:bookmarkStart w:id="160" w:name="_Toc267251475"/>
      <w:bookmarkStart w:id="161" w:name="_Toc267251472"/>
      <w:bookmarkStart w:id="162" w:name="_Toc280868709"/>
      <w:bookmarkStart w:id="163" w:name="_Toc267251473"/>
      <w:bookmarkStart w:id="164" w:name="_Toc267251474"/>
      <w:bookmarkStart w:id="165" w:name="_Toc267251470"/>
      <w:bookmarkStart w:id="166" w:name="_Toc267251471"/>
      <w:bookmarkStart w:id="167" w:name="_Toc267251476"/>
      <w:r>
        <w:rPr>
          <w:rFonts w:hint="eastAsia" w:ascii="宋体" w:hAnsi="宋体" w:eastAsia="宋体" w:cs="宋体"/>
          <w:b/>
          <w:bCs/>
          <w:color w:val="auto"/>
          <w:szCs w:val="21"/>
          <w:highlight w:val="none"/>
        </w:rPr>
        <w:t>1. 一般约定</w:t>
      </w:r>
    </w:p>
    <w:p w14:paraId="025EA859">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1.1 词语定义</w:t>
      </w:r>
    </w:p>
    <w:p w14:paraId="2E606CDF">
      <w:pPr>
        <w:spacing w:line="400" w:lineRule="exact"/>
        <w:ind w:left="0"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1.1.1合同</w:t>
      </w:r>
    </w:p>
    <w:p w14:paraId="7469C14F">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1.1.1.8已标价工程量清单：是指构成合同的由承包人按照规定的格式和要求填写并标明价格，经澄清和修正（包括与招标人工程量清单的一致性、和投标报价本身存在的计算错误和不平衡报价）（如有）且承包人已确认的工程量清单，包括说明和表格。</w:t>
      </w:r>
    </w:p>
    <w:p w14:paraId="6BFE9303">
      <w:pPr>
        <w:spacing w:line="400" w:lineRule="exact"/>
        <w:ind w:left="0"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1.1.1.10其他合同文件包括：</w:t>
      </w:r>
      <w:r>
        <w:rPr>
          <w:rFonts w:hint="eastAsia" w:ascii="宋体" w:hAnsi="宋体" w:eastAsia="宋体" w:cs="宋体"/>
          <w:color w:val="auto"/>
          <w:szCs w:val="21"/>
          <w:highlight w:val="none"/>
          <w:u w:val="single"/>
        </w:rPr>
        <w:t xml:space="preserve">工程实施过程中签订的补充协议  </w:t>
      </w:r>
      <w:r>
        <w:rPr>
          <w:rFonts w:hint="eastAsia" w:ascii="宋体" w:hAnsi="宋体" w:eastAsia="宋体" w:cs="宋体"/>
          <w:color w:val="auto"/>
          <w:szCs w:val="21"/>
          <w:highlight w:val="none"/>
        </w:rPr>
        <w:t>。</w:t>
      </w:r>
    </w:p>
    <w:p w14:paraId="2A72012A">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1.1.2 合同当事人及其他相关方</w:t>
      </w:r>
    </w:p>
    <w:p w14:paraId="1394CB9B">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1.1.2.4监理人：</w:t>
      </w:r>
    </w:p>
    <w:p w14:paraId="7CC89B32">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名    称：</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3A8BD8CA">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资质类别和等级：</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26373950">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联系电话：</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7273BAEF">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电子信箱：</w:t>
      </w:r>
      <w:r>
        <w:rPr>
          <w:rFonts w:hint="eastAsia" w:ascii="宋体" w:hAnsi="宋体" w:eastAsia="宋体" w:cs="宋体"/>
          <w:color w:val="auto"/>
          <w:szCs w:val="21"/>
          <w:highlight w:val="none"/>
          <w:u w:val="single"/>
        </w:rPr>
        <w:t xml:space="preserve">      /      </w:t>
      </w:r>
      <w:r>
        <w:rPr>
          <w:rFonts w:hint="eastAsia" w:ascii="宋体" w:hAnsi="宋体" w:eastAsia="宋体" w:cs="宋体"/>
          <w:color w:val="auto"/>
          <w:szCs w:val="21"/>
          <w:highlight w:val="none"/>
        </w:rPr>
        <w:t>；</w:t>
      </w:r>
    </w:p>
    <w:p w14:paraId="3983B53D">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通信地址：</w:t>
      </w:r>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18045AFB">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1.1.2.5 设计人：</w:t>
      </w:r>
    </w:p>
    <w:p w14:paraId="64A90A19">
      <w:pPr>
        <w:spacing w:line="400" w:lineRule="exact"/>
        <w:ind w:left="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名  称：</w:t>
      </w:r>
      <w:r>
        <w:rPr>
          <w:rFonts w:hint="eastAsia" w:ascii="宋体" w:hAnsi="宋体" w:eastAsia="宋体" w:cs="宋体"/>
          <w:color w:val="auto"/>
          <w:szCs w:val="21"/>
          <w:highlight w:val="none"/>
          <w:u w:val="single"/>
        </w:rPr>
        <w:t xml:space="preserve">中物联规划设计研究院有限公司 </w:t>
      </w:r>
      <w:r>
        <w:rPr>
          <w:rFonts w:hint="eastAsia" w:ascii="宋体" w:hAnsi="宋体" w:eastAsia="宋体" w:cs="宋体"/>
          <w:color w:val="auto"/>
          <w:szCs w:val="21"/>
          <w:highlight w:val="none"/>
        </w:rPr>
        <w:t>；</w:t>
      </w:r>
    </w:p>
    <w:p w14:paraId="518D6D6E">
      <w:pPr>
        <w:spacing w:line="400" w:lineRule="exact"/>
        <w:ind w:left="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资质类别和等级：</w:t>
      </w:r>
      <w:r>
        <w:rPr>
          <w:rFonts w:hint="eastAsia" w:ascii="宋体" w:hAnsi="宋体" w:eastAsia="宋体" w:cs="宋体"/>
          <w:color w:val="auto"/>
          <w:szCs w:val="21"/>
          <w:highlight w:val="none"/>
          <w:u w:val="single"/>
        </w:rPr>
        <w:t xml:space="preserve"> 建筑甲级A145006752 </w:t>
      </w:r>
      <w:r>
        <w:rPr>
          <w:rFonts w:hint="eastAsia" w:ascii="宋体" w:hAnsi="宋体" w:eastAsia="宋体" w:cs="宋体"/>
          <w:color w:val="auto"/>
          <w:szCs w:val="21"/>
          <w:highlight w:val="none"/>
        </w:rPr>
        <w:t xml:space="preserve">；                            </w:t>
      </w:r>
    </w:p>
    <w:p w14:paraId="4AECD327">
      <w:pPr>
        <w:spacing w:line="400" w:lineRule="exact"/>
        <w:ind w:left="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联系电话：</w:t>
      </w:r>
      <w:r>
        <w:rPr>
          <w:rFonts w:hint="eastAsia" w:ascii="宋体" w:hAnsi="宋体" w:eastAsia="宋体" w:cs="宋体"/>
          <w:color w:val="auto"/>
          <w:szCs w:val="21"/>
          <w:highlight w:val="none"/>
          <w:u w:val="single"/>
        </w:rPr>
        <w:t xml:space="preserve"> 15077222025 </w:t>
      </w:r>
      <w:r>
        <w:rPr>
          <w:rFonts w:hint="eastAsia" w:ascii="宋体" w:hAnsi="宋体" w:eastAsia="宋体" w:cs="宋体"/>
          <w:color w:val="auto"/>
          <w:szCs w:val="21"/>
          <w:highlight w:val="none"/>
        </w:rPr>
        <w:t>；</w:t>
      </w:r>
    </w:p>
    <w:p w14:paraId="11101F44">
      <w:pPr>
        <w:spacing w:line="400" w:lineRule="exact"/>
        <w:ind w:left="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电子信箱：</w:t>
      </w:r>
      <w:r>
        <w:rPr>
          <w:rFonts w:hint="eastAsia" w:ascii="宋体" w:hAnsi="宋体" w:eastAsia="宋体" w:cs="宋体"/>
          <w:color w:val="auto"/>
          <w:szCs w:val="21"/>
          <w:highlight w:val="none"/>
          <w:u w:val="single"/>
        </w:rPr>
        <w:t xml:space="preserve"> 375349858@qq.com </w:t>
      </w:r>
      <w:r>
        <w:rPr>
          <w:rFonts w:hint="eastAsia" w:ascii="宋体" w:hAnsi="宋体" w:eastAsia="宋体" w:cs="宋体"/>
          <w:color w:val="auto"/>
          <w:szCs w:val="21"/>
          <w:highlight w:val="none"/>
        </w:rPr>
        <w:t>；</w:t>
      </w:r>
    </w:p>
    <w:p w14:paraId="488AF008">
      <w:pPr>
        <w:spacing w:line="400" w:lineRule="exact"/>
        <w:ind w:left="0" w:firstLine="420" w:firstLineChars="200"/>
        <w:rPr>
          <w:rFonts w:ascii="宋体" w:hAnsi="宋体" w:eastAsia="宋体" w:cs="宋体"/>
          <w:color w:val="auto"/>
          <w:szCs w:val="21"/>
          <w:highlight w:val="none"/>
          <w:u w:val="single"/>
        </w:rPr>
      </w:pPr>
      <w:r>
        <w:rPr>
          <w:rFonts w:hint="eastAsia" w:ascii="宋体" w:hAnsi="宋体" w:eastAsia="宋体" w:cs="宋体"/>
          <w:color w:val="auto"/>
          <w:szCs w:val="21"/>
          <w:highlight w:val="none"/>
        </w:rPr>
        <w:t>通讯地址：</w:t>
      </w:r>
      <w:r>
        <w:rPr>
          <w:rFonts w:hint="eastAsia" w:ascii="宋体" w:hAnsi="宋体" w:eastAsia="宋体" w:cs="宋体"/>
          <w:color w:val="auto"/>
          <w:szCs w:val="21"/>
          <w:highlight w:val="none"/>
          <w:u w:val="single"/>
        </w:rPr>
        <w:t xml:space="preserve"> 南宁市青秀区桃源路59号</w:t>
      </w:r>
      <w:r>
        <w:rPr>
          <w:rFonts w:hint="eastAsia" w:ascii="宋体" w:hAnsi="宋体" w:eastAsia="宋体" w:cs="宋体"/>
          <w:color w:val="auto"/>
          <w:szCs w:val="21"/>
          <w:highlight w:val="none"/>
        </w:rPr>
        <w:t>。</w:t>
      </w:r>
    </w:p>
    <w:p w14:paraId="7DCBB00E">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1.1.3 工程和设备</w:t>
      </w:r>
    </w:p>
    <w:p w14:paraId="722E7526">
      <w:pPr>
        <w:spacing w:line="400" w:lineRule="exact"/>
        <w:ind w:left="0" w:firstLine="420" w:firstLineChars="200"/>
        <w:rPr>
          <w:rFonts w:ascii="宋体" w:hAnsi="宋体" w:eastAsia="宋体" w:cs="宋体"/>
          <w:color w:val="auto"/>
          <w:szCs w:val="21"/>
          <w:highlight w:val="none"/>
          <w:u w:val="single"/>
        </w:rPr>
      </w:pPr>
      <w:r>
        <w:rPr>
          <w:rFonts w:hint="eastAsia" w:ascii="宋体" w:hAnsi="宋体" w:eastAsia="宋体" w:cs="宋体"/>
          <w:color w:val="auto"/>
          <w:szCs w:val="21"/>
          <w:highlight w:val="none"/>
        </w:rPr>
        <w:t>1.1.3.7 作为施工现场组成部分的其他场所包括：</w:t>
      </w:r>
      <w:r>
        <w:rPr>
          <w:rFonts w:hint="eastAsia" w:ascii="宋体" w:hAnsi="宋体" w:eastAsia="宋体" w:cs="宋体"/>
          <w:color w:val="auto"/>
          <w:szCs w:val="21"/>
          <w:highlight w:val="none"/>
          <w:u w:val="single"/>
        </w:rPr>
        <w:t xml:space="preserve">      /      </w:t>
      </w:r>
      <w:r>
        <w:rPr>
          <w:rFonts w:hint="eastAsia" w:ascii="宋体" w:hAnsi="宋体" w:eastAsia="宋体" w:cs="宋体"/>
          <w:color w:val="auto"/>
          <w:szCs w:val="21"/>
          <w:highlight w:val="none"/>
        </w:rPr>
        <w:t>。</w:t>
      </w:r>
    </w:p>
    <w:p w14:paraId="3D6315A6">
      <w:pPr>
        <w:spacing w:line="400" w:lineRule="exact"/>
        <w:ind w:left="0" w:firstLine="420" w:firstLineChars="200"/>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1.1.3.9 永久占地包括：</w:t>
      </w:r>
      <w:r>
        <w:rPr>
          <w:rFonts w:hint="eastAsia" w:ascii="宋体" w:hAnsi="宋体" w:eastAsia="宋体" w:cs="宋体"/>
          <w:color w:val="auto"/>
          <w:szCs w:val="21"/>
          <w:highlight w:val="none"/>
          <w:u w:val="single"/>
        </w:rPr>
        <w:t xml:space="preserve">       /    </w:t>
      </w:r>
      <w:r>
        <w:rPr>
          <w:rFonts w:hint="eastAsia" w:ascii="宋体" w:hAnsi="宋体" w:eastAsia="宋体" w:cs="宋体"/>
          <w:color w:val="auto"/>
          <w:kern w:val="0"/>
          <w:szCs w:val="21"/>
          <w:highlight w:val="none"/>
        </w:rPr>
        <w:t>。</w:t>
      </w:r>
    </w:p>
    <w:p w14:paraId="748D1958">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kern w:val="0"/>
          <w:szCs w:val="21"/>
          <w:highlight w:val="none"/>
        </w:rPr>
        <w:t>1.1.3.10 临时占地包括：</w:t>
      </w:r>
      <w:r>
        <w:rPr>
          <w:rFonts w:hint="eastAsia" w:ascii="宋体" w:hAnsi="宋体" w:eastAsia="宋体" w:cs="宋体"/>
          <w:color w:val="auto"/>
          <w:szCs w:val="21"/>
          <w:highlight w:val="none"/>
          <w:u w:val="single"/>
        </w:rPr>
        <w:t xml:space="preserve">       /    </w:t>
      </w:r>
      <w:r>
        <w:rPr>
          <w:rFonts w:hint="eastAsia" w:ascii="宋体" w:hAnsi="宋体" w:eastAsia="宋体" w:cs="宋体"/>
          <w:color w:val="auto"/>
          <w:kern w:val="0"/>
          <w:szCs w:val="21"/>
          <w:highlight w:val="none"/>
        </w:rPr>
        <w:t>。</w:t>
      </w:r>
    </w:p>
    <w:p w14:paraId="59AC0C5A">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1.3法律 </w:t>
      </w:r>
    </w:p>
    <w:p w14:paraId="2F0E384E">
      <w:pPr>
        <w:autoSpaceDE w:val="0"/>
        <w:autoSpaceDN w:val="0"/>
        <w:adjustRightInd w:val="0"/>
        <w:spacing w:line="400" w:lineRule="exact"/>
        <w:ind w:left="0" w:firstLine="420" w:firstLineChars="200"/>
        <w:jc w:val="left"/>
        <w:rPr>
          <w:rFonts w:ascii="宋体" w:hAnsi="宋体" w:eastAsia="宋体" w:cs="宋体"/>
          <w:color w:val="auto"/>
          <w:szCs w:val="21"/>
          <w:highlight w:val="none"/>
          <w:u w:val="single"/>
        </w:rPr>
      </w:pPr>
      <w:r>
        <w:rPr>
          <w:rFonts w:hint="eastAsia" w:ascii="宋体" w:hAnsi="宋体" w:eastAsia="宋体" w:cs="宋体"/>
          <w:color w:val="auto"/>
          <w:szCs w:val="21"/>
          <w:highlight w:val="none"/>
        </w:rPr>
        <w:t>适用于合同的其他规范性文件：</w:t>
      </w:r>
      <w:r>
        <w:rPr>
          <w:rFonts w:hint="eastAsia" w:ascii="宋体" w:hAnsi="宋体" w:eastAsia="宋体" w:cs="宋体"/>
          <w:color w:val="auto"/>
          <w:szCs w:val="21"/>
          <w:highlight w:val="none"/>
          <w:u w:val="single"/>
        </w:rPr>
        <w:t xml:space="preserve">国家、广西壮族自治区及柳州市建设行政主管部门颁布的现行法律、行政法规及其它规范性文件  </w:t>
      </w:r>
      <w:r>
        <w:rPr>
          <w:rFonts w:hint="eastAsia" w:ascii="宋体" w:hAnsi="宋体" w:eastAsia="宋体" w:cs="宋体"/>
          <w:color w:val="auto"/>
          <w:szCs w:val="21"/>
          <w:highlight w:val="none"/>
        </w:rPr>
        <w:t>。</w:t>
      </w:r>
    </w:p>
    <w:p w14:paraId="45ABCAFA">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1.4 标准和规范</w:t>
      </w:r>
    </w:p>
    <w:p w14:paraId="74D1A646">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1.4.1适用于工程的标准规范包括：</w:t>
      </w:r>
      <w:r>
        <w:rPr>
          <w:rFonts w:hint="eastAsia" w:ascii="宋体" w:hAnsi="宋体" w:eastAsia="宋体" w:cs="宋体"/>
          <w:color w:val="auto"/>
          <w:szCs w:val="21"/>
          <w:highlight w:val="none"/>
          <w:u w:val="single"/>
        </w:rPr>
        <w:t>/</w:t>
      </w:r>
      <w:r>
        <w:rPr>
          <w:rFonts w:hint="eastAsia" w:ascii="宋体" w:hAnsi="宋体" w:eastAsia="宋体" w:cs="宋体"/>
          <w:color w:val="auto"/>
          <w:szCs w:val="21"/>
          <w:highlight w:val="none"/>
        </w:rPr>
        <w:t>。</w:t>
      </w:r>
    </w:p>
    <w:p w14:paraId="569A5FC7">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kern w:val="0"/>
          <w:szCs w:val="21"/>
          <w:highlight w:val="none"/>
        </w:rPr>
        <w:t>1.4.2 发包人提供国外标准、规范的名称：</w:t>
      </w:r>
      <w:r>
        <w:rPr>
          <w:rFonts w:hint="eastAsia" w:ascii="宋体" w:hAnsi="宋体" w:eastAsia="宋体" w:cs="宋体"/>
          <w:color w:val="auto"/>
          <w:kern w:val="0"/>
          <w:szCs w:val="21"/>
          <w:highlight w:val="none"/>
          <w:u w:val="single"/>
        </w:rPr>
        <w:t xml:space="preserve">       /      </w:t>
      </w:r>
      <w:r>
        <w:rPr>
          <w:rFonts w:hint="eastAsia" w:ascii="宋体" w:hAnsi="宋体" w:eastAsia="宋体" w:cs="宋体"/>
          <w:color w:val="auto"/>
          <w:kern w:val="0"/>
          <w:szCs w:val="21"/>
          <w:highlight w:val="none"/>
        </w:rPr>
        <w:t>；</w:t>
      </w:r>
    </w:p>
    <w:p w14:paraId="35CABCE6">
      <w:pPr>
        <w:spacing w:line="400" w:lineRule="exact"/>
        <w:ind w:left="0"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发包人提供国外标准、规范的份数：</w:t>
      </w:r>
      <w:r>
        <w:rPr>
          <w:rFonts w:hint="eastAsia" w:ascii="宋体" w:hAnsi="宋体" w:eastAsia="宋体" w:cs="宋体"/>
          <w:color w:val="auto"/>
          <w:kern w:val="0"/>
          <w:szCs w:val="21"/>
          <w:highlight w:val="none"/>
          <w:u w:val="single"/>
        </w:rPr>
        <w:t xml:space="preserve">       /       </w:t>
      </w:r>
      <w:r>
        <w:rPr>
          <w:rFonts w:hint="eastAsia" w:ascii="宋体" w:hAnsi="宋体" w:eastAsia="宋体" w:cs="宋体"/>
          <w:color w:val="auto"/>
          <w:kern w:val="0"/>
          <w:szCs w:val="21"/>
          <w:highlight w:val="none"/>
        </w:rPr>
        <w:t>；</w:t>
      </w:r>
    </w:p>
    <w:p w14:paraId="311F647D">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kern w:val="0"/>
          <w:szCs w:val="21"/>
          <w:highlight w:val="none"/>
        </w:rPr>
        <w:t>发包人提供国外标准、规范的名称：</w:t>
      </w:r>
      <w:r>
        <w:rPr>
          <w:rFonts w:hint="eastAsia" w:ascii="宋体" w:hAnsi="宋体" w:eastAsia="宋体" w:cs="宋体"/>
          <w:color w:val="auto"/>
          <w:kern w:val="0"/>
          <w:szCs w:val="21"/>
          <w:highlight w:val="none"/>
          <w:u w:val="single"/>
        </w:rPr>
        <w:t xml:space="preserve">       /       </w:t>
      </w:r>
      <w:r>
        <w:rPr>
          <w:rFonts w:hint="eastAsia" w:ascii="宋体" w:hAnsi="宋体" w:eastAsia="宋体" w:cs="宋体"/>
          <w:color w:val="auto"/>
          <w:kern w:val="0"/>
          <w:szCs w:val="21"/>
          <w:highlight w:val="none"/>
        </w:rPr>
        <w:t>。</w:t>
      </w:r>
    </w:p>
    <w:p w14:paraId="0FB7E32A">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1.4.3发包人对工程的技术标准和功能要求的特殊要求：</w:t>
      </w:r>
      <w:r>
        <w:rPr>
          <w:rFonts w:hint="eastAsia" w:ascii="宋体" w:hAnsi="宋体" w:eastAsia="宋体" w:cs="宋体"/>
          <w:color w:val="auto"/>
          <w:szCs w:val="21"/>
          <w:highlight w:val="none"/>
          <w:u w:val="single"/>
        </w:rPr>
        <w:t xml:space="preserve">   /   </w:t>
      </w:r>
      <w:r>
        <w:rPr>
          <w:rFonts w:hint="eastAsia" w:ascii="宋体" w:hAnsi="宋体" w:eastAsia="宋体" w:cs="宋体"/>
          <w:color w:val="auto"/>
          <w:szCs w:val="21"/>
          <w:highlight w:val="none"/>
        </w:rPr>
        <w:t>。</w:t>
      </w:r>
    </w:p>
    <w:p w14:paraId="7C08030D">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1.5 合同文件的优先顺序</w:t>
      </w:r>
    </w:p>
    <w:p w14:paraId="5C0E345A">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合同文件组成及优先顺序为：</w:t>
      </w:r>
    </w:p>
    <w:p w14:paraId="12B34B9E">
      <w:pPr>
        <w:autoSpaceDE w:val="0"/>
        <w:autoSpaceDN w:val="0"/>
        <w:adjustRightInd w:val="0"/>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（1）合同协议书；</w:t>
      </w:r>
    </w:p>
    <w:p w14:paraId="2A68CC2A">
      <w:pPr>
        <w:autoSpaceDE w:val="0"/>
        <w:autoSpaceDN w:val="0"/>
        <w:adjustRightInd w:val="0"/>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（2）成交通知书；</w:t>
      </w:r>
    </w:p>
    <w:p w14:paraId="4FF16C5B">
      <w:pPr>
        <w:autoSpaceDE w:val="0"/>
        <w:autoSpaceDN w:val="0"/>
        <w:adjustRightInd w:val="0"/>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（3）磋商函及其附录；</w:t>
      </w:r>
    </w:p>
    <w:p w14:paraId="62813C61">
      <w:pPr>
        <w:autoSpaceDE w:val="0"/>
        <w:autoSpaceDN w:val="0"/>
        <w:adjustRightInd w:val="0"/>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（4）专用合同条款及其附件；</w:t>
      </w:r>
    </w:p>
    <w:p w14:paraId="15C55C11">
      <w:pPr>
        <w:autoSpaceDE w:val="0"/>
        <w:autoSpaceDN w:val="0"/>
        <w:adjustRightInd w:val="0"/>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（5）通用合同条款；</w:t>
      </w:r>
    </w:p>
    <w:p w14:paraId="4A2BE64E">
      <w:pPr>
        <w:autoSpaceDE w:val="0"/>
        <w:autoSpaceDN w:val="0"/>
        <w:adjustRightInd w:val="0"/>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（6）技术标准和要求；</w:t>
      </w:r>
    </w:p>
    <w:p w14:paraId="71D6C260">
      <w:pPr>
        <w:autoSpaceDE w:val="0"/>
        <w:autoSpaceDN w:val="0"/>
        <w:adjustRightInd w:val="0"/>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（7）图纸；</w:t>
      </w:r>
    </w:p>
    <w:p w14:paraId="2BB1ED5D">
      <w:pPr>
        <w:autoSpaceDE w:val="0"/>
        <w:autoSpaceDN w:val="0"/>
        <w:adjustRightInd w:val="0"/>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（8）已标价工程量清单或预算书；</w:t>
      </w:r>
    </w:p>
    <w:p w14:paraId="5A13AAB6">
      <w:pPr>
        <w:autoSpaceDE w:val="0"/>
        <w:autoSpaceDN w:val="0"/>
        <w:adjustRightInd w:val="0"/>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（9）其他合同文件。</w:t>
      </w:r>
    </w:p>
    <w:p w14:paraId="59A6019A">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10）《建设工程工程量清单计价规范（GB5050-2013）》及其广西实施细则及《关于建筑业实施营业税改征增值税后广西壮族自治区建设工程计价依据调整的通知》（桂建标〔2016〕17号）、《关于调整除税价计算使用增值税税率的通知》（桂建标〔2018〕14号）、《关于调整除税价计算适用增值税税率的通知》（桂建标〔2019〕10号）、《建设工程工程量清单计算规范（GB5854~50862-2013）》及其广西实施细则（修订本）。</w:t>
      </w:r>
    </w:p>
    <w:p w14:paraId="509CF5DC">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说明：（6）、（7）、（8）、（9）填空内容分别限于技术标准和要求、图纸、已标价工程量清单或预算书、其他合同文件四者之一，其优先顺序可根据采取的不同合同方式由双方约定。</w:t>
      </w:r>
    </w:p>
    <w:p w14:paraId="48BEA536">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1.6 图纸和承包人文件</w:t>
      </w:r>
    </w:p>
    <w:p w14:paraId="78635D3B">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1.6.1 图纸的提供</w:t>
      </w:r>
    </w:p>
    <w:p w14:paraId="5468D887">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发包人向承包人提供图纸的期限：</w:t>
      </w:r>
      <w:r>
        <w:rPr>
          <w:rFonts w:hint="eastAsia" w:ascii="宋体" w:hAnsi="宋体" w:eastAsia="宋体" w:cs="宋体"/>
          <w:color w:val="auto"/>
          <w:szCs w:val="21"/>
          <w:highlight w:val="none"/>
          <w:u w:val="single"/>
        </w:rPr>
        <w:t>发出成交通知书之日起14天内</w:t>
      </w:r>
      <w:r>
        <w:rPr>
          <w:rFonts w:hint="eastAsia" w:ascii="宋体" w:hAnsi="宋体" w:eastAsia="宋体" w:cs="宋体"/>
          <w:color w:val="auto"/>
          <w:szCs w:val="21"/>
          <w:highlight w:val="none"/>
        </w:rPr>
        <w:t>；</w:t>
      </w:r>
    </w:p>
    <w:p w14:paraId="3159A362">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发包人向承包人提供图纸的数量：</w:t>
      </w:r>
      <w:r>
        <w:rPr>
          <w:rFonts w:hint="eastAsia" w:ascii="宋体" w:hAnsi="宋体" w:eastAsia="宋体" w:cs="宋体"/>
          <w:color w:val="auto"/>
          <w:szCs w:val="21"/>
          <w:highlight w:val="none"/>
          <w:u w:val="single"/>
        </w:rPr>
        <w:t>一式三套（其中一套为工程结算专用、一套为编制工程竣工图专用），承包人需要增加图纸套数的，发包人应代为复制，复制费用由承包人承担</w:t>
      </w:r>
      <w:r>
        <w:rPr>
          <w:rFonts w:hint="eastAsia" w:ascii="宋体" w:hAnsi="宋体" w:eastAsia="宋体" w:cs="宋体"/>
          <w:color w:val="auto"/>
          <w:szCs w:val="21"/>
          <w:highlight w:val="none"/>
        </w:rPr>
        <w:t>；</w:t>
      </w:r>
    </w:p>
    <w:p w14:paraId="3C3293AA">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发包人向承包人提供图纸的内容：</w:t>
      </w:r>
      <w:r>
        <w:rPr>
          <w:rFonts w:hint="eastAsia" w:ascii="宋体" w:hAnsi="宋体" w:eastAsia="宋体" w:cs="宋体"/>
          <w:color w:val="auto"/>
          <w:szCs w:val="21"/>
          <w:highlight w:val="none"/>
          <w:u w:val="single"/>
        </w:rPr>
        <w:t>整套施工图</w:t>
      </w:r>
      <w:r>
        <w:rPr>
          <w:rFonts w:hint="eastAsia" w:ascii="宋体" w:hAnsi="宋体" w:eastAsia="宋体" w:cs="宋体"/>
          <w:color w:val="auto"/>
          <w:szCs w:val="21"/>
          <w:highlight w:val="none"/>
        </w:rPr>
        <w:t>。</w:t>
      </w:r>
    </w:p>
    <w:p w14:paraId="27C587E0">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1.6.4 承包人文件</w:t>
      </w:r>
    </w:p>
    <w:p w14:paraId="7CC2928B">
      <w:pPr>
        <w:spacing w:line="400" w:lineRule="exact"/>
        <w:ind w:left="0" w:firstLine="420" w:firstLineChars="200"/>
        <w:jc w:val="left"/>
        <w:rPr>
          <w:rFonts w:ascii="宋体" w:hAnsi="宋体" w:eastAsia="宋体" w:cs="宋体"/>
          <w:color w:val="auto"/>
          <w:szCs w:val="21"/>
          <w:highlight w:val="none"/>
          <w:u w:val="single"/>
        </w:rPr>
      </w:pPr>
      <w:r>
        <w:rPr>
          <w:rFonts w:hint="eastAsia" w:ascii="宋体" w:hAnsi="宋体" w:eastAsia="宋体" w:cs="宋体"/>
          <w:color w:val="auto"/>
          <w:szCs w:val="21"/>
          <w:highlight w:val="none"/>
        </w:rPr>
        <w:t>需要由承包人提供的文件，包括：</w:t>
      </w:r>
      <w:bookmarkStart w:id="168" w:name="_Hlk22994386"/>
      <w:r>
        <w:rPr>
          <w:rFonts w:hint="eastAsia" w:ascii="宋体" w:hAnsi="宋体" w:eastAsia="宋体" w:cs="宋体"/>
          <w:color w:val="auto"/>
          <w:szCs w:val="21"/>
          <w:highlight w:val="none"/>
          <w:u w:val="single"/>
        </w:rPr>
        <w:t>施工组织设计、专项施工方案、施工总进度计划、用于报建的现场施工管理人员的相关证件等</w:t>
      </w:r>
      <w:bookmarkEnd w:id="168"/>
      <w:r>
        <w:rPr>
          <w:rFonts w:hint="eastAsia" w:ascii="宋体" w:hAnsi="宋体" w:eastAsia="宋体" w:cs="宋体"/>
          <w:color w:val="auto"/>
          <w:szCs w:val="21"/>
          <w:highlight w:val="none"/>
        </w:rPr>
        <w:t>；</w:t>
      </w:r>
    </w:p>
    <w:p w14:paraId="77285F16">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承包人提供的文件的期限为：</w:t>
      </w:r>
      <w:r>
        <w:rPr>
          <w:rFonts w:hint="eastAsia" w:ascii="宋体" w:hAnsi="宋体" w:eastAsia="宋体" w:cs="宋体"/>
          <w:color w:val="auto"/>
          <w:szCs w:val="21"/>
          <w:highlight w:val="none"/>
          <w:u w:val="single"/>
        </w:rPr>
        <w:t>发出成交通知书之日起14天内</w:t>
      </w:r>
      <w:r>
        <w:rPr>
          <w:rFonts w:hint="eastAsia" w:ascii="宋体" w:hAnsi="宋体" w:eastAsia="宋体" w:cs="宋体"/>
          <w:color w:val="auto"/>
          <w:szCs w:val="21"/>
          <w:highlight w:val="none"/>
        </w:rPr>
        <w:t>；</w:t>
      </w:r>
    </w:p>
    <w:p w14:paraId="26B0B2EF">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承包人提供的文件的数量为：</w:t>
      </w:r>
      <w:r>
        <w:rPr>
          <w:rFonts w:hint="eastAsia" w:ascii="宋体" w:hAnsi="宋体" w:eastAsia="宋体" w:cs="宋体"/>
          <w:color w:val="auto"/>
          <w:szCs w:val="21"/>
          <w:highlight w:val="none"/>
          <w:u w:val="single"/>
        </w:rPr>
        <w:t>一式叁份，证件类为原件和一式三份复印件</w:t>
      </w:r>
      <w:r>
        <w:rPr>
          <w:rFonts w:hint="eastAsia" w:ascii="宋体" w:hAnsi="宋体" w:eastAsia="宋体" w:cs="宋体"/>
          <w:color w:val="auto"/>
          <w:szCs w:val="21"/>
          <w:highlight w:val="none"/>
        </w:rPr>
        <w:t>；</w:t>
      </w:r>
    </w:p>
    <w:p w14:paraId="6724FE20">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承包人提供的文件的形式为：</w:t>
      </w:r>
      <w:r>
        <w:rPr>
          <w:rFonts w:hint="eastAsia" w:ascii="宋体" w:hAnsi="宋体" w:eastAsia="宋体" w:cs="宋体"/>
          <w:color w:val="auto"/>
          <w:szCs w:val="21"/>
          <w:highlight w:val="none"/>
          <w:u w:val="single"/>
        </w:rPr>
        <w:t xml:space="preserve">  书面  </w:t>
      </w:r>
      <w:r>
        <w:rPr>
          <w:rFonts w:hint="eastAsia" w:ascii="宋体" w:hAnsi="宋体" w:eastAsia="宋体" w:cs="宋体"/>
          <w:color w:val="auto"/>
          <w:szCs w:val="21"/>
          <w:highlight w:val="none"/>
        </w:rPr>
        <w:t>；</w:t>
      </w:r>
    </w:p>
    <w:p w14:paraId="3FF1BF9C">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发包人审批承包人文件的期限：</w:t>
      </w:r>
      <w:bookmarkStart w:id="169" w:name="_Hlk22994415"/>
      <w:r>
        <w:rPr>
          <w:rFonts w:hint="eastAsia" w:ascii="宋体" w:hAnsi="宋体" w:eastAsia="宋体" w:cs="宋体"/>
          <w:color w:val="auto"/>
          <w:szCs w:val="21"/>
          <w:highlight w:val="none"/>
          <w:u w:val="single"/>
        </w:rPr>
        <w:t>在承包人提交完整的文件后7天内审定完毕</w:t>
      </w:r>
      <w:bookmarkEnd w:id="169"/>
      <w:r>
        <w:rPr>
          <w:rFonts w:hint="eastAsia" w:ascii="宋体" w:hAnsi="宋体" w:eastAsia="宋体" w:cs="宋体"/>
          <w:color w:val="auto"/>
          <w:szCs w:val="21"/>
          <w:highlight w:val="none"/>
        </w:rPr>
        <w:t>。</w:t>
      </w:r>
    </w:p>
    <w:p w14:paraId="5F0B38F8">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1.6.5 现场图纸准备</w:t>
      </w:r>
    </w:p>
    <w:p w14:paraId="7CE4CEE9">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关于现场图纸准备的约定：</w:t>
      </w:r>
      <w:r>
        <w:rPr>
          <w:rFonts w:hint="eastAsia" w:ascii="宋体" w:hAnsi="宋体" w:eastAsia="宋体" w:cs="宋体"/>
          <w:color w:val="auto"/>
          <w:szCs w:val="21"/>
          <w:highlight w:val="none"/>
          <w:u w:val="single"/>
        </w:rPr>
        <w:t xml:space="preserve">   /   </w:t>
      </w:r>
      <w:r>
        <w:rPr>
          <w:rFonts w:hint="eastAsia" w:ascii="宋体" w:hAnsi="宋体" w:eastAsia="宋体" w:cs="宋体"/>
          <w:color w:val="auto"/>
          <w:szCs w:val="21"/>
          <w:highlight w:val="none"/>
        </w:rPr>
        <w:t>。</w:t>
      </w:r>
    </w:p>
    <w:p w14:paraId="01E5284B">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1.7 联络</w:t>
      </w:r>
    </w:p>
    <w:p w14:paraId="13CD6AD6">
      <w:pPr>
        <w:spacing w:line="400" w:lineRule="exact"/>
        <w:ind w:left="0"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1.7.1发包人和承包人应当在</w:t>
      </w:r>
      <w:r>
        <w:rPr>
          <w:rFonts w:hint="eastAsia" w:ascii="宋体" w:hAnsi="宋体" w:eastAsia="宋体" w:cs="宋体"/>
          <w:color w:val="auto"/>
          <w:szCs w:val="21"/>
          <w:highlight w:val="none"/>
          <w:u w:val="single"/>
        </w:rPr>
        <w:t>3</w:t>
      </w:r>
      <w:r>
        <w:rPr>
          <w:rFonts w:hint="eastAsia" w:ascii="宋体" w:hAnsi="宋体" w:eastAsia="宋体" w:cs="宋体"/>
          <w:color w:val="auto"/>
          <w:kern w:val="0"/>
          <w:szCs w:val="21"/>
          <w:highlight w:val="none"/>
        </w:rPr>
        <w:t>天内将与合同有关的通知、批准、证明、证书、指示、指令、要求、请求、同意、意见、确定和决定等书面函件送达对方当事人。</w:t>
      </w:r>
    </w:p>
    <w:p w14:paraId="4D50630F">
      <w:pPr>
        <w:spacing w:line="400" w:lineRule="exact"/>
        <w:ind w:left="0" w:firstLine="420" w:firstLineChars="200"/>
        <w:rPr>
          <w:rFonts w:ascii="宋体" w:hAnsi="宋体" w:eastAsia="宋体" w:cs="宋体"/>
          <w:color w:val="auto"/>
          <w:szCs w:val="21"/>
          <w:highlight w:val="none"/>
          <w:u w:val="single"/>
        </w:rPr>
      </w:pPr>
      <w:r>
        <w:rPr>
          <w:rFonts w:hint="eastAsia" w:ascii="宋体" w:hAnsi="宋体" w:eastAsia="宋体" w:cs="宋体"/>
          <w:color w:val="auto"/>
          <w:kern w:val="0"/>
          <w:szCs w:val="21"/>
          <w:highlight w:val="none"/>
        </w:rPr>
        <w:t>1.7.2发包人接收文件的地点：</w:t>
      </w:r>
      <w:r>
        <w:rPr>
          <w:rFonts w:hint="eastAsia" w:ascii="宋体" w:hAnsi="宋体" w:eastAsia="宋体" w:cs="宋体"/>
          <w:color w:val="auto"/>
          <w:szCs w:val="21"/>
          <w:highlight w:val="none"/>
          <w:u w:val="single"/>
        </w:rPr>
        <w:t xml:space="preserve"> 项目所在地发包人项目部 </w:t>
      </w:r>
      <w:r>
        <w:rPr>
          <w:rFonts w:hint="eastAsia" w:ascii="宋体" w:hAnsi="宋体" w:eastAsia="宋体" w:cs="宋体"/>
          <w:color w:val="auto"/>
          <w:kern w:val="0"/>
          <w:szCs w:val="21"/>
          <w:highlight w:val="none"/>
        </w:rPr>
        <w:t>；</w:t>
      </w:r>
    </w:p>
    <w:p w14:paraId="323C1144">
      <w:pPr>
        <w:spacing w:line="400" w:lineRule="exact"/>
        <w:ind w:left="0"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发包人指定的接收人为：</w:t>
      </w:r>
      <w:r>
        <w:rPr>
          <w:rFonts w:hint="eastAsia" w:ascii="宋体" w:hAnsi="宋体" w:eastAsia="宋体" w:cs="宋体"/>
          <w:color w:val="auto"/>
          <w:szCs w:val="21"/>
          <w:highlight w:val="none"/>
          <w:u w:val="single"/>
        </w:rPr>
        <w:t>发包人代表</w:t>
      </w:r>
      <w:r>
        <w:rPr>
          <w:rFonts w:hint="eastAsia" w:ascii="宋体" w:hAnsi="宋体" w:eastAsia="宋体" w:cs="宋体"/>
          <w:color w:val="auto"/>
          <w:kern w:val="0"/>
          <w:szCs w:val="21"/>
          <w:highlight w:val="none"/>
        </w:rPr>
        <w:t>。</w:t>
      </w:r>
    </w:p>
    <w:p w14:paraId="71223A75">
      <w:pPr>
        <w:spacing w:line="400" w:lineRule="exact"/>
        <w:ind w:left="0"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承包人接收文件的地点：</w:t>
      </w:r>
      <w:r>
        <w:rPr>
          <w:rFonts w:hint="eastAsia" w:ascii="宋体" w:hAnsi="宋体" w:eastAsia="宋体" w:cs="宋体"/>
          <w:color w:val="auto"/>
          <w:szCs w:val="21"/>
          <w:highlight w:val="none"/>
          <w:u w:val="single"/>
        </w:rPr>
        <w:t xml:space="preserve"> 项目所在地承包人项目部 </w:t>
      </w:r>
      <w:r>
        <w:rPr>
          <w:rFonts w:hint="eastAsia" w:ascii="宋体" w:hAnsi="宋体" w:eastAsia="宋体" w:cs="宋体"/>
          <w:color w:val="auto"/>
          <w:kern w:val="0"/>
          <w:szCs w:val="21"/>
          <w:highlight w:val="none"/>
        </w:rPr>
        <w:t>；</w:t>
      </w:r>
    </w:p>
    <w:p w14:paraId="3D852914">
      <w:pPr>
        <w:spacing w:line="400" w:lineRule="exact"/>
        <w:ind w:left="0"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承包人指定的接收人为：</w:t>
      </w:r>
      <w:r>
        <w:rPr>
          <w:rFonts w:hint="eastAsia" w:ascii="宋体" w:hAnsi="宋体" w:eastAsia="宋体" w:cs="宋体"/>
          <w:color w:val="auto"/>
          <w:szCs w:val="21"/>
          <w:highlight w:val="none"/>
          <w:u w:val="single"/>
        </w:rPr>
        <w:t xml:space="preserve"> 项目经理</w:t>
      </w:r>
      <w:r>
        <w:rPr>
          <w:rFonts w:hint="eastAsia" w:ascii="宋体" w:hAnsi="宋体" w:eastAsia="宋体" w:cs="宋体"/>
          <w:color w:val="auto"/>
          <w:kern w:val="0"/>
          <w:szCs w:val="21"/>
          <w:highlight w:val="none"/>
        </w:rPr>
        <w:t>。</w:t>
      </w:r>
    </w:p>
    <w:p w14:paraId="1D642621">
      <w:pPr>
        <w:spacing w:line="400" w:lineRule="exact"/>
        <w:ind w:left="0"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监理人接收文件的地点：</w:t>
      </w:r>
      <w:r>
        <w:rPr>
          <w:rFonts w:hint="eastAsia" w:ascii="宋体" w:hAnsi="宋体" w:eastAsia="宋体" w:cs="宋体"/>
          <w:color w:val="auto"/>
          <w:szCs w:val="21"/>
          <w:highlight w:val="none"/>
          <w:u w:val="single"/>
        </w:rPr>
        <w:t xml:space="preserve"> 项目所在地监理办公室 </w:t>
      </w:r>
      <w:r>
        <w:rPr>
          <w:rFonts w:hint="eastAsia" w:ascii="宋体" w:hAnsi="宋体" w:eastAsia="宋体" w:cs="宋体"/>
          <w:color w:val="auto"/>
          <w:kern w:val="0"/>
          <w:szCs w:val="21"/>
          <w:highlight w:val="none"/>
        </w:rPr>
        <w:t>；</w:t>
      </w:r>
    </w:p>
    <w:p w14:paraId="46502F88">
      <w:pPr>
        <w:spacing w:line="400" w:lineRule="exact"/>
        <w:ind w:left="0"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监理人指定的接收人为：</w:t>
      </w:r>
      <w:r>
        <w:rPr>
          <w:rFonts w:hint="eastAsia" w:ascii="宋体" w:hAnsi="宋体" w:eastAsia="宋体" w:cs="宋体"/>
          <w:color w:val="auto"/>
          <w:szCs w:val="21"/>
          <w:highlight w:val="none"/>
          <w:u w:val="single"/>
        </w:rPr>
        <w:t xml:space="preserve">总监  </w:t>
      </w:r>
      <w:r>
        <w:rPr>
          <w:rFonts w:hint="eastAsia" w:ascii="宋体" w:hAnsi="宋体" w:eastAsia="宋体" w:cs="宋体"/>
          <w:color w:val="auto"/>
          <w:kern w:val="0"/>
          <w:szCs w:val="21"/>
          <w:highlight w:val="none"/>
        </w:rPr>
        <w:t>。</w:t>
      </w:r>
    </w:p>
    <w:p w14:paraId="3F7825F2">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1.10 交通运输</w:t>
      </w:r>
    </w:p>
    <w:p w14:paraId="0430BD9D">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1.10.1 出入现场的权利</w:t>
      </w:r>
    </w:p>
    <w:p w14:paraId="3A11F65C">
      <w:pPr>
        <w:spacing w:line="400" w:lineRule="exact"/>
        <w:ind w:left="0" w:firstLine="420" w:firstLineChars="200"/>
        <w:rPr>
          <w:rFonts w:ascii="宋体" w:hAnsi="宋体" w:eastAsia="宋体" w:cs="宋体"/>
          <w:color w:val="auto"/>
          <w:szCs w:val="21"/>
          <w:highlight w:val="none"/>
          <w:u w:val="single"/>
        </w:rPr>
      </w:pPr>
      <w:r>
        <w:rPr>
          <w:rFonts w:hint="eastAsia" w:ascii="宋体" w:hAnsi="宋体" w:eastAsia="宋体" w:cs="宋体"/>
          <w:color w:val="auto"/>
          <w:szCs w:val="21"/>
          <w:highlight w:val="none"/>
        </w:rPr>
        <w:t>关于出入现场的权利的约定：</w:t>
      </w:r>
      <w:r>
        <w:rPr>
          <w:rFonts w:hint="eastAsia" w:ascii="宋体" w:hAnsi="宋体" w:eastAsia="宋体" w:cs="宋体"/>
          <w:color w:val="auto"/>
          <w:szCs w:val="21"/>
          <w:highlight w:val="none"/>
          <w:u w:val="single"/>
        </w:rPr>
        <w:t>/</w:t>
      </w:r>
      <w:r>
        <w:rPr>
          <w:rFonts w:hint="eastAsia" w:ascii="宋体" w:hAnsi="宋体" w:eastAsia="宋体" w:cs="宋体"/>
          <w:color w:val="auto"/>
          <w:szCs w:val="21"/>
          <w:highlight w:val="none"/>
        </w:rPr>
        <w:t>。</w:t>
      </w:r>
    </w:p>
    <w:p w14:paraId="1060EC56">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1.10.3 场内交通</w:t>
      </w:r>
    </w:p>
    <w:p w14:paraId="6A144DEB">
      <w:pPr>
        <w:spacing w:line="400" w:lineRule="exact"/>
        <w:ind w:left="0" w:firstLine="420" w:firstLineChars="200"/>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关于场外交通和场内交通的边界的约定：</w:t>
      </w:r>
      <w:r>
        <w:rPr>
          <w:rFonts w:hint="eastAsia" w:ascii="宋体" w:hAnsi="宋体" w:eastAsia="宋体" w:cs="宋体"/>
          <w:color w:val="auto"/>
          <w:szCs w:val="21"/>
          <w:highlight w:val="none"/>
          <w:u w:val="single"/>
        </w:rPr>
        <w:t>以规划用地红线为边界</w:t>
      </w:r>
      <w:r>
        <w:rPr>
          <w:rFonts w:hint="eastAsia" w:ascii="宋体" w:hAnsi="宋体" w:eastAsia="宋体" w:cs="宋体"/>
          <w:color w:val="auto"/>
          <w:szCs w:val="21"/>
          <w:highlight w:val="none"/>
        </w:rPr>
        <w:t>。</w:t>
      </w:r>
    </w:p>
    <w:p w14:paraId="4D8B1F45">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关于发包人向承包人免费提供满足工程施工需要的场内道路和交通设施的约定：</w:t>
      </w:r>
      <w:r>
        <w:rPr>
          <w:rFonts w:hint="eastAsia" w:ascii="宋体" w:hAnsi="宋体" w:eastAsia="宋体" w:cs="宋体"/>
          <w:color w:val="auto"/>
          <w:szCs w:val="21"/>
          <w:highlight w:val="none"/>
          <w:u w:val="single"/>
        </w:rPr>
        <w:t>无</w:t>
      </w:r>
      <w:r>
        <w:rPr>
          <w:rFonts w:hint="eastAsia" w:ascii="宋体" w:hAnsi="宋体" w:eastAsia="宋体" w:cs="宋体"/>
          <w:color w:val="auto"/>
          <w:szCs w:val="21"/>
          <w:highlight w:val="none"/>
        </w:rPr>
        <w:t>。</w:t>
      </w:r>
    </w:p>
    <w:p w14:paraId="52078093">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1.10.4超大件和超重件的运输</w:t>
      </w:r>
    </w:p>
    <w:p w14:paraId="1325EA92">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运输超大件或超重件所需的道路和桥梁临时加固改造费用和其他有关费用</w:t>
      </w:r>
      <w:r>
        <w:rPr>
          <w:rFonts w:hint="eastAsia" w:ascii="宋体" w:hAnsi="宋体" w:eastAsia="宋体" w:cs="宋体"/>
          <w:color w:val="auto"/>
          <w:szCs w:val="21"/>
          <w:highlight w:val="none"/>
          <w:u w:val="single"/>
        </w:rPr>
        <w:t>发生后，另行约定</w:t>
      </w:r>
      <w:r>
        <w:rPr>
          <w:rFonts w:hint="eastAsia" w:ascii="宋体" w:hAnsi="宋体" w:eastAsia="宋体" w:cs="宋体"/>
          <w:color w:val="auto"/>
          <w:szCs w:val="21"/>
          <w:highlight w:val="none"/>
        </w:rPr>
        <w:t>。</w:t>
      </w:r>
    </w:p>
    <w:p w14:paraId="53286DBC">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1.11 知识产权</w:t>
      </w:r>
    </w:p>
    <w:p w14:paraId="60255EBC">
      <w:pPr>
        <w:spacing w:line="400" w:lineRule="exact"/>
        <w:ind w:left="0" w:firstLine="420" w:firstLineChars="200"/>
        <w:rPr>
          <w:rFonts w:ascii="宋体" w:hAnsi="宋体" w:eastAsia="宋体" w:cs="宋体"/>
          <w:color w:val="auto"/>
          <w:szCs w:val="21"/>
          <w:highlight w:val="none"/>
          <w:u w:val="single"/>
        </w:rPr>
      </w:pPr>
      <w:r>
        <w:rPr>
          <w:rFonts w:hint="eastAsia" w:ascii="宋体" w:hAnsi="宋体" w:eastAsia="宋体" w:cs="宋体"/>
          <w:color w:val="auto"/>
          <w:szCs w:val="21"/>
          <w:highlight w:val="none"/>
        </w:rPr>
        <w:t>1.11.1关于发包人提供给承包人的图纸、发包人为实施工程自行编制或委托编制的技术规范以及反映发包人关于合同要求或其他类似性质的文件的著作权的归属：</w:t>
      </w:r>
      <w:r>
        <w:rPr>
          <w:rFonts w:hint="eastAsia" w:ascii="宋体" w:hAnsi="宋体" w:eastAsia="宋体" w:cs="宋体"/>
          <w:color w:val="auto"/>
          <w:szCs w:val="21"/>
          <w:highlight w:val="none"/>
          <w:u w:val="single"/>
        </w:rPr>
        <w:t xml:space="preserve"> /   </w:t>
      </w:r>
      <w:r>
        <w:rPr>
          <w:rFonts w:hint="eastAsia" w:ascii="宋体" w:hAnsi="宋体" w:eastAsia="宋体" w:cs="宋体"/>
          <w:color w:val="auto"/>
          <w:szCs w:val="21"/>
          <w:highlight w:val="none"/>
        </w:rPr>
        <w:t>。</w:t>
      </w:r>
    </w:p>
    <w:p w14:paraId="6C580074">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关于发包人提供的上述文件的使用限制的要求：</w:t>
      </w:r>
      <w:r>
        <w:rPr>
          <w:rFonts w:hint="eastAsia" w:ascii="宋体" w:hAnsi="宋体" w:eastAsia="宋体" w:cs="宋体"/>
          <w:color w:val="auto"/>
          <w:szCs w:val="21"/>
          <w:highlight w:val="none"/>
          <w:u w:val="single"/>
        </w:rPr>
        <w:t xml:space="preserve"> 仅用于本工程  </w:t>
      </w:r>
      <w:r>
        <w:rPr>
          <w:rFonts w:hint="eastAsia" w:ascii="宋体" w:hAnsi="宋体" w:eastAsia="宋体" w:cs="宋体"/>
          <w:color w:val="auto"/>
          <w:szCs w:val="21"/>
          <w:highlight w:val="none"/>
        </w:rPr>
        <w:t>。</w:t>
      </w:r>
    </w:p>
    <w:p w14:paraId="730545C8">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1.11.2 关于承包人为实施工程所编制文件的著作权的归属：</w:t>
      </w:r>
      <w:r>
        <w:rPr>
          <w:rFonts w:hint="eastAsia" w:ascii="宋体" w:hAnsi="宋体" w:eastAsia="宋体" w:cs="宋体"/>
          <w:color w:val="auto"/>
          <w:szCs w:val="21"/>
          <w:highlight w:val="none"/>
          <w:u w:val="single"/>
        </w:rPr>
        <w:t xml:space="preserve">    /   </w:t>
      </w:r>
      <w:r>
        <w:rPr>
          <w:rFonts w:hint="eastAsia" w:ascii="宋体" w:hAnsi="宋体" w:eastAsia="宋体" w:cs="宋体"/>
          <w:color w:val="auto"/>
          <w:szCs w:val="21"/>
          <w:highlight w:val="none"/>
        </w:rPr>
        <w:t>。</w:t>
      </w:r>
    </w:p>
    <w:p w14:paraId="17B46230">
      <w:pPr>
        <w:spacing w:line="400" w:lineRule="exact"/>
        <w:ind w:left="0" w:firstLine="420" w:firstLineChars="200"/>
        <w:rPr>
          <w:rFonts w:ascii="宋体" w:hAnsi="宋体" w:eastAsia="宋体" w:cs="宋体"/>
          <w:color w:val="auto"/>
          <w:szCs w:val="21"/>
          <w:highlight w:val="none"/>
          <w:u w:val="single"/>
        </w:rPr>
      </w:pPr>
      <w:r>
        <w:rPr>
          <w:rFonts w:hint="eastAsia" w:ascii="宋体" w:hAnsi="宋体" w:eastAsia="宋体" w:cs="宋体"/>
          <w:color w:val="auto"/>
          <w:szCs w:val="21"/>
          <w:highlight w:val="none"/>
        </w:rPr>
        <w:t>关于承包人提供的上述文件的使用限制的要求：</w:t>
      </w:r>
      <w:r>
        <w:rPr>
          <w:rFonts w:hint="eastAsia" w:ascii="宋体" w:hAnsi="宋体" w:eastAsia="宋体" w:cs="宋体"/>
          <w:color w:val="auto"/>
          <w:szCs w:val="21"/>
          <w:highlight w:val="none"/>
          <w:u w:val="single"/>
        </w:rPr>
        <w:t xml:space="preserve"> /   </w:t>
      </w:r>
      <w:r>
        <w:rPr>
          <w:rFonts w:hint="eastAsia" w:ascii="宋体" w:hAnsi="宋体" w:eastAsia="宋体" w:cs="宋体"/>
          <w:color w:val="auto"/>
          <w:szCs w:val="21"/>
          <w:highlight w:val="none"/>
        </w:rPr>
        <w:t>。</w:t>
      </w:r>
    </w:p>
    <w:p w14:paraId="4B7F0352">
      <w:pPr>
        <w:spacing w:line="400" w:lineRule="exact"/>
        <w:ind w:left="0" w:firstLine="420" w:firstLineChars="200"/>
        <w:rPr>
          <w:rFonts w:ascii="宋体" w:hAnsi="宋体" w:eastAsia="宋体" w:cs="宋体"/>
          <w:color w:val="auto"/>
          <w:kern w:val="0"/>
          <w:szCs w:val="21"/>
          <w:highlight w:val="none"/>
        </w:rPr>
      </w:pPr>
      <w:r>
        <w:rPr>
          <w:rFonts w:hint="eastAsia" w:ascii="宋体" w:hAnsi="宋体" w:eastAsia="宋体" w:cs="宋体"/>
          <w:color w:val="auto"/>
          <w:szCs w:val="21"/>
          <w:highlight w:val="none"/>
        </w:rPr>
        <w:t>1.11.4 承包人在施工过程中所采用的专利、专有技术、技术秘密的使用费的承担方式：</w:t>
      </w:r>
      <w:r>
        <w:rPr>
          <w:rFonts w:hint="eastAsia" w:ascii="宋体" w:hAnsi="宋体" w:eastAsia="宋体" w:cs="宋体"/>
          <w:color w:val="auto"/>
          <w:szCs w:val="21"/>
          <w:highlight w:val="none"/>
          <w:u w:val="single"/>
        </w:rPr>
        <w:t>由承包人负责</w:t>
      </w:r>
      <w:r>
        <w:rPr>
          <w:rFonts w:hint="eastAsia" w:ascii="宋体" w:hAnsi="宋体" w:eastAsia="宋体" w:cs="宋体"/>
          <w:color w:val="auto"/>
          <w:kern w:val="0"/>
          <w:szCs w:val="21"/>
          <w:highlight w:val="none"/>
        </w:rPr>
        <w:t>。</w:t>
      </w:r>
    </w:p>
    <w:p w14:paraId="0A33F73D">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1.13工程量清单错误的修正</w:t>
      </w:r>
    </w:p>
    <w:p w14:paraId="1109BE82">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出现工程量清单错误时，是否调整合同价格：</w:t>
      </w:r>
      <w:r>
        <w:rPr>
          <w:rFonts w:hint="eastAsia" w:ascii="宋体" w:hAnsi="宋体" w:eastAsia="宋体" w:cs="宋体"/>
          <w:color w:val="auto"/>
          <w:szCs w:val="21"/>
          <w:highlight w:val="none"/>
          <w:u w:val="single"/>
        </w:rPr>
        <w:t xml:space="preserve">   /   </w:t>
      </w:r>
      <w:r>
        <w:rPr>
          <w:rFonts w:hint="eastAsia" w:ascii="宋体" w:hAnsi="宋体" w:eastAsia="宋体" w:cs="宋体"/>
          <w:color w:val="auto"/>
          <w:szCs w:val="21"/>
          <w:highlight w:val="none"/>
        </w:rPr>
        <w:t>。</w:t>
      </w:r>
    </w:p>
    <w:p w14:paraId="5DF6AD79">
      <w:pPr>
        <w:spacing w:line="400" w:lineRule="exact"/>
        <w:ind w:left="0" w:firstLine="420" w:firstLineChars="200"/>
        <w:rPr>
          <w:rFonts w:ascii="宋体" w:hAnsi="宋体" w:eastAsia="宋体" w:cs="宋体"/>
          <w:color w:val="auto"/>
          <w:kern w:val="0"/>
          <w:szCs w:val="21"/>
          <w:highlight w:val="none"/>
        </w:rPr>
      </w:pPr>
      <w:r>
        <w:rPr>
          <w:rFonts w:hint="eastAsia" w:ascii="宋体" w:hAnsi="宋体" w:eastAsia="宋体" w:cs="宋体"/>
          <w:color w:val="auto"/>
          <w:szCs w:val="21"/>
          <w:highlight w:val="none"/>
        </w:rPr>
        <w:t>允许调整合同价格的工程量偏差范围：</w:t>
      </w:r>
    </w:p>
    <w:p w14:paraId="07546A77">
      <w:pPr>
        <w:spacing w:line="400" w:lineRule="exact"/>
        <w:ind w:left="0" w:firstLine="420" w:firstLineChars="200"/>
        <w:rPr>
          <w:rFonts w:ascii="宋体" w:hAnsi="宋体" w:eastAsia="宋体" w:cs="宋体"/>
          <w:color w:val="auto"/>
          <w:szCs w:val="21"/>
          <w:highlight w:val="none"/>
        </w:rPr>
      </w:pPr>
      <w:bookmarkStart w:id="170" w:name="_Hlk22994580"/>
      <w:r>
        <w:rPr>
          <w:rFonts w:hint="eastAsia" w:ascii="宋体" w:hAnsi="宋体" w:eastAsia="宋体" w:cs="宋体"/>
          <w:color w:val="auto"/>
          <w:kern w:val="0"/>
          <w:szCs w:val="21"/>
          <w:highlight w:val="none"/>
        </w:rPr>
        <w:t>1.13.1</w:t>
      </w:r>
      <w:r>
        <w:rPr>
          <w:rFonts w:hint="eastAsia" w:ascii="宋体" w:hAnsi="宋体" w:eastAsia="宋体" w:cs="宋体"/>
          <w:color w:val="auto"/>
          <w:szCs w:val="21"/>
          <w:highlight w:val="none"/>
        </w:rPr>
        <w:t>如在施工过程中出现施工图纸（含设计变更）与招标时的工程量清单项目（如有）特征描述不符的情况，按新的项目特征和专用条款1.13.2款的原则确定相应工程量清单的综合单价。</w:t>
      </w:r>
    </w:p>
    <w:p w14:paraId="5E26CB9D">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1.13.2非承包人原因的工程变更引起的工程量增减在原工程数量的±15 %以内，执行原有的综合单价，措施项目费除安全文明施工费按合同约定的计算基础和费率计算进行调整外其余不予调整；</w:t>
      </w:r>
    </w:p>
    <w:p w14:paraId="551260A8">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非承包人原因的工程变更引起的工程量增减超过原工程数量的±15%</w:t>
      </w:r>
      <w:r>
        <w:rPr>
          <w:rFonts w:hint="eastAsia" w:ascii="宋体" w:hAnsi="宋体" w:eastAsia="宋体" w:cs="宋体"/>
          <w:color w:val="auto"/>
          <w:kern w:val="0"/>
          <w:szCs w:val="21"/>
          <w:highlight w:val="none"/>
        </w:rPr>
        <w:t>（</w:t>
      </w:r>
      <w:r>
        <w:rPr>
          <w:rFonts w:hint="eastAsia" w:ascii="宋体" w:hAnsi="宋体" w:eastAsia="宋体" w:cs="宋体"/>
          <w:b/>
          <w:color w:val="auto"/>
          <w:kern w:val="0"/>
          <w:szCs w:val="21"/>
          <w:highlight w:val="none"/>
        </w:rPr>
        <w:t>下述调整方式</w:t>
      </w:r>
      <w:r>
        <w:rPr>
          <w:rFonts w:hint="eastAsia" w:ascii="宋体" w:hAnsi="宋体" w:eastAsia="宋体" w:cs="宋体"/>
          <w:b/>
          <w:color w:val="auto"/>
          <w:szCs w:val="21"/>
          <w:highlight w:val="none"/>
        </w:rPr>
        <w:t>在本工程执行中原则上按照原投标综合单价，不予调整，因特殊有失合同双方公平的情况确需调整的，须经发包人审核确认</w:t>
      </w:r>
      <w:r>
        <w:rPr>
          <w:rFonts w:hint="eastAsia" w:ascii="宋体" w:hAnsi="宋体" w:eastAsia="宋体" w:cs="宋体"/>
          <w:color w:val="auto"/>
          <w:kern w:val="0"/>
          <w:szCs w:val="21"/>
          <w:highlight w:val="none"/>
        </w:rPr>
        <w:t>）</w:t>
      </w:r>
      <w:r>
        <w:rPr>
          <w:rFonts w:hint="eastAsia" w:ascii="宋体" w:hAnsi="宋体" w:eastAsia="宋体" w:cs="宋体"/>
          <w:color w:val="auto"/>
          <w:szCs w:val="21"/>
          <w:highlight w:val="none"/>
        </w:rPr>
        <w:t>：</w:t>
      </w:r>
    </w:p>
    <w:p w14:paraId="4F12170A">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①其增加部分的工程量清单项目相应综合单价按1.13.3约定重新组价，重新组价≥原有综合单价时，执行原有综合单价，重新组价＜原有综合单价时，执行重新组价；</w:t>
      </w:r>
    </w:p>
    <w:p w14:paraId="2EE1D63A">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②其减少后剩余部分的工程量清单项目相应综合单价按1.13.3约定重新组价，重新组价≥原有综合单价时，执行重新组价，重新组价＜原有综合单价时，执行原有综合单价。</w:t>
      </w:r>
    </w:p>
    <w:p w14:paraId="57661BAE">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1.13.3因设计变更而新增的项目，其相应综合单价按变更估价条款执行。</w:t>
      </w:r>
      <w:bookmarkEnd w:id="170"/>
    </w:p>
    <w:p w14:paraId="573E78C9">
      <w:pPr>
        <w:keepNext/>
        <w:keepLines/>
        <w:spacing w:line="400" w:lineRule="exact"/>
        <w:ind w:left="0" w:firstLine="422" w:firstLineChars="200"/>
        <w:outlineLvl w:val="3"/>
        <w:rPr>
          <w:rFonts w:ascii="宋体" w:hAnsi="宋体" w:eastAsia="宋体" w:cs="宋体"/>
          <w:b/>
          <w:bCs/>
          <w:color w:val="auto"/>
          <w:szCs w:val="21"/>
          <w:highlight w:val="none"/>
        </w:rPr>
      </w:pPr>
      <w:r>
        <w:rPr>
          <w:rFonts w:hint="eastAsia" w:ascii="宋体" w:hAnsi="宋体" w:eastAsia="宋体" w:cs="宋体"/>
          <w:b/>
          <w:bCs/>
          <w:color w:val="auto"/>
          <w:szCs w:val="21"/>
          <w:highlight w:val="none"/>
        </w:rPr>
        <w:t>2. 发包人</w:t>
      </w:r>
    </w:p>
    <w:p w14:paraId="22C1CADB">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2.2 发包人代表</w:t>
      </w:r>
    </w:p>
    <w:p w14:paraId="537AE7C8">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发包人代表：</w:t>
      </w:r>
    </w:p>
    <w:p w14:paraId="2FD3FB27">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姓    名：</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77D42807">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身份证号：</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2756BC67">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职    务：</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74E9C3D1">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联系电话：</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4DF0830E">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电子信箱：</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778A6129">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通信地址：</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19E6400A">
      <w:pPr>
        <w:spacing w:line="400" w:lineRule="exact"/>
        <w:ind w:left="0" w:firstLine="420" w:firstLineChars="200"/>
        <w:rPr>
          <w:rFonts w:ascii="宋体" w:hAnsi="宋体" w:eastAsia="宋体" w:cs="宋体"/>
          <w:color w:val="auto"/>
          <w:szCs w:val="21"/>
          <w:highlight w:val="none"/>
          <w:u w:val="single"/>
        </w:rPr>
      </w:pPr>
      <w:r>
        <w:rPr>
          <w:rFonts w:hint="eastAsia" w:ascii="宋体" w:hAnsi="宋体" w:eastAsia="宋体" w:cs="宋体"/>
          <w:color w:val="auto"/>
          <w:szCs w:val="21"/>
          <w:highlight w:val="none"/>
        </w:rPr>
        <w:t>发包人对发包人代表的授权范围如下：</w:t>
      </w:r>
      <w:r>
        <w:rPr>
          <w:rFonts w:hint="eastAsia" w:ascii="宋体" w:hAnsi="宋体" w:eastAsia="宋体" w:cs="宋体"/>
          <w:color w:val="auto"/>
          <w:szCs w:val="21"/>
          <w:highlight w:val="none"/>
          <w:u w:val="single"/>
        </w:rPr>
        <w:t>与本项目有关的所有管理工作</w:t>
      </w:r>
      <w:r>
        <w:rPr>
          <w:rFonts w:hint="eastAsia" w:ascii="宋体" w:hAnsi="宋体" w:eastAsia="宋体" w:cs="宋体"/>
          <w:color w:val="auto"/>
          <w:szCs w:val="21"/>
          <w:highlight w:val="none"/>
        </w:rPr>
        <w:t>。</w:t>
      </w:r>
    </w:p>
    <w:p w14:paraId="5FCFC342">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2.4 施工现场、施工条件和基础资料的提供</w:t>
      </w:r>
    </w:p>
    <w:p w14:paraId="7AAD9564">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2.4.1 提供施工现场</w:t>
      </w:r>
    </w:p>
    <w:p w14:paraId="71F376C7">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关于发包人移交施工现场的期限要求：</w:t>
      </w:r>
      <w:r>
        <w:rPr>
          <w:rFonts w:hint="eastAsia" w:ascii="宋体" w:hAnsi="宋体" w:eastAsia="宋体" w:cs="宋体"/>
          <w:color w:val="auto"/>
          <w:szCs w:val="21"/>
          <w:highlight w:val="none"/>
          <w:u w:val="single"/>
        </w:rPr>
        <w:t>以发包人下发进场通知之日起7天内向承包人移交施工现场</w:t>
      </w:r>
      <w:r>
        <w:rPr>
          <w:rFonts w:hint="eastAsia" w:ascii="宋体" w:hAnsi="宋体" w:eastAsia="宋体" w:cs="宋体"/>
          <w:color w:val="auto"/>
          <w:szCs w:val="21"/>
          <w:highlight w:val="none"/>
        </w:rPr>
        <w:t>。</w:t>
      </w:r>
    </w:p>
    <w:p w14:paraId="0886F63A">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2.4.2 提供施工条件</w:t>
      </w:r>
    </w:p>
    <w:p w14:paraId="11023888">
      <w:pPr>
        <w:spacing w:line="400" w:lineRule="exact"/>
        <w:ind w:left="0" w:firstLine="420" w:firstLineChars="200"/>
        <w:rPr>
          <w:rFonts w:ascii="宋体" w:hAnsi="宋体" w:eastAsia="宋体" w:cs="宋体"/>
          <w:color w:val="auto"/>
          <w:szCs w:val="21"/>
          <w:highlight w:val="none"/>
          <w:u w:val="single"/>
        </w:rPr>
      </w:pPr>
      <w:r>
        <w:rPr>
          <w:rFonts w:hint="eastAsia" w:ascii="宋体" w:hAnsi="宋体" w:eastAsia="宋体" w:cs="宋体"/>
          <w:color w:val="auto"/>
          <w:szCs w:val="21"/>
          <w:highlight w:val="none"/>
        </w:rPr>
        <w:t>关于发包人应负责提供施工所需要的条件，包括：</w:t>
      </w:r>
      <w:r>
        <w:rPr>
          <w:rFonts w:hint="eastAsia" w:ascii="宋体" w:hAnsi="宋体" w:eastAsia="宋体" w:cs="宋体"/>
          <w:color w:val="auto"/>
          <w:szCs w:val="21"/>
          <w:highlight w:val="none"/>
          <w:u w:val="single"/>
        </w:rPr>
        <w:t xml:space="preserve">除地下管线外按通用条款 </w:t>
      </w:r>
      <w:r>
        <w:rPr>
          <w:rFonts w:hint="eastAsia" w:ascii="宋体" w:hAnsi="宋体" w:eastAsia="宋体" w:cs="宋体"/>
          <w:color w:val="auto"/>
          <w:szCs w:val="21"/>
          <w:highlight w:val="none"/>
        </w:rPr>
        <w:t>。</w:t>
      </w:r>
    </w:p>
    <w:p w14:paraId="5AA03B22">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2.5 资金来源证明及支付担保</w:t>
      </w:r>
    </w:p>
    <w:p w14:paraId="54739B77">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发包人提供资金来源证明的期限要求：</w:t>
      </w:r>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无   </w:t>
      </w:r>
      <w:r>
        <w:rPr>
          <w:rFonts w:hint="eastAsia" w:ascii="宋体" w:hAnsi="宋体" w:eastAsia="宋体" w:cs="宋体"/>
          <w:color w:val="auto"/>
          <w:szCs w:val="21"/>
          <w:highlight w:val="none"/>
        </w:rPr>
        <w:t>。</w:t>
      </w:r>
    </w:p>
    <w:p w14:paraId="11AF7906">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发包人是否提供支付担保：</w:t>
      </w:r>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无  </w:t>
      </w:r>
      <w:r>
        <w:rPr>
          <w:rFonts w:hint="eastAsia" w:ascii="宋体" w:hAnsi="宋体" w:eastAsia="宋体" w:cs="宋体"/>
          <w:color w:val="auto"/>
          <w:szCs w:val="21"/>
          <w:highlight w:val="none"/>
        </w:rPr>
        <w:t>。</w:t>
      </w:r>
    </w:p>
    <w:p w14:paraId="4951C177">
      <w:pPr>
        <w:spacing w:line="400" w:lineRule="exact"/>
        <w:ind w:left="0" w:firstLine="420" w:firstLineChars="200"/>
        <w:rPr>
          <w:rFonts w:ascii="宋体" w:hAnsi="宋体" w:eastAsia="宋体" w:cs="宋体"/>
          <w:color w:val="auto"/>
          <w:szCs w:val="21"/>
          <w:highlight w:val="none"/>
          <w:u w:val="single"/>
        </w:rPr>
      </w:pPr>
      <w:r>
        <w:rPr>
          <w:rFonts w:hint="eastAsia" w:ascii="宋体" w:hAnsi="宋体" w:eastAsia="宋体" w:cs="宋体"/>
          <w:color w:val="auto"/>
          <w:szCs w:val="21"/>
          <w:highlight w:val="none"/>
        </w:rPr>
        <w:t>发包人提供支付担保的形式：</w:t>
      </w:r>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无  </w:t>
      </w:r>
      <w:r>
        <w:rPr>
          <w:rFonts w:hint="eastAsia" w:ascii="宋体" w:hAnsi="宋体" w:eastAsia="宋体" w:cs="宋体"/>
          <w:color w:val="auto"/>
          <w:szCs w:val="21"/>
          <w:highlight w:val="none"/>
        </w:rPr>
        <w:t>。</w:t>
      </w:r>
    </w:p>
    <w:p w14:paraId="6285F6D1">
      <w:pPr>
        <w:keepNext/>
        <w:keepLines/>
        <w:spacing w:line="400" w:lineRule="exact"/>
        <w:ind w:left="0" w:firstLine="422" w:firstLineChars="200"/>
        <w:outlineLvl w:val="3"/>
        <w:rPr>
          <w:rFonts w:ascii="宋体" w:hAnsi="宋体" w:eastAsia="宋体" w:cs="宋体"/>
          <w:b/>
          <w:bCs/>
          <w:color w:val="auto"/>
          <w:szCs w:val="21"/>
          <w:highlight w:val="none"/>
        </w:rPr>
      </w:pPr>
      <w:r>
        <w:rPr>
          <w:rFonts w:hint="eastAsia" w:ascii="宋体" w:hAnsi="宋体" w:eastAsia="宋体" w:cs="宋体"/>
          <w:b/>
          <w:bCs/>
          <w:color w:val="auto"/>
          <w:szCs w:val="21"/>
          <w:highlight w:val="none"/>
        </w:rPr>
        <w:t>3. 承包人</w:t>
      </w:r>
    </w:p>
    <w:p w14:paraId="7951F758">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3.1 承包人的一般义务</w:t>
      </w:r>
    </w:p>
    <w:p w14:paraId="45F5A95D">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kern w:val="0"/>
          <w:szCs w:val="21"/>
          <w:highlight w:val="none"/>
        </w:rPr>
        <w:t>（9）</w:t>
      </w:r>
      <w:r>
        <w:rPr>
          <w:rFonts w:hint="eastAsia" w:ascii="宋体" w:hAnsi="宋体" w:eastAsia="宋体" w:cs="宋体"/>
          <w:color w:val="auto"/>
          <w:szCs w:val="21"/>
          <w:highlight w:val="none"/>
        </w:rPr>
        <w:t>承包人提交的竣工资料内容：</w:t>
      </w:r>
      <w:r>
        <w:rPr>
          <w:rFonts w:hint="eastAsia" w:ascii="宋体" w:hAnsi="宋体" w:eastAsia="宋体" w:cs="宋体"/>
          <w:color w:val="auto"/>
          <w:szCs w:val="21"/>
          <w:highlight w:val="none"/>
          <w:u w:val="single"/>
        </w:rPr>
        <w:t>按《</w:t>
      </w:r>
      <w:r>
        <w:rPr>
          <w:rFonts w:hint="eastAsia" w:ascii="宋体" w:hAnsi="宋体" w:eastAsia="宋体" w:cs="宋体"/>
          <w:color w:val="auto"/>
          <w:kern w:val="0"/>
          <w:szCs w:val="21"/>
          <w:highlight w:val="none"/>
          <w:u w:val="single"/>
        </w:rPr>
        <w:t>建设工程文件归档整理规范》GB/T50328-2014要求提供</w:t>
      </w:r>
      <w:r>
        <w:rPr>
          <w:rFonts w:hint="eastAsia" w:ascii="宋体" w:hAnsi="宋体" w:eastAsia="宋体" w:cs="宋体"/>
          <w:color w:val="auto"/>
          <w:szCs w:val="21"/>
          <w:highlight w:val="none"/>
        </w:rPr>
        <w:t>。</w:t>
      </w:r>
    </w:p>
    <w:p w14:paraId="3731ABBA">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承包人需要提交的竣工资料套数：</w:t>
      </w:r>
      <w:r>
        <w:rPr>
          <w:rFonts w:hint="eastAsia" w:ascii="宋体" w:hAnsi="宋体" w:eastAsia="宋体" w:cs="宋体"/>
          <w:color w:val="auto"/>
          <w:kern w:val="0"/>
          <w:szCs w:val="21"/>
          <w:highlight w:val="none"/>
          <w:u w:val="single"/>
        </w:rPr>
        <w:t>三套（两套存业主单位；一套用于结算）</w:t>
      </w:r>
      <w:r>
        <w:rPr>
          <w:rFonts w:hint="eastAsia" w:ascii="宋体" w:hAnsi="宋体" w:eastAsia="宋体" w:cs="宋体"/>
          <w:color w:val="auto"/>
          <w:szCs w:val="21"/>
          <w:highlight w:val="none"/>
        </w:rPr>
        <w:t>。</w:t>
      </w:r>
    </w:p>
    <w:p w14:paraId="258687E4">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承包人提交的竣工资料的费用承担：</w:t>
      </w:r>
      <w:r>
        <w:rPr>
          <w:rFonts w:hint="eastAsia" w:ascii="宋体" w:hAnsi="宋体" w:eastAsia="宋体" w:cs="宋体"/>
          <w:color w:val="auto"/>
          <w:szCs w:val="21"/>
          <w:highlight w:val="none"/>
          <w:u w:val="single"/>
        </w:rPr>
        <w:t>费用由承包人承担</w:t>
      </w:r>
      <w:r>
        <w:rPr>
          <w:rFonts w:hint="eastAsia" w:ascii="宋体" w:hAnsi="宋体" w:eastAsia="宋体" w:cs="宋体"/>
          <w:color w:val="auto"/>
          <w:szCs w:val="21"/>
          <w:highlight w:val="none"/>
        </w:rPr>
        <w:t>。</w:t>
      </w:r>
    </w:p>
    <w:p w14:paraId="2531BAE5">
      <w:pPr>
        <w:spacing w:line="400" w:lineRule="exact"/>
        <w:ind w:left="0" w:firstLine="420" w:firstLineChars="200"/>
        <w:jc w:val="left"/>
        <w:rPr>
          <w:rFonts w:ascii="宋体" w:hAnsi="宋体" w:eastAsia="宋体" w:cs="宋体"/>
          <w:color w:val="auto"/>
          <w:kern w:val="0"/>
          <w:szCs w:val="21"/>
          <w:highlight w:val="none"/>
          <w:u w:val="single"/>
        </w:rPr>
      </w:pPr>
      <w:r>
        <w:rPr>
          <w:rFonts w:hint="eastAsia" w:ascii="宋体" w:hAnsi="宋体" w:eastAsia="宋体" w:cs="宋体"/>
          <w:color w:val="auto"/>
          <w:szCs w:val="21"/>
          <w:highlight w:val="none"/>
        </w:rPr>
        <w:t>承包人提交的竣工资料移交时间：</w:t>
      </w:r>
      <w:r>
        <w:rPr>
          <w:rFonts w:hint="eastAsia" w:ascii="宋体" w:hAnsi="宋体" w:eastAsia="宋体" w:cs="宋体"/>
          <w:color w:val="auto"/>
          <w:kern w:val="0"/>
          <w:szCs w:val="21"/>
          <w:highlight w:val="none"/>
          <w:u w:val="single"/>
        </w:rPr>
        <w:t xml:space="preserve">工程竣工验收之日起30天内 </w:t>
      </w:r>
      <w:r>
        <w:rPr>
          <w:rFonts w:hint="eastAsia" w:ascii="宋体" w:hAnsi="宋体" w:eastAsia="宋体" w:cs="宋体"/>
          <w:color w:val="auto"/>
          <w:kern w:val="0"/>
          <w:szCs w:val="21"/>
          <w:highlight w:val="none"/>
        </w:rPr>
        <w:t>。</w:t>
      </w:r>
    </w:p>
    <w:p w14:paraId="658636C0">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承包人提交的竣工资料形式要求：</w:t>
      </w:r>
      <w:r>
        <w:rPr>
          <w:rFonts w:hint="eastAsia" w:ascii="宋体" w:hAnsi="宋体" w:eastAsia="宋体" w:cs="宋体"/>
          <w:color w:val="auto"/>
          <w:szCs w:val="21"/>
          <w:highlight w:val="none"/>
          <w:u w:val="single"/>
        </w:rPr>
        <w:t>文本及电子版</w:t>
      </w:r>
      <w:r>
        <w:rPr>
          <w:rFonts w:hint="eastAsia" w:ascii="宋体" w:hAnsi="宋体" w:eastAsia="宋体" w:cs="宋体"/>
          <w:color w:val="auto"/>
          <w:szCs w:val="21"/>
          <w:highlight w:val="none"/>
        </w:rPr>
        <w:t>。</w:t>
      </w:r>
    </w:p>
    <w:p w14:paraId="3A8FF583">
      <w:pPr>
        <w:spacing w:line="400" w:lineRule="exact"/>
        <w:ind w:left="0" w:firstLine="420" w:firstLineChars="200"/>
        <w:rPr>
          <w:rFonts w:ascii="宋体" w:hAnsi="宋体" w:eastAsia="宋体" w:cs="宋体"/>
          <w:color w:val="auto"/>
          <w:szCs w:val="21"/>
          <w:highlight w:val="none"/>
          <w:u w:val="single"/>
        </w:rPr>
      </w:pPr>
      <w:r>
        <w:rPr>
          <w:rFonts w:hint="eastAsia" w:ascii="宋体" w:hAnsi="宋体" w:eastAsia="宋体" w:cs="宋体"/>
          <w:color w:val="auto"/>
          <w:kern w:val="0"/>
          <w:szCs w:val="21"/>
          <w:highlight w:val="none"/>
        </w:rPr>
        <w:t>（10）承包人应履行的其他义务：</w:t>
      </w:r>
    </w:p>
    <w:p w14:paraId="2E9EBF4A">
      <w:pPr>
        <w:spacing w:line="400" w:lineRule="exact"/>
        <w:ind w:left="0" w:firstLine="420" w:firstLineChars="200"/>
        <w:rPr>
          <w:rFonts w:ascii="宋体" w:hAnsi="宋体" w:eastAsia="宋体" w:cs="宋体"/>
          <w:color w:val="auto"/>
          <w:szCs w:val="21"/>
          <w:highlight w:val="none"/>
        </w:rPr>
      </w:pPr>
      <w:bookmarkStart w:id="171" w:name="OLE_LINK2"/>
      <w:r>
        <w:rPr>
          <w:rFonts w:hint="eastAsia" w:ascii="宋体" w:hAnsi="宋体" w:eastAsia="宋体" w:cs="宋体"/>
          <w:color w:val="auto"/>
          <w:szCs w:val="21"/>
          <w:highlight w:val="none"/>
        </w:rPr>
        <w:t>承包人应在预付款支付申请时，向发包人提交经审核的施工组织设计、工程总进度计划；</w:t>
      </w:r>
      <w:bookmarkEnd w:id="171"/>
      <w:r>
        <w:rPr>
          <w:rFonts w:hint="eastAsia" w:ascii="宋体" w:hAnsi="宋体" w:eastAsia="宋体" w:cs="宋体"/>
          <w:color w:val="auto"/>
          <w:szCs w:val="21"/>
          <w:highlight w:val="none"/>
        </w:rPr>
        <w:t>承包人应在办理施工许可证时按柳州市人力资源和社会保障局的规定将农民工工资保障金存入指定账户。</w:t>
      </w:r>
    </w:p>
    <w:p w14:paraId="45141329">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其他义务：</w:t>
      </w:r>
      <w:r>
        <w:rPr>
          <w:rFonts w:hint="eastAsia" w:ascii="宋体" w:hAnsi="宋体" w:eastAsia="宋体" w:cs="宋体"/>
          <w:color w:val="auto"/>
          <w:szCs w:val="21"/>
          <w:highlight w:val="none"/>
          <w:u w:val="single"/>
        </w:rPr>
        <w:t>另行协商</w:t>
      </w:r>
      <w:r>
        <w:rPr>
          <w:rFonts w:hint="eastAsia" w:ascii="宋体" w:hAnsi="宋体" w:eastAsia="宋体" w:cs="宋体"/>
          <w:color w:val="auto"/>
          <w:szCs w:val="21"/>
          <w:highlight w:val="none"/>
        </w:rPr>
        <w:t>。</w:t>
      </w:r>
    </w:p>
    <w:p w14:paraId="560D2BCD">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3.2 项目经理</w:t>
      </w:r>
    </w:p>
    <w:p w14:paraId="55744BA1">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kern w:val="0"/>
          <w:szCs w:val="21"/>
          <w:highlight w:val="none"/>
        </w:rPr>
        <w:t xml:space="preserve">3.2.1 </w:t>
      </w:r>
      <w:r>
        <w:rPr>
          <w:rFonts w:hint="eastAsia" w:ascii="宋体" w:hAnsi="宋体" w:eastAsia="宋体" w:cs="宋体"/>
          <w:color w:val="auto"/>
          <w:szCs w:val="21"/>
          <w:highlight w:val="none"/>
        </w:rPr>
        <w:t>项目经理：</w:t>
      </w:r>
    </w:p>
    <w:p w14:paraId="140A93DD">
      <w:pPr>
        <w:spacing w:line="400" w:lineRule="exact"/>
        <w:ind w:left="0" w:firstLine="420" w:firstLineChars="200"/>
        <w:rPr>
          <w:rFonts w:ascii="宋体" w:hAnsi="宋体" w:eastAsia="宋体"/>
          <w:color w:val="auto"/>
          <w:szCs w:val="21"/>
          <w:highlight w:val="none"/>
        </w:rPr>
      </w:pPr>
      <w:r>
        <w:rPr>
          <w:rFonts w:hint="eastAsia" w:ascii="宋体" w:hAnsi="宋体" w:eastAsia="宋体"/>
          <w:color w:val="auto"/>
          <w:szCs w:val="21"/>
          <w:highlight w:val="none"/>
        </w:rPr>
        <w:t>姓    名：</w:t>
      </w:r>
      <w:r>
        <w:rPr>
          <w:rFonts w:hint="eastAsia" w:ascii="宋体" w:hAnsi="宋体" w:eastAsia="宋体" w:cs="宋体"/>
          <w:color w:val="auto"/>
          <w:szCs w:val="21"/>
          <w:highlight w:val="none"/>
          <w:u w:val="single"/>
        </w:rPr>
        <w:t xml:space="preserve">          </w:t>
      </w:r>
      <w:r>
        <w:rPr>
          <w:rFonts w:hint="eastAsia" w:ascii="宋体" w:hAnsi="宋体" w:eastAsia="宋体"/>
          <w:color w:val="auto"/>
          <w:szCs w:val="21"/>
          <w:highlight w:val="none"/>
        </w:rPr>
        <w:t>；</w:t>
      </w:r>
    </w:p>
    <w:p w14:paraId="5461AACB">
      <w:pPr>
        <w:spacing w:line="400" w:lineRule="exact"/>
        <w:ind w:left="0" w:firstLine="420" w:firstLineChars="200"/>
        <w:rPr>
          <w:rFonts w:ascii="宋体" w:hAnsi="宋体" w:eastAsia="宋体"/>
          <w:color w:val="auto"/>
          <w:szCs w:val="21"/>
          <w:highlight w:val="none"/>
        </w:rPr>
      </w:pPr>
      <w:r>
        <w:rPr>
          <w:rFonts w:hint="eastAsia" w:ascii="宋体" w:hAnsi="宋体" w:eastAsia="宋体"/>
          <w:color w:val="auto"/>
          <w:szCs w:val="21"/>
          <w:highlight w:val="none"/>
        </w:rPr>
        <w:t>身份证号：</w:t>
      </w:r>
      <w:r>
        <w:rPr>
          <w:rFonts w:hint="eastAsia" w:ascii="宋体" w:hAnsi="宋体" w:eastAsia="宋体" w:cs="宋体"/>
          <w:color w:val="auto"/>
          <w:szCs w:val="21"/>
          <w:highlight w:val="none"/>
          <w:u w:val="single"/>
        </w:rPr>
        <w:t xml:space="preserve">          </w:t>
      </w:r>
      <w:r>
        <w:rPr>
          <w:rFonts w:hint="eastAsia" w:ascii="宋体" w:hAnsi="宋体" w:eastAsia="宋体"/>
          <w:color w:val="auto"/>
          <w:szCs w:val="21"/>
          <w:highlight w:val="none"/>
        </w:rPr>
        <w:t>；</w:t>
      </w:r>
    </w:p>
    <w:p w14:paraId="75D1F0A7">
      <w:pPr>
        <w:spacing w:line="400" w:lineRule="exact"/>
        <w:ind w:left="0" w:firstLine="420" w:firstLineChars="200"/>
        <w:rPr>
          <w:rFonts w:ascii="宋体" w:hAnsi="宋体" w:eastAsia="宋体"/>
          <w:color w:val="auto"/>
          <w:szCs w:val="21"/>
          <w:highlight w:val="none"/>
        </w:rPr>
      </w:pPr>
      <w:r>
        <w:rPr>
          <w:rFonts w:hint="eastAsia" w:ascii="宋体" w:hAnsi="宋体" w:eastAsia="宋体"/>
          <w:color w:val="auto"/>
          <w:szCs w:val="21"/>
          <w:highlight w:val="none"/>
        </w:rPr>
        <w:t>建造师执业资格等级：</w:t>
      </w:r>
      <w:r>
        <w:rPr>
          <w:rFonts w:hint="eastAsia" w:ascii="宋体" w:hAnsi="宋体" w:eastAsia="宋体" w:cs="宋体"/>
          <w:color w:val="auto"/>
          <w:szCs w:val="21"/>
          <w:highlight w:val="none"/>
          <w:u w:val="single"/>
        </w:rPr>
        <w:t xml:space="preserve">          </w:t>
      </w:r>
      <w:r>
        <w:rPr>
          <w:rFonts w:hint="eastAsia" w:ascii="宋体" w:hAnsi="宋体" w:eastAsia="宋体"/>
          <w:color w:val="auto"/>
          <w:szCs w:val="21"/>
          <w:highlight w:val="none"/>
        </w:rPr>
        <w:t>；</w:t>
      </w:r>
    </w:p>
    <w:p w14:paraId="2DDC9AC4">
      <w:pPr>
        <w:spacing w:line="400" w:lineRule="exact"/>
        <w:ind w:left="0" w:firstLine="420" w:firstLineChars="200"/>
        <w:rPr>
          <w:rFonts w:ascii="宋体" w:hAnsi="宋体" w:eastAsia="宋体"/>
          <w:color w:val="auto"/>
          <w:szCs w:val="21"/>
          <w:highlight w:val="none"/>
        </w:rPr>
      </w:pPr>
      <w:r>
        <w:rPr>
          <w:rFonts w:hint="eastAsia" w:ascii="宋体" w:hAnsi="宋体" w:eastAsia="宋体"/>
          <w:color w:val="auto"/>
          <w:szCs w:val="21"/>
          <w:highlight w:val="none"/>
        </w:rPr>
        <w:t>建造师注册证书号：</w:t>
      </w:r>
      <w:r>
        <w:rPr>
          <w:rFonts w:hint="eastAsia" w:ascii="宋体" w:hAnsi="宋体" w:eastAsia="宋体" w:cs="宋体"/>
          <w:color w:val="auto"/>
          <w:szCs w:val="21"/>
          <w:highlight w:val="none"/>
          <w:u w:val="single"/>
        </w:rPr>
        <w:t xml:space="preserve">          </w:t>
      </w:r>
      <w:r>
        <w:rPr>
          <w:rFonts w:hint="eastAsia" w:ascii="宋体" w:hAnsi="宋体" w:eastAsia="宋体"/>
          <w:color w:val="auto"/>
          <w:szCs w:val="21"/>
          <w:highlight w:val="none"/>
        </w:rPr>
        <w:t>；</w:t>
      </w:r>
    </w:p>
    <w:p w14:paraId="706DFC29">
      <w:pPr>
        <w:spacing w:line="400" w:lineRule="exact"/>
        <w:ind w:left="0" w:firstLine="420" w:firstLineChars="200"/>
        <w:rPr>
          <w:rFonts w:ascii="宋体" w:hAnsi="宋体" w:eastAsia="宋体"/>
          <w:color w:val="auto"/>
          <w:szCs w:val="21"/>
          <w:highlight w:val="none"/>
        </w:rPr>
      </w:pPr>
      <w:r>
        <w:rPr>
          <w:rFonts w:hint="eastAsia" w:ascii="宋体" w:hAnsi="宋体" w:eastAsia="宋体"/>
          <w:color w:val="auto"/>
          <w:szCs w:val="21"/>
          <w:highlight w:val="none"/>
        </w:rPr>
        <w:t>建造师执业印章号：</w:t>
      </w:r>
      <w:r>
        <w:rPr>
          <w:rFonts w:hint="eastAsia" w:ascii="宋体" w:hAnsi="宋体" w:eastAsia="宋体"/>
          <w:color w:val="auto"/>
          <w:szCs w:val="21"/>
          <w:highlight w:val="none"/>
          <w:u w:val="single"/>
        </w:rPr>
        <w:t xml:space="preserve">  /    </w:t>
      </w:r>
      <w:r>
        <w:rPr>
          <w:rFonts w:hint="eastAsia" w:ascii="宋体" w:hAnsi="宋体" w:eastAsia="宋体"/>
          <w:color w:val="auto"/>
          <w:szCs w:val="21"/>
          <w:highlight w:val="none"/>
        </w:rPr>
        <w:t>；</w:t>
      </w:r>
    </w:p>
    <w:p w14:paraId="361E04DA">
      <w:pPr>
        <w:spacing w:line="400" w:lineRule="exact"/>
        <w:ind w:left="0" w:firstLine="420" w:firstLineChars="200"/>
        <w:rPr>
          <w:rFonts w:ascii="宋体" w:hAnsi="宋体" w:eastAsia="宋体"/>
          <w:color w:val="auto"/>
          <w:szCs w:val="21"/>
          <w:highlight w:val="none"/>
        </w:rPr>
      </w:pPr>
      <w:r>
        <w:rPr>
          <w:rFonts w:hint="eastAsia" w:ascii="宋体" w:hAnsi="宋体" w:eastAsia="宋体"/>
          <w:color w:val="auto"/>
          <w:szCs w:val="21"/>
          <w:highlight w:val="none"/>
        </w:rPr>
        <w:t>安全生产考核合格证书号：；</w:t>
      </w:r>
    </w:p>
    <w:p w14:paraId="4CE4D483">
      <w:pPr>
        <w:snapToGrid w:val="0"/>
        <w:spacing w:line="340" w:lineRule="exact"/>
        <w:ind w:left="0" w:firstLine="420" w:firstLineChars="200"/>
        <w:rPr>
          <w:rFonts w:ascii="宋体" w:hAnsi="宋体" w:eastAsia="宋体"/>
          <w:color w:val="auto"/>
          <w:szCs w:val="21"/>
          <w:highlight w:val="none"/>
        </w:rPr>
      </w:pPr>
      <w:r>
        <w:rPr>
          <w:rFonts w:hint="eastAsia" w:ascii="宋体" w:hAnsi="宋体" w:eastAsia="宋体"/>
          <w:color w:val="auto"/>
          <w:szCs w:val="21"/>
          <w:highlight w:val="none"/>
        </w:rPr>
        <w:t>联系电话：</w:t>
      </w:r>
      <w:r>
        <w:rPr>
          <w:rFonts w:hint="eastAsia" w:ascii="宋体" w:hAnsi="宋体" w:eastAsia="宋体" w:cs="宋体"/>
          <w:color w:val="auto"/>
          <w:szCs w:val="21"/>
          <w:highlight w:val="none"/>
          <w:u w:val="single"/>
        </w:rPr>
        <w:t xml:space="preserve">          </w:t>
      </w:r>
      <w:r>
        <w:rPr>
          <w:rFonts w:hint="eastAsia" w:ascii="宋体" w:hAnsi="宋体" w:eastAsia="宋体"/>
          <w:color w:val="auto"/>
          <w:szCs w:val="21"/>
          <w:highlight w:val="none"/>
        </w:rPr>
        <w:t>；</w:t>
      </w:r>
    </w:p>
    <w:p w14:paraId="5E458A26">
      <w:pPr>
        <w:spacing w:line="400" w:lineRule="exact"/>
        <w:ind w:left="0" w:firstLine="420" w:firstLineChars="200"/>
        <w:rPr>
          <w:rFonts w:ascii="宋体" w:hAnsi="宋体" w:eastAsia="宋体"/>
          <w:color w:val="auto"/>
          <w:szCs w:val="21"/>
          <w:highlight w:val="none"/>
        </w:rPr>
      </w:pPr>
      <w:r>
        <w:rPr>
          <w:rFonts w:hint="eastAsia" w:ascii="宋体" w:hAnsi="宋体" w:eastAsia="宋体"/>
          <w:color w:val="auto"/>
          <w:szCs w:val="21"/>
          <w:highlight w:val="none"/>
        </w:rPr>
        <w:t>电子信箱：</w:t>
      </w:r>
      <w:r>
        <w:rPr>
          <w:rFonts w:hint="eastAsia" w:ascii="宋体" w:hAnsi="宋体" w:eastAsia="宋体" w:cs="宋体"/>
          <w:color w:val="auto"/>
          <w:szCs w:val="21"/>
          <w:highlight w:val="none"/>
          <w:u w:val="single"/>
        </w:rPr>
        <w:t xml:space="preserve">          </w:t>
      </w:r>
      <w:r>
        <w:rPr>
          <w:rFonts w:hint="eastAsia" w:ascii="宋体" w:hAnsi="宋体" w:eastAsia="宋体"/>
          <w:color w:val="auto"/>
          <w:szCs w:val="21"/>
          <w:highlight w:val="none"/>
        </w:rPr>
        <w:t>；</w:t>
      </w:r>
    </w:p>
    <w:p w14:paraId="1083C9CF">
      <w:pPr>
        <w:spacing w:line="360" w:lineRule="auto"/>
        <w:ind w:left="5460" w:leftChars="200" w:hanging="5040" w:hangingChars="2400"/>
        <w:jc w:val="left"/>
        <w:rPr>
          <w:rFonts w:ascii="宋体" w:hAnsi="宋体" w:eastAsia="宋体"/>
          <w:color w:val="auto"/>
          <w:szCs w:val="21"/>
          <w:highlight w:val="none"/>
        </w:rPr>
      </w:pPr>
      <w:r>
        <w:rPr>
          <w:rFonts w:hint="eastAsia" w:ascii="宋体" w:hAnsi="宋体" w:eastAsia="宋体"/>
          <w:color w:val="auto"/>
          <w:szCs w:val="21"/>
          <w:highlight w:val="none"/>
        </w:rPr>
        <w:t>通信地址：</w:t>
      </w:r>
      <w:r>
        <w:rPr>
          <w:rFonts w:hint="eastAsia" w:ascii="宋体" w:hAnsi="宋体" w:eastAsia="宋体" w:cs="宋体"/>
          <w:color w:val="auto"/>
          <w:szCs w:val="21"/>
          <w:highlight w:val="none"/>
          <w:u w:val="single"/>
        </w:rPr>
        <w:t xml:space="preserve">          </w:t>
      </w:r>
      <w:r>
        <w:rPr>
          <w:rFonts w:hint="eastAsia" w:ascii="宋体" w:hAnsi="宋体" w:eastAsia="宋体"/>
          <w:color w:val="auto"/>
          <w:szCs w:val="21"/>
          <w:highlight w:val="none"/>
        </w:rPr>
        <w:t>。</w:t>
      </w:r>
    </w:p>
    <w:p w14:paraId="00B49E29">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承包人对项目经理的授权范围如下：</w:t>
      </w:r>
      <w:r>
        <w:rPr>
          <w:rFonts w:hint="eastAsia" w:ascii="宋体" w:hAnsi="宋体" w:eastAsia="宋体" w:cs="宋体"/>
          <w:color w:val="auto"/>
          <w:szCs w:val="21"/>
          <w:highlight w:val="none"/>
          <w:u w:val="single"/>
        </w:rPr>
        <w:t>对施工范围的管理职责（项目经理及主要施工管理人员资质、社保证明详见招标响应文件，未经发包人书面同意，不得擅自更换）</w:t>
      </w:r>
      <w:r>
        <w:rPr>
          <w:rFonts w:hint="eastAsia" w:ascii="宋体" w:hAnsi="宋体" w:eastAsia="宋体" w:cs="宋体"/>
          <w:color w:val="auto"/>
          <w:szCs w:val="21"/>
          <w:highlight w:val="none"/>
        </w:rPr>
        <w:t>。</w:t>
      </w:r>
    </w:p>
    <w:p w14:paraId="45FD3D7C">
      <w:pPr>
        <w:spacing w:line="400" w:lineRule="exact"/>
        <w:ind w:left="0" w:firstLine="420" w:firstLineChars="200"/>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关于项目经理每月在施工现场的时间要求：</w:t>
      </w:r>
      <w:r>
        <w:rPr>
          <w:rFonts w:hint="eastAsia" w:ascii="宋体" w:hAnsi="宋体" w:eastAsia="宋体" w:cs="宋体"/>
          <w:color w:val="auto"/>
          <w:szCs w:val="21"/>
          <w:highlight w:val="none"/>
          <w:u w:val="single"/>
        </w:rPr>
        <w:t xml:space="preserve">工程开工至竣工验收合格之日之间的施工作业时间均必须在现场（特殊原因请假除外） </w:t>
      </w:r>
      <w:r>
        <w:rPr>
          <w:rFonts w:hint="eastAsia" w:ascii="宋体" w:hAnsi="宋体" w:eastAsia="宋体" w:cs="宋体"/>
          <w:color w:val="auto"/>
          <w:szCs w:val="21"/>
          <w:highlight w:val="none"/>
        </w:rPr>
        <w:t>。</w:t>
      </w:r>
    </w:p>
    <w:p w14:paraId="305ED434">
      <w:pPr>
        <w:spacing w:line="400" w:lineRule="exact"/>
        <w:ind w:left="0"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承包人未提交劳动合同，以及没有为项目经理缴纳社会保险证明的违约责任：</w:t>
      </w:r>
      <w:r>
        <w:rPr>
          <w:rFonts w:hint="eastAsia" w:ascii="宋体" w:hAnsi="宋体" w:eastAsia="宋体" w:cs="宋体"/>
          <w:color w:val="auto"/>
          <w:szCs w:val="21"/>
          <w:highlight w:val="none"/>
          <w:u w:val="single"/>
        </w:rPr>
        <w:t>由承包人承担</w:t>
      </w:r>
      <w:r>
        <w:rPr>
          <w:rFonts w:hint="eastAsia" w:ascii="宋体" w:hAnsi="宋体" w:eastAsia="宋体" w:cs="宋体"/>
          <w:color w:val="auto"/>
          <w:szCs w:val="21"/>
          <w:highlight w:val="none"/>
        </w:rPr>
        <w:t>。</w:t>
      </w:r>
    </w:p>
    <w:p w14:paraId="22FA4943">
      <w:pPr>
        <w:spacing w:line="400" w:lineRule="exact"/>
        <w:ind w:left="0" w:firstLine="420" w:firstLineChars="200"/>
        <w:rPr>
          <w:rFonts w:ascii="宋体" w:hAnsi="宋体" w:eastAsia="宋体" w:cs="宋体"/>
          <w:color w:val="auto"/>
          <w:szCs w:val="21"/>
          <w:highlight w:val="none"/>
          <w:u w:val="single"/>
        </w:rPr>
      </w:pPr>
      <w:r>
        <w:rPr>
          <w:rFonts w:hint="eastAsia" w:ascii="宋体" w:hAnsi="宋体" w:eastAsia="宋体" w:cs="宋体"/>
          <w:color w:val="auto"/>
          <w:kern w:val="0"/>
          <w:szCs w:val="21"/>
          <w:highlight w:val="none"/>
        </w:rPr>
        <w:t>项目经理未经批准，擅自离开施工现场的违约责任：</w:t>
      </w:r>
      <w:r>
        <w:rPr>
          <w:rFonts w:hint="eastAsia" w:ascii="宋体" w:hAnsi="宋体" w:eastAsia="宋体" w:cs="宋体"/>
          <w:color w:val="auto"/>
          <w:szCs w:val="21"/>
          <w:highlight w:val="none"/>
          <w:u w:val="single"/>
        </w:rPr>
        <w:t>项目经理每月在岗带班时间不得少于当月施工时间的80%。除非有正当理由和经发包人同意，项目经理每月在岗带班时间少于当月施工时间80%的，少在岗带班一天，发包人有权处违约金1000元/日（人民币）</w:t>
      </w:r>
      <w:r>
        <w:rPr>
          <w:rFonts w:hint="eastAsia" w:ascii="宋体" w:hAnsi="宋体" w:eastAsia="宋体" w:cs="宋体"/>
          <w:color w:val="auto"/>
          <w:szCs w:val="21"/>
          <w:highlight w:val="none"/>
        </w:rPr>
        <w:t>。</w:t>
      </w:r>
    </w:p>
    <w:p w14:paraId="36BF397B">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3.2.3 承包人擅自更换项目经理的违约责任：</w:t>
      </w:r>
      <w:r>
        <w:rPr>
          <w:rFonts w:hint="eastAsia" w:ascii="宋体" w:hAnsi="宋体" w:eastAsia="宋体" w:cs="宋体"/>
          <w:color w:val="auto"/>
          <w:szCs w:val="21"/>
          <w:highlight w:val="none"/>
          <w:u w:val="single"/>
        </w:rPr>
        <w:t>承包人项目经理必须与承包人投标时所承诺的及报建表所填报的人员一致，并在（开工日期）前到任。在监理人□/发包人</w:t>
      </w:r>
      <w:r>
        <w:rPr>
          <w:rFonts w:hint="eastAsia" w:ascii="宋体" w:hAnsi="宋体" w:eastAsia="宋体" w:cs="宋体"/>
          <w:b/>
          <w:color w:val="auto"/>
          <w:szCs w:val="21"/>
          <w:highlight w:val="none"/>
          <w:u w:val="single"/>
        </w:rPr>
        <w:sym w:font="Wingdings 2" w:char="0052"/>
      </w:r>
      <w:r>
        <w:rPr>
          <w:rFonts w:hint="eastAsia" w:ascii="宋体" w:hAnsi="宋体" w:eastAsia="宋体" w:cs="宋体"/>
          <w:color w:val="auto"/>
          <w:szCs w:val="21"/>
          <w:highlight w:val="none"/>
          <w:u w:val="single"/>
        </w:rPr>
        <w:t>向承包人颁发（竣工证明材料名称）前，项目经理不得同时兼任其他任何项目的项目经理</w:t>
      </w:r>
      <w:r>
        <w:rPr>
          <w:rFonts w:hint="eastAsia" w:ascii="宋体" w:hAnsi="宋体" w:eastAsia="宋体" w:cs="宋体"/>
          <w:color w:val="auto"/>
          <w:kern w:val="0"/>
          <w:szCs w:val="21"/>
          <w:highlight w:val="none"/>
          <w:u w:val="single"/>
        </w:rPr>
        <w:t>（符合桂建管</w:t>
      </w:r>
      <w:r>
        <w:rPr>
          <w:rFonts w:hint="eastAsia" w:ascii="宋体" w:hAnsi="宋体" w:eastAsia="宋体" w:cs="宋体"/>
          <w:color w:val="auto"/>
          <w:szCs w:val="21"/>
          <w:highlight w:val="none"/>
          <w:u w:val="single"/>
        </w:rPr>
        <w:t>﹝2013﹞</w:t>
      </w:r>
      <w:r>
        <w:rPr>
          <w:rFonts w:hint="eastAsia" w:ascii="宋体" w:hAnsi="宋体" w:eastAsia="宋体" w:cs="宋体"/>
          <w:color w:val="auto"/>
          <w:kern w:val="0"/>
          <w:szCs w:val="21"/>
          <w:highlight w:val="none"/>
          <w:u w:val="single"/>
        </w:rPr>
        <w:t>17号和</w:t>
      </w:r>
      <w:r>
        <w:rPr>
          <w:rFonts w:hint="eastAsia" w:ascii="宋体" w:hAnsi="宋体" w:eastAsia="宋体" w:cs="宋体"/>
          <w:color w:val="auto"/>
          <w:szCs w:val="21"/>
          <w:highlight w:val="none"/>
          <w:u w:val="single"/>
        </w:rPr>
        <w:t>桂建管﹝2014﹞25号</w:t>
      </w:r>
      <w:r>
        <w:rPr>
          <w:rFonts w:hint="eastAsia" w:ascii="宋体" w:hAnsi="宋体" w:eastAsia="宋体" w:cs="宋体"/>
          <w:color w:val="auto"/>
          <w:kern w:val="0"/>
          <w:szCs w:val="21"/>
          <w:highlight w:val="none"/>
          <w:u w:val="single"/>
        </w:rPr>
        <w:t>文除外）</w:t>
      </w:r>
      <w:r>
        <w:rPr>
          <w:rFonts w:hint="eastAsia" w:ascii="宋体" w:hAnsi="宋体" w:eastAsia="宋体" w:cs="宋体"/>
          <w:color w:val="auto"/>
          <w:szCs w:val="21"/>
          <w:highlight w:val="none"/>
          <w:u w:val="single"/>
        </w:rPr>
        <w:t>。未经发包人书面同意，承包人擅自更换项目经理的视为违约，承包人须承担100000元/人•次(人民币) 违约金</w:t>
      </w:r>
      <w:r>
        <w:rPr>
          <w:rFonts w:hint="eastAsia" w:ascii="宋体" w:hAnsi="宋体" w:eastAsia="宋体" w:cs="宋体"/>
          <w:color w:val="auto"/>
          <w:szCs w:val="21"/>
          <w:highlight w:val="none"/>
        </w:rPr>
        <w:t>。</w:t>
      </w:r>
    </w:p>
    <w:p w14:paraId="69FA2245">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3.2.4 承包人无正当理由拒绝更换项目经理的违约责任：</w:t>
      </w:r>
      <w:r>
        <w:rPr>
          <w:rFonts w:hint="eastAsia" w:ascii="宋体" w:hAnsi="宋体" w:eastAsia="宋体" w:cs="宋体"/>
          <w:color w:val="auto"/>
          <w:szCs w:val="21"/>
          <w:highlight w:val="none"/>
          <w:u w:val="single"/>
        </w:rPr>
        <w:t>承包人项目经理因不称职，发包人要求调换而未及时（收到书面通知之日起5天内）调换的，视为承包人违约，承包人须承担50000元/人•次(人民币) 违约金</w:t>
      </w:r>
      <w:r>
        <w:rPr>
          <w:rFonts w:hint="eastAsia" w:ascii="宋体" w:hAnsi="宋体" w:eastAsia="宋体" w:cs="宋体"/>
          <w:color w:val="auto"/>
          <w:szCs w:val="21"/>
          <w:highlight w:val="none"/>
        </w:rPr>
        <w:t>。</w:t>
      </w:r>
    </w:p>
    <w:p w14:paraId="15C61BF6">
      <w:pPr>
        <w:spacing w:line="400" w:lineRule="exact"/>
        <w:ind w:left="0"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3.2.6承包人更换项目经理征得发包人书面同意后7天内，应将变更情况报当地建设主管部门备案。</w:t>
      </w:r>
    </w:p>
    <w:p w14:paraId="22276295">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3.3 承包人人员</w:t>
      </w:r>
    </w:p>
    <w:p w14:paraId="1A3A9619">
      <w:pPr>
        <w:spacing w:line="400" w:lineRule="exact"/>
        <w:ind w:left="0" w:firstLine="420" w:firstLineChars="200"/>
        <w:rPr>
          <w:rFonts w:ascii="宋体" w:hAnsi="宋体" w:eastAsia="宋体" w:cs="宋体"/>
          <w:color w:val="auto"/>
          <w:szCs w:val="21"/>
          <w:highlight w:val="none"/>
          <w:u w:val="single"/>
        </w:rPr>
      </w:pPr>
      <w:r>
        <w:rPr>
          <w:rFonts w:hint="eastAsia" w:ascii="宋体" w:hAnsi="宋体" w:eastAsia="宋体" w:cs="宋体"/>
          <w:color w:val="auto"/>
          <w:szCs w:val="21"/>
          <w:highlight w:val="none"/>
        </w:rPr>
        <w:t>3.3.1 承包人提交项目管理机构及施工现场管理人员安排报告的期限：</w:t>
      </w:r>
      <w:r>
        <w:rPr>
          <w:rFonts w:hint="eastAsia" w:ascii="宋体" w:hAnsi="宋体" w:eastAsia="宋体" w:cs="宋体"/>
          <w:color w:val="auto"/>
          <w:szCs w:val="21"/>
          <w:highlight w:val="none"/>
          <w:u w:val="single"/>
        </w:rPr>
        <w:t>从合同签订之日起7天内。</w:t>
      </w:r>
    </w:p>
    <w:p w14:paraId="3F140EA2">
      <w:pPr>
        <w:spacing w:line="400" w:lineRule="exact"/>
        <w:ind w:left="0" w:firstLine="420" w:firstLineChars="200"/>
        <w:rPr>
          <w:rFonts w:ascii="宋体" w:hAnsi="宋体" w:eastAsia="宋体" w:cs="宋体"/>
          <w:color w:val="auto"/>
          <w:szCs w:val="21"/>
          <w:highlight w:val="none"/>
          <w:u w:val="single"/>
        </w:rPr>
      </w:pPr>
      <w:r>
        <w:rPr>
          <w:rFonts w:hint="eastAsia" w:ascii="宋体" w:hAnsi="宋体" w:eastAsia="宋体" w:cs="宋体"/>
          <w:bCs/>
          <w:color w:val="auto"/>
          <w:szCs w:val="21"/>
          <w:highlight w:val="none"/>
        </w:rPr>
        <w:t>3.3.2超过3.3.1条款约定的时间，每超一天承包人须支付1000元违约金。</w:t>
      </w:r>
    </w:p>
    <w:p w14:paraId="7F4E063F">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3.3.3 承包人无正当理由拒绝撤换主要施工管理人员的违约责任：</w:t>
      </w:r>
      <w:r>
        <w:rPr>
          <w:rFonts w:hint="eastAsia" w:ascii="宋体" w:hAnsi="宋体" w:eastAsia="宋体" w:cs="宋体"/>
          <w:color w:val="auto"/>
          <w:szCs w:val="21"/>
          <w:highlight w:val="none"/>
          <w:u w:val="single"/>
        </w:rPr>
        <w:t>承包人主要施工管理人员因不称职，发包人要求调换而无正当理由拒绝撤换或在接到发包人的书面通知之日起5天内未调换的，视为承包人违约；承包人除须承担拒绝撤换技术负责人50000元/人•次(人民币)，专业工程师30000元/人•次(人民币)的违约金外，仍应承担调换义务</w:t>
      </w:r>
      <w:r>
        <w:rPr>
          <w:rFonts w:hint="eastAsia" w:ascii="宋体" w:hAnsi="宋体" w:eastAsia="宋体" w:cs="宋体"/>
          <w:color w:val="auto"/>
          <w:szCs w:val="21"/>
          <w:highlight w:val="none"/>
        </w:rPr>
        <w:t>。</w:t>
      </w:r>
    </w:p>
    <w:p w14:paraId="7D8A6DC4">
      <w:pPr>
        <w:spacing w:line="400" w:lineRule="exact"/>
        <w:ind w:left="0" w:firstLine="420" w:firstLineChars="200"/>
        <w:rPr>
          <w:rFonts w:ascii="宋体" w:hAnsi="宋体" w:eastAsia="宋体" w:cs="宋体"/>
          <w:color w:val="auto"/>
          <w:szCs w:val="21"/>
          <w:highlight w:val="none"/>
          <w:u w:val="single"/>
        </w:rPr>
      </w:pPr>
      <w:r>
        <w:rPr>
          <w:rFonts w:hint="eastAsia" w:ascii="宋体" w:hAnsi="宋体" w:eastAsia="宋体" w:cs="宋体"/>
          <w:color w:val="auto"/>
          <w:szCs w:val="21"/>
          <w:highlight w:val="none"/>
        </w:rPr>
        <w:t>3.3.4 承包人主要施工管理人员离开施工现场的批准要求：</w:t>
      </w:r>
      <w:r>
        <w:rPr>
          <w:rFonts w:hint="eastAsia" w:ascii="宋体" w:hAnsi="宋体" w:eastAsia="宋体" w:cs="宋体"/>
          <w:color w:val="auto"/>
          <w:szCs w:val="21"/>
          <w:highlight w:val="none"/>
          <w:u w:val="single"/>
        </w:rPr>
        <w:t xml:space="preserve">   /   </w:t>
      </w:r>
      <w:r>
        <w:rPr>
          <w:rFonts w:hint="eastAsia" w:ascii="宋体" w:hAnsi="宋体" w:eastAsia="宋体" w:cs="宋体"/>
          <w:color w:val="auto"/>
          <w:szCs w:val="21"/>
          <w:highlight w:val="none"/>
        </w:rPr>
        <w:t>。</w:t>
      </w:r>
    </w:p>
    <w:p w14:paraId="618CCC58">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3.3.5承包人擅自更换主要施工管理人员的违约责任：</w:t>
      </w:r>
      <w:r>
        <w:rPr>
          <w:rFonts w:hint="eastAsia" w:ascii="宋体" w:hAnsi="宋体" w:eastAsia="宋体" w:cs="宋体"/>
          <w:color w:val="auto"/>
          <w:szCs w:val="21"/>
          <w:highlight w:val="none"/>
          <w:u w:val="single"/>
        </w:rPr>
        <w:t>技术负责人、专业工程师未经发包人书面同意不准擅自更换，擅自更换技术负责人的承包人须承担50000元/人•次(人民币)违约金；擅自更换专业工程师处的承包人须承担30000元/人•次(人民币)违约金</w:t>
      </w:r>
      <w:r>
        <w:rPr>
          <w:rFonts w:hint="eastAsia" w:ascii="宋体" w:hAnsi="宋体" w:eastAsia="宋体" w:cs="宋体"/>
          <w:color w:val="auto"/>
          <w:szCs w:val="21"/>
          <w:highlight w:val="none"/>
        </w:rPr>
        <w:t>。</w:t>
      </w:r>
    </w:p>
    <w:p w14:paraId="52C60429">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擅自离岗：是指未经发包人同意离开现场工作岗位，发包人代表或监理工程师或发包人巡查机构人员到现场核实，10分钟内仍找不到人员或不知去向的。</w:t>
      </w:r>
    </w:p>
    <w:p w14:paraId="1ECFB7F5">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承包人主要施工管理人员擅自离开施工现场的违约责任：</w:t>
      </w:r>
      <w:r>
        <w:rPr>
          <w:rFonts w:hint="eastAsia" w:ascii="宋体" w:hAnsi="宋体" w:eastAsia="宋体" w:cs="宋体"/>
          <w:color w:val="auto"/>
          <w:szCs w:val="21"/>
          <w:highlight w:val="none"/>
          <w:u w:val="single"/>
        </w:rPr>
        <w:t>未经发包人同意，技术负责人擅自离岗的，视为承包人违约，承包人须承担1000元/人•次(人民币) 违约金；未经发包人同意，专业工程师擅自离岗的，视为承包人违约，承包人须承担1000元/人•次(人民币) 违约金</w:t>
      </w:r>
      <w:r>
        <w:rPr>
          <w:rFonts w:hint="eastAsia" w:ascii="宋体" w:hAnsi="宋体" w:eastAsia="宋体" w:cs="宋体"/>
          <w:color w:val="auto"/>
          <w:szCs w:val="21"/>
          <w:highlight w:val="none"/>
        </w:rPr>
        <w:t>。</w:t>
      </w:r>
    </w:p>
    <w:p w14:paraId="5CE6E277">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3.3.6承包人实际派驻施工管理现场的主要施工管理人员与施工报建表所填写的相关人员不相符的，视承包人擅自更换主要施工管理人员处理。违约责任按本合同专用条款的第3.3.5条第一款执行。</w:t>
      </w:r>
    </w:p>
    <w:p w14:paraId="5EE8D76E">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3.5 分包</w:t>
      </w:r>
    </w:p>
    <w:p w14:paraId="4BE92A6E">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3.5.1 分包的一般约定</w:t>
      </w:r>
    </w:p>
    <w:p w14:paraId="00F2A1AD">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禁止分包的工程包括：</w:t>
      </w:r>
      <w:r>
        <w:rPr>
          <w:rFonts w:hint="eastAsia" w:ascii="宋体" w:hAnsi="宋体" w:eastAsia="宋体" w:cs="宋体"/>
          <w:color w:val="auto"/>
          <w:szCs w:val="21"/>
          <w:highlight w:val="none"/>
          <w:u w:val="single"/>
        </w:rPr>
        <w:t xml:space="preserve">  /   </w:t>
      </w:r>
      <w:r>
        <w:rPr>
          <w:rFonts w:hint="eastAsia" w:ascii="宋体" w:hAnsi="宋体" w:eastAsia="宋体" w:cs="宋体"/>
          <w:color w:val="auto"/>
          <w:szCs w:val="21"/>
          <w:highlight w:val="none"/>
        </w:rPr>
        <w:t>。</w:t>
      </w:r>
    </w:p>
    <w:p w14:paraId="3EC3B8D9">
      <w:pPr>
        <w:spacing w:line="400" w:lineRule="exact"/>
        <w:ind w:left="0" w:firstLine="420" w:firstLineChars="200"/>
        <w:jc w:val="left"/>
        <w:rPr>
          <w:rFonts w:ascii="宋体" w:hAnsi="宋体" w:eastAsia="宋体" w:cs="宋体"/>
          <w:color w:val="auto"/>
          <w:szCs w:val="21"/>
          <w:highlight w:val="none"/>
          <w:u w:val="single"/>
        </w:rPr>
      </w:pPr>
      <w:r>
        <w:rPr>
          <w:rFonts w:hint="eastAsia" w:ascii="宋体" w:hAnsi="宋体" w:eastAsia="宋体" w:cs="宋体"/>
          <w:color w:val="auto"/>
          <w:szCs w:val="21"/>
          <w:highlight w:val="none"/>
        </w:rPr>
        <w:t>主体结构、关键性工作的范围包括：</w:t>
      </w:r>
      <w:r>
        <w:rPr>
          <w:rFonts w:hint="eastAsia" w:ascii="宋体" w:hAnsi="宋体" w:eastAsia="宋体" w:cs="宋体"/>
          <w:color w:val="auto"/>
          <w:szCs w:val="21"/>
          <w:highlight w:val="none"/>
          <w:u w:val="single"/>
        </w:rPr>
        <w:t xml:space="preserve">清单所列范围 </w:t>
      </w:r>
      <w:r>
        <w:rPr>
          <w:rFonts w:hint="eastAsia" w:ascii="宋体" w:hAnsi="宋体" w:eastAsia="宋体" w:cs="宋体"/>
          <w:color w:val="auto"/>
          <w:szCs w:val="21"/>
          <w:highlight w:val="none"/>
        </w:rPr>
        <w:t>。</w:t>
      </w:r>
      <w:bookmarkStart w:id="172" w:name="_Toc297048347"/>
      <w:bookmarkStart w:id="173" w:name="_Toc296346662"/>
      <w:bookmarkStart w:id="174" w:name="_Toc297123494"/>
      <w:bookmarkStart w:id="175" w:name="_Toc297120461"/>
      <w:bookmarkStart w:id="176" w:name="_Toc296890989"/>
      <w:bookmarkStart w:id="177" w:name="_Toc296944500"/>
      <w:bookmarkStart w:id="178" w:name="_Toc304295525"/>
      <w:bookmarkStart w:id="179" w:name="_Toc296503161"/>
      <w:bookmarkStart w:id="180" w:name="_Toc300934947"/>
      <w:bookmarkStart w:id="181" w:name="_Toc296891201"/>
      <w:bookmarkStart w:id="182" w:name="_Toc303539104"/>
      <w:bookmarkStart w:id="183" w:name="_Toc296347160"/>
      <w:bookmarkStart w:id="184" w:name="_Toc297216153"/>
    </w:p>
    <w:bookmarkEnd w:id="172"/>
    <w:bookmarkEnd w:id="173"/>
    <w:bookmarkEnd w:id="174"/>
    <w:bookmarkEnd w:id="175"/>
    <w:bookmarkEnd w:id="176"/>
    <w:bookmarkEnd w:id="177"/>
    <w:bookmarkEnd w:id="178"/>
    <w:bookmarkEnd w:id="179"/>
    <w:bookmarkEnd w:id="180"/>
    <w:bookmarkEnd w:id="181"/>
    <w:bookmarkEnd w:id="182"/>
    <w:bookmarkEnd w:id="183"/>
    <w:bookmarkEnd w:id="184"/>
    <w:p w14:paraId="72ECFF75">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3.5.2分包的确定</w:t>
      </w:r>
    </w:p>
    <w:p w14:paraId="4ABA8D1F">
      <w:pPr>
        <w:spacing w:line="400" w:lineRule="exact"/>
        <w:ind w:left="0" w:firstLine="420" w:firstLineChars="200"/>
        <w:rPr>
          <w:rFonts w:ascii="宋体" w:hAnsi="宋体" w:eastAsia="宋体" w:cs="宋体"/>
          <w:color w:val="auto"/>
          <w:szCs w:val="21"/>
          <w:highlight w:val="none"/>
          <w:u w:val="single"/>
        </w:rPr>
      </w:pPr>
      <w:r>
        <w:rPr>
          <w:rFonts w:hint="eastAsia" w:ascii="宋体" w:hAnsi="宋体" w:eastAsia="宋体" w:cs="宋体"/>
          <w:color w:val="auto"/>
          <w:szCs w:val="21"/>
          <w:highlight w:val="none"/>
        </w:rPr>
        <w:t>允许分包的专业工程包括：</w:t>
      </w:r>
      <w:r>
        <w:rPr>
          <w:rFonts w:hint="eastAsia" w:ascii="宋体" w:hAnsi="宋体" w:eastAsia="宋体" w:cs="宋体"/>
          <w:color w:val="auto"/>
          <w:szCs w:val="21"/>
          <w:highlight w:val="none"/>
          <w:u w:val="single"/>
        </w:rPr>
        <w:t xml:space="preserve">另行约定  </w:t>
      </w:r>
      <w:r>
        <w:rPr>
          <w:rFonts w:hint="eastAsia" w:ascii="宋体" w:hAnsi="宋体" w:eastAsia="宋体" w:cs="宋体"/>
          <w:color w:val="auto"/>
          <w:szCs w:val="21"/>
          <w:highlight w:val="none"/>
        </w:rPr>
        <w:t>。</w:t>
      </w:r>
    </w:p>
    <w:p w14:paraId="6987A85D">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其他关于分包的约定：</w:t>
      </w:r>
    </w:p>
    <w:p w14:paraId="58C60846">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除前款约定的分包内容外，经过发包人和监理人同意，承包人可以将其他非主体、非关键性工作分包给第三人，但分包人应当经过发包人和监理人审批。发包人和监理人有权拒绝承包人的分包请求和承包人选择的分包人。</w:t>
      </w:r>
    </w:p>
    <w:p w14:paraId="5E983091">
      <w:pPr>
        <w:spacing w:line="400" w:lineRule="exact"/>
        <w:ind w:left="0" w:firstLine="420" w:firstLineChars="200"/>
        <w:rPr>
          <w:rFonts w:ascii="宋体" w:hAnsi="宋体" w:eastAsia="宋体" w:cs="宋体"/>
          <w:color w:val="auto"/>
          <w:szCs w:val="21"/>
          <w:highlight w:val="none"/>
          <w:u w:val="single"/>
        </w:rPr>
      </w:pPr>
      <w:r>
        <w:rPr>
          <w:rFonts w:hint="eastAsia" w:ascii="宋体" w:hAnsi="宋体" w:eastAsia="宋体" w:cs="宋体"/>
          <w:color w:val="auto"/>
          <w:szCs w:val="21"/>
          <w:highlight w:val="none"/>
        </w:rPr>
        <w:t>（2）在相关分包合同签订并报送有关建设行政主管部门备案后7天内，承包人应当将一份副本提交给监理人，承包人应保障分包工作不得再次分包。</w:t>
      </w:r>
    </w:p>
    <w:p w14:paraId="3F4D52F9">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（3）未经发包人和监理人审批同意的分包工程和分包人，发包人有权拒绝验收分包工程和支付相应款项，由此引起的承包人费用增加和(或)延误的工期由承包人承担。</w:t>
      </w:r>
    </w:p>
    <w:p w14:paraId="53E549E0">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4）承包人有下列非法转包、违法分包及挂靠的情形之一者，发包人有权解除合同，并有权没收承包人的履约保证金：无履约保证金的，承包人须在发生违约后的3个月内一次性向发包人支付违约金，违约金额按本工程合同价的30%计算。</w:t>
      </w:r>
    </w:p>
    <w:p w14:paraId="1D6E6B73">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①个人承包工程，包括本单位及外单位人员承包，发包人不承认其个人拥有任何资质等级及营业许可资格。</w:t>
      </w:r>
    </w:p>
    <w:p w14:paraId="3626FDC5">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②几个人联合承包工程，就地组织暗分包队伍，不具备完成本工程的技术、机械能力，被发包人判定为没有能力履行的承包人。</w:t>
      </w:r>
    </w:p>
    <w:p w14:paraId="24878F5E">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③就地转包全部的工程，以谋取高额转让费、管理费的承包人。</w:t>
      </w:r>
    </w:p>
    <w:p w14:paraId="33569BE8">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④承包人有部分分包现象（其中包括冒充承包人下属单位的挂勾单位，凭口头协议参与施工的分包人及其他暗分包个体户），一经发现核实，发包人将采取驱逐该暗分包人措施。</w:t>
      </w:r>
    </w:p>
    <w:p w14:paraId="66324797">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3.5.4 分包合同价款</w:t>
      </w:r>
    </w:p>
    <w:p w14:paraId="4D28DDBB">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关于分包合同价款支付的约定：</w:t>
      </w:r>
      <w:r>
        <w:rPr>
          <w:rFonts w:hint="eastAsia" w:ascii="宋体" w:hAnsi="宋体" w:eastAsia="宋体" w:cs="宋体"/>
          <w:color w:val="auto"/>
          <w:szCs w:val="21"/>
          <w:highlight w:val="none"/>
          <w:u w:val="single"/>
        </w:rPr>
        <w:t>分包工程价款由承包人与分包人（包括专业分包人）结算。发包人未经承包人同意不得以任何形式向分包人（包括专业分包人）支付相关分包合同项下的任何工程款项。因发包人未经承包人同意直接向分包人（包括专业分包人）支付相关分包合同项下的任何工程款项而影响承包人工作的，所造成的承包人费用增加和（或）延误的工期由发包人承担。</w:t>
      </w:r>
    </w:p>
    <w:p w14:paraId="142E8F71">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3.6 工程照管与成品、半成品保护</w:t>
      </w:r>
    </w:p>
    <w:p w14:paraId="09631461">
      <w:pPr>
        <w:spacing w:line="400" w:lineRule="exact"/>
        <w:ind w:left="0" w:firstLine="420" w:firstLineChars="200"/>
        <w:rPr>
          <w:rFonts w:ascii="宋体" w:hAnsi="宋体" w:eastAsia="宋体" w:cs="宋体"/>
          <w:color w:val="auto"/>
          <w:kern w:val="0"/>
          <w:szCs w:val="21"/>
          <w:highlight w:val="none"/>
          <w:u w:val="single"/>
        </w:rPr>
      </w:pPr>
      <w:r>
        <w:rPr>
          <w:rFonts w:hint="eastAsia" w:ascii="宋体" w:hAnsi="宋体" w:eastAsia="宋体" w:cs="宋体"/>
          <w:color w:val="auto"/>
          <w:kern w:val="0"/>
          <w:szCs w:val="21"/>
          <w:highlight w:val="none"/>
        </w:rPr>
        <w:t>承包人负责照管工程及工程相关的材料、工程设备的起止时间：</w:t>
      </w:r>
      <w:r>
        <w:rPr>
          <w:rFonts w:hint="eastAsia" w:ascii="宋体" w:hAnsi="宋体" w:eastAsia="宋体" w:cs="宋体"/>
          <w:color w:val="auto"/>
          <w:kern w:val="0"/>
          <w:szCs w:val="21"/>
          <w:highlight w:val="none"/>
          <w:u w:val="single"/>
        </w:rPr>
        <w:t xml:space="preserve"> 开工之日起，竣工验收、业主接收手续办齐后   </w:t>
      </w:r>
      <w:r>
        <w:rPr>
          <w:rFonts w:hint="eastAsia" w:ascii="宋体" w:hAnsi="宋体" w:eastAsia="宋体" w:cs="宋体"/>
          <w:color w:val="auto"/>
          <w:kern w:val="0"/>
          <w:szCs w:val="21"/>
          <w:highlight w:val="none"/>
        </w:rPr>
        <w:t>。</w:t>
      </w:r>
    </w:p>
    <w:p w14:paraId="63500012">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3.7 履约保证金</w:t>
      </w:r>
    </w:p>
    <w:p w14:paraId="3F15C111">
      <w:pPr>
        <w:spacing w:line="400" w:lineRule="exact"/>
        <w:ind w:firstLine="420" w:firstLineChars="200"/>
        <w:jc w:val="left"/>
        <w:rPr>
          <w:rFonts w:ascii="宋体" w:hAnsi="宋体" w:cs="宋体"/>
          <w:szCs w:val="21"/>
        </w:rPr>
      </w:pPr>
      <w:r>
        <w:rPr>
          <w:rFonts w:hint="eastAsia" w:ascii="宋体" w:hAnsi="宋体" w:cs="宋体"/>
          <w:szCs w:val="21"/>
        </w:rPr>
        <w:t xml:space="preserve">承包人是否提供履约担保：  </w:t>
      </w:r>
      <w:r>
        <w:rPr>
          <w:rFonts w:hint="eastAsia" w:ascii="宋体" w:hAnsi="宋体" w:cs="宋体"/>
          <w:szCs w:val="21"/>
          <w:lang w:eastAsia="zh-CN"/>
        </w:rPr>
        <w:sym w:font="Wingdings 2" w:char="0052"/>
      </w:r>
      <w:r>
        <w:rPr>
          <w:rFonts w:hint="eastAsia" w:ascii="宋体" w:hAnsi="宋体" w:cs="宋体"/>
          <w:szCs w:val="21"/>
        </w:rPr>
        <w:t xml:space="preserve">是   </w:t>
      </w:r>
      <w:r>
        <w:rPr>
          <w:rFonts w:hint="eastAsia" w:ascii="宋体" w:hAnsi="宋体" w:cs="宋体"/>
          <w:szCs w:val="21"/>
        </w:rPr>
        <w:sym w:font="Wingdings 2" w:char="00A3"/>
      </w:r>
      <w:r>
        <w:rPr>
          <w:rFonts w:hint="eastAsia" w:ascii="宋体" w:hAnsi="宋体" w:cs="宋体"/>
          <w:szCs w:val="21"/>
        </w:rPr>
        <w:t>否。</w:t>
      </w:r>
    </w:p>
    <w:p w14:paraId="29F4A25C">
      <w:pPr>
        <w:autoSpaceDE w:val="0"/>
        <w:autoSpaceDN w:val="0"/>
        <w:adjustRightInd w:val="0"/>
        <w:spacing w:line="40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承包人</w:t>
      </w:r>
      <w:r>
        <w:rPr>
          <w:rFonts w:hint="eastAsia" w:ascii="宋体" w:hAnsi="宋体" w:eastAsia="宋体" w:cs="宋体"/>
          <w:color w:val="auto"/>
          <w:kern w:val="0"/>
          <w:szCs w:val="21"/>
        </w:rPr>
        <w:t>在成交结果公示之日起</w:t>
      </w:r>
      <w:r>
        <w:rPr>
          <w:rFonts w:hint="eastAsia" w:ascii="宋体" w:hAnsi="宋体" w:eastAsia="宋体" w:cs="宋体"/>
          <w:color w:val="auto"/>
          <w:kern w:val="0"/>
          <w:szCs w:val="21"/>
          <w:lang w:val="en-US" w:eastAsia="zh-CN"/>
        </w:rPr>
        <w:t>3</w:t>
      </w:r>
      <w:r>
        <w:rPr>
          <w:rFonts w:hint="eastAsia" w:ascii="宋体" w:hAnsi="宋体" w:eastAsia="宋体" w:cs="宋体"/>
          <w:color w:val="auto"/>
          <w:kern w:val="0"/>
          <w:szCs w:val="21"/>
        </w:rPr>
        <w:t>0日内</w:t>
      </w:r>
      <w:r>
        <w:rPr>
          <w:rFonts w:hint="eastAsia" w:ascii="宋体" w:hAnsi="宋体" w:cs="宋体"/>
          <w:color w:val="auto"/>
          <w:kern w:val="0"/>
          <w:szCs w:val="21"/>
        </w:rPr>
        <w:t>选择以下</w:t>
      </w:r>
      <w:r>
        <w:rPr>
          <w:rFonts w:hint="eastAsia" w:ascii="宋体" w:hAnsi="宋体" w:cs="宋体"/>
          <w:color w:val="auto"/>
          <w:kern w:val="0"/>
          <w:szCs w:val="21"/>
          <w:lang w:val="en-US" w:eastAsia="zh-CN"/>
        </w:rPr>
        <w:t>两</w:t>
      </w:r>
      <w:r>
        <w:rPr>
          <w:rFonts w:hint="eastAsia" w:ascii="宋体" w:hAnsi="宋体" w:cs="宋体"/>
          <w:color w:val="auto"/>
          <w:kern w:val="0"/>
          <w:szCs w:val="21"/>
        </w:rPr>
        <w:t>种方式</w:t>
      </w:r>
      <w:r>
        <w:rPr>
          <w:rFonts w:hint="eastAsia" w:ascii="宋体" w:hAnsi="宋体" w:cs="宋体"/>
          <w:color w:val="auto"/>
          <w:kern w:val="0"/>
          <w:szCs w:val="21"/>
          <w:lang w:val="en-US" w:eastAsia="zh-CN"/>
        </w:rPr>
        <w:t>之一</w:t>
      </w:r>
      <w:r>
        <w:rPr>
          <w:rFonts w:hint="eastAsia" w:ascii="宋体" w:hAnsi="宋体" w:cs="宋体"/>
          <w:color w:val="auto"/>
          <w:kern w:val="0"/>
          <w:szCs w:val="21"/>
        </w:rPr>
        <w:t>提供履约保证金：</w:t>
      </w:r>
    </w:p>
    <w:p w14:paraId="643C6F3C">
      <w:pPr>
        <w:autoSpaceDE w:val="0"/>
        <w:autoSpaceDN w:val="0"/>
        <w:adjustRightInd w:val="0"/>
        <w:spacing w:line="40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rPr>
        <w:t>（1）</w:t>
      </w:r>
      <w:r>
        <w:rPr>
          <w:rFonts w:hint="eastAsia" w:ascii="宋体" w:hAnsi="宋体" w:cs="宋体"/>
          <w:color w:val="auto"/>
          <w:kern w:val="0"/>
          <w:szCs w:val="21"/>
          <w:highlight w:val="none"/>
          <w:lang w:val="en-US" w:eastAsia="zh-CN"/>
        </w:rPr>
        <w:t>采用银行、保险机构出具的保函的</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承包人向发包人</w:t>
      </w:r>
      <w:r>
        <w:rPr>
          <w:rFonts w:hint="eastAsia" w:ascii="宋体" w:hAnsi="宋体" w:eastAsia="宋体" w:cs="宋体"/>
          <w:szCs w:val="21"/>
          <w:highlight w:val="none"/>
          <w:lang w:val="en-US" w:eastAsia="zh-CN"/>
        </w:rPr>
        <w:t>提供履约保证金金额为签约合同价（扣除材料和工程设备暂估价、专业工程暂估价、安全生产责任保险费暂估价、暂列金额）的2%的银行保函（若承包人为小微企业或监狱企业或残疾人福利性单位，则免收履约保证金）</w:t>
      </w:r>
      <w:r>
        <w:rPr>
          <w:rFonts w:hint="eastAsia" w:ascii="宋体" w:hAnsi="宋体" w:eastAsia="宋体" w:cs="宋体"/>
          <w:color w:val="auto"/>
          <w:kern w:val="0"/>
          <w:szCs w:val="21"/>
          <w:highlight w:val="none"/>
          <w:lang w:val="en-US" w:eastAsia="zh-CN"/>
        </w:rPr>
        <w:t>。</w:t>
      </w:r>
      <w:r>
        <w:rPr>
          <w:rFonts w:hint="eastAsia" w:ascii="宋体" w:hAnsi="宋体" w:cs="宋体"/>
          <w:b/>
          <w:bCs/>
          <w:color w:val="auto"/>
          <w:kern w:val="0"/>
          <w:szCs w:val="21"/>
          <w:highlight w:val="none"/>
          <w:lang w:val="en-US" w:eastAsia="zh-CN"/>
        </w:rPr>
        <w:t>银行</w:t>
      </w:r>
      <w:r>
        <w:rPr>
          <w:rFonts w:hint="eastAsia" w:ascii="宋体" w:hAnsi="宋体" w:eastAsia="宋体" w:cs="宋体"/>
          <w:color w:val="auto"/>
          <w:kern w:val="0"/>
          <w:szCs w:val="21"/>
          <w:highlight w:val="none"/>
          <w:lang w:val="en-US" w:eastAsia="zh-CN"/>
        </w:rPr>
        <w:t>保函</w:t>
      </w:r>
      <w:r>
        <w:rPr>
          <w:rFonts w:hint="eastAsia" w:ascii="宋体" w:hAnsi="宋体" w:cs="宋体"/>
          <w:color w:val="auto"/>
          <w:kern w:val="0"/>
          <w:szCs w:val="21"/>
          <w:highlight w:val="none"/>
        </w:rPr>
        <w:t>期限</w:t>
      </w:r>
      <w:r>
        <w:rPr>
          <w:rFonts w:hint="eastAsia" w:ascii="宋体" w:hAnsi="宋体" w:cs="宋体"/>
          <w:color w:val="auto"/>
          <w:kern w:val="0"/>
          <w:szCs w:val="21"/>
          <w:highlight w:val="none"/>
          <w:lang w:val="en-US" w:eastAsia="zh-CN"/>
        </w:rPr>
        <w:t>须</w:t>
      </w:r>
      <w:r>
        <w:rPr>
          <w:rFonts w:hint="eastAsia" w:ascii="宋体" w:hAnsi="宋体" w:cs="宋体"/>
          <w:color w:val="auto"/>
          <w:kern w:val="0"/>
          <w:szCs w:val="21"/>
          <w:highlight w:val="none"/>
        </w:rPr>
        <w:t>覆盖本合同约定工期；出现工期延长，超出</w:t>
      </w:r>
      <w:r>
        <w:rPr>
          <w:rFonts w:hint="eastAsia" w:ascii="宋体" w:hAnsi="宋体" w:cs="宋体"/>
          <w:b/>
          <w:bCs/>
          <w:color w:val="auto"/>
          <w:kern w:val="0"/>
          <w:szCs w:val="21"/>
          <w:highlight w:val="none"/>
          <w:lang w:val="en-US" w:eastAsia="zh-CN"/>
        </w:rPr>
        <w:t>银行</w:t>
      </w:r>
      <w:r>
        <w:rPr>
          <w:rFonts w:hint="eastAsia" w:ascii="宋体" w:hAnsi="宋体" w:cs="宋体"/>
          <w:color w:val="auto"/>
          <w:kern w:val="0"/>
          <w:szCs w:val="21"/>
          <w:highlight w:val="none"/>
        </w:rPr>
        <w:t>保函期限的，承包人应在</w:t>
      </w:r>
      <w:r>
        <w:rPr>
          <w:rFonts w:hint="eastAsia" w:ascii="宋体" w:hAnsi="宋体" w:cs="宋体"/>
          <w:b/>
          <w:bCs/>
          <w:color w:val="auto"/>
          <w:kern w:val="0"/>
          <w:szCs w:val="21"/>
          <w:highlight w:val="none"/>
          <w:lang w:val="en-US" w:eastAsia="zh-CN"/>
        </w:rPr>
        <w:t>银行</w:t>
      </w:r>
      <w:r>
        <w:rPr>
          <w:rFonts w:hint="eastAsia" w:ascii="宋体" w:hAnsi="宋体" w:cs="宋体"/>
          <w:color w:val="auto"/>
          <w:kern w:val="0"/>
          <w:szCs w:val="21"/>
          <w:highlight w:val="none"/>
        </w:rPr>
        <w:t>保函期限</w:t>
      </w:r>
      <w:r>
        <w:rPr>
          <w:rFonts w:hint="eastAsia" w:ascii="宋体" w:hAnsi="宋体" w:cs="宋体"/>
          <w:color w:val="auto"/>
          <w:kern w:val="0"/>
          <w:szCs w:val="21"/>
          <w:highlight w:val="none"/>
          <w:lang w:val="en-US" w:eastAsia="zh-CN"/>
        </w:rPr>
        <w:t>届满</w:t>
      </w:r>
      <w:r>
        <w:rPr>
          <w:rFonts w:hint="eastAsia" w:ascii="宋体" w:hAnsi="宋体" w:cs="宋体"/>
          <w:color w:val="auto"/>
          <w:kern w:val="0"/>
          <w:szCs w:val="21"/>
          <w:highlight w:val="none"/>
        </w:rPr>
        <w:t>前办理</w:t>
      </w:r>
      <w:r>
        <w:rPr>
          <w:rFonts w:hint="eastAsia" w:ascii="宋体" w:hAnsi="宋体" w:cs="宋体"/>
          <w:b/>
          <w:bCs/>
          <w:color w:val="auto"/>
          <w:kern w:val="0"/>
          <w:szCs w:val="21"/>
          <w:highlight w:val="none"/>
          <w:lang w:val="en-US" w:eastAsia="zh-CN"/>
        </w:rPr>
        <w:t>银行</w:t>
      </w:r>
      <w:r>
        <w:rPr>
          <w:rFonts w:hint="eastAsia" w:ascii="宋体" w:hAnsi="宋体" w:cs="宋体"/>
          <w:color w:val="auto"/>
          <w:kern w:val="0"/>
          <w:szCs w:val="21"/>
          <w:highlight w:val="none"/>
        </w:rPr>
        <w:t>保函延期，保证工程竣工验收合格前</w:t>
      </w:r>
      <w:r>
        <w:rPr>
          <w:rFonts w:hint="eastAsia" w:ascii="宋体" w:hAnsi="宋体" w:cs="宋体"/>
          <w:b/>
          <w:bCs/>
          <w:color w:val="auto"/>
          <w:kern w:val="0"/>
          <w:szCs w:val="21"/>
          <w:highlight w:val="none"/>
          <w:lang w:val="en-US" w:eastAsia="zh-CN"/>
        </w:rPr>
        <w:t>银行</w:t>
      </w:r>
      <w:r>
        <w:rPr>
          <w:rFonts w:hint="eastAsia" w:ascii="宋体" w:hAnsi="宋体" w:cs="宋体"/>
          <w:color w:val="auto"/>
          <w:kern w:val="0"/>
          <w:szCs w:val="21"/>
          <w:highlight w:val="none"/>
        </w:rPr>
        <w:t>保函持续有效。因承包人原因导致工期延长的，继续提供履约担保所增加的费用由承包人承担；非因承包人原因导致工期延长的，继续提供履约担保所增加的费用由发包人承担。因承包人未及时办理</w:t>
      </w:r>
      <w:r>
        <w:rPr>
          <w:rFonts w:hint="eastAsia" w:ascii="宋体" w:hAnsi="宋体" w:cs="宋体"/>
          <w:b/>
          <w:bCs/>
          <w:color w:val="auto"/>
          <w:kern w:val="0"/>
          <w:szCs w:val="21"/>
          <w:highlight w:val="none"/>
          <w:lang w:val="en-US" w:eastAsia="zh-CN"/>
        </w:rPr>
        <w:t>银行</w:t>
      </w:r>
      <w:r>
        <w:rPr>
          <w:rFonts w:hint="eastAsia" w:ascii="宋体" w:hAnsi="宋体" w:cs="宋体"/>
          <w:color w:val="auto"/>
          <w:kern w:val="0"/>
          <w:szCs w:val="21"/>
          <w:highlight w:val="none"/>
        </w:rPr>
        <w:t>保函造成的损失由承包人承担。</w:t>
      </w:r>
    </w:p>
    <w:p w14:paraId="5E62F40E">
      <w:pPr>
        <w:numPr>
          <w:ilvl w:val="0"/>
          <w:numId w:val="3"/>
        </w:numPr>
        <w:autoSpaceDE w:val="0"/>
        <w:autoSpaceDN w:val="0"/>
        <w:adjustRightInd w:val="0"/>
        <w:spacing w:line="400" w:lineRule="exact"/>
        <w:ind w:firstLine="420" w:firstLineChars="200"/>
        <w:jc w:val="left"/>
        <w:rPr>
          <w:color w:val="auto"/>
        </w:rPr>
      </w:pPr>
      <w:r>
        <w:rPr>
          <w:rFonts w:hint="eastAsia" w:ascii="宋体" w:hAnsi="宋体" w:cs="宋体"/>
          <w:color w:val="auto"/>
          <w:szCs w:val="21"/>
          <w:highlight w:val="none"/>
          <w:lang w:val="en-US" w:eastAsia="zh-CN"/>
        </w:rPr>
        <w:t>采用银行转账、支票、汇票、本票等非现金方式的</w:t>
      </w:r>
      <w:r>
        <w:rPr>
          <w:rFonts w:hint="eastAsia" w:ascii="宋体" w:hAnsi="宋体" w:cs="宋体"/>
          <w:color w:val="auto"/>
          <w:sz w:val="24"/>
          <w:highlight w:val="none"/>
        </w:rPr>
        <w:t>：</w:t>
      </w:r>
      <w:r>
        <w:rPr>
          <w:rFonts w:hint="eastAsia" w:ascii="宋体" w:hAnsi="宋体" w:eastAsia="宋体" w:cs="宋体"/>
          <w:szCs w:val="21"/>
          <w:highlight w:val="none"/>
          <w:lang w:val="en-US" w:eastAsia="zh-CN"/>
        </w:rPr>
        <w:t>承包人向发包人提交签约合同价（扣除材料和工程设备暂估价、专业工程暂估价、安全生产责任保险费暂估价、暂列金额）的2%的履约保证金（若承包人为小微企业或监狱企业或残疾人福利性单位，则免收履约保证金）</w:t>
      </w:r>
      <w:r>
        <w:rPr>
          <w:rFonts w:hint="eastAsia" w:ascii="宋体" w:hAnsi="宋体" w:eastAsia="宋体" w:cs="宋体"/>
          <w:color w:val="auto"/>
          <w:kern w:val="0"/>
          <w:szCs w:val="21"/>
          <w:highlight w:val="none"/>
          <w:lang w:val="en-US" w:eastAsia="zh-CN"/>
        </w:rPr>
        <w:t>即人民币</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eastAsia="zh-CN"/>
        </w:rPr>
        <w:t>（</w:t>
      </w:r>
      <w:r>
        <w:rPr>
          <w:rFonts w:hint="eastAsia" w:ascii="宋体" w:hAnsi="宋体" w:cs="宋体"/>
          <w:color w:val="auto"/>
          <w:szCs w:val="21"/>
          <w:highlight w:val="none"/>
          <w:u w:val="single"/>
          <w:lang w:val="en-US" w:eastAsia="zh-CN"/>
        </w:rPr>
        <w:t xml:space="preserve">      </w:t>
      </w:r>
      <w:r>
        <w:rPr>
          <w:rFonts w:hint="eastAsia" w:ascii="宋体" w:hAnsi="宋体" w:cs="宋体"/>
          <w:color w:val="auto"/>
          <w:kern w:val="0"/>
          <w:szCs w:val="21"/>
          <w:highlight w:val="none"/>
          <w:u w:val="single"/>
        </w:rPr>
        <w:t>元</w:t>
      </w:r>
      <w:r>
        <w:rPr>
          <w:rFonts w:hint="eastAsia" w:ascii="宋体" w:hAnsi="宋体" w:cs="宋体"/>
          <w:color w:val="auto"/>
          <w:szCs w:val="21"/>
          <w:highlight w:val="none"/>
          <w:u w:val="single"/>
          <w:lang w:eastAsia="zh-CN"/>
        </w:rPr>
        <w:t>）</w:t>
      </w:r>
      <w:r>
        <w:rPr>
          <w:rFonts w:hint="eastAsia" w:ascii="宋体" w:hAnsi="宋体" w:cs="宋体"/>
          <w:color w:val="auto"/>
          <w:kern w:val="0"/>
          <w:szCs w:val="21"/>
          <w:highlight w:val="none"/>
          <w:u w:val="single"/>
        </w:rPr>
        <w:t>，从承包人的基本账户转账到发包人指定账户，</w:t>
      </w:r>
      <w:r>
        <w:rPr>
          <w:rFonts w:hint="eastAsia" w:ascii="宋体" w:hAnsi="宋体" w:cs="宋体"/>
          <w:color w:val="auto"/>
          <w:szCs w:val="21"/>
          <w:highlight w:val="none"/>
          <w:u w:val="single"/>
        </w:rPr>
        <w:t>履约保证金在工程</w:t>
      </w:r>
      <w:r>
        <w:rPr>
          <w:rFonts w:hint="eastAsia" w:ascii="宋体" w:hAnsi="宋体" w:cs="宋体"/>
          <w:color w:val="auto"/>
          <w:szCs w:val="21"/>
          <w:u w:val="single"/>
        </w:rPr>
        <w:t>竣工验收合格并对验收发现的问题完成整改后，在承包人完成（施工）竣工资料备案及按柳财审【2013】10号文的要求提交完整的工程竣工结算资料送审的</w:t>
      </w:r>
      <w:r>
        <w:rPr>
          <w:rFonts w:hint="eastAsia" w:ascii="宋体" w:hAnsi="宋体" w:cs="宋体"/>
          <w:color w:val="auto"/>
          <w:szCs w:val="21"/>
          <w:u w:val="single"/>
          <w:lang w:val="en-US" w:eastAsia="zh-CN"/>
        </w:rPr>
        <w:t>10个工作日</w:t>
      </w:r>
      <w:r>
        <w:rPr>
          <w:rFonts w:hint="eastAsia" w:ascii="宋体" w:hAnsi="宋体" w:cs="宋体"/>
          <w:color w:val="auto"/>
          <w:szCs w:val="21"/>
          <w:u w:val="single"/>
        </w:rPr>
        <w:t>内，支付履约</w:t>
      </w:r>
      <w:r>
        <w:rPr>
          <w:rFonts w:hint="eastAsia" w:ascii="宋体" w:hAnsi="宋体" w:cs="宋体"/>
          <w:color w:val="auto"/>
          <w:szCs w:val="21"/>
          <w:u w:val="single"/>
          <w:lang w:val="en-US" w:eastAsia="zh-CN"/>
        </w:rPr>
        <w:t>保证</w:t>
      </w:r>
      <w:r>
        <w:rPr>
          <w:rFonts w:hint="eastAsia" w:ascii="宋体" w:hAnsi="宋体" w:cs="宋体"/>
          <w:color w:val="auto"/>
          <w:szCs w:val="21"/>
          <w:u w:val="single"/>
        </w:rPr>
        <w:t>金的70%；承包人向发包人提供发包人委托的造价咨询单位出具的项目评审结论书后，可向发包人申请退还剩余履约保证金，发包人应在收到申请之日起</w:t>
      </w:r>
      <w:r>
        <w:rPr>
          <w:rFonts w:hint="eastAsia" w:ascii="宋体" w:hAnsi="宋体" w:cs="宋体"/>
          <w:color w:val="auto"/>
          <w:szCs w:val="21"/>
          <w:u w:val="single"/>
          <w:lang w:val="en-US" w:eastAsia="zh-CN"/>
        </w:rPr>
        <w:t>10个工作日</w:t>
      </w:r>
      <w:r>
        <w:rPr>
          <w:rFonts w:hint="eastAsia" w:ascii="宋体" w:hAnsi="宋体" w:cs="宋体"/>
          <w:color w:val="auto"/>
          <w:szCs w:val="21"/>
          <w:u w:val="single"/>
        </w:rPr>
        <w:t>内扣减承包人赔偿金和其他应从承包人扣回的款项后，将履约金的余额退还给承包人（无息）</w:t>
      </w:r>
      <w:r>
        <w:rPr>
          <w:rFonts w:hint="eastAsia" w:ascii="宋体" w:hAnsi="宋体" w:cs="宋体"/>
          <w:color w:val="auto"/>
          <w:kern w:val="0"/>
          <w:szCs w:val="21"/>
          <w:u w:val="single"/>
        </w:rPr>
        <w:t>。</w:t>
      </w:r>
    </w:p>
    <w:p w14:paraId="639F06E3">
      <w:pPr>
        <w:keepNext/>
        <w:keepLines/>
        <w:spacing w:line="400" w:lineRule="exact"/>
        <w:ind w:left="0" w:firstLine="422" w:firstLineChars="200"/>
        <w:outlineLvl w:val="3"/>
        <w:rPr>
          <w:rFonts w:ascii="宋体" w:hAnsi="宋体" w:eastAsia="宋体" w:cs="宋体"/>
          <w:b/>
          <w:bCs/>
          <w:color w:val="auto"/>
          <w:szCs w:val="21"/>
          <w:highlight w:val="none"/>
        </w:rPr>
      </w:pPr>
      <w:r>
        <w:rPr>
          <w:rFonts w:hint="eastAsia" w:ascii="宋体" w:hAnsi="宋体" w:eastAsia="宋体" w:cs="宋体"/>
          <w:b/>
          <w:bCs/>
          <w:color w:val="auto"/>
          <w:szCs w:val="21"/>
          <w:highlight w:val="none"/>
        </w:rPr>
        <w:t>4. 监理人</w:t>
      </w:r>
    </w:p>
    <w:p w14:paraId="045B84CA">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4.1监理人的一般规定</w:t>
      </w:r>
    </w:p>
    <w:p w14:paraId="74B60B0F">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关于监理人的监理内容：</w:t>
      </w:r>
      <w:r>
        <w:rPr>
          <w:rFonts w:hint="eastAsia" w:ascii="宋体" w:hAnsi="宋体" w:eastAsia="宋体" w:cs="宋体"/>
          <w:color w:val="auto"/>
          <w:szCs w:val="21"/>
          <w:highlight w:val="none"/>
          <w:u w:val="single"/>
        </w:rPr>
        <w:t>本项目无监理人</w:t>
      </w:r>
      <w:r>
        <w:rPr>
          <w:rFonts w:hint="eastAsia" w:ascii="宋体" w:hAnsi="宋体" w:eastAsia="宋体" w:cs="宋体"/>
          <w:color w:val="auto"/>
          <w:szCs w:val="21"/>
          <w:highlight w:val="none"/>
        </w:rPr>
        <w:t>。合同内需监理人确认的事项，均由发包人代为执行。</w:t>
      </w:r>
    </w:p>
    <w:p w14:paraId="38D96296">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关于监理人的监理权限：</w:t>
      </w:r>
      <w:r>
        <w:rPr>
          <w:rFonts w:ascii="宋体" w:hAnsi="宋体" w:eastAsia="宋体" w:cs="宋体"/>
          <w:b w:val="0"/>
          <w:bCs w:val="0"/>
          <w:color w:val="auto"/>
          <w:kern w:val="0"/>
          <w:sz w:val="21"/>
          <w:szCs w:val="21"/>
          <w:highlight w:val="none"/>
          <w:u w:val="single"/>
          <w:lang w:val="en-US" w:eastAsia="zh-CN" w:bidi="ar"/>
        </w:rPr>
        <w:t>发包人</w:t>
      </w:r>
      <w:r>
        <w:rPr>
          <w:rFonts w:hint="eastAsia" w:ascii="宋体" w:hAnsi="宋体" w:eastAsia="宋体" w:cs="宋体"/>
          <w:b w:val="0"/>
          <w:bCs w:val="0"/>
          <w:color w:val="auto"/>
          <w:kern w:val="0"/>
          <w:sz w:val="21"/>
          <w:szCs w:val="21"/>
          <w:highlight w:val="none"/>
          <w:u w:val="single"/>
          <w:lang w:val="en-US" w:eastAsia="zh-CN" w:bidi="ar"/>
        </w:rPr>
        <w:t>指定的现场代表</w:t>
      </w:r>
      <w:r>
        <w:rPr>
          <w:rFonts w:ascii="宋体" w:hAnsi="宋体" w:eastAsia="宋体" w:cs="宋体"/>
          <w:b w:val="0"/>
          <w:bCs w:val="0"/>
          <w:color w:val="auto"/>
          <w:kern w:val="0"/>
          <w:sz w:val="21"/>
          <w:szCs w:val="21"/>
          <w:highlight w:val="none"/>
          <w:u w:val="single"/>
          <w:lang w:val="en-US" w:eastAsia="zh-CN" w:bidi="ar"/>
        </w:rPr>
        <w:t>严格按照本合同约定及授权文件履行监理职责，具体权限与《建设工程监理规范》（GB/T50319-2013）要求一致</w:t>
      </w:r>
      <w:r>
        <w:rPr>
          <w:rFonts w:hint="eastAsia" w:ascii="宋体" w:hAnsi="宋体" w:eastAsia="宋体" w:cs="宋体"/>
          <w:b w:val="0"/>
          <w:bCs w:val="0"/>
          <w:color w:val="auto"/>
          <w:kern w:val="0"/>
          <w:sz w:val="21"/>
          <w:szCs w:val="21"/>
          <w:highlight w:val="none"/>
          <w:u w:val="single"/>
          <w:lang w:val="en-US" w:eastAsia="zh-CN" w:bidi="ar"/>
        </w:rPr>
        <w:t>。</w:t>
      </w:r>
    </w:p>
    <w:p w14:paraId="612434F9">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4.1.1监理人必须履行合同规定的职责。</w:t>
      </w:r>
    </w:p>
    <w:p w14:paraId="44D9A3A9">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4.1.2各级监理人可以行使监理合同规定和本合同规定的相应职权。</w:t>
      </w:r>
    </w:p>
    <w:p w14:paraId="2DBEFC84">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监理人在行使以下规定的职权之前，应先取得发包人的专门批准：</w:t>
      </w:r>
    </w:p>
    <w:p w14:paraId="5949F3C3">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4.1.2.1审查批准施工组织设计和技术方案，按照保证质量、保证工期和降低成本的原则，自主向承包人提出建议，并向发包人提出书面报告；如果拟提出的建议会降低质量标准、提高工程造价或延长工期，应事先取得发包人的同意。</w:t>
      </w:r>
    </w:p>
    <w:p w14:paraId="057BA068">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4.1.2.2工程建设过程中有关协作单位的组织协调的主持权，重要协调事项应事先向发包人报告。</w:t>
      </w:r>
    </w:p>
    <w:p w14:paraId="588C265A">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4.1.2.3承包人提出分包申请，报总监理工程师审查并取得发包人批准。</w:t>
      </w:r>
    </w:p>
    <w:p w14:paraId="03696123">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4.1.2.4承包人遇到凭其经验无法预见的外界障碍或自然条件，并已实际造成增加费用超过2000元时，经总监理工程师审核后报发包人批准。</w:t>
      </w:r>
    </w:p>
    <w:p w14:paraId="22FE5699">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4.1.2.5审查批准采用的技术规范或设计变更。如果审批意见会降低质量标准、提高工程造价或延长工期，应事先取得发包人的同意。</w:t>
      </w:r>
    </w:p>
    <w:p w14:paraId="0F9FD259">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4.1.2.6如果发生紧急情况，监理人认为将造成人员伤亡，或危及本工程或邻近的财产须立即采取行动，监理人有权在未征得发包人的批准的情况下发布处理紧急情况所必需的指令，承包人应予执行。监理人确定因上述指令产生的合同价格的增加额，报发包人批准后通知承包人。</w:t>
      </w:r>
    </w:p>
    <w:p w14:paraId="04F7E43D">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4.1.3除在合同中有明确的规定外，监理人无权解除合同规定的承包人的任何权利和义务。</w:t>
      </w:r>
    </w:p>
    <w:p w14:paraId="369CD214">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4.1.4监理人有权要求承包人撤换由其派遣或雇用的那些工作不能胜任、或玩忽职守、工作不负责的人员。上述撤换的人员未经监理人同意不得重新回到本合同工程工作。</w:t>
      </w:r>
    </w:p>
    <w:p w14:paraId="721C0B59">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关于监理人在施工现场的办公场所、生活场所的提供和费用承担的约定：</w:t>
      </w:r>
      <w:r>
        <w:rPr>
          <w:rFonts w:hint="eastAsia" w:ascii="宋体" w:hAnsi="宋体" w:eastAsia="宋体" w:cs="宋体"/>
          <w:color w:val="auto"/>
          <w:szCs w:val="21"/>
          <w:highlight w:val="none"/>
          <w:u w:val="single"/>
        </w:rPr>
        <w:t>由承包人提供，费用含在承包人的投标报价里</w:t>
      </w:r>
      <w:r>
        <w:rPr>
          <w:rFonts w:hint="eastAsia" w:ascii="宋体" w:hAnsi="宋体" w:eastAsia="宋体" w:cs="宋体"/>
          <w:color w:val="auto"/>
          <w:szCs w:val="21"/>
          <w:highlight w:val="none"/>
        </w:rPr>
        <w:t>。</w:t>
      </w:r>
    </w:p>
    <w:p w14:paraId="4593FF76">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4.1.5承包人必须按时按要求执行监理工程师发出的指令。承包人无正当理由拒绝执行或未在指令规定的时间而拖延执行的，视为承包人违约，</w:t>
      </w:r>
      <w:r>
        <w:rPr>
          <w:rFonts w:hint="eastAsia" w:ascii="宋体" w:hAnsi="宋体" w:eastAsia="宋体" w:cs="宋体"/>
          <w:color w:val="auto"/>
          <w:szCs w:val="21"/>
          <w:highlight w:val="none"/>
          <w:u w:val="single"/>
        </w:rPr>
        <w:t>承包人须承担5000元/次(人民币) 违约金，违约金在当期的进度计量款支付时抵扣</w:t>
      </w:r>
      <w:r>
        <w:rPr>
          <w:rFonts w:hint="eastAsia" w:ascii="宋体" w:hAnsi="宋体" w:eastAsia="宋体" w:cs="宋体"/>
          <w:color w:val="auto"/>
          <w:szCs w:val="21"/>
          <w:highlight w:val="none"/>
        </w:rPr>
        <w:t>。</w:t>
      </w:r>
    </w:p>
    <w:p w14:paraId="59F64AE2">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4.1.6现场监理工程师必须如实、准确、及时地签署工程联系单、工程签证单、分部分项验收的竣工图及其它需监理工程师签署意见的文件资料，监理工程师在收到承包人提交的资料之日起5个工作日内必须签署意见，工程总体竣工验收的竣工图纸及其它相关资料的审核、签认必须在收到承包人提交资料起15天内签署完毕，否则，每逾期一天，监理人须支付1000元/天的违约金，且发包人将视监理人有索贿嫌疑进行处理。</w:t>
      </w:r>
    </w:p>
    <w:p w14:paraId="34BB5ABB">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4.2 监理人员</w:t>
      </w:r>
    </w:p>
    <w:p w14:paraId="189A51EF">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总监理工程师：</w:t>
      </w:r>
    </w:p>
    <w:p w14:paraId="062EA0E4">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姓    名：</w:t>
      </w:r>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4B52D9C5">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职    务：</w:t>
      </w:r>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w:t>
      </w:r>
      <w:r>
        <w:rPr>
          <w:rFonts w:hint="eastAsia" w:ascii="宋体" w:hAnsi="宋体" w:eastAsia="宋体" w:cs="宋体"/>
          <w:color w:val="auto"/>
          <w:szCs w:val="21"/>
          <w:highlight w:val="none"/>
        </w:rPr>
        <w:t>；</w:t>
      </w:r>
    </w:p>
    <w:p w14:paraId="5E6C258C">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监理工程师执业资格证书号：</w:t>
      </w:r>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w:t>
      </w:r>
      <w:r>
        <w:rPr>
          <w:rFonts w:hint="eastAsia" w:ascii="宋体" w:hAnsi="宋体" w:eastAsia="宋体" w:cs="宋体"/>
          <w:color w:val="auto"/>
          <w:szCs w:val="21"/>
          <w:highlight w:val="none"/>
        </w:rPr>
        <w:t>；</w:t>
      </w:r>
    </w:p>
    <w:p w14:paraId="5A0C9667">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联系电话：</w:t>
      </w:r>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6ED37A9A">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电子信箱：</w:t>
      </w:r>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5C813BA2">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通信地址：</w:t>
      </w:r>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6E5E0774">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关于监理人的其他约定：</w:t>
      </w:r>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1728B08F">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4.4商定或确定</w:t>
      </w:r>
    </w:p>
    <w:p w14:paraId="21CAE501">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在发包人和承包人不能通过协商达成一致意见时，发包人授权监理人对以下事项进行确定：</w:t>
      </w:r>
      <w:r>
        <w:rPr>
          <w:rFonts w:hint="eastAsia" w:ascii="宋体" w:hAnsi="宋体" w:eastAsia="宋体" w:cs="宋体"/>
          <w:color w:val="auto"/>
          <w:szCs w:val="21"/>
          <w:highlight w:val="none"/>
          <w:u w:val="single"/>
        </w:rPr>
        <w:t xml:space="preserve">  /   </w:t>
      </w:r>
      <w:r>
        <w:rPr>
          <w:rFonts w:hint="eastAsia" w:ascii="宋体" w:hAnsi="宋体" w:eastAsia="宋体" w:cs="宋体"/>
          <w:color w:val="auto"/>
          <w:szCs w:val="21"/>
          <w:highlight w:val="none"/>
        </w:rPr>
        <w:t>。</w:t>
      </w:r>
    </w:p>
    <w:p w14:paraId="23F6CE9F">
      <w:pPr>
        <w:keepNext/>
        <w:keepLines/>
        <w:spacing w:line="400" w:lineRule="exact"/>
        <w:ind w:left="0" w:firstLine="422" w:firstLineChars="200"/>
        <w:outlineLvl w:val="3"/>
        <w:rPr>
          <w:rFonts w:ascii="宋体" w:hAnsi="宋体" w:eastAsia="宋体" w:cs="宋体"/>
          <w:b/>
          <w:bCs/>
          <w:color w:val="auto"/>
          <w:szCs w:val="21"/>
          <w:highlight w:val="none"/>
        </w:rPr>
      </w:pPr>
      <w:r>
        <w:rPr>
          <w:rFonts w:hint="eastAsia" w:ascii="宋体" w:hAnsi="宋体" w:eastAsia="宋体" w:cs="宋体"/>
          <w:b/>
          <w:bCs/>
          <w:color w:val="auto"/>
          <w:szCs w:val="21"/>
          <w:highlight w:val="none"/>
        </w:rPr>
        <w:t>5. 工程质量</w:t>
      </w:r>
    </w:p>
    <w:p w14:paraId="70F0388E">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5.1 质量要求</w:t>
      </w:r>
    </w:p>
    <w:p w14:paraId="61B05138">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5.1.1 特殊质量标准和要求：</w:t>
      </w:r>
      <w:r>
        <w:rPr>
          <w:rFonts w:hint="eastAsia" w:ascii="宋体" w:hAnsi="宋体" w:eastAsia="宋体" w:cs="宋体"/>
          <w:bCs/>
          <w:color w:val="auto"/>
          <w:szCs w:val="21"/>
          <w:highlight w:val="none"/>
          <w:u w:val="single"/>
        </w:rPr>
        <w:t>工程质量达到国家施工验收规范合格标准。承包人应按现行的国家施工验收规范和质量评定合格标准施工</w:t>
      </w:r>
      <w:r>
        <w:rPr>
          <w:rFonts w:hint="eastAsia" w:ascii="宋体" w:hAnsi="宋体" w:eastAsia="宋体" w:cs="宋体"/>
          <w:color w:val="auto"/>
          <w:szCs w:val="21"/>
          <w:highlight w:val="none"/>
        </w:rPr>
        <w:t>。</w:t>
      </w:r>
    </w:p>
    <w:p w14:paraId="4E7F1A4C">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关于工程奖项的约定：</w:t>
      </w:r>
      <w:r>
        <w:rPr>
          <w:rFonts w:hint="eastAsia" w:ascii="宋体" w:hAnsi="宋体" w:eastAsia="宋体" w:cs="宋体"/>
          <w:color w:val="auto"/>
          <w:szCs w:val="21"/>
          <w:highlight w:val="none"/>
          <w:u w:val="single"/>
        </w:rPr>
        <w:t xml:space="preserve">  另行约定  </w:t>
      </w:r>
      <w:r>
        <w:rPr>
          <w:rFonts w:hint="eastAsia" w:ascii="宋体" w:hAnsi="宋体" w:eastAsia="宋体" w:cs="宋体"/>
          <w:color w:val="auto"/>
          <w:szCs w:val="21"/>
          <w:highlight w:val="none"/>
        </w:rPr>
        <w:t>。</w:t>
      </w:r>
    </w:p>
    <w:p w14:paraId="57BD93DE">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5.3 隐蔽工程检查</w:t>
      </w:r>
    </w:p>
    <w:p w14:paraId="4748176C">
      <w:pPr>
        <w:spacing w:line="400" w:lineRule="exact"/>
        <w:ind w:left="0" w:firstLine="420" w:firstLineChars="200"/>
        <w:jc w:val="left"/>
        <w:rPr>
          <w:rFonts w:ascii="宋体" w:hAnsi="宋体" w:eastAsia="宋体" w:cs="宋体"/>
          <w:color w:val="auto"/>
          <w:szCs w:val="21"/>
          <w:highlight w:val="none"/>
          <w:u w:val="single"/>
        </w:rPr>
      </w:pPr>
      <w:r>
        <w:rPr>
          <w:rFonts w:hint="eastAsia" w:ascii="宋体" w:hAnsi="宋体" w:eastAsia="宋体" w:cs="宋体"/>
          <w:color w:val="auto"/>
          <w:szCs w:val="21"/>
          <w:highlight w:val="none"/>
        </w:rPr>
        <w:t>5.3.2承包人提前通知监理人隐蔽工程检查的期限的约定：</w:t>
      </w:r>
      <w:r>
        <w:rPr>
          <w:rFonts w:hint="eastAsia" w:ascii="宋体" w:hAnsi="宋体" w:eastAsia="宋体" w:cs="宋体"/>
          <w:bCs/>
          <w:color w:val="auto"/>
          <w:szCs w:val="21"/>
          <w:highlight w:val="none"/>
        </w:rPr>
        <w:t>工程隐蔽或中间验收前12小时以书面形式通知发包人和监理工程师验收的内容、时间、地点，承包人准备验收记录单（最好是印制的表格）由双方签证。验收合格，承包人可进行隐蔽和继续施工；验收不合格，双方商订时限内修改后按上述循序重新验收。</w:t>
      </w:r>
    </w:p>
    <w:p w14:paraId="074BD775">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监理人不能按时进行检查时，应提前</w:t>
      </w:r>
      <w:r>
        <w:rPr>
          <w:rFonts w:hint="eastAsia" w:ascii="宋体" w:hAnsi="宋体" w:eastAsia="宋体" w:cs="宋体"/>
          <w:color w:val="auto"/>
          <w:szCs w:val="21"/>
          <w:highlight w:val="none"/>
          <w:u w:val="single"/>
        </w:rPr>
        <w:t xml:space="preserve"> 24 </w:t>
      </w:r>
      <w:r>
        <w:rPr>
          <w:rFonts w:hint="eastAsia" w:ascii="宋体" w:hAnsi="宋体" w:eastAsia="宋体" w:cs="宋体"/>
          <w:color w:val="auto"/>
          <w:szCs w:val="21"/>
          <w:highlight w:val="none"/>
        </w:rPr>
        <w:t>小时提交书面延期要求。</w:t>
      </w:r>
    </w:p>
    <w:p w14:paraId="26EA1881">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关于延期最长不得超过：</w:t>
      </w:r>
      <w:r>
        <w:rPr>
          <w:rFonts w:hint="eastAsia" w:ascii="宋体" w:hAnsi="宋体" w:eastAsia="宋体" w:cs="宋体"/>
          <w:color w:val="auto"/>
          <w:szCs w:val="21"/>
          <w:highlight w:val="none"/>
          <w:u w:val="single"/>
        </w:rPr>
        <w:t xml:space="preserve"> 48 </w:t>
      </w:r>
      <w:r>
        <w:rPr>
          <w:rFonts w:hint="eastAsia" w:ascii="宋体" w:hAnsi="宋体" w:eastAsia="宋体" w:cs="宋体"/>
          <w:color w:val="auto"/>
          <w:szCs w:val="21"/>
          <w:highlight w:val="none"/>
        </w:rPr>
        <w:t>小时。</w:t>
      </w:r>
    </w:p>
    <w:p w14:paraId="1E5783E6">
      <w:pPr>
        <w:keepNext/>
        <w:keepLines/>
        <w:spacing w:line="400" w:lineRule="exact"/>
        <w:ind w:left="0" w:firstLine="422" w:firstLineChars="200"/>
        <w:outlineLvl w:val="1"/>
        <w:rPr>
          <w:rFonts w:ascii="宋体" w:hAnsi="宋体" w:eastAsia="宋体" w:cs="宋体"/>
          <w:b/>
          <w:bCs/>
          <w:color w:val="auto"/>
          <w:szCs w:val="21"/>
          <w:highlight w:val="none"/>
        </w:rPr>
      </w:pPr>
      <w:bookmarkStart w:id="185" w:name="_Toc25798"/>
      <w:bookmarkStart w:id="186" w:name="_Toc25524"/>
      <w:bookmarkStart w:id="187" w:name="_Toc521404843"/>
      <w:r>
        <w:rPr>
          <w:rFonts w:hint="eastAsia" w:ascii="宋体" w:hAnsi="宋体" w:eastAsia="宋体" w:cs="宋体"/>
          <w:b/>
          <w:bCs/>
          <w:color w:val="auto"/>
          <w:szCs w:val="21"/>
          <w:highlight w:val="none"/>
        </w:rPr>
        <w:t xml:space="preserve">6. </w:t>
      </w:r>
      <w:bookmarkStart w:id="188" w:name="_Hlk22994717"/>
      <w:r>
        <w:rPr>
          <w:rFonts w:hint="eastAsia" w:ascii="宋体" w:hAnsi="宋体" w:eastAsia="宋体" w:cs="宋体"/>
          <w:b/>
          <w:bCs/>
          <w:color w:val="auto"/>
          <w:szCs w:val="21"/>
          <w:highlight w:val="none"/>
        </w:rPr>
        <w:t>安全文明施工、环境保护与农民工工资支付</w:t>
      </w:r>
      <w:bookmarkEnd w:id="185"/>
      <w:bookmarkEnd w:id="186"/>
      <w:bookmarkEnd w:id="187"/>
      <w:bookmarkEnd w:id="188"/>
    </w:p>
    <w:p w14:paraId="3561ECE8">
      <w:pPr>
        <w:spacing w:line="400" w:lineRule="exact"/>
        <w:ind w:left="0" w:firstLine="420" w:firstLineChars="200"/>
        <w:rPr>
          <w:rFonts w:ascii="宋体" w:hAnsi="宋体" w:eastAsia="宋体" w:cs="宋体"/>
          <w:color w:val="auto"/>
          <w:szCs w:val="21"/>
          <w:highlight w:val="none"/>
        </w:rPr>
      </w:pPr>
      <w:bookmarkStart w:id="189" w:name="_Hlk22994701"/>
      <w:r>
        <w:rPr>
          <w:rFonts w:hint="eastAsia" w:ascii="宋体" w:hAnsi="宋体" w:eastAsia="宋体" w:cs="宋体"/>
          <w:color w:val="auto"/>
          <w:szCs w:val="21"/>
          <w:highlight w:val="none"/>
        </w:rPr>
        <w:t>6.1安全文明施工</w:t>
      </w:r>
    </w:p>
    <w:p w14:paraId="75E4C913">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6.1.1 项目安全生产的达标目标及相应事项的约定：</w:t>
      </w:r>
      <w:r>
        <w:rPr>
          <w:rFonts w:hint="eastAsia" w:ascii="宋体" w:hAnsi="宋体" w:eastAsia="宋体" w:cs="宋体"/>
          <w:color w:val="auto"/>
          <w:szCs w:val="21"/>
          <w:highlight w:val="none"/>
          <w:u w:val="single"/>
        </w:rPr>
        <w:t xml:space="preserve"> 合同履行期间，合同当事人均应当遵守国家和工程所在地有关安全生产的要求 </w:t>
      </w:r>
      <w:r>
        <w:rPr>
          <w:rFonts w:hint="eastAsia" w:ascii="宋体" w:hAnsi="宋体" w:eastAsia="宋体" w:cs="宋体"/>
          <w:color w:val="auto"/>
          <w:szCs w:val="21"/>
          <w:highlight w:val="none"/>
        </w:rPr>
        <w:t>。</w:t>
      </w:r>
    </w:p>
    <w:p w14:paraId="419A6FD2">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关于安全文明施工奖项的约定：</w:t>
      </w:r>
      <w:r>
        <w:rPr>
          <w:rFonts w:hint="eastAsia" w:ascii="宋体" w:hAnsi="宋体" w:eastAsia="宋体" w:cs="宋体"/>
          <w:color w:val="auto"/>
          <w:szCs w:val="21"/>
          <w:highlight w:val="none"/>
          <w:u w:val="single"/>
        </w:rPr>
        <w:t>无</w:t>
      </w:r>
      <w:r>
        <w:rPr>
          <w:rFonts w:hint="eastAsia" w:ascii="宋体" w:hAnsi="宋体" w:eastAsia="宋体" w:cs="宋体"/>
          <w:color w:val="auto"/>
          <w:szCs w:val="21"/>
          <w:highlight w:val="none"/>
        </w:rPr>
        <w:t>。</w:t>
      </w:r>
    </w:p>
    <w:p w14:paraId="56362CE3">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6.1.4 关于治安保卫的特别约定：</w:t>
      </w:r>
      <w:r>
        <w:rPr>
          <w:rFonts w:hint="eastAsia" w:ascii="宋体" w:hAnsi="宋体" w:eastAsia="宋体" w:cs="宋体"/>
          <w:color w:val="auto"/>
          <w:szCs w:val="21"/>
          <w:highlight w:val="none"/>
          <w:u w:val="single"/>
        </w:rPr>
        <w:t>承包人应承担施工安全保卫工作及非夜间施工照明的责任，承包人应采取一切合理的预防措施，防止人员伤亡、财产损失事故，费用由承包人承担。承包人生活设施及施工场应自费配备消防设备，防止火灾发生。承包人应加强人员的安全管理，提高安全意识，如发生任何安全事件，均由承包人承担。</w:t>
      </w:r>
    </w:p>
    <w:p w14:paraId="320B20F4">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关于编制施工场地治安管理计划的约定：</w:t>
      </w:r>
      <w:r>
        <w:rPr>
          <w:rFonts w:hint="eastAsia" w:ascii="宋体" w:hAnsi="宋体" w:eastAsia="宋体" w:cs="宋体"/>
          <w:color w:val="auto"/>
          <w:szCs w:val="21"/>
          <w:highlight w:val="none"/>
          <w:u w:val="single"/>
        </w:rPr>
        <w:t xml:space="preserve"> 承包人应在工程开工前3天内编制施工场地治安管理计划，并制定应对突发治安事件的紧急预案。报发包人审批后，共同执行  </w:t>
      </w:r>
      <w:r>
        <w:rPr>
          <w:rFonts w:hint="eastAsia" w:ascii="宋体" w:hAnsi="宋体" w:eastAsia="宋体" w:cs="宋体"/>
          <w:color w:val="auto"/>
          <w:szCs w:val="21"/>
          <w:highlight w:val="none"/>
        </w:rPr>
        <w:t>。</w:t>
      </w:r>
    </w:p>
    <w:p w14:paraId="18442120">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6.1.5 文明施工</w:t>
      </w:r>
    </w:p>
    <w:p w14:paraId="215ED3D1">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合同当事人对文明施工的要求：</w:t>
      </w:r>
      <w:r>
        <w:rPr>
          <w:rFonts w:hint="eastAsia" w:ascii="宋体" w:hAnsi="宋体" w:eastAsia="宋体" w:cs="宋体"/>
          <w:color w:val="auto"/>
          <w:szCs w:val="21"/>
          <w:highlight w:val="none"/>
          <w:u w:val="single"/>
        </w:rPr>
        <w:t xml:space="preserve">因承包人原因导致的发包人或第三方相关建筑物损毁损坏、设备设施损坏等问题，相关责任及损失由承包人承担。 </w:t>
      </w:r>
    </w:p>
    <w:p w14:paraId="35FFD04F">
      <w:pPr>
        <w:autoSpaceDE w:val="0"/>
        <w:autoSpaceDN w:val="0"/>
        <w:adjustRightInd w:val="0"/>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6.1.6 关于安全文明施工费支付比例和支付期限的约定：</w:t>
      </w:r>
    </w:p>
    <w:p w14:paraId="2BA9804A">
      <w:pPr>
        <w:autoSpaceDE w:val="0"/>
        <w:autoSpaceDN w:val="0"/>
        <w:adjustRightInd w:val="0"/>
        <w:spacing w:line="400" w:lineRule="exact"/>
        <w:ind w:left="0" w:firstLine="420" w:firstLineChars="200"/>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（1）本合同价款已包含安全文明施工费</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元。</w:t>
      </w:r>
    </w:p>
    <w:p w14:paraId="2E4BC69E">
      <w:pPr>
        <w:autoSpaceDE w:val="0"/>
        <w:autoSpaceDN w:val="0"/>
        <w:adjustRightInd w:val="0"/>
        <w:spacing w:line="400" w:lineRule="exact"/>
        <w:ind w:left="0" w:firstLine="420" w:firstLineChars="200"/>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（2）使用要求：专款专用。具体按</w:t>
      </w:r>
      <w:r>
        <w:rPr>
          <w:rFonts w:hint="eastAsia" w:ascii="宋体" w:hAnsi="宋体" w:eastAsia="宋体" w:cs="宋体"/>
          <w:color w:val="auto"/>
          <w:kern w:val="0"/>
          <w:szCs w:val="21"/>
          <w:highlight w:val="none"/>
          <w:u w:val="single"/>
        </w:rPr>
        <w:t>《广西壮族自治区建设工程安全文明施工费使用管理细则》（桂建质〔2015〕16号）</w:t>
      </w:r>
      <w:r>
        <w:rPr>
          <w:rFonts w:hint="eastAsia" w:ascii="宋体" w:hAnsi="宋体" w:eastAsia="宋体" w:cs="宋体"/>
          <w:color w:val="auto"/>
          <w:kern w:val="0"/>
          <w:szCs w:val="21"/>
          <w:highlight w:val="none"/>
        </w:rPr>
        <w:t>和</w:t>
      </w:r>
      <w:r>
        <w:rPr>
          <w:rFonts w:hint="eastAsia" w:ascii="宋体" w:hAnsi="宋体" w:eastAsia="宋体" w:cs="宋体"/>
          <w:color w:val="auto"/>
          <w:kern w:val="0"/>
          <w:szCs w:val="21"/>
          <w:highlight w:val="none"/>
          <w:u w:val="single"/>
        </w:rPr>
        <w:t>柳州</w:t>
      </w:r>
      <w:r>
        <w:rPr>
          <w:rFonts w:hint="eastAsia" w:ascii="宋体" w:hAnsi="宋体" w:eastAsia="宋体" w:cs="宋体"/>
          <w:color w:val="auto"/>
          <w:kern w:val="0"/>
          <w:szCs w:val="21"/>
          <w:highlight w:val="none"/>
        </w:rPr>
        <w:t>市相关规定执行。</w:t>
      </w:r>
    </w:p>
    <w:p w14:paraId="34A14A74">
      <w:pPr>
        <w:autoSpaceDE w:val="0"/>
        <w:autoSpaceDN w:val="0"/>
        <w:adjustRightInd w:val="0"/>
        <w:spacing w:line="400" w:lineRule="exact"/>
        <w:ind w:left="0" w:firstLine="420" w:firstLineChars="200"/>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（3）支付约定：在本合同签订后</w:t>
      </w:r>
      <w:r>
        <w:rPr>
          <w:rFonts w:hint="eastAsia" w:ascii="宋体" w:hAnsi="宋体" w:cs="宋体"/>
          <w:color w:val="auto"/>
          <w:kern w:val="0"/>
          <w:szCs w:val="21"/>
          <w:highlight w:val="none"/>
          <w:u w:val="single"/>
          <w:lang w:val="en-US" w:eastAsia="zh-CN"/>
        </w:rPr>
        <w:t>1</w:t>
      </w:r>
      <w:r>
        <w:rPr>
          <w:rFonts w:hint="eastAsia" w:ascii="宋体" w:hAnsi="宋体" w:eastAsia="宋体" w:cs="宋体"/>
          <w:color w:val="auto"/>
          <w:kern w:val="0"/>
          <w:szCs w:val="21"/>
          <w:highlight w:val="none"/>
          <w:u w:val="single"/>
        </w:rPr>
        <w:t xml:space="preserve">0 </w:t>
      </w:r>
      <w:r>
        <w:rPr>
          <w:rFonts w:hint="eastAsia" w:ascii="宋体" w:hAnsi="宋体" w:eastAsia="宋体" w:cs="宋体"/>
          <w:color w:val="auto"/>
          <w:kern w:val="0"/>
          <w:szCs w:val="21"/>
          <w:highlight w:val="none"/>
        </w:rPr>
        <w:t>个工作日内，与预付款及进度款同期支付。</w:t>
      </w:r>
    </w:p>
    <w:p w14:paraId="23142D91">
      <w:pPr>
        <w:autoSpaceDE w:val="0"/>
        <w:autoSpaceDN w:val="0"/>
        <w:adjustRightInd w:val="0"/>
        <w:spacing w:line="400" w:lineRule="exact"/>
        <w:ind w:left="0" w:firstLine="420" w:firstLineChars="200"/>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6.3 环境保护</w:t>
      </w:r>
    </w:p>
    <w:p w14:paraId="09933318">
      <w:pPr>
        <w:spacing w:line="400" w:lineRule="exact"/>
        <w:ind w:left="0" w:firstLine="420" w:firstLineChars="200"/>
        <w:jc w:val="left"/>
        <w:rPr>
          <w:rFonts w:ascii="宋体" w:hAnsi="宋体" w:eastAsia="宋体" w:cs="宋体"/>
          <w:color w:val="auto"/>
          <w:szCs w:val="21"/>
          <w:highlight w:val="none"/>
          <w:u w:val="single"/>
        </w:rPr>
      </w:pPr>
      <w:r>
        <w:rPr>
          <w:rFonts w:hint="eastAsia" w:ascii="宋体" w:hAnsi="宋体" w:eastAsia="宋体" w:cs="宋体"/>
          <w:color w:val="auto"/>
          <w:szCs w:val="21"/>
          <w:highlight w:val="none"/>
          <w:u w:val="single"/>
        </w:rPr>
        <w:t>因施工需要，经发包人批准，由承包人办理有关施工场地交通、环卫和施工噪音管理等手续，费用由承包人负责。</w:t>
      </w:r>
    </w:p>
    <w:p w14:paraId="189B74A0">
      <w:pPr>
        <w:spacing w:line="400" w:lineRule="exact"/>
        <w:ind w:left="0" w:firstLine="420" w:firstLineChars="200"/>
        <w:jc w:val="left"/>
        <w:rPr>
          <w:rFonts w:ascii="宋体" w:hAnsi="宋体" w:eastAsia="宋体" w:cs="宋体"/>
          <w:color w:val="auto"/>
          <w:szCs w:val="21"/>
          <w:highlight w:val="none"/>
          <w:u w:val="single"/>
        </w:rPr>
      </w:pPr>
      <w:r>
        <w:rPr>
          <w:rFonts w:hint="eastAsia" w:ascii="宋体" w:hAnsi="宋体" w:eastAsia="宋体" w:cs="宋体"/>
          <w:color w:val="auto"/>
          <w:szCs w:val="21"/>
          <w:highlight w:val="none"/>
          <w:u w:val="single"/>
        </w:rPr>
        <w:t>经过城市道路的施工车辆，必须按交警、城管、运输等部门相关规定执行。由于施工车辆造成的道路、环境等污染，其责任和费用均由承包人承担。</w:t>
      </w:r>
    </w:p>
    <w:p w14:paraId="42D837DD">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u w:val="single"/>
        </w:rPr>
        <w:t>工程项目开挖出来的弃土的临时堆放点必须进行遮盖防止扬尘发生，费用由承包人承担。承包人未按要求进行防尘覆盖的，视承包人违约，违约金按10元/平方米·天计取</w:t>
      </w:r>
      <w:r>
        <w:rPr>
          <w:rFonts w:hint="eastAsia" w:ascii="宋体" w:hAnsi="宋体" w:eastAsia="宋体" w:cs="宋体"/>
          <w:color w:val="auto"/>
          <w:szCs w:val="21"/>
          <w:highlight w:val="none"/>
        </w:rPr>
        <w:t>。</w:t>
      </w:r>
    </w:p>
    <w:bookmarkEnd w:id="189"/>
    <w:p w14:paraId="200604EC">
      <w:pPr>
        <w:spacing w:line="240" w:lineRule="auto"/>
        <w:ind w:left="0" w:firstLine="422" w:firstLineChars="200"/>
        <w:rPr>
          <w:rFonts w:ascii="宋体" w:hAnsi="宋体" w:eastAsia="宋体" w:cs="宋体"/>
          <w:b/>
          <w:bCs/>
          <w:color w:val="auto"/>
          <w:szCs w:val="21"/>
          <w:highlight w:val="none"/>
        </w:rPr>
      </w:pPr>
      <w:r>
        <w:rPr>
          <w:rFonts w:hint="eastAsia" w:ascii="宋体" w:hAnsi="宋体" w:eastAsia="宋体" w:cs="宋体"/>
          <w:b/>
          <w:bCs/>
          <w:color w:val="auto"/>
          <w:szCs w:val="21"/>
          <w:highlight w:val="none"/>
        </w:rPr>
        <w:t>7. 工期和进度</w:t>
      </w:r>
    </w:p>
    <w:p w14:paraId="507D7866">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7.1 施工组织设计</w:t>
      </w:r>
    </w:p>
    <w:p w14:paraId="1B426C72">
      <w:pPr>
        <w:autoSpaceDE w:val="0"/>
        <w:autoSpaceDN w:val="0"/>
        <w:adjustRightInd w:val="0"/>
        <w:spacing w:line="400" w:lineRule="exact"/>
        <w:ind w:left="0" w:firstLine="420" w:firstLineChars="200"/>
        <w:jc w:val="left"/>
        <w:rPr>
          <w:rFonts w:ascii="宋体" w:hAnsi="宋体" w:eastAsia="宋体" w:cs="宋体"/>
          <w:color w:val="auto"/>
          <w:szCs w:val="21"/>
          <w:highlight w:val="none"/>
          <w:u w:val="single"/>
        </w:rPr>
      </w:pPr>
      <w:r>
        <w:rPr>
          <w:rFonts w:hint="eastAsia" w:ascii="宋体" w:hAnsi="宋体" w:eastAsia="宋体" w:cs="宋体"/>
          <w:color w:val="auto"/>
          <w:szCs w:val="21"/>
          <w:highlight w:val="none"/>
        </w:rPr>
        <w:t>7.1.1 合</w:t>
      </w:r>
      <w:r>
        <w:rPr>
          <w:rFonts w:hint="eastAsia" w:ascii="宋体" w:hAnsi="宋体" w:eastAsia="宋体" w:cs="宋体"/>
          <w:color w:val="auto"/>
          <w:kern w:val="0"/>
          <w:szCs w:val="21"/>
          <w:highlight w:val="none"/>
        </w:rPr>
        <w:t>同当事人约定的施工组织设计应包括的其他内容：</w:t>
      </w:r>
      <w:r>
        <w:rPr>
          <w:rFonts w:hint="eastAsia" w:ascii="宋体" w:hAnsi="宋体" w:eastAsia="宋体" w:cs="宋体"/>
          <w:color w:val="auto"/>
          <w:szCs w:val="21"/>
          <w:highlight w:val="none"/>
          <w:u w:val="single"/>
        </w:rPr>
        <w:t xml:space="preserve"> 另行约定  </w:t>
      </w:r>
      <w:r>
        <w:rPr>
          <w:rFonts w:hint="eastAsia" w:ascii="宋体" w:hAnsi="宋体" w:eastAsia="宋体" w:cs="宋体"/>
          <w:color w:val="auto"/>
          <w:szCs w:val="21"/>
          <w:highlight w:val="none"/>
        </w:rPr>
        <w:t>。</w:t>
      </w:r>
    </w:p>
    <w:p w14:paraId="030CDC40">
      <w:pPr>
        <w:autoSpaceDE w:val="0"/>
        <w:autoSpaceDN w:val="0"/>
        <w:adjustRightInd w:val="0"/>
        <w:spacing w:line="400" w:lineRule="exact"/>
        <w:ind w:left="0" w:firstLine="420" w:firstLineChars="200"/>
        <w:jc w:val="left"/>
        <w:rPr>
          <w:rFonts w:ascii="宋体" w:hAnsi="宋体" w:eastAsia="宋体" w:cs="宋体"/>
          <w:color w:val="auto"/>
          <w:kern w:val="0"/>
          <w:szCs w:val="21"/>
          <w:highlight w:val="none"/>
        </w:rPr>
      </w:pPr>
      <w:r>
        <w:rPr>
          <w:rFonts w:hint="eastAsia" w:ascii="宋体" w:hAnsi="宋体" w:eastAsia="宋体" w:cs="宋体"/>
          <w:color w:val="auto"/>
          <w:szCs w:val="21"/>
          <w:highlight w:val="none"/>
        </w:rPr>
        <w:t xml:space="preserve">7.1.2 </w:t>
      </w:r>
      <w:r>
        <w:rPr>
          <w:rFonts w:hint="eastAsia" w:ascii="宋体" w:hAnsi="宋体" w:eastAsia="宋体" w:cs="宋体"/>
          <w:color w:val="auto"/>
          <w:kern w:val="0"/>
          <w:szCs w:val="21"/>
          <w:highlight w:val="none"/>
        </w:rPr>
        <w:t>施工组织设计的提交和修改</w:t>
      </w:r>
    </w:p>
    <w:p w14:paraId="19B00491">
      <w:pPr>
        <w:autoSpaceDE w:val="0"/>
        <w:autoSpaceDN w:val="0"/>
        <w:adjustRightInd w:val="0"/>
        <w:spacing w:line="400" w:lineRule="exact"/>
        <w:ind w:left="0" w:firstLine="420" w:firstLineChars="200"/>
        <w:jc w:val="left"/>
        <w:rPr>
          <w:rFonts w:ascii="宋体" w:hAnsi="宋体" w:eastAsia="宋体" w:cs="宋体"/>
          <w:color w:val="auto"/>
          <w:szCs w:val="21"/>
          <w:highlight w:val="none"/>
          <w:u w:val="single"/>
        </w:rPr>
      </w:pPr>
      <w:r>
        <w:rPr>
          <w:rFonts w:hint="eastAsia" w:ascii="宋体" w:hAnsi="宋体" w:eastAsia="宋体" w:cs="宋体"/>
          <w:color w:val="auto"/>
          <w:kern w:val="0"/>
          <w:szCs w:val="21"/>
          <w:highlight w:val="none"/>
        </w:rPr>
        <w:t>承包人提交详细施工组织设计的期限的约定：</w:t>
      </w:r>
      <w:r>
        <w:rPr>
          <w:rFonts w:hint="eastAsia" w:ascii="宋体" w:hAnsi="宋体" w:eastAsia="宋体" w:cs="宋体"/>
          <w:color w:val="auto"/>
          <w:szCs w:val="21"/>
          <w:highlight w:val="none"/>
          <w:u w:val="single"/>
        </w:rPr>
        <w:t xml:space="preserve"> 合同签订之日起14天内  </w:t>
      </w:r>
      <w:r>
        <w:rPr>
          <w:rFonts w:hint="eastAsia" w:ascii="宋体" w:hAnsi="宋体" w:eastAsia="宋体" w:cs="宋体"/>
          <w:color w:val="auto"/>
          <w:szCs w:val="21"/>
          <w:highlight w:val="none"/>
        </w:rPr>
        <w:t>。</w:t>
      </w:r>
    </w:p>
    <w:p w14:paraId="57985813">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发包人和监理人在收到详细的施工组织设计后确认或提出修改意见的期限：</w:t>
      </w:r>
      <w:r>
        <w:rPr>
          <w:rFonts w:hint="eastAsia" w:ascii="宋体" w:hAnsi="宋体" w:eastAsia="宋体" w:cs="宋体"/>
          <w:color w:val="auto"/>
          <w:szCs w:val="21"/>
          <w:highlight w:val="none"/>
          <w:u w:val="single"/>
        </w:rPr>
        <w:t xml:space="preserve"> 收到详细的施工组织设计之日起7天内  </w:t>
      </w:r>
      <w:r>
        <w:rPr>
          <w:rFonts w:hint="eastAsia" w:ascii="宋体" w:hAnsi="宋体" w:eastAsia="宋体" w:cs="宋体"/>
          <w:color w:val="auto"/>
          <w:szCs w:val="21"/>
          <w:highlight w:val="none"/>
        </w:rPr>
        <w:t>。</w:t>
      </w:r>
    </w:p>
    <w:p w14:paraId="6FCF8A26">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7.2 施工进度计划</w:t>
      </w:r>
    </w:p>
    <w:p w14:paraId="7D7817B6">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7.2.2 施工进度计划的修订</w:t>
      </w:r>
    </w:p>
    <w:p w14:paraId="4826AC8F">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发包人和监理人在收到修订的施工进度计划后确认或提出修改意见的期限：</w:t>
      </w:r>
      <w:r>
        <w:rPr>
          <w:rFonts w:hint="eastAsia" w:ascii="宋体" w:hAnsi="宋体" w:eastAsia="宋体" w:cs="宋体"/>
          <w:color w:val="auto"/>
          <w:szCs w:val="21"/>
          <w:highlight w:val="none"/>
          <w:u w:val="single"/>
        </w:rPr>
        <w:t xml:space="preserve">在收到修订的施工进度计划之日起7天内 </w:t>
      </w:r>
      <w:r>
        <w:rPr>
          <w:rFonts w:hint="eastAsia" w:ascii="宋体" w:hAnsi="宋体" w:eastAsia="宋体" w:cs="宋体"/>
          <w:color w:val="auto"/>
          <w:szCs w:val="21"/>
          <w:highlight w:val="none"/>
        </w:rPr>
        <w:t>。</w:t>
      </w:r>
    </w:p>
    <w:p w14:paraId="5692F4A7">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7.3 开工</w:t>
      </w:r>
    </w:p>
    <w:p w14:paraId="56A6B0B5">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7.3.1 开工准备</w:t>
      </w:r>
    </w:p>
    <w:p w14:paraId="1FFF695D">
      <w:pPr>
        <w:spacing w:line="400" w:lineRule="exact"/>
        <w:ind w:left="0" w:firstLine="420" w:firstLineChars="200"/>
        <w:jc w:val="left"/>
        <w:rPr>
          <w:rFonts w:ascii="宋体" w:hAnsi="宋体" w:eastAsia="宋体" w:cs="宋体"/>
          <w:color w:val="auto"/>
          <w:szCs w:val="21"/>
          <w:highlight w:val="none"/>
          <w:u w:val="single"/>
        </w:rPr>
      </w:pPr>
      <w:r>
        <w:rPr>
          <w:rFonts w:hint="eastAsia" w:ascii="宋体" w:hAnsi="宋体" w:eastAsia="宋体" w:cs="宋体"/>
          <w:color w:val="auto"/>
          <w:szCs w:val="21"/>
          <w:highlight w:val="none"/>
        </w:rPr>
        <w:t>关于承包人提交</w:t>
      </w:r>
      <w:r>
        <w:rPr>
          <w:rFonts w:hint="eastAsia" w:ascii="宋体" w:hAnsi="宋体" w:eastAsia="宋体" w:cs="宋体"/>
          <w:color w:val="auto"/>
          <w:kern w:val="0"/>
          <w:szCs w:val="21"/>
          <w:highlight w:val="none"/>
        </w:rPr>
        <w:t>工程开工报审表的期限：</w:t>
      </w:r>
      <w:r>
        <w:rPr>
          <w:rFonts w:hint="eastAsia" w:ascii="宋体" w:hAnsi="宋体" w:eastAsia="宋体" w:cs="宋体"/>
          <w:color w:val="auto"/>
          <w:szCs w:val="21"/>
          <w:highlight w:val="none"/>
          <w:u w:val="single"/>
        </w:rPr>
        <w:t>按审批的施工组织设计约定的期限</w:t>
      </w:r>
      <w:r>
        <w:rPr>
          <w:rFonts w:hint="eastAsia" w:ascii="宋体" w:hAnsi="宋体" w:eastAsia="宋体" w:cs="宋体"/>
          <w:color w:val="auto"/>
          <w:szCs w:val="21"/>
          <w:highlight w:val="none"/>
        </w:rPr>
        <w:t>。</w:t>
      </w:r>
    </w:p>
    <w:p w14:paraId="1FC83C09">
      <w:pPr>
        <w:spacing w:line="400" w:lineRule="exact"/>
        <w:ind w:left="0" w:firstLine="420" w:firstLineChars="200"/>
        <w:jc w:val="left"/>
        <w:rPr>
          <w:rFonts w:ascii="宋体" w:hAnsi="宋体" w:eastAsia="宋体" w:cs="宋体"/>
          <w:color w:val="auto"/>
          <w:szCs w:val="21"/>
          <w:highlight w:val="none"/>
          <w:u w:val="single"/>
        </w:rPr>
      </w:pPr>
      <w:r>
        <w:rPr>
          <w:rFonts w:hint="eastAsia" w:ascii="宋体" w:hAnsi="宋体" w:eastAsia="宋体" w:cs="宋体"/>
          <w:color w:val="auto"/>
          <w:szCs w:val="21"/>
          <w:highlight w:val="none"/>
        </w:rPr>
        <w:t>关于发包人应完成的其他开工准备工作及期限：</w:t>
      </w:r>
      <w:r>
        <w:rPr>
          <w:rFonts w:hint="eastAsia" w:ascii="宋体" w:hAnsi="宋体" w:eastAsia="宋体" w:cs="宋体"/>
          <w:color w:val="auto"/>
          <w:szCs w:val="21"/>
          <w:highlight w:val="none"/>
          <w:u w:val="single"/>
        </w:rPr>
        <w:t>开工令签发之日前7天</w:t>
      </w:r>
      <w:r>
        <w:rPr>
          <w:rFonts w:hint="eastAsia" w:ascii="宋体" w:hAnsi="宋体" w:eastAsia="宋体" w:cs="宋体"/>
          <w:color w:val="auto"/>
          <w:szCs w:val="21"/>
          <w:highlight w:val="none"/>
        </w:rPr>
        <w:t>。</w:t>
      </w:r>
    </w:p>
    <w:p w14:paraId="01A6C556">
      <w:pPr>
        <w:spacing w:line="400" w:lineRule="exact"/>
        <w:ind w:left="0" w:firstLine="420" w:firstLineChars="200"/>
        <w:jc w:val="left"/>
        <w:rPr>
          <w:rFonts w:ascii="宋体" w:hAnsi="宋体" w:eastAsia="宋体" w:cs="宋体"/>
          <w:color w:val="auto"/>
          <w:szCs w:val="21"/>
          <w:highlight w:val="none"/>
          <w:u w:val="single"/>
        </w:rPr>
      </w:pPr>
      <w:r>
        <w:rPr>
          <w:rFonts w:hint="eastAsia" w:ascii="宋体" w:hAnsi="宋体" w:eastAsia="宋体" w:cs="宋体"/>
          <w:color w:val="auto"/>
          <w:szCs w:val="21"/>
          <w:highlight w:val="none"/>
        </w:rPr>
        <w:t>关于承包人应完成的其他开工准备工作及期限：</w:t>
      </w:r>
      <w:r>
        <w:rPr>
          <w:rFonts w:hint="eastAsia" w:ascii="宋体" w:hAnsi="宋体" w:eastAsia="宋体" w:cs="宋体"/>
          <w:color w:val="auto"/>
          <w:szCs w:val="21"/>
          <w:highlight w:val="none"/>
          <w:u w:val="single"/>
        </w:rPr>
        <w:t>开工令签发之日前7天</w:t>
      </w:r>
      <w:r>
        <w:rPr>
          <w:rFonts w:hint="eastAsia" w:ascii="宋体" w:hAnsi="宋体" w:eastAsia="宋体" w:cs="宋体"/>
          <w:color w:val="auto"/>
          <w:szCs w:val="21"/>
          <w:highlight w:val="none"/>
        </w:rPr>
        <w:t>。</w:t>
      </w:r>
    </w:p>
    <w:p w14:paraId="66AFE962">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7.3.2开工通知</w:t>
      </w:r>
    </w:p>
    <w:p w14:paraId="663C9D68">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因发包人原因未能在计划开工日期之日起</w:t>
      </w:r>
      <w:r>
        <w:rPr>
          <w:rFonts w:hint="eastAsia" w:ascii="宋体" w:hAnsi="宋体" w:eastAsia="宋体" w:cs="宋体"/>
          <w:color w:val="auto"/>
          <w:szCs w:val="21"/>
          <w:highlight w:val="none"/>
          <w:u w:val="single"/>
        </w:rPr>
        <w:t xml:space="preserve">  90  </w:t>
      </w:r>
      <w:r>
        <w:rPr>
          <w:rFonts w:hint="eastAsia" w:ascii="宋体" w:hAnsi="宋体" w:eastAsia="宋体" w:cs="宋体"/>
          <w:color w:val="auto"/>
          <w:szCs w:val="21"/>
          <w:highlight w:val="none"/>
        </w:rPr>
        <w:t>天内发出开工通知的，承包人有权提出价格调整要求，或者解除合同。</w:t>
      </w:r>
    </w:p>
    <w:p w14:paraId="3E6189FE">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7.4 测量放线</w:t>
      </w:r>
    </w:p>
    <w:p w14:paraId="50CDE13A">
      <w:pPr>
        <w:spacing w:line="400" w:lineRule="exact"/>
        <w:ind w:left="0" w:firstLine="420" w:firstLineChars="200"/>
        <w:jc w:val="left"/>
        <w:rPr>
          <w:rFonts w:ascii="宋体" w:hAnsi="宋体" w:eastAsia="宋体" w:cs="宋体"/>
          <w:color w:val="auto"/>
          <w:szCs w:val="21"/>
          <w:highlight w:val="none"/>
          <w:u w:val="single"/>
        </w:rPr>
      </w:pPr>
      <w:r>
        <w:rPr>
          <w:rFonts w:hint="eastAsia" w:ascii="宋体" w:hAnsi="宋体" w:eastAsia="宋体" w:cs="宋体"/>
          <w:color w:val="auto"/>
          <w:szCs w:val="21"/>
          <w:highlight w:val="none"/>
        </w:rPr>
        <w:t>7.4.1发包人通过监理人向承包人提供测量基准点、基准线和水准点及其书面资料的期限：</w:t>
      </w:r>
      <w:r>
        <w:rPr>
          <w:rFonts w:hint="eastAsia" w:ascii="宋体" w:hAnsi="宋体" w:eastAsia="宋体" w:cs="宋体"/>
          <w:color w:val="auto"/>
          <w:szCs w:val="21"/>
          <w:highlight w:val="none"/>
          <w:u w:val="single"/>
        </w:rPr>
        <w:t xml:space="preserve">  开工令签发前3天 </w:t>
      </w:r>
      <w:r>
        <w:rPr>
          <w:rFonts w:hint="eastAsia" w:ascii="宋体" w:hAnsi="宋体" w:eastAsia="宋体" w:cs="宋体"/>
          <w:color w:val="auto"/>
          <w:szCs w:val="21"/>
          <w:highlight w:val="none"/>
        </w:rPr>
        <w:t>。</w:t>
      </w:r>
    </w:p>
    <w:p w14:paraId="0A11EBFB">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7.5 工期延误</w:t>
      </w:r>
    </w:p>
    <w:p w14:paraId="7A3FB710">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7.5.1 因发包人原因导致工期延误</w:t>
      </w:r>
    </w:p>
    <w:p w14:paraId="0DC4947E">
      <w:pPr>
        <w:spacing w:line="400" w:lineRule="exact"/>
        <w:ind w:left="0" w:firstLine="420" w:firstLineChars="200"/>
        <w:jc w:val="left"/>
        <w:rPr>
          <w:rFonts w:ascii="宋体" w:hAnsi="宋体" w:eastAsia="宋体" w:cs="宋体"/>
          <w:color w:val="auto"/>
          <w:szCs w:val="21"/>
          <w:highlight w:val="none"/>
          <w:u w:val="single"/>
        </w:rPr>
      </w:pPr>
      <w:r>
        <w:rPr>
          <w:rFonts w:hint="eastAsia" w:ascii="宋体" w:hAnsi="宋体" w:eastAsia="宋体" w:cs="宋体"/>
          <w:color w:val="auto"/>
          <w:szCs w:val="21"/>
          <w:highlight w:val="none"/>
        </w:rPr>
        <w:t>（7）因发包人原因导致工期延误的其他情形：</w:t>
      </w:r>
      <w:r>
        <w:rPr>
          <w:rFonts w:hint="eastAsia" w:ascii="宋体" w:hAnsi="宋体" w:eastAsia="宋体" w:cs="宋体"/>
          <w:color w:val="auto"/>
          <w:szCs w:val="21"/>
          <w:highlight w:val="none"/>
          <w:u w:val="single"/>
        </w:rPr>
        <w:t>①重大图纸变更影响关键线路工序施工；②施工期间如因停电、停水连续8小时以上或一周内间歇性停水、停电累计8小时（含8小时）影响正常施工的。③政府指令性停工。④在施工过程中遇到地下障碍物、溶洞、岩石、文物或地下管线的。⑤因发包人未能及时确认变更价格或甲供材料提供延误的。⑥非承包人的责任造成的工期延误其他情形</w:t>
      </w:r>
      <w:r>
        <w:rPr>
          <w:rFonts w:hint="eastAsia" w:ascii="宋体" w:hAnsi="宋体" w:eastAsia="宋体" w:cs="宋体"/>
          <w:color w:val="auto"/>
          <w:szCs w:val="21"/>
          <w:highlight w:val="none"/>
        </w:rPr>
        <w:t>。</w:t>
      </w:r>
    </w:p>
    <w:p w14:paraId="2D6EE05E">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7.5.2 因承包人原因导致工期延误</w:t>
      </w:r>
    </w:p>
    <w:p w14:paraId="7DAFEBDB">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双方约定经监理工程师确认，工期相应顺延的情况：</w:t>
      </w:r>
      <w:r>
        <w:rPr>
          <w:rFonts w:hint="eastAsia" w:ascii="宋体" w:hAnsi="宋体" w:eastAsia="宋体" w:cs="宋体"/>
          <w:color w:val="auto"/>
          <w:szCs w:val="21"/>
          <w:highlight w:val="none"/>
          <w:u w:val="single"/>
        </w:rPr>
        <w:t xml:space="preserve"> 非承包人原因导致工期延误 </w:t>
      </w:r>
      <w:r>
        <w:rPr>
          <w:rFonts w:hint="eastAsia" w:ascii="宋体" w:hAnsi="宋体" w:eastAsia="宋体" w:cs="宋体"/>
          <w:color w:val="auto"/>
          <w:szCs w:val="21"/>
          <w:highlight w:val="none"/>
        </w:rPr>
        <w:t>。</w:t>
      </w:r>
    </w:p>
    <w:p w14:paraId="00E6B640">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因</w:t>
      </w:r>
      <w:bookmarkStart w:id="190" w:name="_Toc312677487"/>
      <w:bookmarkStart w:id="191" w:name="_Toc312678013"/>
      <w:bookmarkStart w:id="192" w:name="_Toc318581170"/>
      <w:r>
        <w:rPr>
          <w:rFonts w:hint="eastAsia" w:ascii="宋体" w:hAnsi="宋体" w:eastAsia="宋体" w:cs="宋体"/>
          <w:color w:val="auto"/>
          <w:szCs w:val="21"/>
          <w:highlight w:val="none"/>
        </w:rPr>
        <w:t>承包人原因造成工期延误，逾期竣工违约金的计算方法为：</w:t>
      </w:r>
      <w:r>
        <w:rPr>
          <w:rFonts w:hint="eastAsia" w:ascii="宋体" w:hAnsi="宋体" w:eastAsia="宋体" w:cs="宋体"/>
          <w:color w:val="auto"/>
          <w:szCs w:val="21"/>
          <w:highlight w:val="none"/>
          <w:u w:val="single"/>
        </w:rPr>
        <w:t>非上述原因，承包人不能按合同约定的时间竣工，承包人应承担违约责任。应向发包人支付误期赔偿费（每天赔偿金额为合同价款的</w:t>
      </w:r>
      <w:r>
        <w:rPr>
          <w:rFonts w:hint="eastAsia" w:ascii="宋体" w:hAnsi="宋体" w:eastAsia="宋体" w:cs="宋体"/>
          <w:color w:val="auto"/>
          <w:spacing w:val="-6"/>
          <w:szCs w:val="21"/>
          <w:highlight w:val="none"/>
          <w:u w:val="single"/>
        </w:rPr>
        <w:t>万分之五</w:t>
      </w:r>
      <w:r>
        <w:rPr>
          <w:rFonts w:hint="eastAsia" w:ascii="宋体" w:hAnsi="宋体" w:eastAsia="宋体" w:cs="宋体"/>
          <w:color w:val="auto"/>
          <w:szCs w:val="21"/>
          <w:highlight w:val="none"/>
          <w:u w:val="single"/>
        </w:rPr>
        <w:t xml:space="preserve">），误期时间从规定竣工日期起直到全部工程或相应部分工程竣工验收各方签章日期之间的天数（扣除发包人批准顺延的工期）。发包人可从应向承包人支付的任何金额中扣除此项赔款费或其他方式收回此款，此赔偿款的支付并不能解除承包人应完成工程的责任或合同规定的其他责任。 </w:t>
      </w:r>
      <w:bookmarkEnd w:id="190"/>
      <w:bookmarkEnd w:id="191"/>
      <w:bookmarkEnd w:id="192"/>
      <w:bookmarkStart w:id="193" w:name="_Toc318581171"/>
      <w:bookmarkStart w:id="194" w:name="_Toc312678014"/>
    </w:p>
    <w:p w14:paraId="42952D1E">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因承包人原因造成工期延误给发包人带来经济损失的，承包人须予以赔偿；发包人可从应向承包人支付的任何金额中扣除此项赔款费或其他方式收回此款。</w:t>
      </w:r>
    </w:p>
    <w:bookmarkEnd w:id="193"/>
    <w:bookmarkEnd w:id="194"/>
    <w:p w14:paraId="50BB8FE1">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7.5.3承包人须按分基础隐蔽验收、主体工程结构验收、工程总体验收三个阶段的各阶段验收通过之日起15天内申报工期延误报告；未申报或逾期申报的，发包人拒绝接受工期延误的申请。</w:t>
      </w:r>
    </w:p>
    <w:p w14:paraId="0E371EFB">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7.6 不利物质条件</w:t>
      </w:r>
    </w:p>
    <w:p w14:paraId="21368B7E">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不利物质条件的其他情形和有关约定：</w:t>
      </w:r>
    </w:p>
    <w:p w14:paraId="51717EE6">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bCs/>
          <w:color w:val="auto"/>
          <w:szCs w:val="21"/>
          <w:highlight w:val="none"/>
        </w:rPr>
        <w:t>（1）一周内非承包人原因，停水、停电、停气造成停工累计超过8小时。</w:t>
      </w:r>
    </w:p>
    <w:p w14:paraId="2DF21BA0">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u w:val="single"/>
        </w:rPr>
        <w:t>由于政府指令性行为引起停工（如中考、高考期间及其它活动要求停工）</w:t>
      </w:r>
      <w:r>
        <w:rPr>
          <w:rFonts w:hint="eastAsia" w:ascii="宋体" w:hAnsi="宋体" w:eastAsia="宋体" w:cs="宋体"/>
          <w:color w:val="auto"/>
          <w:szCs w:val="21"/>
          <w:highlight w:val="none"/>
        </w:rPr>
        <w:t>。</w:t>
      </w:r>
    </w:p>
    <w:p w14:paraId="7A462C22">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7.7异常恶劣的气候条件</w:t>
      </w:r>
    </w:p>
    <w:p w14:paraId="3F11BCA4">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发包人和承包人同意以下情形视为异常恶劣的气候条件：</w:t>
      </w:r>
    </w:p>
    <w:p w14:paraId="02BD387C">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u w:val="single"/>
        </w:rPr>
        <w:t>大风（指风力大于八级以上）</w:t>
      </w:r>
      <w:r>
        <w:rPr>
          <w:rFonts w:hint="eastAsia" w:ascii="宋体" w:hAnsi="宋体" w:eastAsia="宋体" w:cs="宋体"/>
          <w:color w:val="auto"/>
          <w:szCs w:val="21"/>
          <w:highlight w:val="none"/>
        </w:rPr>
        <w:t>；</w:t>
      </w:r>
    </w:p>
    <w:p w14:paraId="781FBB49">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u w:val="single"/>
        </w:rPr>
        <w:t>大雨（指日降水量超过175MM）</w:t>
      </w:r>
      <w:r>
        <w:rPr>
          <w:rFonts w:hint="eastAsia" w:ascii="宋体" w:hAnsi="宋体" w:eastAsia="宋体" w:cs="宋体"/>
          <w:color w:val="auto"/>
          <w:szCs w:val="21"/>
          <w:highlight w:val="none"/>
        </w:rPr>
        <w:t>；</w:t>
      </w:r>
    </w:p>
    <w:p w14:paraId="27E1DC03">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7.9 提前竣工</w:t>
      </w:r>
    </w:p>
    <w:p w14:paraId="4F250C1F">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7.9.2提前竣工（赶工）增加费的计算方法：</w:t>
      </w:r>
      <w:r>
        <w:rPr>
          <w:rFonts w:hint="eastAsia" w:ascii="宋体" w:hAnsi="宋体" w:eastAsia="宋体" w:cs="宋体"/>
          <w:color w:val="auto"/>
          <w:szCs w:val="21"/>
          <w:highlight w:val="none"/>
          <w:u w:val="single"/>
        </w:rPr>
        <w:t xml:space="preserve"> 另行约定 </w:t>
      </w:r>
      <w:r>
        <w:rPr>
          <w:rFonts w:hint="eastAsia" w:ascii="宋体" w:hAnsi="宋体" w:eastAsia="宋体" w:cs="宋体"/>
          <w:color w:val="auto"/>
          <w:szCs w:val="21"/>
          <w:highlight w:val="none"/>
        </w:rPr>
        <w:t xml:space="preserve">。 </w:t>
      </w:r>
    </w:p>
    <w:p w14:paraId="635B2990">
      <w:pPr>
        <w:keepNext/>
        <w:keepLines/>
        <w:spacing w:line="400" w:lineRule="exact"/>
        <w:ind w:left="0" w:firstLine="422" w:firstLineChars="200"/>
        <w:outlineLvl w:val="3"/>
        <w:rPr>
          <w:rFonts w:ascii="宋体" w:hAnsi="宋体" w:eastAsia="宋体" w:cs="宋体"/>
          <w:b/>
          <w:bCs/>
          <w:color w:val="auto"/>
          <w:szCs w:val="21"/>
          <w:highlight w:val="none"/>
        </w:rPr>
      </w:pPr>
      <w:r>
        <w:rPr>
          <w:rFonts w:hint="eastAsia" w:ascii="宋体" w:hAnsi="宋体" w:eastAsia="宋体" w:cs="宋体"/>
          <w:b/>
          <w:bCs/>
          <w:color w:val="auto"/>
          <w:szCs w:val="21"/>
          <w:highlight w:val="none"/>
        </w:rPr>
        <w:t>8.材料与设备</w:t>
      </w:r>
    </w:p>
    <w:p w14:paraId="1D38C76B">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8.2承包人采购材料与工程设备</w:t>
      </w:r>
    </w:p>
    <w:p w14:paraId="3762B3EE">
      <w:pPr>
        <w:autoSpaceDE w:val="0"/>
        <w:autoSpaceDN w:val="0"/>
        <w:adjustRightInd w:val="0"/>
        <w:spacing w:line="400" w:lineRule="exact"/>
        <w:ind w:left="0" w:firstLine="420" w:firstLineChars="200"/>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除已标价工程量清单《发包人提供主要材料和工程设备一览表》中明确的材料、工程设备外，由承包人负责材料和工程设备的采购、运输和保管。《</w:t>
      </w:r>
      <w:r>
        <w:rPr>
          <w:rFonts w:hint="eastAsia" w:ascii="宋体" w:hAnsi="宋体" w:eastAsia="宋体" w:cs="宋体"/>
          <w:color w:val="auto"/>
          <w:szCs w:val="21"/>
          <w:highlight w:val="none"/>
        </w:rPr>
        <w:t>承包人提供主要材料和工程设备一览表》</w:t>
      </w:r>
      <w:r>
        <w:rPr>
          <w:rFonts w:hint="eastAsia" w:ascii="宋体" w:hAnsi="宋体" w:eastAsia="宋体" w:cs="宋体"/>
          <w:color w:val="auto"/>
          <w:kern w:val="0"/>
          <w:szCs w:val="21"/>
          <w:highlight w:val="none"/>
        </w:rPr>
        <w:t>见已标价工程量清单。</w:t>
      </w:r>
    </w:p>
    <w:p w14:paraId="0C26FB84">
      <w:pPr>
        <w:autoSpaceDE w:val="0"/>
        <w:autoSpaceDN w:val="0"/>
        <w:adjustRightInd w:val="0"/>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对发包人在招标时有“参照或相当于**品牌、级别”约定的材料或设备，承包人采购时必须按类似于或优于所约定品牌、等级进行采购，施工期间该部分材料或设备如未超过招标约定的风险幅度的，结算时按投标单价支付，不得调整。</w:t>
      </w:r>
    </w:p>
    <w:p w14:paraId="30DD062A">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8.4材料与工程设备的保管与使用</w:t>
      </w:r>
    </w:p>
    <w:p w14:paraId="00018893">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8.4.1发包人供应的材料设备的保管费用的承担：</w:t>
      </w:r>
      <w:r>
        <w:rPr>
          <w:rFonts w:hint="eastAsia" w:ascii="宋体" w:hAnsi="宋体" w:eastAsia="宋体" w:cs="宋体"/>
          <w:color w:val="auto"/>
          <w:szCs w:val="21"/>
          <w:highlight w:val="none"/>
          <w:u w:val="single"/>
        </w:rPr>
        <w:t xml:space="preserve">发包人自行供应材料到施工现场的，由承包人按发包人供应材料价值的1%计算采保费 </w:t>
      </w:r>
      <w:r>
        <w:rPr>
          <w:rFonts w:hint="eastAsia" w:ascii="宋体" w:hAnsi="宋体" w:eastAsia="宋体" w:cs="宋体"/>
          <w:color w:val="auto"/>
          <w:szCs w:val="21"/>
          <w:highlight w:val="none"/>
        </w:rPr>
        <w:t>。</w:t>
      </w:r>
    </w:p>
    <w:p w14:paraId="38F5E75A">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8.6 样品</w:t>
      </w:r>
    </w:p>
    <w:p w14:paraId="4040DD5B">
      <w:pPr>
        <w:autoSpaceDE w:val="0"/>
        <w:autoSpaceDN w:val="0"/>
        <w:adjustRightInd w:val="0"/>
        <w:spacing w:line="400" w:lineRule="exact"/>
        <w:ind w:left="0" w:firstLine="420" w:firstLineChars="200"/>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8.6.1样品的报送与封存</w:t>
      </w:r>
    </w:p>
    <w:p w14:paraId="4ED715B5">
      <w:pPr>
        <w:autoSpaceDE w:val="0"/>
        <w:autoSpaceDN w:val="0"/>
        <w:adjustRightInd w:val="0"/>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kern w:val="0"/>
          <w:szCs w:val="21"/>
          <w:highlight w:val="none"/>
        </w:rPr>
        <w:t>需要承包人报送样品的材料或工程设备，样品的种类、名称、规格、数量要求：</w:t>
      </w:r>
      <w:r>
        <w:rPr>
          <w:rFonts w:hint="eastAsia" w:ascii="宋体" w:hAnsi="宋体" w:eastAsia="宋体" w:cs="宋体"/>
          <w:color w:val="auto"/>
          <w:szCs w:val="21"/>
          <w:highlight w:val="none"/>
          <w:u w:val="single"/>
        </w:rPr>
        <w:t>主要材料涉及品种、款式、颜色等方面内容的，承包人应提交一式三份合格的材料样品送发包人选定</w:t>
      </w:r>
      <w:r>
        <w:rPr>
          <w:rFonts w:hint="eastAsia" w:ascii="宋体" w:hAnsi="宋体" w:eastAsia="宋体" w:cs="宋体"/>
          <w:color w:val="auto"/>
          <w:szCs w:val="21"/>
          <w:highlight w:val="none"/>
        </w:rPr>
        <w:t>。</w:t>
      </w:r>
    </w:p>
    <w:p w14:paraId="1C6D4D3D">
      <w:pPr>
        <w:autoSpaceDE w:val="0"/>
        <w:autoSpaceDN w:val="0"/>
        <w:adjustRightInd w:val="0"/>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u w:val="single"/>
        </w:rPr>
        <w:t>本工程中所有主材与设备承包人在实施前，提供样品给发包人认可后，方可采购用于本工程；如样品得不到发包人认可，发包人有权要求承包人提供在控制价范围内能够购买到的品牌产品用于本工程，本工程的商品混凝土必需由发包人认可的商混公司所提供，承包人使用的所有建筑材料及构配件均应得到发包人认可并经发包人认可的检测单位检测合格后方可使用。</w:t>
      </w:r>
    </w:p>
    <w:p w14:paraId="0DA1740F">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8.8 施工设备和临时设施</w:t>
      </w:r>
    </w:p>
    <w:p w14:paraId="0A239AAF">
      <w:pPr>
        <w:autoSpaceDE w:val="0"/>
        <w:autoSpaceDN w:val="0"/>
        <w:adjustRightInd w:val="0"/>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8.8.1 承包人提供的施工设备和临时设施</w:t>
      </w:r>
    </w:p>
    <w:p w14:paraId="69EB0974">
      <w:pPr>
        <w:autoSpaceDE w:val="0"/>
        <w:autoSpaceDN w:val="0"/>
        <w:adjustRightInd w:val="0"/>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除专用合同条款另有约定的其他独立承包人和监理人指示的他人提供条件外，承包人运入施工场地的所有施工设备以及在施工场地建设的临时设施仅限于用于合同工程。</w:t>
      </w:r>
    </w:p>
    <w:p w14:paraId="3CBCD278">
      <w:pPr>
        <w:autoSpaceDE w:val="0"/>
        <w:autoSpaceDN w:val="0"/>
        <w:adjustRightInd w:val="0"/>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关于修建临时设施费用承担的约定：</w:t>
      </w:r>
    </w:p>
    <w:p w14:paraId="6E8A9E70">
      <w:pPr>
        <w:autoSpaceDE w:val="0"/>
        <w:autoSpaceDN w:val="0"/>
        <w:adjustRightInd w:val="0"/>
        <w:spacing w:line="400" w:lineRule="exact"/>
        <w:ind w:left="0" w:firstLine="420" w:firstLineChars="200"/>
        <w:jc w:val="left"/>
        <w:rPr>
          <w:rFonts w:ascii="宋体" w:hAnsi="宋体" w:eastAsia="宋体" w:cs="宋体"/>
          <w:color w:val="auto"/>
          <w:szCs w:val="21"/>
          <w:highlight w:val="none"/>
          <w:u w:val="single"/>
        </w:rPr>
      </w:pPr>
      <w:r>
        <w:rPr>
          <w:rFonts w:hint="eastAsia" w:ascii="宋体" w:hAnsi="宋体" w:eastAsia="宋体" w:cs="宋体"/>
          <w:color w:val="auto"/>
          <w:szCs w:val="21"/>
          <w:highlight w:val="none"/>
          <w:u w:val="single"/>
        </w:rPr>
        <w:t>①承包人的临时用地（含项目部驻地等）租用费（含拆迁补偿）、临时用地的环保、恢复、临时用地的青苗补偿及地面附着物拆除等费用均由承包人负责，以上费用在投标报价中综合考虑。</w:t>
      </w:r>
    </w:p>
    <w:p w14:paraId="63988235">
      <w:pPr>
        <w:autoSpaceDE w:val="0"/>
        <w:autoSpaceDN w:val="0"/>
        <w:adjustRightInd w:val="0"/>
        <w:spacing w:line="400" w:lineRule="exact"/>
        <w:ind w:left="0" w:firstLine="420" w:firstLineChars="200"/>
        <w:jc w:val="left"/>
        <w:rPr>
          <w:rFonts w:ascii="宋体" w:hAnsi="宋体" w:eastAsia="宋体" w:cs="宋体"/>
          <w:color w:val="auto"/>
          <w:szCs w:val="21"/>
          <w:highlight w:val="none"/>
          <w:u w:val="single"/>
        </w:rPr>
      </w:pPr>
      <w:r>
        <w:rPr>
          <w:rFonts w:hint="eastAsia" w:ascii="宋体" w:hAnsi="宋体" w:eastAsia="宋体" w:cs="宋体"/>
          <w:color w:val="auto"/>
          <w:szCs w:val="21"/>
          <w:highlight w:val="none"/>
          <w:u w:val="single"/>
        </w:rPr>
        <w:t>②承包人负责合同实施期间其合同段内临时交通道路（含场内外连接公共交通道路）和交通设施的修建、维修、养护和交通管理工作，并承担一切费用。</w:t>
      </w:r>
    </w:p>
    <w:p w14:paraId="53C56349">
      <w:pPr>
        <w:autoSpaceDE w:val="0"/>
        <w:autoSpaceDN w:val="0"/>
        <w:adjustRightInd w:val="0"/>
        <w:spacing w:line="400" w:lineRule="exact"/>
        <w:ind w:left="0" w:firstLine="420" w:firstLineChars="200"/>
        <w:jc w:val="left"/>
        <w:rPr>
          <w:rFonts w:ascii="宋体" w:hAnsi="宋体" w:eastAsia="宋体" w:cs="宋体"/>
          <w:color w:val="auto"/>
          <w:szCs w:val="21"/>
          <w:highlight w:val="none"/>
          <w:u w:val="single"/>
        </w:rPr>
      </w:pPr>
      <w:r>
        <w:rPr>
          <w:rFonts w:hint="eastAsia" w:ascii="宋体" w:hAnsi="宋体" w:eastAsia="宋体" w:cs="宋体"/>
          <w:color w:val="auto"/>
          <w:szCs w:val="21"/>
          <w:highlight w:val="none"/>
          <w:u w:val="single"/>
        </w:rPr>
        <w:t>③承包人修建的临时道路和交通设施，应免费提供给发包人、监理工程师和其他合同段的承包人使用，如共同使用的路基损坏严重，发包人或监理工程师将负责通知有关承包人共同出资修复，若使用频率相差悬殊，则按比例分摊。</w:t>
      </w:r>
    </w:p>
    <w:p w14:paraId="3D9537D4">
      <w:pPr>
        <w:autoSpaceDE w:val="0"/>
        <w:autoSpaceDN w:val="0"/>
        <w:adjustRightInd w:val="0"/>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8.8.2 发包人提供的施工设备和临时设施</w:t>
      </w:r>
    </w:p>
    <w:p w14:paraId="205AAC8A">
      <w:pPr>
        <w:autoSpaceDE w:val="0"/>
        <w:autoSpaceDN w:val="0"/>
        <w:adjustRightInd w:val="0"/>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发包人提供的施工设备和临时设施：</w:t>
      </w:r>
      <w:r>
        <w:rPr>
          <w:rFonts w:hint="eastAsia" w:ascii="宋体" w:hAnsi="宋体" w:eastAsia="宋体" w:cs="宋体"/>
          <w:color w:val="auto"/>
          <w:szCs w:val="21"/>
          <w:highlight w:val="none"/>
          <w:u w:val="single"/>
        </w:rPr>
        <w:t>无</w:t>
      </w:r>
      <w:r>
        <w:rPr>
          <w:rFonts w:hint="eastAsia" w:ascii="宋体" w:hAnsi="宋体" w:eastAsia="宋体" w:cs="宋体"/>
          <w:color w:val="auto"/>
          <w:szCs w:val="21"/>
          <w:highlight w:val="none"/>
        </w:rPr>
        <w:t>。</w:t>
      </w:r>
    </w:p>
    <w:p w14:paraId="1EF6D651">
      <w:pPr>
        <w:autoSpaceDE w:val="0"/>
        <w:autoSpaceDN w:val="0"/>
        <w:adjustRightInd w:val="0"/>
        <w:spacing w:line="400" w:lineRule="exact"/>
        <w:ind w:left="0" w:firstLine="420" w:firstLineChars="200"/>
        <w:jc w:val="left"/>
        <w:rPr>
          <w:rFonts w:ascii="宋体" w:hAnsi="宋体" w:eastAsia="宋体" w:cs="宋体"/>
          <w:color w:val="auto"/>
          <w:szCs w:val="21"/>
          <w:highlight w:val="none"/>
          <w:u w:val="single"/>
        </w:rPr>
      </w:pPr>
      <w:r>
        <w:rPr>
          <w:rFonts w:hint="eastAsia" w:ascii="宋体" w:hAnsi="宋体" w:eastAsia="宋体" w:cs="宋体"/>
          <w:color w:val="auto"/>
          <w:szCs w:val="21"/>
          <w:highlight w:val="none"/>
        </w:rPr>
        <w:t>发包人提供的施工设备和临时设施的运行、维护、拆除、清运费用的承担人：</w:t>
      </w:r>
      <w:r>
        <w:rPr>
          <w:rFonts w:hint="eastAsia" w:ascii="宋体" w:hAnsi="宋体" w:eastAsia="宋体" w:cs="宋体"/>
          <w:color w:val="auto"/>
          <w:szCs w:val="21"/>
          <w:highlight w:val="none"/>
          <w:u w:val="single"/>
        </w:rPr>
        <w:t>另行约定</w:t>
      </w:r>
      <w:r>
        <w:rPr>
          <w:rFonts w:hint="eastAsia" w:ascii="宋体" w:hAnsi="宋体" w:eastAsia="宋体" w:cs="宋体"/>
          <w:color w:val="auto"/>
          <w:szCs w:val="21"/>
          <w:highlight w:val="none"/>
        </w:rPr>
        <w:t>。</w:t>
      </w:r>
    </w:p>
    <w:p w14:paraId="056C0E07">
      <w:pPr>
        <w:keepNext/>
        <w:keepLines/>
        <w:spacing w:line="400" w:lineRule="exact"/>
        <w:ind w:left="0" w:firstLine="422" w:firstLineChars="200"/>
        <w:outlineLvl w:val="3"/>
        <w:rPr>
          <w:rFonts w:ascii="宋体" w:hAnsi="宋体" w:eastAsia="宋体" w:cs="宋体"/>
          <w:b/>
          <w:bCs/>
          <w:color w:val="auto"/>
          <w:szCs w:val="21"/>
          <w:highlight w:val="none"/>
        </w:rPr>
      </w:pPr>
      <w:r>
        <w:rPr>
          <w:rFonts w:hint="eastAsia" w:ascii="宋体" w:hAnsi="宋体" w:eastAsia="宋体" w:cs="宋体"/>
          <w:b/>
          <w:bCs/>
          <w:color w:val="auto"/>
          <w:szCs w:val="21"/>
          <w:highlight w:val="none"/>
        </w:rPr>
        <w:t>9.试验与检验</w:t>
      </w:r>
    </w:p>
    <w:p w14:paraId="4EFBF4F1">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9.1试验设备与试验人员</w:t>
      </w:r>
    </w:p>
    <w:p w14:paraId="09CAD23E">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9.1.2 试验设备</w:t>
      </w:r>
    </w:p>
    <w:p w14:paraId="18E0F3F1">
      <w:pPr>
        <w:spacing w:line="400" w:lineRule="exact"/>
        <w:ind w:left="0" w:firstLine="420" w:firstLineChars="200"/>
        <w:jc w:val="left"/>
        <w:rPr>
          <w:rFonts w:ascii="宋体" w:hAnsi="宋体" w:eastAsia="宋体" w:cs="宋体"/>
          <w:color w:val="auto"/>
          <w:szCs w:val="21"/>
          <w:highlight w:val="none"/>
          <w:u w:val="single"/>
        </w:rPr>
      </w:pPr>
      <w:r>
        <w:rPr>
          <w:rFonts w:hint="eastAsia" w:ascii="宋体" w:hAnsi="宋体" w:eastAsia="宋体" w:cs="宋体"/>
          <w:color w:val="auto"/>
          <w:szCs w:val="21"/>
          <w:highlight w:val="none"/>
        </w:rPr>
        <w:t>施工现场需要配置的试验场所：</w:t>
      </w:r>
      <w:r>
        <w:rPr>
          <w:rFonts w:hint="eastAsia" w:ascii="宋体" w:hAnsi="宋体" w:eastAsia="宋体" w:cs="宋体"/>
          <w:color w:val="auto"/>
          <w:szCs w:val="21"/>
          <w:highlight w:val="none"/>
          <w:u w:val="single"/>
        </w:rPr>
        <w:t xml:space="preserve">  无  </w:t>
      </w:r>
      <w:r>
        <w:rPr>
          <w:rFonts w:hint="eastAsia" w:ascii="宋体" w:hAnsi="宋体" w:eastAsia="宋体" w:cs="宋体"/>
          <w:color w:val="auto"/>
          <w:szCs w:val="21"/>
          <w:highlight w:val="none"/>
        </w:rPr>
        <w:t xml:space="preserve">。 </w:t>
      </w:r>
    </w:p>
    <w:p w14:paraId="08842497">
      <w:pPr>
        <w:spacing w:line="400" w:lineRule="exact"/>
        <w:ind w:left="0" w:firstLine="420" w:firstLineChars="200"/>
        <w:jc w:val="left"/>
        <w:rPr>
          <w:rFonts w:ascii="宋体" w:hAnsi="宋体" w:eastAsia="宋体" w:cs="宋体"/>
          <w:color w:val="auto"/>
          <w:szCs w:val="21"/>
          <w:highlight w:val="none"/>
          <w:u w:val="single"/>
        </w:rPr>
      </w:pPr>
      <w:r>
        <w:rPr>
          <w:rFonts w:hint="eastAsia" w:ascii="宋体" w:hAnsi="宋体" w:eastAsia="宋体" w:cs="宋体"/>
          <w:color w:val="auto"/>
          <w:szCs w:val="21"/>
          <w:highlight w:val="none"/>
        </w:rPr>
        <w:t>施工现场需要配备的试验设备：</w:t>
      </w:r>
      <w:r>
        <w:rPr>
          <w:rFonts w:hint="eastAsia" w:ascii="宋体" w:hAnsi="宋体" w:eastAsia="宋体" w:cs="宋体"/>
          <w:color w:val="auto"/>
          <w:szCs w:val="21"/>
          <w:highlight w:val="none"/>
          <w:u w:val="single"/>
        </w:rPr>
        <w:t xml:space="preserve">  无  </w:t>
      </w:r>
      <w:r>
        <w:rPr>
          <w:rFonts w:hint="eastAsia" w:ascii="宋体" w:hAnsi="宋体" w:eastAsia="宋体" w:cs="宋体"/>
          <w:color w:val="auto"/>
          <w:szCs w:val="21"/>
          <w:highlight w:val="none"/>
        </w:rPr>
        <w:t>。</w:t>
      </w:r>
    </w:p>
    <w:p w14:paraId="58D70F3B">
      <w:pPr>
        <w:spacing w:line="400" w:lineRule="exact"/>
        <w:ind w:left="0" w:firstLine="420" w:firstLineChars="200"/>
        <w:jc w:val="left"/>
        <w:rPr>
          <w:rFonts w:ascii="宋体" w:hAnsi="宋体" w:eastAsia="宋体" w:cs="宋体"/>
          <w:color w:val="auto"/>
          <w:szCs w:val="21"/>
          <w:highlight w:val="none"/>
          <w:u w:val="single"/>
        </w:rPr>
      </w:pPr>
      <w:r>
        <w:rPr>
          <w:rFonts w:hint="eastAsia" w:ascii="宋体" w:hAnsi="宋体" w:eastAsia="宋体" w:cs="宋体"/>
          <w:color w:val="auto"/>
          <w:szCs w:val="21"/>
          <w:highlight w:val="none"/>
        </w:rPr>
        <w:t>施工现场需要具备的其他试验条件：</w:t>
      </w:r>
      <w:r>
        <w:rPr>
          <w:rFonts w:hint="eastAsia" w:ascii="宋体" w:hAnsi="宋体" w:eastAsia="宋体" w:cs="宋体"/>
          <w:color w:val="auto"/>
          <w:szCs w:val="21"/>
          <w:highlight w:val="none"/>
          <w:u w:val="single"/>
        </w:rPr>
        <w:t xml:space="preserve">  另行约定 </w:t>
      </w:r>
      <w:r>
        <w:rPr>
          <w:rFonts w:hint="eastAsia" w:ascii="宋体" w:hAnsi="宋体" w:eastAsia="宋体" w:cs="宋体"/>
          <w:color w:val="auto"/>
          <w:szCs w:val="21"/>
          <w:highlight w:val="none"/>
        </w:rPr>
        <w:t>。</w:t>
      </w:r>
    </w:p>
    <w:p w14:paraId="2567449A">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9.4 现场工艺试验 </w:t>
      </w:r>
    </w:p>
    <w:p w14:paraId="7F8BA0CC">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现场工艺试验的有关约定：</w:t>
      </w:r>
      <w:r>
        <w:rPr>
          <w:rFonts w:hint="eastAsia" w:ascii="宋体" w:hAnsi="宋体" w:eastAsia="宋体" w:cs="宋体"/>
          <w:color w:val="auto"/>
          <w:szCs w:val="21"/>
          <w:highlight w:val="none"/>
          <w:u w:val="single"/>
        </w:rPr>
        <w:t xml:space="preserve">   /  </w:t>
      </w:r>
      <w:r>
        <w:rPr>
          <w:rFonts w:hint="eastAsia" w:ascii="宋体" w:hAnsi="宋体" w:eastAsia="宋体" w:cs="宋体"/>
          <w:color w:val="auto"/>
          <w:szCs w:val="21"/>
          <w:highlight w:val="none"/>
        </w:rPr>
        <w:t>。</w:t>
      </w:r>
    </w:p>
    <w:p w14:paraId="60AAD43C">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9.5 检验费用</w:t>
      </w:r>
    </w:p>
    <w:p w14:paraId="7FEB669B">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根据《建设工程质量检测管理办法》（住房和城乡建设部令第57号）以及</w:t>
      </w:r>
      <w:r>
        <w:rPr>
          <w:rFonts w:hint="eastAsia" w:eastAsia="宋体"/>
          <w:color w:val="auto"/>
          <w:highlight w:val="none"/>
        </w:rPr>
        <w:t>《广西壮族自治区建设工程质量检测管理实施细则》（桂建发〔2025〕5号）</w:t>
      </w:r>
      <w:r>
        <w:rPr>
          <w:rFonts w:hint="eastAsia" w:ascii="宋体" w:hAnsi="宋体" w:eastAsia="宋体" w:cs="宋体"/>
          <w:color w:val="auto"/>
          <w:szCs w:val="21"/>
          <w:highlight w:val="none"/>
        </w:rPr>
        <w:t>规定，工程质量检测业务由招标人委托有相应资质的检测机构检测。费用从招标人的项目建设经费中支出并直接支付给检测机构，不计入合同价款内。</w:t>
      </w:r>
    </w:p>
    <w:p w14:paraId="7EA6DA73">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9.6承包人需分批次进场的用于本工程实体的各种材料，必须对每批次的材料进行报送样检验，未经检验的批次材料不得用于实体工程，否则除强制要求拆除返工外，承包人还须承担10000元/宗•次(人民币) 违约金，违约金在当期的进度计量款支付时抵扣。</w:t>
      </w:r>
    </w:p>
    <w:p w14:paraId="0536F48B">
      <w:pPr>
        <w:spacing w:line="400" w:lineRule="exact"/>
        <w:ind w:left="0" w:firstLine="422" w:firstLineChars="200"/>
        <w:outlineLvl w:val="0"/>
        <w:rPr>
          <w:rFonts w:ascii="宋体" w:hAnsi="宋体" w:eastAsia="宋体" w:cs="宋体"/>
          <w:b/>
          <w:bCs/>
          <w:color w:val="auto"/>
          <w:kern w:val="44"/>
          <w:szCs w:val="21"/>
          <w:highlight w:val="none"/>
        </w:rPr>
      </w:pPr>
      <w:bookmarkStart w:id="195" w:name="_Toc14477"/>
      <w:bookmarkStart w:id="196" w:name="_Toc31836"/>
      <w:bookmarkStart w:id="197" w:name="_Toc26012"/>
      <w:bookmarkStart w:id="198" w:name="_Toc15619"/>
      <w:bookmarkStart w:id="199" w:name="_Toc373227739"/>
      <w:bookmarkStart w:id="200" w:name="_Toc351203642"/>
      <w:bookmarkStart w:id="201" w:name="_Toc373478386"/>
      <w:bookmarkStart w:id="202" w:name="_Toc389065305"/>
      <w:r>
        <w:rPr>
          <w:rFonts w:hint="eastAsia" w:ascii="宋体" w:hAnsi="宋体" w:eastAsia="宋体" w:cs="宋体"/>
          <w:b/>
          <w:bCs/>
          <w:color w:val="auto"/>
          <w:kern w:val="44"/>
          <w:szCs w:val="21"/>
          <w:highlight w:val="none"/>
        </w:rPr>
        <w:t>1</w:t>
      </w:r>
      <w:bookmarkStart w:id="203" w:name="_Toc297216199"/>
      <w:bookmarkStart w:id="204" w:name="_Toc292559398"/>
      <w:bookmarkStart w:id="205" w:name="_Toc297120493"/>
      <w:bookmarkStart w:id="206" w:name="_Toc296347192"/>
      <w:bookmarkStart w:id="207" w:name="_Toc300934989"/>
      <w:bookmarkStart w:id="208" w:name="_Toc296346694"/>
      <w:bookmarkStart w:id="209" w:name="_Toc297123540"/>
      <w:bookmarkStart w:id="210" w:name="_Toc296944532"/>
      <w:bookmarkStart w:id="211" w:name="_Toc296891021"/>
      <w:bookmarkStart w:id="212" w:name="_Toc312677499"/>
      <w:bookmarkStart w:id="213" w:name="_Toc292559903"/>
      <w:bookmarkStart w:id="214" w:name="_Toc303539146"/>
      <w:bookmarkStart w:id="215" w:name="_Toc296891233"/>
      <w:bookmarkStart w:id="216" w:name="_Toc304295566"/>
      <w:bookmarkStart w:id="217" w:name="_Toc312678025"/>
      <w:bookmarkStart w:id="218" w:name="_Toc297048379"/>
      <w:bookmarkStart w:id="219" w:name="_Toc296503193"/>
      <w:bookmarkStart w:id="220" w:name="_Toc267251435"/>
      <w:bookmarkStart w:id="221" w:name="_Toc267251440"/>
      <w:bookmarkStart w:id="222" w:name="_Toc267251439"/>
      <w:bookmarkStart w:id="223" w:name="_Toc267251441"/>
      <w:bookmarkStart w:id="224" w:name="_Toc267251437"/>
      <w:bookmarkStart w:id="225" w:name="_Toc267251433"/>
      <w:bookmarkStart w:id="226" w:name="_Toc267251442"/>
      <w:r>
        <w:rPr>
          <w:rFonts w:hint="eastAsia" w:ascii="宋体" w:hAnsi="宋体" w:eastAsia="宋体" w:cs="宋体"/>
          <w:b/>
          <w:bCs/>
          <w:color w:val="auto"/>
          <w:kern w:val="44"/>
          <w:szCs w:val="21"/>
          <w:highlight w:val="none"/>
        </w:rPr>
        <w:t>0. 变更</w:t>
      </w:r>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Start w:id="227" w:name="_Toc373478387"/>
      <w:bookmarkStart w:id="228" w:name="_Toc373227740"/>
      <w:bookmarkStart w:id="229" w:name="_Toc389065306"/>
    </w:p>
    <w:p w14:paraId="4159B6C3">
      <w:pPr>
        <w:spacing w:line="400" w:lineRule="exact"/>
        <w:ind w:left="0" w:firstLine="422" w:firstLineChars="200"/>
        <w:outlineLvl w:val="0"/>
        <w:rPr>
          <w:rFonts w:ascii="宋体" w:hAnsi="宋体" w:eastAsia="宋体" w:cs="宋体"/>
          <w:b/>
          <w:bCs/>
          <w:color w:val="auto"/>
          <w:kern w:val="44"/>
          <w:szCs w:val="21"/>
          <w:highlight w:val="none"/>
        </w:rPr>
      </w:pPr>
      <w:bookmarkStart w:id="230" w:name="_Toc17575"/>
      <w:bookmarkStart w:id="231" w:name="_Toc29844"/>
      <w:bookmarkStart w:id="232" w:name="_Toc18442"/>
      <w:bookmarkStart w:id="233" w:name="_Toc8092"/>
      <w:r>
        <w:rPr>
          <w:rFonts w:hint="eastAsia" w:ascii="宋体" w:hAnsi="宋体" w:eastAsia="宋体" w:cs="宋体"/>
          <w:b/>
          <w:bCs/>
          <w:color w:val="auto"/>
          <w:kern w:val="44"/>
          <w:szCs w:val="21"/>
          <w:highlight w:val="none"/>
        </w:rPr>
        <w:t>1</w:t>
      </w:r>
      <w:bookmarkStart w:id="234" w:name="_Toc312677500"/>
      <w:bookmarkStart w:id="235" w:name="_Toc303539147"/>
      <w:bookmarkStart w:id="236" w:name="_Toc296347193"/>
      <w:bookmarkStart w:id="237" w:name="_Toc297048380"/>
      <w:bookmarkStart w:id="238" w:name="_Toc304295567"/>
      <w:bookmarkStart w:id="239" w:name="_Toc297123541"/>
      <w:bookmarkStart w:id="240" w:name="_Toc296346695"/>
      <w:bookmarkStart w:id="241" w:name="_Toc292559399"/>
      <w:bookmarkStart w:id="242" w:name="_Toc296944533"/>
      <w:bookmarkStart w:id="243" w:name="_Toc297216200"/>
      <w:bookmarkStart w:id="244" w:name="_Toc312678026"/>
      <w:bookmarkStart w:id="245" w:name="_Toc296503194"/>
      <w:bookmarkStart w:id="246" w:name="_Toc300934990"/>
      <w:bookmarkStart w:id="247" w:name="_Toc297120494"/>
      <w:bookmarkStart w:id="248" w:name="_Toc296891022"/>
      <w:bookmarkStart w:id="249" w:name="_Toc296891234"/>
      <w:bookmarkStart w:id="250" w:name="_Toc292559904"/>
      <w:r>
        <w:rPr>
          <w:rFonts w:hint="eastAsia" w:ascii="宋体" w:hAnsi="宋体" w:eastAsia="宋体" w:cs="宋体"/>
          <w:b/>
          <w:bCs/>
          <w:color w:val="auto"/>
          <w:kern w:val="44"/>
          <w:szCs w:val="21"/>
          <w:highlight w:val="none"/>
        </w:rPr>
        <w:t>0.1变更的范围</w:t>
      </w:r>
      <w:bookmarkEnd w:id="227"/>
      <w:bookmarkEnd w:id="228"/>
      <w:bookmarkEnd w:id="229"/>
      <w:bookmarkEnd w:id="230"/>
      <w:bookmarkEnd w:id="231"/>
      <w:bookmarkEnd w:id="232"/>
      <w:bookmarkEnd w:id="233"/>
    </w:p>
    <w:p w14:paraId="6E1C8A7B">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关于变更的范围的约定：</w:t>
      </w:r>
      <w:r>
        <w:rPr>
          <w:rFonts w:hint="eastAsia" w:ascii="宋体" w:hAnsi="宋体" w:eastAsia="宋体" w:cs="宋体"/>
          <w:color w:val="auto"/>
          <w:szCs w:val="21"/>
          <w:highlight w:val="none"/>
          <w:u w:val="single"/>
        </w:rPr>
        <w:t xml:space="preserve">   /   </w:t>
      </w:r>
      <w:r>
        <w:rPr>
          <w:rFonts w:hint="eastAsia" w:ascii="宋体" w:hAnsi="宋体" w:eastAsia="宋体" w:cs="宋体"/>
          <w:color w:val="auto"/>
          <w:szCs w:val="21"/>
          <w:highlight w:val="none"/>
        </w:rPr>
        <w:t>。</w:t>
      </w:r>
    </w:p>
    <w:p w14:paraId="3FE4C32D">
      <w:pPr>
        <w:spacing w:line="400" w:lineRule="exact"/>
        <w:ind w:left="0" w:firstLine="422" w:firstLineChars="200"/>
        <w:outlineLvl w:val="0"/>
        <w:rPr>
          <w:rFonts w:ascii="宋体" w:hAnsi="宋体" w:eastAsia="宋体" w:cs="宋体"/>
          <w:b/>
          <w:bCs/>
          <w:color w:val="auto"/>
          <w:kern w:val="44"/>
          <w:szCs w:val="21"/>
          <w:highlight w:val="none"/>
        </w:rPr>
      </w:pPr>
      <w:bookmarkStart w:id="251" w:name="_Toc29728"/>
      <w:bookmarkStart w:id="252" w:name="_Toc1436"/>
      <w:bookmarkStart w:id="253" w:name="_Toc373478388"/>
      <w:bookmarkStart w:id="254" w:name="_Toc389065307"/>
      <w:bookmarkStart w:id="255" w:name="_Toc373227741"/>
      <w:bookmarkStart w:id="256" w:name="_Toc4666"/>
      <w:bookmarkStart w:id="257" w:name="_Toc5410"/>
      <w:r>
        <w:rPr>
          <w:rFonts w:hint="eastAsia" w:ascii="宋体" w:hAnsi="宋体" w:eastAsia="宋体" w:cs="宋体"/>
          <w:b/>
          <w:bCs/>
          <w:color w:val="auto"/>
          <w:kern w:val="44"/>
          <w:szCs w:val="21"/>
          <w:highlight w:val="none"/>
        </w:rPr>
        <w:t>10.3 变更程序</w:t>
      </w:r>
      <w:bookmarkEnd w:id="251"/>
      <w:bookmarkEnd w:id="252"/>
      <w:bookmarkEnd w:id="253"/>
      <w:bookmarkEnd w:id="254"/>
      <w:bookmarkEnd w:id="255"/>
      <w:bookmarkEnd w:id="256"/>
      <w:bookmarkEnd w:id="257"/>
    </w:p>
    <w:p w14:paraId="3D0C69AB">
      <w:pPr>
        <w:spacing w:line="400" w:lineRule="exact"/>
        <w:ind w:left="0" w:firstLine="420" w:firstLineChars="200"/>
        <w:rPr>
          <w:rFonts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10.3.1国有投资项目：</w:t>
      </w:r>
    </w:p>
    <w:p w14:paraId="27C45EB1">
      <w:pPr>
        <w:spacing w:line="400" w:lineRule="exact"/>
        <w:ind w:left="0" w:firstLine="420" w:firstLineChars="200"/>
        <w:rPr>
          <w:rFonts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⑴设计变更和工程签证，按各市政府或相关部门的规定办理。属不可抗力（自然灾害、突发事件等）造成变更的，按特事特办原则予以办理。</w:t>
      </w:r>
    </w:p>
    <w:p w14:paraId="7DEC7F25">
      <w:pPr>
        <w:spacing w:line="400" w:lineRule="exact"/>
        <w:ind w:left="0" w:firstLine="420" w:firstLineChars="200"/>
        <w:rPr>
          <w:rFonts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⑵建设单位在实施项目过程中，若发生单价变动，由建设单位、监理单位、施工单位及其他相关单位共同商定并签字确认。</w:t>
      </w:r>
    </w:p>
    <w:p w14:paraId="69F3149C">
      <w:pPr>
        <w:spacing w:line="400" w:lineRule="exact"/>
        <w:ind w:left="0" w:firstLine="420" w:firstLineChars="200"/>
        <w:jc w:val="left"/>
        <w:rPr>
          <w:rFonts w:ascii="宋体" w:hAnsi="宋体" w:eastAsia="宋体" w:cs="宋体"/>
          <w:bCs/>
          <w:color w:val="auto"/>
          <w:szCs w:val="21"/>
          <w:highlight w:val="none"/>
        </w:rPr>
      </w:pPr>
      <w:r>
        <w:rPr>
          <w:rFonts w:hint="eastAsia" w:ascii="宋体" w:hAnsi="宋体" w:eastAsia="宋体" w:cs="宋体"/>
          <w:bCs/>
          <w:color w:val="auto"/>
          <w:szCs w:val="21"/>
          <w:highlight w:val="none"/>
        </w:rPr>
        <w:t>⑶当合同规定的合同价款调整情况发生后，承包人未在规定时间内通知发包人，或者未在规定时间内提出调整报告，发包人可以根据有关资料，决定是否调整和调整的金额，并书面通知承包人。</w:t>
      </w:r>
    </w:p>
    <w:p w14:paraId="292A80F3">
      <w:pPr>
        <w:spacing w:line="400" w:lineRule="exact"/>
        <w:ind w:left="0" w:firstLine="420" w:firstLineChars="200"/>
        <w:rPr>
          <w:rFonts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⑷承包人提出的变更：应在变更部分施工前三天以书面工程联系单形式向监理工程师提出，必须说明要求变更的理由和增加或者减少的费用预算，在发包人分管领导批复同意后方可实施。变更部分施工完毕合格五天内必须报送工程变更签证单；工程联系单和工程变更签证单必须按发包人约定的统一的格式编码进行编号，否则不予计价。</w:t>
      </w:r>
    </w:p>
    <w:p w14:paraId="45A21956">
      <w:pPr>
        <w:spacing w:line="400" w:lineRule="exact"/>
        <w:ind w:left="0" w:firstLine="420" w:firstLineChars="200"/>
        <w:rPr>
          <w:rFonts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⑸设计单位补充的变更：承包人在接到业主（发包人）签认的变更通知后三天内报送工程联系单，变更部分施工完毕合格五天内必须报送工程变更签证单；工程联系单和工程变更签证单必须按业主（发包人）约定的统一的格式编码进行编号，否则不予计价。</w:t>
      </w:r>
    </w:p>
    <w:p w14:paraId="53D00E2D">
      <w:pPr>
        <w:spacing w:line="400" w:lineRule="exact"/>
        <w:ind w:left="0" w:firstLine="420" w:firstLineChars="200"/>
        <w:rPr>
          <w:rFonts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⑹业主（发包人）要求的变更：承包人在接到业主（发包人）签发的变更通知后三天内报送工程联系单，变更部分施工完毕合格五天内必须报送工程变更签证单；工程联系单和工程变更签证单必须按发包人约定的统一的格式编码进行编号，否则不予计价。</w:t>
      </w:r>
    </w:p>
    <w:p w14:paraId="27B70DC8">
      <w:pPr>
        <w:spacing w:line="400" w:lineRule="exact"/>
        <w:ind w:left="0" w:firstLine="420" w:firstLineChars="200"/>
        <w:jc w:val="left"/>
        <w:rPr>
          <w:rFonts w:ascii="宋体" w:hAnsi="宋体" w:eastAsia="宋体" w:cs="宋体"/>
          <w:bCs/>
          <w:color w:val="auto"/>
          <w:szCs w:val="21"/>
          <w:highlight w:val="none"/>
        </w:rPr>
      </w:pPr>
      <w:r>
        <w:rPr>
          <w:rFonts w:hint="eastAsia" w:ascii="宋体" w:hAnsi="宋体" w:eastAsia="宋体" w:cs="宋体"/>
          <w:bCs/>
          <w:color w:val="auto"/>
          <w:szCs w:val="21"/>
          <w:highlight w:val="none"/>
        </w:rPr>
        <w:t>10.3.2非国有投资项目：</w:t>
      </w:r>
      <w:r>
        <w:rPr>
          <w:rFonts w:hint="eastAsia" w:ascii="宋体" w:hAnsi="宋体" w:eastAsia="宋体" w:cs="宋体"/>
          <w:bCs/>
          <w:color w:val="auto"/>
          <w:szCs w:val="21"/>
          <w:highlight w:val="none"/>
          <w:u w:val="single"/>
        </w:rPr>
        <w:t>参照国有投资项目执行</w:t>
      </w:r>
      <w:r>
        <w:rPr>
          <w:rFonts w:hint="eastAsia" w:ascii="宋体" w:hAnsi="宋体" w:eastAsia="宋体" w:cs="宋体"/>
          <w:bCs/>
          <w:color w:val="auto"/>
          <w:szCs w:val="21"/>
          <w:highlight w:val="none"/>
        </w:rPr>
        <w:t>。</w:t>
      </w:r>
    </w:p>
    <w:p w14:paraId="463275BD">
      <w:pPr>
        <w:spacing w:line="400" w:lineRule="exact"/>
        <w:ind w:left="0" w:firstLine="422" w:firstLineChars="200"/>
        <w:outlineLvl w:val="0"/>
        <w:rPr>
          <w:rFonts w:ascii="宋体" w:hAnsi="宋体" w:eastAsia="宋体" w:cs="宋体"/>
          <w:b/>
          <w:bCs/>
          <w:color w:val="auto"/>
          <w:kern w:val="44"/>
          <w:szCs w:val="21"/>
          <w:highlight w:val="none"/>
        </w:rPr>
      </w:pPr>
      <w:bookmarkStart w:id="258" w:name="_Toc32710"/>
      <w:bookmarkStart w:id="259" w:name="_Toc9025"/>
      <w:bookmarkStart w:id="260" w:name="_Toc373227742"/>
      <w:bookmarkStart w:id="261" w:name="_Toc25420"/>
      <w:bookmarkStart w:id="262" w:name="_Toc389065308"/>
      <w:bookmarkStart w:id="263" w:name="_Toc373478389"/>
      <w:bookmarkStart w:id="264" w:name="_Toc30169"/>
      <w:r>
        <w:rPr>
          <w:rFonts w:hint="eastAsia" w:ascii="宋体" w:hAnsi="宋体" w:eastAsia="宋体" w:cs="宋体"/>
          <w:b/>
          <w:bCs/>
          <w:color w:val="auto"/>
          <w:kern w:val="44"/>
          <w:szCs w:val="21"/>
          <w:highlight w:val="none"/>
        </w:rPr>
        <w:t>10.4 变更估价</w:t>
      </w:r>
      <w:bookmarkEnd w:id="258"/>
      <w:bookmarkEnd w:id="259"/>
      <w:bookmarkEnd w:id="260"/>
      <w:bookmarkEnd w:id="261"/>
      <w:bookmarkEnd w:id="262"/>
      <w:bookmarkEnd w:id="263"/>
      <w:bookmarkEnd w:id="264"/>
    </w:p>
    <w:p w14:paraId="465E9AFE">
      <w:pPr>
        <w:spacing w:line="400" w:lineRule="exact"/>
        <w:ind w:left="0" w:firstLine="420" w:firstLineChars="200"/>
        <w:jc w:val="left"/>
        <w:rPr>
          <w:rFonts w:ascii="宋体" w:hAnsi="宋体" w:eastAsia="宋体" w:cs="宋体"/>
          <w:color w:val="auto"/>
          <w:szCs w:val="21"/>
          <w:highlight w:val="none"/>
        </w:rPr>
      </w:pPr>
      <w:bookmarkStart w:id="265" w:name="_Toc373478390"/>
      <w:bookmarkStart w:id="266" w:name="_Toc373227743"/>
      <w:bookmarkStart w:id="267" w:name="_Toc389065309"/>
      <w:r>
        <w:rPr>
          <w:rFonts w:hint="eastAsia" w:ascii="宋体" w:hAnsi="宋体" w:eastAsia="宋体" w:cs="宋体"/>
          <w:color w:val="auto"/>
          <w:szCs w:val="21"/>
          <w:highlight w:val="none"/>
        </w:rPr>
        <w:t>10.4.1 变更估价原则</w:t>
      </w:r>
    </w:p>
    <w:p w14:paraId="2482701F">
      <w:pPr>
        <w:spacing w:line="400" w:lineRule="exact"/>
        <w:ind w:left="0" w:firstLine="420" w:firstLineChars="200"/>
        <w:jc w:val="left"/>
        <w:rPr>
          <w:rFonts w:ascii="宋体" w:hAnsi="宋体" w:eastAsia="宋体" w:cs="宋体"/>
          <w:bCs/>
          <w:color w:val="auto"/>
          <w:szCs w:val="21"/>
          <w:highlight w:val="none"/>
          <w:u w:val="single"/>
        </w:rPr>
      </w:pPr>
      <w:r>
        <w:rPr>
          <w:rFonts w:hint="eastAsia" w:ascii="宋体" w:hAnsi="宋体" w:eastAsia="宋体" w:cs="宋体"/>
          <w:color w:val="auto"/>
          <w:szCs w:val="21"/>
          <w:highlight w:val="none"/>
        </w:rPr>
        <w:t xml:space="preserve">关于变更估价的约定: </w:t>
      </w:r>
      <w:bookmarkStart w:id="268" w:name="_Toc251051742"/>
      <w:r>
        <w:rPr>
          <w:rFonts w:hint="eastAsia" w:ascii="宋体" w:hAnsi="宋体" w:eastAsia="宋体" w:cs="宋体"/>
          <w:bCs/>
          <w:color w:val="auto"/>
          <w:szCs w:val="21"/>
          <w:highlight w:val="none"/>
          <w:u w:val="single"/>
        </w:rPr>
        <w:t>因设计变更、相关签证引起工程项目、工程量任何变化的，变更合同价款按下列方法进行：</w:t>
      </w:r>
    </w:p>
    <w:p w14:paraId="0F7B854B">
      <w:pPr>
        <w:spacing w:line="400" w:lineRule="exact"/>
        <w:ind w:left="0" w:firstLine="420" w:firstLineChars="200"/>
        <w:jc w:val="left"/>
        <w:rPr>
          <w:rFonts w:ascii="宋体" w:hAnsi="宋体" w:eastAsia="宋体" w:cs="宋体"/>
          <w:bCs/>
          <w:color w:val="auto"/>
          <w:szCs w:val="21"/>
          <w:highlight w:val="none"/>
          <w:u w:val="single"/>
        </w:rPr>
      </w:pPr>
      <w:r>
        <w:rPr>
          <w:rFonts w:hint="eastAsia" w:ascii="宋体" w:hAnsi="宋体" w:eastAsia="宋体" w:cs="宋体"/>
          <w:bCs/>
          <w:color w:val="auto"/>
          <w:szCs w:val="21"/>
          <w:highlight w:val="none"/>
          <w:u w:val="single"/>
        </w:rPr>
        <w:t>（1）合同中已有相同清单项目的，按合同该清单项目价格进行计算；</w:t>
      </w:r>
    </w:p>
    <w:p w14:paraId="57941B84">
      <w:pPr>
        <w:spacing w:line="400" w:lineRule="exact"/>
        <w:ind w:left="0" w:firstLine="420" w:firstLineChars="200"/>
        <w:jc w:val="left"/>
        <w:rPr>
          <w:rFonts w:ascii="宋体" w:hAnsi="宋体" w:eastAsia="宋体" w:cs="宋体"/>
          <w:bCs/>
          <w:color w:val="auto"/>
          <w:szCs w:val="21"/>
          <w:highlight w:val="none"/>
          <w:u w:val="single"/>
        </w:rPr>
      </w:pPr>
      <w:r>
        <w:rPr>
          <w:rFonts w:hint="eastAsia" w:ascii="宋体" w:hAnsi="宋体" w:eastAsia="宋体" w:cs="宋体"/>
          <w:bCs/>
          <w:color w:val="auto"/>
          <w:szCs w:val="21"/>
          <w:highlight w:val="none"/>
          <w:u w:val="single"/>
        </w:rPr>
        <w:t>（2）合同中只有类似清单项目的，参照该类似清单项目价格进行计算；</w:t>
      </w:r>
    </w:p>
    <w:p w14:paraId="06BC5580">
      <w:pPr>
        <w:spacing w:line="400" w:lineRule="exact"/>
        <w:ind w:left="0" w:firstLine="420" w:firstLineChars="200"/>
        <w:rPr>
          <w:rFonts w:ascii="宋体" w:hAnsi="宋体" w:eastAsia="宋体" w:cs="宋体"/>
          <w:bCs/>
          <w:color w:val="auto"/>
          <w:szCs w:val="21"/>
          <w:highlight w:val="none"/>
          <w:u w:val="single"/>
        </w:rPr>
      </w:pPr>
      <w:r>
        <w:rPr>
          <w:rFonts w:hint="eastAsia" w:ascii="宋体" w:hAnsi="宋体" w:eastAsia="宋体" w:cs="宋体"/>
          <w:bCs/>
          <w:color w:val="auto"/>
          <w:szCs w:val="21"/>
          <w:highlight w:val="none"/>
          <w:u w:val="single"/>
        </w:rPr>
        <w:t xml:space="preserve">（3）合同中没有适用或类似清单项目的价格计算按招标时公布的招标控制价的计算方法：有定额的套定额，并乘以（1-下浮系数），本工程下浮系数= （1-中标价/控制价）×100% = </w:t>
      </w:r>
      <w:r>
        <w:rPr>
          <w:rFonts w:hint="eastAsia" w:ascii="宋体" w:hAnsi="宋体" w:cs="宋体"/>
          <w:bCs/>
          <w:color w:val="auto"/>
          <w:szCs w:val="21"/>
          <w:highlight w:val="none"/>
          <w:u w:val="single"/>
          <w:lang w:val="en-US" w:eastAsia="zh-CN"/>
        </w:rPr>
        <w:t xml:space="preserve"> </w:t>
      </w:r>
      <w:r>
        <w:rPr>
          <w:rFonts w:hint="eastAsia" w:ascii="宋体" w:hAnsi="宋体" w:eastAsia="宋体" w:cs="宋体"/>
          <w:bCs/>
          <w:color w:val="auto"/>
          <w:szCs w:val="21"/>
          <w:highlight w:val="none"/>
          <w:u w:val="single"/>
        </w:rPr>
        <w:t xml:space="preserve">  %，式中“中标价”、“控制价”均不含</w:t>
      </w:r>
      <w:r>
        <w:rPr>
          <w:rFonts w:hint="eastAsia" w:ascii="宋体" w:hAnsi="宋体" w:eastAsia="宋体" w:cs="宋体"/>
          <w:color w:val="auto"/>
          <w:szCs w:val="21"/>
          <w:highlight w:val="none"/>
          <w:u w:val="single"/>
        </w:rPr>
        <w:t>材料和工程设备暂估价</w:t>
      </w:r>
      <w:r>
        <w:rPr>
          <w:rFonts w:hint="eastAsia" w:ascii="宋体" w:hAnsi="宋体" w:eastAsia="宋体" w:cs="宋体"/>
          <w:color w:val="auto"/>
          <w:kern w:val="0"/>
          <w:szCs w:val="21"/>
          <w:highlight w:val="none"/>
          <w:u w:val="single"/>
        </w:rPr>
        <w:t>、专业工程暂估价、安全生产责任保险费暂估价、暂列金额</w:t>
      </w:r>
      <w:r>
        <w:rPr>
          <w:rFonts w:hint="eastAsia" w:ascii="宋体" w:hAnsi="宋体" w:eastAsia="宋体" w:cs="宋体"/>
          <w:bCs/>
          <w:color w:val="auto"/>
          <w:szCs w:val="21"/>
          <w:highlight w:val="none"/>
          <w:u w:val="single"/>
        </w:rPr>
        <w:t>，其中材料价格按施工期间的《柳州市建设工程造价信息》相应价格信息进行计算；《柳州市建设工程造价信息》没有相应价格信息的按市场价计算；无定额可套的，根据市场价格协商确定综合价格；</w:t>
      </w:r>
      <w:bookmarkEnd w:id="268"/>
      <w:r>
        <w:rPr>
          <w:rFonts w:hint="eastAsia" w:ascii="宋体" w:hAnsi="宋体" w:eastAsia="宋体" w:cs="宋体"/>
          <w:bCs/>
          <w:color w:val="auto"/>
          <w:szCs w:val="21"/>
          <w:highlight w:val="none"/>
          <w:u w:val="single"/>
        </w:rPr>
        <w:t>新增项目的单价最终以经发包人指定的审核机构审定且经发包人复核确认后为准</w:t>
      </w:r>
      <w:r>
        <w:rPr>
          <w:rFonts w:hint="eastAsia" w:ascii="宋体" w:hAnsi="宋体" w:eastAsia="宋体" w:cs="宋体"/>
          <w:color w:val="auto"/>
          <w:szCs w:val="21"/>
          <w:highlight w:val="none"/>
        </w:rPr>
        <w:t>。</w:t>
      </w:r>
    </w:p>
    <w:p w14:paraId="222E0B05">
      <w:pPr>
        <w:spacing w:line="400" w:lineRule="exact"/>
        <w:ind w:left="0" w:firstLine="422" w:firstLineChars="200"/>
        <w:outlineLvl w:val="0"/>
        <w:rPr>
          <w:rFonts w:ascii="宋体" w:hAnsi="宋体" w:eastAsia="宋体" w:cs="宋体"/>
          <w:b/>
          <w:bCs/>
          <w:color w:val="auto"/>
          <w:kern w:val="44"/>
          <w:szCs w:val="21"/>
          <w:highlight w:val="none"/>
        </w:rPr>
      </w:pPr>
      <w:bookmarkStart w:id="269" w:name="_Toc1195"/>
      <w:bookmarkStart w:id="270" w:name="_Toc28823"/>
      <w:bookmarkStart w:id="271" w:name="_Toc30835"/>
      <w:bookmarkStart w:id="272" w:name="_Toc6288"/>
      <w:r>
        <w:rPr>
          <w:rFonts w:hint="eastAsia" w:ascii="宋体" w:hAnsi="宋体" w:eastAsia="宋体" w:cs="宋体"/>
          <w:b/>
          <w:bCs/>
          <w:color w:val="auto"/>
          <w:kern w:val="44"/>
          <w:szCs w:val="21"/>
          <w:highlight w:val="none"/>
        </w:rPr>
        <w:t>1</w:t>
      </w:r>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Start w:id="273" w:name="_Toc303539150"/>
      <w:bookmarkStart w:id="274" w:name="_Toc296891237"/>
      <w:bookmarkStart w:id="275" w:name="_Toc297123544"/>
      <w:bookmarkStart w:id="276" w:name="_Toc296891025"/>
      <w:bookmarkStart w:id="277" w:name="_Toc296503197"/>
      <w:bookmarkStart w:id="278" w:name="_Toc296944536"/>
      <w:bookmarkStart w:id="279" w:name="_Toc292559402"/>
      <w:bookmarkStart w:id="280" w:name="_Toc296347196"/>
      <w:bookmarkStart w:id="281" w:name="_Toc300934993"/>
      <w:bookmarkStart w:id="282" w:name="_Toc297216203"/>
      <w:bookmarkStart w:id="283" w:name="_Toc292559907"/>
      <w:bookmarkStart w:id="284" w:name="_Toc296346698"/>
      <w:bookmarkStart w:id="285" w:name="_Toc297048383"/>
      <w:bookmarkStart w:id="286" w:name="_Toc297120497"/>
      <w:bookmarkStart w:id="287" w:name="_Toc312678029"/>
      <w:bookmarkStart w:id="288" w:name="_Toc312677503"/>
      <w:bookmarkStart w:id="289" w:name="_Toc304295570"/>
      <w:r>
        <w:rPr>
          <w:rFonts w:hint="eastAsia" w:ascii="宋体" w:hAnsi="宋体" w:eastAsia="宋体" w:cs="宋体"/>
          <w:b/>
          <w:bCs/>
          <w:color w:val="auto"/>
          <w:kern w:val="44"/>
          <w:szCs w:val="21"/>
          <w:highlight w:val="none"/>
        </w:rPr>
        <w:t>0.5承</w:t>
      </w:r>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Start w:id="290" w:name="_Toc297123545"/>
      <w:bookmarkStart w:id="291" w:name="_Toc297216204"/>
      <w:bookmarkStart w:id="292" w:name="_Toc297120503"/>
      <w:bookmarkStart w:id="293" w:name="_Toc296503203"/>
      <w:bookmarkStart w:id="294" w:name="_Toc297048389"/>
      <w:bookmarkStart w:id="295" w:name="_Toc296347202"/>
      <w:bookmarkStart w:id="296" w:name="_Toc296944542"/>
      <w:bookmarkStart w:id="297" w:name="_Toc292559408"/>
      <w:bookmarkStart w:id="298" w:name="_Toc292559913"/>
      <w:bookmarkStart w:id="299" w:name="_Toc303539151"/>
      <w:bookmarkStart w:id="300" w:name="_Toc300934994"/>
      <w:bookmarkStart w:id="301" w:name="_Toc296346704"/>
      <w:bookmarkStart w:id="302" w:name="_Toc296891031"/>
      <w:bookmarkStart w:id="303" w:name="_Toc296891243"/>
      <w:r>
        <w:rPr>
          <w:rFonts w:hint="eastAsia" w:ascii="宋体" w:hAnsi="宋体" w:eastAsia="宋体" w:cs="宋体"/>
          <w:b/>
          <w:bCs/>
          <w:color w:val="auto"/>
          <w:kern w:val="44"/>
          <w:szCs w:val="21"/>
          <w:highlight w:val="none"/>
        </w:rPr>
        <w:t>包人的合理化建议</w:t>
      </w:r>
      <w:bookmarkEnd w:id="265"/>
      <w:bookmarkEnd w:id="266"/>
      <w:bookmarkEnd w:id="267"/>
      <w:bookmarkEnd w:id="269"/>
      <w:bookmarkEnd w:id="270"/>
      <w:bookmarkEnd w:id="271"/>
      <w:bookmarkEnd w:id="272"/>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p>
    <w:p w14:paraId="56495D84">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监理人审查承包人合理化建议的期限：</w:t>
      </w:r>
      <w:r>
        <w:rPr>
          <w:rFonts w:hint="eastAsia" w:ascii="宋体" w:hAnsi="宋体" w:eastAsia="宋体" w:cs="宋体"/>
          <w:color w:val="auto"/>
          <w:szCs w:val="21"/>
          <w:highlight w:val="none"/>
          <w:u w:val="single"/>
        </w:rPr>
        <w:t>从收到合理化建议书之日起7天内</w:t>
      </w:r>
      <w:r>
        <w:rPr>
          <w:rFonts w:hint="eastAsia" w:ascii="宋体" w:hAnsi="宋体" w:eastAsia="宋体" w:cs="宋体"/>
          <w:color w:val="auto"/>
          <w:szCs w:val="21"/>
          <w:highlight w:val="none"/>
        </w:rPr>
        <w:t>。</w:t>
      </w:r>
    </w:p>
    <w:p w14:paraId="6F5E8CE7">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发包人审批承包人合理化建议的期限：</w:t>
      </w:r>
      <w:r>
        <w:rPr>
          <w:rFonts w:hint="eastAsia" w:ascii="宋体" w:hAnsi="宋体" w:eastAsia="宋体" w:cs="宋体"/>
          <w:color w:val="auto"/>
          <w:szCs w:val="21"/>
          <w:highlight w:val="none"/>
          <w:u w:val="single"/>
        </w:rPr>
        <w:t>从收到合理化建议书之日起7天内</w:t>
      </w:r>
      <w:r>
        <w:rPr>
          <w:rFonts w:hint="eastAsia" w:ascii="宋体" w:hAnsi="宋体" w:eastAsia="宋体" w:cs="宋体"/>
          <w:color w:val="auto"/>
          <w:szCs w:val="21"/>
          <w:highlight w:val="none"/>
        </w:rPr>
        <w:t>。</w:t>
      </w:r>
    </w:p>
    <w:p w14:paraId="79D54C72">
      <w:pPr>
        <w:spacing w:line="400" w:lineRule="exact"/>
        <w:ind w:left="0" w:firstLine="420" w:firstLineChars="200"/>
        <w:rPr>
          <w:rFonts w:ascii="宋体" w:hAnsi="宋体" w:eastAsia="宋体" w:cs="宋体"/>
          <w:color w:val="auto"/>
          <w:szCs w:val="21"/>
          <w:highlight w:val="none"/>
          <w:u w:val="single"/>
        </w:rPr>
      </w:pPr>
      <w:r>
        <w:rPr>
          <w:rFonts w:hint="eastAsia" w:ascii="宋体" w:hAnsi="宋体" w:eastAsia="宋体" w:cs="宋体"/>
          <w:color w:val="auto"/>
          <w:szCs w:val="21"/>
          <w:highlight w:val="none"/>
        </w:rPr>
        <w:t>承</w:t>
      </w:r>
      <w:bookmarkStart w:id="304" w:name="_Toc318581175"/>
      <w:bookmarkStart w:id="305" w:name="_Toc296346705"/>
      <w:bookmarkStart w:id="306" w:name="_Toc296944543"/>
      <w:bookmarkStart w:id="307" w:name="_Toc296503204"/>
      <w:bookmarkStart w:id="308" w:name="_Toc303539152"/>
      <w:bookmarkStart w:id="309" w:name="_Toc300934995"/>
      <w:bookmarkStart w:id="310" w:name="_Toc292559409"/>
      <w:bookmarkStart w:id="311" w:name="_Toc296891032"/>
      <w:bookmarkStart w:id="312" w:name="_Toc297216205"/>
      <w:bookmarkStart w:id="313" w:name="_Toc297048390"/>
      <w:bookmarkStart w:id="314" w:name="_Toc292559914"/>
      <w:bookmarkStart w:id="315" w:name="_Toc296891244"/>
      <w:bookmarkStart w:id="316" w:name="_Toc297123546"/>
      <w:bookmarkStart w:id="317" w:name="_Toc304295571"/>
      <w:bookmarkStart w:id="318" w:name="_Toc312677504"/>
      <w:bookmarkStart w:id="319" w:name="_Toc297120504"/>
      <w:bookmarkStart w:id="320" w:name="_Toc296347203"/>
      <w:bookmarkStart w:id="321" w:name="_Toc312678030"/>
      <w:r>
        <w:rPr>
          <w:rFonts w:hint="eastAsia" w:ascii="宋体" w:hAnsi="宋体" w:eastAsia="宋体" w:cs="宋体"/>
          <w:color w:val="auto"/>
          <w:szCs w:val="21"/>
          <w:highlight w:val="none"/>
        </w:rPr>
        <w:t>包人提出的合理化建议降低了合同价格或者提高了工程经济效益的奖励的方法和金额为：</w:t>
      </w:r>
      <w:r>
        <w:rPr>
          <w:rFonts w:hint="eastAsia" w:ascii="宋体" w:hAnsi="宋体" w:eastAsia="宋体" w:cs="宋体"/>
          <w:color w:val="auto"/>
          <w:szCs w:val="21"/>
          <w:highlight w:val="none"/>
          <w:u w:val="single"/>
        </w:rPr>
        <w:t>经发包人审定，发包人按节省或提高经济效益的20%给予奖励。</w:t>
      </w:r>
    </w:p>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p w14:paraId="0C3A0993">
      <w:pPr>
        <w:spacing w:line="400" w:lineRule="exact"/>
        <w:ind w:left="0" w:firstLine="422" w:firstLineChars="200"/>
        <w:outlineLvl w:val="0"/>
        <w:rPr>
          <w:rFonts w:ascii="宋体" w:hAnsi="宋体" w:eastAsia="宋体" w:cs="宋体"/>
          <w:b/>
          <w:bCs/>
          <w:color w:val="auto"/>
          <w:kern w:val="44"/>
          <w:szCs w:val="21"/>
          <w:highlight w:val="none"/>
        </w:rPr>
      </w:pPr>
      <w:bookmarkStart w:id="322" w:name="_Toc2806"/>
      <w:bookmarkStart w:id="323" w:name="_Toc21934"/>
      <w:bookmarkStart w:id="324" w:name="_Toc6893"/>
      <w:bookmarkStart w:id="325" w:name="_Toc389065310"/>
      <w:bookmarkStart w:id="326" w:name="_Toc373478391"/>
      <w:bookmarkStart w:id="327" w:name="_Toc3824"/>
      <w:bookmarkStart w:id="328" w:name="_Toc373227744"/>
      <w:r>
        <w:rPr>
          <w:rFonts w:hint="eastAsia" w:ascii="宋体" w:hAnsi="宋体" w:eastAsia="宋体" w:cs="宋体"/>
          <w:b/>
          <w:bCs/>
          <w:color w:val="auto"/>
          <w:kern w:val="44"/>
          <w:szCs w:val="21"/>
          <w:highlight w:val="none"/>
        </w:rPr>
        <w:t>1</w:t>
      </w:r>
      <w:bookmarkStart w:id="329" w:name="_Toc296503199"/>
      <w:bookmarkStart w:id="330" w:name="_Toc300934997"/>
      <w:bookmarkStart w:id="331" w:name="_Toc296891239"/>
      <w:bookmarkStart w:id="332" w:name="_Toc297120499"/>
      <w:bookmarkStart w:id="333" w:name="_Toc296944538"/>
      <w:bookmarkStart w:id="334" w:name="_Toc292559909"/>
      <w:bookmarkStart w:id="335" w:name="_Toc304295574"/>
      <w:bookmarkStart w:id="336" w:name="_Toc303539154"/>
      <w:bookmarkStart w:id="337" w:name="_Toc292559404"/>
      <w:bookmarkStart w:id="338" w:name="_Toc296346700"/>
      <w:bookmarkStart w:id="339" w:name="_Toc297216207"/>
      <w:bookmarkStart w:id="340" w:name="_Toc312677507"/>
      <w:bookmarkStart w:id="341" w:name="_Toc297048385"/>
      <w:bookmarkStart w:id="342" w:name="_Toc312678033"/>
      <w:bookmarkStart w:id="343" w:name="_Toc297123548"/>
      <w:bookmarkStart w:id="344" w:name="_Toc296891027"/>
      <w:bookmarkStart w:id="345" w:name="_Toc296347198"/>
      <w:r>
        <w:rPr>
          <w:rFonts w:hint="eastAsia" w:ascii="宋体" w:hAnsi="宋体" w:eastAsia="宋体" w:cs="宋体"/>
          <w:b/>
          <w:bCs/>
          <w:color w:val="auto"/>
          <w:kern w:val="44"/>
          <w:szCs w:val="21"/>
          <w:highlight w:val="none"/>
        </w:rPr>
        <w:t>0.7 暂估价</w:t>
      </w:r>
      <w:bookmarkEnd w:id="322"/>
      <w:bookmarkEnd w:id="323"/>
      <w:bookmarkEnd w:id="324"/>
      <w:bookmarkEnd w:id="325"/>
      <w:bookmarkEnd w:id="326"/>
      <w:bookmarkEnd w:id="327"/>
      <w:bookmarkEnd w:id="328"/>
    </w:p>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p w14:paraId="3475FBBB">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kern w:val="0"/>
          <w:szCs w:val="21"/>
          <w:highlight w:val="none"/>
        </w:rPr>
        <w:t>暂</w:t>
      </w:r>
      <w:bookmarkStart w:id="346" w:name="_Toc312677508"/>
      <w:bookmarkStart w:id="347" w:name="_Toc312678034"/>
      <w:bookmarkStart w:id="348" w:name="_Toc318581176"/>
      <w:r>
        <w:rPr>
          <w:rFonts w:hint="eastAsia" w:ascii="宋体" w:hAnsi="宋体" w:eastAsia="宋体" w:cs="宋体"/>
          <w:color w:val="auto"/>
          <w:kern w:val="0"/>
          <w:szCs w:val="21"/>
          <w:highlight w:val="none"/>
        </w:rPr>
        <w:t>估价材料和工程设备的明细详见承包人的已标价工程量清单。</w:t>
      </w:r>
    </w:p>
    <w:bookmarkEnd w:id="346"/>
    <w:bookmarkEnd w:id="347"/>
    <w:bookmarkEnd w:id="348"/>
    <w:p w14:paraId="7346FC72">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1</w:t>
      </w:r>
      <w:bookmarkStart w:id="349" w:name="_Toc312677509"/>
      <w:bookmarkStart w:id="350" w:name="_Toc312678035"/>
      <w:bookmarkStart w:id="351" w:name="_Toc318581177"/>
      <w:r>
        <w:rPr>
          <w:rFonts w:hint="eastAsia" w:ascii="宋体" w:hAnsi="宋体" w:eastAsia="宋体" w:cs="宋体"/>
          <w:color w:val="auto"/>
          <w:szCs w:val="21"/>
          <w:highlight w:val="none"/>
        </w:rPr>
        <w:t>0.7.1 依法必须招标的暂估价项目</w:t>
      </w:r>
    </w:p>
    <w:bookmarkEnd w:id="349"/>
    <w:bookmarkEnd w:id="350"/>
    <w:bookmarkEnd w:id="351"/>
    <w:p w14:paraId="2D2159D6">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对于依法必须招标的暂估价项目的确认和批准采取第</w:t>
      </w:r>
      <w:r>
        <w:rPr>
          <w:rFonts w:hint="eastAsia" w:ascii="宋体" w:hAnsi="宋体" w:eastAsia="宋体" w:cs="宋体"/>
          <w:color w:val="auto"/>
          <w:szCs w:val="21"/>
          <w:highlight w:val="none"/>
          <w:u w:val="single"/>
        </w:rPr>
        <w:t xml:space="preserve"> 2 </w:t>
      </w:r>
      <w:r>
        <w:rPr>
          <w:rFonts w:hint="eastAsia" w:ascii="宋体" w:hAnsi="宋体" w:eastAsia="宋体" w:cs="宋体"/>
          <w:color w:val="auto"/>
          <w:szCs w:val="21"/>
          <w:highlight w:val="none"/>
        </w:rPr>
        <w:t>种方式确定。</w:t>
      </w:r>
    </w:p>
    <w:p w14:paraId="7AEB6A90">
      <w:pPr>
        <w:spacing w:line="400" w:lineRule="exact"/>
        <w:ind w:left="0" w:firstLine="420" w:firstLineChars="200"/>
        <w:outlineLvl w:val="0"/>
        <w:rPr>
          <w:rFonts w:ascii="宋体" w:hAnsi="宋体" w:eastAsia="宋体" w:cs="宋体"/>
          <w:bCs/>
          <w:color w:val="auto"/>
          <w:kern w:val="44"/>
          <w:szCs w:val="21"/>
          <w:highlight w:val="none"/>
        </w:rPr>
      </w:pPr>
      <w:bookmarkStart w:id="352" w:name="_Toc2049"/>
      <w:bookmarkStart w:id="353" w:name="_Toc27089"/>
      <w:bookmarkStart w:id="354" w:name="_Toc13286"/>
      <w:bookmarkStart w:id="355" w:name="_Toc4864"/>
      <w:r>
        <w:rPr>
          <w:rFonts w:hint="eastAsia" w:ascii="宋体" w:hAnsi="宋体" w:eastAsia="宋体" w:cs="宋体"/>
          <w:bCs/>
          <w:color w:val="auto"/>
          <w:kern w:val="44"/>
          <w:szCs w:val="21"/>
          <w:highlight w:val="none"/>
        </w:rPr>
        <w:t>第2种方式：对于依法必须招标的暂估价项目，由发包人和承包人共同招标确定暂估价供应商或分包人的，承包人应按照施工进度计划，在招标工作启动（发出招标公告之日起）14天前通知发包人，并提交暂估价招标方案和工作分工。发包人应在收到通知之日起7天内确认。确定中标人后，由承包人与中标人签订暂估价合同。</w:t>
      </w:r>
      <w:bookmarkEnd w:id="352"/>
      <w:bookmarkEnd w:id="353"/>
      <w:bookmarkEnd w:id="354"/>
      <w:bookmarkEnd w:id="355"/>
    </w:p>
    <w:p w14:paraId="45D06F38">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10.7.2 不属于依法必须招标的暂估价项目</w:t>
      </w:r>
    </w:p>
    <w:p w14:paraId="6BF062B4">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对于不属于依法必须招标的暂估价项目的确认和批准采取第</w:t>
      </w:r>
      <w:r>
        <w:rPr>
          <w:rFonts w:hint="eastAsia" w:ascii="宋体" w:hAnsi="宋体" w:eastAsia="宋体" w:cs="宋体"/>
          <w:color w:val="auto"/>
          <w:szCs w:val="21"/>
          <w:highlight w:val="none"/>
          <w:u w:val="single"/>
        </w:rPr>
        <w:t xml:space="preserve"> 3 </w:t>
      </w:r>
      <w:r>
        <w:rPr>
          <w:rFonts w:hint="eastAsia" w:ascii="宋体" w:hAnsi="宋体" w:eastAsia="宋体" w:cs="宋体"/>
          <w:color w:val="auto"/>
          <w:szCs w:val="21"/>
          <w:highlight w:val="none"/>
        </w:rPr>
        <w:t>种方式确定。</w:t>
      </w:r>
    </w:p>
    <w:p w14:paraId="294855DF">
      <w:pPr>
        <w:spacing w:line="400" w:lineRule="exact"/>
        <w:ind w:left="0" w:firstLine="420" w:firstLineChars="200"/>
        <w:jc w:val="left"/>
        <w:rPr>
          <w:rFonts w:ascii="宋体" w:hAnsi="宋体" w:eastAsia="宋体" w:cs="宋体"/>
          <w:color w:val="auto"/>
          <w:kern w:val="0"/>
          <w:szCs w:val="21"/>
          <w:highlight w:val="none"/>
        </w:rPr>
      </w:pPr>
      <w:r>
        <w:rPr>
          <w:rFonts w:hint="eastAsia" w:ascii="宋体" w:hAnsi="宋体" w:eastAsia="宋体" w:cs="宋体"/>
          <w:color w:val="auto"/>
          <w:szCs w:val="21"/>
          <w:highlight w:val="none"/>
        </w:rPr>
        <w:t>第3种方式：</w:t>
      </w:r>
      <w:r>
        <w:rPr>
          <w:rFonts w:hint="eastAsia" w:ascii="宋体" w:hAnsi="宋体" w:eastAsia="宋体" w:cs="宋体"/>
          <w:color w:val="auto"/>
          <w:kern w:val="0"/>
          <w:szCs w:val="21"/>
          <w:highlight w:val="none"/>
        </w:rPr>
        <w:t>承包人直接实施的暂估价项目</w:t>
      </w:r>
    </w:p>
    <w:p w14:paraId="11D39435">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承包人直接实施的暂估价项目的约定：</w:t>
      </w:r>
      <w:r>
        <w:rPr>
          <w:rFonts w:hint="eastAsia" w:ascii="宋体" w:hAnsi="宋体" w:eastAsia="宋体" w:cs="宋体"/>
          <w:color w:val="auto"/>
          <w:szCs w:val="21"/>
          <w:highlight w:val="none"/>
          <w:u w:val="single"/>
        </w:rPr>
        <w:t>按相关程序办理</w:t>
      </w:r>
      <w:r>
        <w:rPr>
          <w:rFonts w:hint="eastAsia" w:ascii="宋体" w:hAnsi="宋体" w:eastAsia="宋体" w:cs="宋体"/>
          <w:color w:val="auto"/>
          <w:szCs w:val="21"/>
          <w:highlight w:val="none"/>
        </w:rPr>
        <w:t>。</w:t>
      </w:r>
    </w:p>
    <w:p w14:paraId="2C87DCC7">
      <w:pPr>
        <w:spacing w:line="400" w:lineRule="exact"/>
        <w:ind w:left="0" w:firstLine="422" w:firstLineChars="200"/>
        <w:outlineLvl w:val="0"/>
        <w:rPr>
          <w:rFonts w:ascii="宋体" w:hAnsi="宋体" w:eastAsia="宋体" w:cs="宋体"/>
          <w:b/>
          <w:bCs/>
          <w:color w:val="auto"/>
          <w:kern w:val="44"/>
          <w:szCs w:val="21"/>
          <w:highlight w:val="none"/>
        </w:rPr>
      </w:pPr>
      <w:bookmarkStart w:id="356" w:name="_Toc6840"/>
      <w:bookmarkStart w:id="357" w:name="_Toc389065311"/>
      <w:bookmarkStart w:id="358" w:name="_Toc486"/>
      <w:bookmarkStart w:id="359" w:name="_Toc21292"/>
      <w:bookmarkStart w:id="360" w:name="_Toc373478392"/>
      <w:bookmarkStart w:id="361" w:name="_Toc373227745"/>
      <w:bookmarkStart w:id="362" w:name="_Toc9735"/>
      <w:r>
        <w:rPr>
          <w:rFonts w:hint="eastAsia" w:ascii="宋体" w:hAnsi="宋体" w:eastAsia="宋体" w:cs="宋体"/>
          <w:b/>
          <w:bCs/>
          <w:color w:val="auto"/>
          <w:kern w:val="44"/>
          <w:szCs w:val="21"/>
          <w:highlight w:val="none"/>
        </w:rPr>
        <w:t>10.8 暂列金额</w:t>
      </w:r>
      <w:bookmarkEnd w:id="356"/>
      <w:bookmarkEnd w:id="357"/>
      <w:bookmarkEnd w:id="358"/>
      <w:bookmarkEnd w:id="359"/>
      <w:bookmarkEnd w:id="360"/>
      <w:bookmarkEnd w:id="361"/>
      <w:bookmarkEnd w:id="362"/>
    </w:p>
    <w:p w14:paraId="092E72C7">
      <w:pPr>
        <w:autoSpaceDE w:val="0"/>
        <w:autoSpaceDN w:val="0"/>
        <w:adjustRightInd w:val="0"/>
        <w:spacing w:line="400" w:lineRule="exact"/>
        <w:ind w:left="0" w:firstLine="420" w:firstLineChars="200"/>
        <w:jc w:val="left"/>
        <w:rPr>
          <w:rFonts w:ascii="宋体" w:hAnsi="宋体" w:eastAsia="宋体" w:cs="宋体"/>
          <w:color w:val="auto"/>
          <w:szCs w:val="21"/>
          <w:highlight w:val="none"/>
          <w:u w:val="single"/>
        </w:rPr>
      </w:pPr>
      <w:r>
        <w:rPr>
          <w:rFonts w:hint="eastAsia" w:ascii="宋体" w:hAnsi="宋体" w:eastAsia="宋体" w:cs="宋体"/>
          <w:color w:val="auto"/>
          <w:kern w:val="0"/>
          <w:szCs w:val="21"/>
          <w:highlight w:val="none"/>
        </w:rPr>
        <w:t>合同当事人关于暂列金额使用的约定：</w:t>
      </w:r>
      <w:r>
        <w:rPr>
          <w:rFonts w:hint="eastAsia" w:ascii="宋体" w:hAnsi="宋体" w:eastAsia="宋体" w:cs="宋体"/>
          <w:color w:val="auto"/>
          <w:szCs w:val="21"/>
          <w:highlight w:val="none"/>
          <w:u w:val="single"/>
        </w:rPr>
        <w:t>按发包人的要求使用</w:t>
      </w:r>
      <w:r>
        <w:rPr>
          <w:rFonts w:hint="eastAsia" w:ascii="宋体" w:hAnsi="宋体" w:eastAsia="宋体" w:cs="宋体"/>
          <w:color w:val="auto"/>
          <w:kern w:val="0"/>
          <w:szCs w:val="21"/>
          <w:highlight w:val="none"/>
        </w:rPr>
        <w:t>。</w:t>
      </w:r>
    </w:p>
    <w:bookmarkEnd w:id="220"/>
    <w:bookmarkEnd w:id="221"/>
    <w:bookmarkEnd w:id="222"/>
    <w:bookmarkEnd w:id="223"/>
    <w:bookmarkEnd w:id="224"/>
    <w:bookmarkEnd w:id="225"/>
    <w:p w14:paraId="2C88D236">
      <w:pPr>
        <w:spacing w:line="400" w:lineRule="exact"/>
        <w:ind w:left="0" w:firstLine="422" w:firstLineChars="200"/>
        <w:outlineLvl w:val="0"/>
        <w:rPr>
          <w:rFonts w:ascii="宋体" w:hAnsi="宋体" w:eastAsia="宋体" w:cs="宋体"/>
          <w:b/>
          <w:bCs/>
          <w:color w:val="auto"/>
          <w:kern w:val="44"/>
          <w:szCs w:val="21"/>
          <w:highlight w:val="none"/>
        </w:rPr>
      </w:pPr>
      <w:bookmarkStart w:id="363" w:name="_Toc11129"/>
      <w:bookmarkStart w:id="364" w:name="_Toc373227746"/>
      <w:bookmarkStart w:id="365" w:name="_Toc32518"/>
      <w:bookmarkStart w:id="366" w:name="_Toc351203643"/>
      <w:bookmarkStart w:id="367" w:name="_Toc19113"/>
      <w:bookmarkStart w:id="368" w:name="_Toc373478393"/>
      <w:bookmarkStart w:id="369" w:name="_Toc2220"/>
      <w:bookmarkStart w:id="370" w:name="_Toc389065312"/>
      <w:r>
        <w:rPr>
          <w:rFonts w:hint="eastAsia" w:ascii="宋体" w:hAnsi="宋体" w:eastAsia="宋体" w:cs="宋体"/>
          <w:b/>
          <w:bCs/>
          <w:color w:val="auto"/>
          <w:kern w:val="44"/>
          <w:szCs w:val="21"/>
          <w:highlight w:val="none"/>
        </w:rPr>
        <w:t>11. 价格调整</w:t>
      </w:r>
      <w:bookmarkEnd w:id="363"/>
      <w:bookmarkEnd w:id="364"/>
      <w:bookmarkEnd w:id="365"/>
      <w:bookmarkEnd w:id="366"/>
      <w:bookmarkEnd w:id="367"/>
      <w:bookmarkEnd w:id="368"/>
      <w:bookmarkEnd w:id="369"/>
      <w:bookmarkEnd w:id="370"/>
    </w:p>
    <w:p w14:paraId="0A5450C0">
      <w:pPr>
        <w:spacing w:line="400" w:lineRule="exact"/>
        <w:ind w:left="0"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取消通用条款内容，以下文取代：</w:t>
      </w:r>
    </w:p>
    <w:p w14:paraId="1C2ACEEE">
      <w:pPr>
        <w:spacing w:line="400" w:lineRule="exact"/>
        <w:ind w:left="0"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11.1法律变化引起的调整</w:t>
      </w:r>
    </w:p>
    <w:p w14:paraId="25F1C9A5">
      <w:pPr>
        <w:spacing w:line="400" w:lineRule="exact"/>
        <w:ind w:left="0"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招标工程以投标截止日前28天，非招标工程以合同签订前28天为基准日，期后因法律、法规、规章和政策变化（此类变化主要反映在规费、税金上）时，按省级或行业建设主管部门或其授权的工程造价管理机构据此发布的规定调整合同价款。增加时，由发包人承担由此增加的费用；减少时，应从合同价格中予以扣减。基准日期后，因法律变化造成工期延误时，工期应予以顺延。</w:t>
      </w:r>
    </w:p>
    <w:p w14:paraId="257C17CB">
      <w:pPr>
        <w:spacing w:line="400" w:lineRule="exact"/>
        <w:ind w:left="0"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因法律变化引起的合同价格和工期调整，合同当事人无法达成一致的，按照第20条〔争议解决〕约定处理。</w:t>
      </w:r>
    </w:p>
    <w:p w14:paraId="3E08D278">
      <w:pPr>
        <w:spacing w:line="400" w:lineRule="exact"/>
        <w:ind w:left="0"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因承包人原因造成工期延误，在工期延误期间出现法律变化的，由此增加的费用和（或）延误的工期由承包人承担。</w:t>
      </w:r>
    </w:p>
    <w:p w14:paraId="5B9651A6">
      <w:pPr>
        <w:spacing w:line="400" w:lineRule="exact"/>
        <w:ind w:left="0" w:firstLine="420" w:firstLineChars="200"/>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11.2工程变更、项目特征不符、工程量清单缺项、工程量偏差引起的调整</w:t>
      </w:r>
    </w:p>
    <w:p w14:paraId="0068DFEB">
      <w:pPr>
        <w:spacing w:line="400" w:lineRule="exact"/>
        <w:ind w:left="0" w:firstLine="420" w:firstLineChars="200"/>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11.2.1由于工程变更、工程量偏差导致该清单项目的工程数量发生变化在15%以内（含15%）时，按已标价工程量清单或预算书相同项目单价计价，并应考虑对物价变化和总价措施项目、规费和税金的影响。</w:t>
      </w:r>
    </w:p>
    <w:p w14:paraId="365CFEE1">
      <w:pPr>
        <w:spacing w:line="400" w:lineRule="exact"/>
        <w:ind w:left="0" w:firstLine="420" w:firstLineChars="200"/>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11.2.2由于工程变更、项目特征不符、工程量清单缺项导致的新增清单项目，由承包人根据工程资料、计量规则和计价方法、工程造价管理机构发布的信息价格和承包人报价浮动率提出变更工程项目的单价，并应报发包人确认后调整。承包人报价浮动率可按下列公式计算</w:t>
      </w:r>
    </w:p>
    <w:p w14:paraId="4EBBA0F6">
      <w:pPr>
        <w:spacing w:line="400" w:lineRule="exact"/>
        <w:ind w:left="0" w:firstLine="420" w:firstLineChars="200"/>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招标工程：</w:t>
      </w:r>
    </w:p>
    <w:p w14:paraId="3A87383E">
      <w:pPr>
        <w:spacing w:line="400" w:lineRule="exact"/>
        <w:ind w:left="0" w:firstLine="420" w:firstLineChars="200"/>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承包人报价浮动率L＝（1-中标价/招标控制价）×100%</w:t>
      </w:r>
    </w:p>
    <w:p w14:paraId="7CC2C019">
      <w:pPr>
        <w:spacing w:line="400" w:lineRule="exact"/>
        <w:ind w:left="0" w:firstLine="420" w:firstLineChars="200"/>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式中“中标价”、“招标控制价”、“报价”、“施工图预算”均应不含</w:t>
      </w:r>
      <w:r>
        <w:rPr>
          <w:rFonts w:hint="eastAsia" w:ascii="宋体" w:hAnsi="宋体" w:eastAsia="宋体" w:cs="宋体"/>
          <w:color w:val="auto"/>
          <w:szCs w:val="21"/>
          <w:highlight w:val="none"/>
        </w:rPr>
        <w:t>材料和工程设备暂估价</w:t>
      </w:r>
      <w:r>
        <w:rPr>
          <w:rFonts w:hint="eastAsia" w:ascii="宋体" w:hAnsi="宋体" w:eastAsia="宋体" w:cs="宋体"/>
          <w:color w:val="auto"/>
          <w:kern w:val="0"/>
          <w:szCs w:val="21"/>
          <w:highlight w:val="none"/>
        </w:rPr>
        <w:t>、专业工程暂估价、安全生产责任保险费暂估价、暂列金额。</w:t>
      </w:r>
    </w:p>
    <w:p w14:paraId="5F9E6BA1">
      <w:pPr>
        <w:spacing w:line="400" w:lineRule="exact"/>
        <w:ind w:left="0" w:firstLine="420" w:firstLineChars="200"/>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招标工程计价方法为招标时公布的招标控制价的计算方法。</w:t>
      </w:r>
    </w:p>
    <w:p w14:paraId="41215BF7">
      <w:pPr>
        <w:spacing w:line="400" w:lineRule="exact"/>
        <w:ind w:left="0" w:firstLine="420" w:firstLineChars="200"/>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11.2.3由于工程变更、工程量偏差导致任一招标工程量清单项目增加15%以上时，增加部分的工程量的综合单价以原投标综合单价（考虑物价变化）和按11.2.2款规定计算的较低的价格确定该清单综合单价（</w:t>
      </w:r>
      <w:r>
        <w:rPr>
          <w:rFonts w:hint="eastAsia" w:ascii="宋体" w:hAnsi="宋体" w:eastAsia="宋体" w:cs="宋体"/>
          <w:b/>
          <w:color w:val="auto"/>
          <w:szCs w:val="21"/>
          <w:highlight w:val="none"/>
        </w:rPr>
        <w:t>在本工程执行中原则上按照原投标综合单价，不予调整，因特殊有失合同双方公平的情况确需调整的，须经发包人审核确认</w:t>
      </w:r>
      <w:r>
        <w:rPr>
          <w:rFonts w:hint="eastAsia" w:ascii="宋体" w:hAnsi="宋体" w:eastAsia="宋体" w:cs="宋体"/>
          <w:color w:val="auto"/>
          <w:kern w:val="0"/>
          <w:szCs w:val="21"/>
          <w:highlight w:val="none"/>
        </w:rPr>
        <w:t>）。</w:t>
      </w:r>
    </w:p>
    <w:p w14:paraId="59450D93">
      <w:pPr>
        <w:spacing w:line="400" w:lineRule="exact"/>
        <w:ind w:left="0" w:firstLine="420" w:firstLineChars="200"/>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11.2.4由于工程变更、工程量偏差导致任一招标工程量清单项目减少15%以上时，其减少后剩余部分的工程量的综合单价以原投标综合单价（考虑物价变化）和按11.2.2款规定计算的较高的价格确定该清单综合单价（</w:t>
      </w:r>
      <w:r>
        <w:rPr>
          <w:rFonts w:hint="eastAsia" w:ascii="宋体" w:hAnsi="宋体" w:eastAsia="宋体" w:cs="宋体"/>
          <w:b/>
          <w:color w:val="auto"/>
          <w:szCs w:val="21"/>
          <w:highlight w:val="none"/>
        </w:rPr>
        <w:t>在本工程执行中原则上按照原投标综合单价，不予调整，因特殊有失合同双方公平的情况确需调整的，须经发包人审核确认</w:t>
      </w:r>
      <w:r>
        <w:rPr>
          <w:rFonts w:hint="eastAsia" w:ascii="宋体" w:hAnsi="宋体" w:eastAsia="宋体" w:cs="宋体"/>
          <w:color w:val="auto"/>
          <w:kern w:val="0"/>
          <w:szCs w:val="21"/>
          <w:highlight w:val="none"/>
        </w:rPr>
        <w:t>）。</w:t>
      </w:r>
    </w:p>
    <w:p w14:paraId="0AD58817">
      <w:pPr>
        <w:spacing w:line="400" w:lineRule="exact"/>
        <w:ind w:left="0" w:firstLine="420" w:firstLineChars="200"/>
        <w:jc w:val="left"/>
        <w:rPr>
          <w:rFonts w:ascii="宋体" w:hAnsi="宋体" w:eastAsia="宋体" w:cs="宋体"/>
          <w:color w:val="auto"/>
          <w:kern w:val="0"/>
          <w:szCs w:val="21"/>
          <w:highlight w:val="none"/>
        </w:rPr>
      </w:pPr>
      <w:r>
        <w:rPr>
          <w:rFonts w:hint="eastAsia" w:ascii="宋体" w:hAnsi="宋体" w:eastAsia="宋体" w:cs="宋体"/>
          <w:color w:val="auto"/>
          <w:szCs w:val="21"/>
          <w:highlight w:val="none"/>
        </w:rPr>
        <w:t>11.2.5由于</w:t>
      </w:r>
      <w:r>
        <w:rPr>
          <w:rFonts w:hint="eastAsia" w:ascii="宋体" w:hAnsi="宋体" w:eastAsia="宋体" w:cs="宋体"/>
          <w:color w:val="auto"/>
          <w:kern w:val="0"/>
          <w:szCs w:val="21"/>
          <w:highlight w:val="none"/>
        </w:rPr>
        <w:t>工程变更、工程量清单缺项、工程量偏差引起合同约定工程量增减的，其相应项目清单发、承</w:t>
      </w:r>
      <w:r>
        <w:rPr>
          <w:rFonts w:hint="eastAsia" w:ascii="宋体" w:hAnsi="宋体" w:eastAsia="宋体" w:cs="宋体"/>
          <w:color w:val="auto"/>
          <w:szCs w:val="21"/>
          <w:highlight w:val="none"/>
        </w:rPr>
        <w:t>包人提供的主要材料、工程设备数量应相应调整，调整数量应报发包人核对。发承包双方对材料数量有争议达不成一致的，应按照相关工程的计价定额同类项目规定的材料消耗量计算。</w:t>
      </w:r>
    </w:p>
    <w:p w14:paraId="13C8C38B">
      <w:pPr>
        <w:spacing w:line="400" w:lineRule="exact"/>
        <w:ind w:left="0" w:firstLine="420" w:firstLineChars="200"/>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11.2.6由于工程变更、项目特征不符、工程量清单缺项、工程量偏差引起合同价款的调整造成总价措施项目、规费、税金项目计算基础变化的，应予调整总价措施项目、规费、税金项目费用。</w:t>
      </w:r>
    </w:p>
    <w:p w14:paraId="68E72C82">
      <w:pPr>
        <w:spacing w:line="400" w:lineRule="exact"/>
        <w:ind w:left="0" w:firstLine="420" w:firstLineChars="200"/>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11.3计日工引起的调整</w:t>
      </w:r>
    </w:p>
    <w:p w14:paraId="76AE14F4">
      <w:pPr>
        <w:spacing w:line="400" w:lineRule="exact"/>
        <w:ind w:left="0" w:firstLine="420" w:firstLineChars="200"/>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计日工应根据按本合同通用条款10.9款规定核实的工程数量和承包人已标价工程量清单中的计日工单价计算计日工金额，调整合同价款。</w:t>
      </w:r>
    </w:p>
    <w:p w14:paraId="182BA8B0">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11.4物价变化引起的调整</w:t>
      </w:r>
    </w:p>
    <w:p w14:paraId="09C80407">
      <w:pPr>
        <w:spacing w:line="400" w:lineRule="exact"/>
        <w:ind w:left="0" w:firstLine="422" w:firstLineChars="200"/>
        <w:jc w:val="left"/>
        <w:rPr>
          <w:rFonts w:ascii="宋体" w:hAnsi="宋体" w:eastAsia="宋体" w:cs="宋体"/>
          <w:b/>
          <w:color w:val="auto"/>
          <w:szCs w:val="21"/>
          <w:highlight w:val="none"/>
        </w:rPr>
      </w:pPr>
      <w:r>
        <w:rPr>
          <w:rFonts w:hint="eastAsia" w:ascii="宋体" w:hAnsi="宋体" w:eastAsia="宋体" w:cs="宋体"/>
          <w:b/>
          <w:color w:val="auto"/>
          <w:szCs w:val="21"/>
          <w:highlight w:val="none"/>
        </w:rPr>
        <w:t>合同履行期间，因人工、材料、工程设备、机械台班价格波动影响合同价款时，采用以下第 3 种方式对合同价格进行调整：</w:t>
      </w:r>
    </w:p>
    <w:p w14:paraId="28A8E296">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第1种方式：采用价格指数进行价格调整。</w:t>
      </w:r>
    </w:p>
    <w:p w14:paraId="0D28C727">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1价格调整公式</w:t>
      </w:r>
    </w:p>
    <w:p w14:paraId="61C28B32">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因人工、材料、工程设备、机械等价格波动影响合同价格时，根据专用合同条款中约定的数据，按以下公式计算差额并调整合同价格：</w:t>
      </w:r>
    </w:p>
    <w:p w14:paraId="60FA9BE6">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 △P＝P0[A＋（B1×Ft1/Fo1＋B2×Ft2/Fo2＋B3×Ft3/Fo3……＋Bn×Ftn/Fon）-1]</w:t>
      </w:r>
    </w:p>
    <w:p w14:paraId="26F2E4FC">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公式中：ΔP——需调整的价格差额；</w:t>
      </w:r>
    </w:p>
    <w:p w14:paraId="6A874C0F">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P</w:t>
      </w:r>
      <w:r>
        <w:rPr>
          <w:rFonts w:hint="eastAsia" w:ascii="宋体" w:hAnsi="宋体" w:eastAsia="宋体" w:cs="宋体"/>
          <w:color w:val="auto"/>
          <w:szCs w:val="21"/>
          <w:highlight w:val="none"/>
          <w:vertAlign w:val="subscript"/>
        </w:rPr>
        <w:t>0</w:t>
      </w:r>
      <w:r>
        <w:rPr>
          <w:rFonts w:hint="eastAsia" w:ascii="宋体" w:hAnsi="宋体" w:eastAsia="宋体" w:cs="宋体"/>
          <w:color w:val="auto"/>
          <w:szCs w:val="21"/>
          <w:highlight w:val="none"/>
        </w:rPr>
        <w:t>——约定的付款证书中承包人应得到的已完成工程量的金额。此项金额应不包括价格调整、不计质量保证金的扣留和支付、预付款的支付和扣回。约定的变更及其他金额已按现行价格计价的，也不计在内；</w:t>
      </w:r>
    </w:p>
    <w:p w14:paraId="46BC9508">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A——定值权重（即不调部分的权重），暂估材料和工程设备应列入定值因子中；</w:t>
      </w:r>
    </w:p>
    <w:p w14:paraId="6EA28ACE">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B1；B2；B3……Bn——各可调因子的变值权重（即可调部分的权重），为各可调因子在签约合同价中所占的比例，变值因子中应包含人工、机械台班、由政府定价或政府指导价管理的原材料及由承包人提供的主要材料和工程设备、税前项目；</w:t>
      </w:r>
    </w:p>
    <w:p w14:paraId="2097A6B3">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Ft1；Ft2；Ft3……Ftn——各可调因子的现行价格指数，指约定的付款证书相关周期最后一天的前42天的各可调因子的价格指数；</w:t>
      </w:r>
    </w:p>
    <w:p w14:paraId="2095D9A7">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Fo1；Fo2；Fo3……Fon——各可调因子的基本价格指数，指基准日期的各可调因子的价格指数。</w:t>
      </w:r>
    </w:p>
    <w:p w14:paraId="2E626B0F">
      <w:pPr>
        <w:tabs>
          <w:tab w:val="left" w:pos="-1980"/>
        </w:tabs>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以上价格调整公式中的各可调因子、定值和变值权重，以及基本价格指数及其来源在已标价的工程量清单《承包人提供的主要材料和工程设备一览表（适用于价格指数差额调整法）》中约定，非招标订立的合同，由合同当事人在专用合同条款中约定。价格指数应首先采用工程造价管理机构发布的价格指数，无前述价格指数时，可采用工程造价管理机构发布的价格代替。工程造价管理部门既无相应材料和工程设备的价格指数，其相应材料和工程设备的价格也缺项的，由发包人和承包人共同市场询价确定。招标期基本价格指数按招标人提供的招标文件确定，施工期价格指数按工程造价管理部门公布的价格指数的平均值。施工期价格上涨时，材料和工程设备价格调整由承包人提出，下降时由发包人提出，调整后的价格经发包人审查确认。</w:t>
      </w:r>
    </w:p>
    <w:p w14:paraId="13D8A592">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2暂时确定调整差额</w:t>
      </w:r>
    </w:p>
    <w:p w14:paraId="78F0A342">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在计算调整差额时无现行价格指数的，合同当事人同意暂用前次价格指数计算。实际价格指数有调整的，合同当事人进行相应调整。</w:t>
      </w:r>
    </w:p>
    <w:p w14:paraId="1DCE5CE5">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3权重的调整</w:t>
      </w:r>
    </w:p>
    <w:p w14:paraId="7A102D12">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因变更导致合同约定的权重不合理时，按照第4.4款〔商定或确定〕执行。</w:t>
      </w:r>
    </w:p>
    <w:p w14:paraId="0CB618A1">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4因承包人原因工期延误后的价格调整</w:t>
      </w:r>
    </w:p>
    <w:p w14:paraId="5613B7F8">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因承包人原因未按期竣工的，对合同约定的竣工日期后继续施工的工程，在使用价格调整公式时，应采用计划竣工日期与实际竣工日期的两个价格指数中较低的一个作为现行价格指数。</w:t>
      </w:r>
    </w:p>
    <w:p w14:paraId="14147083">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5若可调因子中已经包括了人工和施工机械因素，则不再对其进行单项调整。</w:t>
      </w:r>
    </w:p>
    <w:p w14:paraId="67C23BA5">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第2种方式：采用造价信息进行价格调整。</w:t>
      </w:r>
    </w:p>
    <w:p w14:paraId="69CBF97F">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1、合同履行期间，因人工、材料、工程设备和机械台班价格波动影响合同价格时，人工、机械、由政府定价或实行政府指导价管理的原材料使用费按照自治区建设主管部门或其授权的工程造价管理机构发布的人工调整文件、机械台班单价、原材料（水、电、汽油、柴油）单价进行调整（原材料的调差计入税内独立费据实调整），但承包人对人工费或人工单价的报价高于发布价格的除外。需要进行价格调整的人工、机械和原材料，其单价和数量应由发包人审批，发包人确认需调整的人工、机械和原材料单价及数量，作为调整合同价格的依据。</w:t>
      </w:r>
    </w:p>
    <w:p w14:paraId="04487EF5">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2、已标价工程量清单《承包人提供的主要材料和工程设备一览表（适用于造价信息差额调整法）》所列材料、工程设备及《税前项目清单与计价表》所列税前项目价格变化超过表中约定的风险幅度值（5%）时，按以下规定调整合同价款:</w:t>
      </w:r>
    </w:p>
    <w:p w14:paraId="13A53FBB">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①承包人在已标价工程量清单或预算书中载明材料、工程设备、税前项目单价低于基准价格的：合同履行期间材料单价涨幅以基准价格为基础超过合同约定的风险幅度值，或材料、工程设备、税前项目单价跌幅以在已标价工程量清单或预算书中载明材料、工程设备、税前项目单价为基础超过合同约定的风险幅度值时，其超过部分据实调整。</w:t>
      </w:r>
    </w:p>
    <w:p w14:paraId="06B34530">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②承包人在已标价工程量清单或预算书中载明材料、工程设备、税前项目单价高于基准价格的：除专用合同条款另有约定外，合同履行期间材料、工程设备、税前项目单价跌幅以基准价格为基础超过合同约定的风险幅度值，材料、工程设备、税前项目单价涨幅以在已标价工程量清单或预算书中载明材料、工程设备、税前项目单价为基础超过合同约定的风险幅度值时，其超过部分据实调整。</w:t>
      </w:r>
    </w:p>
    <w:p w14:paraId="01A085F7">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③承包人在已标价工程量清单或预算书中载明材料、工程设备、税前项目单价等于基准价格的：除专用合同条款另有约定外，合同履行期间材料、工程设备、税前项目单价涨跌幅以基准价格为基础超过合同约定的风险幅度值时，其超过部分据实调整。</w:t>
      </w:r>
    </w:p>
    <w:p w14:paraId="77A0FA25">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④承包人应在采购材料、工程设备、税前项目前将采购数量和新的材料单价报发包人核对，发包人确认用于工程时，发包人应确认采购材料、工程设备、税前项目的数量和单价。发包人在收到承包人报送的确认资料后5天内不予答复的视为认可，作为调整合同价格的依据。未经发包人事先核对，承包人自行采购材料、工程设备、税前项目的，发包人有权不予调整合同价格。发包人确认需调整的材料、工程设备单价及数量，作为调整暂列金额差额的依据，调整部分仅计差额及相应的税金，不计其对分部分项工程量清单综合单价的影响（即不再计算管理费和利润）。税前项目调整的应计相应的税金调整。</w:t>
      </w:r>
    </w:p>
    <w:p w14:paraId="284733D7">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前述基准价格是指由发包人在招标文件或专用合同条款中给定的材料、工程设备、税前项目的价格，该价格原则上应当按照省级或行业建设主管部门或其授权的工程造价管理机构发布的信息价编制。</w:t>
      </w:r>
    </w:p>
    <w:p w14:paraId="67CE5A3F">
      <w:pPr>
        <w:spacing w:line="400" w:lineRule="exact"/>
        <w:ind w:left="0" w:firstLine="422" w:firstLineChars="200"/>
        <w:jc w:val="left"/>
        <w:rPr>
          <w:rFonts w:ascii="宋体" w:hAnsi="宋体" w:eastAsia="宋体" w:cs="宋体"/>
          <w:color w:val="auto"/>
          <w:szCs w:val="21"/>
          <w:highlight w:val="none"/>
        </w:rPr>
      </w:pPr>
      <w:r>
        <w:rPr>
          <w:rFonts w:hint="eastAsia" w:ascii="宋体" w:hAnsi="宋体" w:eastAsia="宋体" w:cs="宋体"/>
          <w:b/>
          <w:color w:val="auto"/>
          <w:szCs w:val="21"/>
          <w:highlight w:val="none"/>
        </w:rPr>
        <w:t>第3种方式：专用合同条款约定的其他方式</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u w:val="single"/>
        </w:rPr>
        <w:t>不予调整</w:t>
      </w:r>
      <w:r>
        <w:rPr>
          <w:rFonts w:hint="eastAsia" w:ascii="宋体" w:hAnsi="宋体" w:eastAsia="宋体" w:cs="宋体"/>
          <w:color w:val="auto"/>
          <w:szCs w:val="21"/>
          <w:highlight w:val="none"/>
        </w:rPr>
        <w:t>。</w:t>
      </w:r>
    </w:p>
    <w:p w14:paraId="1E7F486C">
      <w:pPr>
        <w:spacing w:line="400" w:lineRule="exact"/>
        <w:ind w:left="0" w:firstLine="422" w:firstLineChars="200"/>
        <w:rPr>
          <w:rFonts w:ascii="宋体" w:hAnsi="宋体" w:eastAsia="宋体" w:cs="宋体"/>
          <w:b/>
          <w:color w:val="auto"/>
          <w:szCs w:val="21"/>
          <w:highlight w:val="none"/>
        </w:rPr>
      </w:pPr>
      <w:bookmarkStart w:id="371" w:name="_Toc296503205"/>
      <w:bookmarkStart w:id="372" w:name="_Toc296347204"/>
      <w:bookmarkStart w:id="373" w:name="_Toc296944544"/>
      <w:bookmarkStart w:id="374" w:name="_Toc292559915"/>
      <w:bookmarkStart w:id="375" w:name="_Toc296346706"/>
      <w:bookmarkStart w:id="376" w:name="_Toc297048391"/>
      <w:bookmarkStart w:id="377" w:name="_Toc297120505"/>
      <w:bookmarkStart w:id="378" w:name="_Toc296891245"/>
      <w:bookmarkStart w:id="379" w:name="_Toc292559410"/>
      <w:bookmarkStart w:id="380" w:name="_Toc296891033"/>
      <w:bookmarkStart w:id="381" w:name="_Toc373478395"/>
      <w:bookmarkStart w:id="382" w:name="_Toc351203644"/>
      <w:bookmarkStart w:id="383" w:name="_Toc373227748"/>
      <w:bookmarkStart w:id="384" w:name="_Toc297216211"/>
      <w:bookmarkStart w:id="385" w:name="_Toc300935002"/>
      <w:bookmarkStart w:id="386" w:name="_Toc312678040"/>
      <w:bookmarkStart w:id="387" w:name="_Toc303539159"/>
      <w:bookmarkStart w:id="388" w:name="_Toc297123552"/>
      <w:bookmarkStart w:id="389" w:name="_Toc304295579"/>
      <w:r>
        <w:rPr>
          <w:rFonts w:hint="eastAsia" w:ascii="宋体" w:hAnsi="宋体" w:eastAsia="宋体" w:cs="宋体"/>
          <w:b/>
          <w:color w:val="auto"/>
          <w:szCs w:val="21"/>
          <w:highlight w:val="none"/>
        </w:rPr>
        <w:t xml:space="preserve">12. </w:t>
      </w:r>
      <w:bookmarkEnd w:id="371"/>
      <w:bookmarkEnd w:id="372"/>
      <w:bookmarkEnd w:id="373"/>
      <w:bookmarkEnd w:id="374"/>
      <w:bookmarkEnd w:id="375"/>
      <w:bookmarkEnd w:id="376"/>
      <w:bookmarkEnd w:id="377"/>
      <w:bookmarkEnd w:id="378"/>
      <w:bookmarkEnd w:id="379"/>
      <w:bookmarkEnd w:id="380"/>
      <w:r>
        <w:rPr>
          <w:rFonts w:hint="eastAsia" w:ascii="宋体" w:hAnsi="宋体" w:eastAsia="宋体" w:cs="宋体"/>
          <w:b/>
          <w:color w:val="auto"/>
          <w:szCs w:val="21"/>
          <w:highlight w:val="none"/>
        </w:rPr>
        <w:t>合同价格、计量与支付</w:t>
      </w:r>
      <w:bookmarkEnd w:id="381"/>
      <w:bookmarkEnd w:id="382"/>
      <w:bookmarkEnd w:id="383"/>
    </w:p>
    <w:bookmarkEnd w:id="384"/>
    <w:bookmarkEnd w:id="385"/>
    <w:bookmarkEnd w:id="386"/>
    <w:bookmarkEnd w:id="387"/>
    <w:bookmarkEnd w:id="388"/>
    <w:bookmarkEnd w:id="389"/>
    <w:p w14:paraId="7FB3EA3D">
      <w:pPr>
        <w:spacing w:line="400" w:lineRule="exact"/>
        <w:ind w:left="0" w:firstLine="422" w:firstLineChars="200"/>
        <w:outlineLvl w:val="0"/>
        <w:rPr>
          <w:rFonts w:ascii="宋体" w:hAnsi="宋体" w:eastAsia="宋体" w:cs="宋体"/>
          <w:b/>
          <w:bCs/>
          <w:color w:val="auto"/>
          <w:kern w:val="44"/>
          <w:szCs w:val="21"/>
          <w:highlight w:val="none"/>
        </w:rPr>
      </w:pPr>
      <w:bookmarkStart w:id="390" w:name="_Toc292559411"/>
      <w:bookmarkStart w:id="391" w:name="_Toc267251461"/>
      <w:bookmarkStart w:id="392" w:name="_Toc292559916"/>
      <w:bookmarkStart w:id="393" w:name="_Toc296891034"/>
      <w:bookmarkStart w:id="394" w:name="_Toc297120506"/>
      <w:bookmarkStart w:id="395" w:name="_Toc296944545"/>
      <w:bookmarkStart w:id="396" w:name="_Toc296891246"/>
      <w:bookmarkStart w:id="397" w:name="_Toc296346707"/>
      <w:bookmarkStart w:id="398" w:name="_Toc297048392"/>
      <w:bookmarkStart w:id="399" w:name="_Toc296503206"/>
      <w:bookmarkStart w:id="400" w:name="_Toc296347205"/>
      <w:bookmarkStart w:id="401" w:name="_Toc17238"/>
      <w:bookmarkStart w:id="402" w:name="_Toc389065314"/>
      <w:bookmarkStart w:id="403" w:name="_Toc26793"/>
      <w:bookmarkStart w:id="404" w:name="_Toc27575"/>
      <w:bookmarkStart w:id="405" w:name="_Toc3242"/>
      <w:bookmarkStart w:id="406" w:name="_Toc373478396"/>
      <w:bookmarkStart w:id="407" w:name="_Toc373227749"/>
      <w:bookmarkStart w:id="408" w:name="_Toc304295580"/>
      <w:bookmarkStart w:id="409" w:name="_Toc297123553"/>
      <w:bookmarkStart w:id="410" w:name="_Toc303539160"/>
      <w:bookmarkStart w:id="411" w:name="_Toc297216212"/>
      <w:bookmarkStart w:id="412" w:name="_Toc300935003"/>
      <w:bookmarkStart w:id="413" w:name="_Toc312678041"/>
      <w:r>
        <w:rPr>
          <w:rFonts w:hint="eastAsia" w:ascii="宋体" w:hAnsi="宋体" w:eastAsia="宋体" w:cs="宋体"/>
          <w:b/>
          <w:bCs/>
          <w:color w:val="auto"/>
          <w:kern w:val="44"/>
          <w:szCs w:val="21"/>
          <w:highlight w:val="none"/>
        </w:rPr>
        <w:t>12.1 合</w:t>
      </w:r>
      <w:bookmarkEnd w:id="390"/>
      <w:bookmarkEnd w:id="391"/>
      <w:bookmarkEnd w:id="392"/>
      <w:r>
        <w:rPr>
          <w:rFonts w:hint="eastAsia" w:ascii="宋体" w:hAnsi="宋体" w:eastAsia="宋体" w:cs="宋体"/>
          <w:b/>
          <w:bCs/>
          <w:color w:val="auto"/>
          <w:kern w:val="44"/>
          <w:szCs w:val="21"/>
          <w:highlight w:val="none"/>
        </w:rPr>
        <w:t>同价</w:t>
      </w:r>
      <w:bookmarkEnd w:id="393"/>
      <w:bookmarkEnd w:id="394"/>
      <w:bookmarkEnd w:id="395"/>
      <w:bookmarkEnd w:id="396"/>
      <w:bookmarkEnd w:id="397"/>
      <w:bookmarkEnd w:id="398"/>
      <w:bookmarkEnd w:id="399"/>
      <w:bookmarkEnd w:id="400"/>
      <w:r>
        <w:rPr>
          <w:rFonts w:hint="eastAsia" w:ascii="宋体" w:hAnsi="宋体" w:eastAsia="宋体" w:cs="宋体"/>
          <w:b/>
          <w:bCs/>
          <w:color w:val="auto"/>
          <w:kern w:val="44"/>
          <w:szCs w:val="21"/>
          <w:highlight w:val="none"/>
        </w:rPr>
        <w:t>格形式</w:t>
      </w:r>
      <w:bookmarkEnd w:id="401"/>
      <w:bookmarkEnd w:id="402"/>
      <w:bookmarkEnd w:id="403"/>
      <w:bookmarkEnd w:id="404"/>
      <w:bookmarkEnd w:id="405"/>
      <w:bookmarkEnd w:id="406"/>
      <w:bookmarkEnd w:id="407"/>
    </w:p>
    <w:bookmarkEnd w:id="408"/>
    <w:bookmarkEnd w:id="409"/>
    <w:bookmarkEnd w:id="410"/>
    <w:bookmarkEnd w:id="411"/>
    <w:bookmarkEnd w:id="412"/>
    <w:bookmarkEnd w:id="413"/>
    <w:p w14:paraId="5431752E">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1.单价合同：</w:t>
      </w:r>
    </w:p>
    <w:p w14:paraId="168E77FC">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本合同价款采用固定综合单价方式确定。</w:t>
      </w:r>
    </w:p>
    <w:p w14:paraId="1D3A4013">
      <w:pPr>
        <w:spacing w:line="400" w:lineRule="exact"/>
        <w:ind w:left="0" w:firstLine="420" w:firstLineChars="200"/>
        <w:jc w:val="left"/>
        <w:rPr>
          <w:rFonts w:ascii="宋体" w:hAnsi="宋体" w:eastAsia="宋体" w:cs="宋体"/>
          <w:color w:val="auto"/>
          <w:szCs w:val="21"/>
          <w:highlight w:val="none"/>
          <w:u w:val="single"/>
        </w:rPr>
      </w:pPr>
      <w:r>
        <w:rPr>
          <w:rFonts w:hint="eastAsia" w:ascii="宋体" w:hAnsi="宋体" w:eastAsia="宋体" w:cs="宋体"/>
          <w:color w:val="auto"/>
          <w:szCs w:val="21"/>
          <w:highlight w:val="none"/>
        </w:rPr>
        <w:t>综合单价包含的风险范围：</w:t>
      </w:r>
      <w:bookmarkStart w:id="414" w:name="_Hlk22994974"/>
      <w:bookmarkStart w:id="415" w:name="OLE_LINK1"/>
      <w:r>
        <w:rPr>
          <w:rFonts w:hint="eastAsia" w:ascii="宋体" w:hAnsi="宋体" w:eastAsia="宋体" w:cs="宋体"/>
          <w:color w:val="auto"/>
          <w:szCs w:val="21"/>
          <w:highlight w:val="none"/>
          <w:u w:val="single"/>
        </w:rPr>
        <w:t>除工程变更、政策性调整（指人工、机械台班、水、电、柴油、汽油等）以外因素</w:t>
      </w:r>
      <w:bookmarkEnd w:id="414"/>
      <w:r>
        <w:rPr>
          <w:rFonts w:hint="eastAsia" w:ascii="宋体" w:hAnsi="宋体" w:eastAsia="宋体" w:cs="宋体"/>
          <w:color w:val="auto"/>
          <w:szCs w:val="21"/>
          <w:highlight w:val="none"/>
          <w:u w:val="single"/>
        </w:rPr>
        <w:t>。</w:t>
      </w:r>
      <w:bookmarkEnd w:id="415"/>
    </w:p>
    <w:p w14:paraId="45674196">
      <w:pPr>
        <w:spacing w:line="400" w:lineRule="exact"/>
        <w:ind w:left="0"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风险范围以外合同价格的调整方法：</w:t>
      </w:r>
    </w:p>
    <w:p w14:paraId="454C5A15">
      <w:pPr>
        <w:spacing w:line="400" w:lineRule="exact"/>
        <w:ind w:left="0"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（1）工程变更：按10.4.1变更估价原则的约定调整。</w:t>
      </w:r>
    </w:p>
    <w:p w14:paraId="539D855E">
      <w:pPr>
        <w:spacing w:line="400" w:lineRule="exact"/>
        <w:ind w:left="0"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（2）政策性调整：按自治区建设行政主管部门颁布的文件执行。</w:t>
      </w:r>
    </w:p>
    <w:p w14:paraId="5EAA40AB">
      <w:pPr>
        <w:spacing w:line="400" w:lineRule="exact"/>
        <w:ind w:left="0"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（3）材料价格风险：按11.4的约定调整。</w:t>
      </w:r>
    </w:p>
    <w:p w14:paraId="2E4F0E2E">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bCs/>
          <w:color w:val="auto"/>
          <w:szCs w:val="21"/>
          <w:highlight w:val="none"/>
        </w:rPr>
        <w:t>（4）其它：</w:t>
      </w:r>
      <w:r>
        <w:rPr>
          <w:rFonts w:hint="eastAsia" w:ascii="宋体" w:hAnsi="宋体" w:eastAsia="宋体" w:cs="宋体"/>
          <w:bCs/>
          <w:color w:val="auto"/>
          <w:szCs w:val="21"/>
          <w:highlight w:val="none"/>
          <w:u w:val="single"/>
        </w:rPr>
        <w:t xml:space="preserve">      /         </w:t>
      </w:r>
      <w:r>
        <w:rPr>
          <w:rFonts w:hint="eastAsia" w:ascii="宋体" w:hAnsi="宋体" w:eastAsia="宋体" w:cs="宋体"/>
          <w:bCs/>
          <w:color w:val="auto"/>
          <w:szCs w:val="21"/>
          <w:highlight w:val="none"/>
        </w:rPr>
        <w:t>。</w:t>
      </w:r>
    </w:p>
    <w:p w14:paraId="5DC2A58A">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2.总价合同：</w:t>
      </w:r>
    </w:p>
    <w:p w14:paraId="58F13C96">
      <w:pPr>
        <w:spacing w:line="400" w:lineRule="exact"/>
        <w:ind w:left="0" w:firstLine="420" w:firstLineChars="200"/>
        <w:jc w:val="left"/>
        <w:rPr>
          <w:rFonts w:ascii="宋体" w:hAnsi="宋体" w:eastAsia="宋体" w:cs="宋体"/>
          <w:color w:val="auto"/>
          <w:szCs w:val="21"/>
          <w:highlight w:val="none"/>
          <w:u w:val="single"/>
        </w:rPr>
      </w:pPr>
      <w:r>
        <w:rPr>
          <w:rFonts w:hint="eastAsia" w:ascii="宋体" w:hAnsi="宋体" w:eastAsia="宋体" w:cs="宋体"/>
          <w:color w:val="auto"/>
          <w:szCs w:val="21"/>
          <w:highlight w:val="none"/>
        </w:rPr>
        <w:t>总价包含的风险范围：</w:t>
      </w:r>
      <w:r>
        <w:rPr>
          <w:rFonts w:hint="eastAsia" w:ascii="宋体" w:hAnsi="宋体" w:eastAsia="宋体" w:cs="宋体"/>
          <w:color w:val="auto"/>
          <w:szCs w:val="21"/>
          <w:highlight w:val="none"/>
          <w:u w:val="single"/>
        </w:rPr>
        <w:t xml:space="preserve">      /         </w:t>
      </w:r>
      <w:r>
        <w:rPr>
          <w:rFonts w:hint="eastAsia" w:ascii="宋体" w:hAnsi="宋体" w:eastAsia="宋体" w:cs="宋体"/>
          <w:color w:val="auto"/>
          <w:szCs w:val="21"/>
          <w:highlight w:val="none"/>
        </w:rPr>
        <w:t>。</w:t>
      </w:r>
    </w:p>
    <w:p w14:paraId="11B5D42D">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风险范围以外合同价格的调整方法：</w:t>
      </w:r>
      <w:r>
        <w:rPr>
          <w:rFonts w:hint="eastAsia" w:ascii="宋体" w:hAnsi="宋体" w:eastAsia="宋体" w:cs="宋体"/>
          <w:color w:val="auto"/>
          <w:szCs w:val="21"/>
          <w:highlight w:val="none"/>
          <w:u w:val="single"/>
        </w:rPr>
        <w:t xml:space="preserve">      /          </w:t>
      </w:r>
      <w:r>
        <w:rPr>
          <w:rFonts w:hint="eastAsia" w:ascii="宋体" w:hAnsi="宋体" w:eastAsia="宋体" w:cs="宋体"/>
          <w:color w:val="auto"/>
          <w:szCs w:val="21"/>
          <w:highlight w:val="none"/>
        </w:rPr>
        <w:t>。</w:t>
      </w:r>
    </w:p>
    <w:p w14:paraId="5DF1A42C">
      <w:pPr>
        <w:spacing w:line="400" w:lineRule="exact"/>
        <w:ind w:left="0" w:firstLine="420" w:firstLineChars="200"/>
        <w:jc w:val="left"/>
        <w:rPr>
          <w:rFonts w:ascii="宋体" w:hAnsi="宋体" w:eastAsia="宋体" w:cs="宋体"/>
          <w:color w:val="auto"/>
          <w:szCs w:val="21"/>
          <w:highlight w:val="none"/>
          <w:u w:val="single"/>
        </w:rPr>
      </w:pPr>
      <w:r>
        <w:rPr>
          <w:rFonts w:hint="eastAsia" w:ascii="宋体" w:hAnsi="宋体" w:eastAsia="宋体" w:cs="宋体"/>
          <w:color w:val="auto"/>
          <w:szCs w:val="21"/>
          <w:highlight w:val="none"/>
        </w:rPr>
        <w:t>3、其他价格方式：</w:t>
      </w:r>
      <w:r>
        <w:rPr>
          <w:rFonts w:hint="eastAsia" w:ascii="宋体" w:hAnsi="宋体" w:eastAsia="宋体" w:cs="宋体"/>
          <w:color w:val="auto"/>
          <w:szCs w:val="21"/>
          <w:highlight w:val="none"/>
          <w:u w:val="single"/>
        </w:rPr>
        <w:t xml:space="preserve">       /         </w:t>
      </w:r>
      <w:r>
        <w:rPr>
          <w:rFonts w:hint="eastAsia" w:ascii="宋体" w:hAnsi="宋体" w:eastAsia="宋体" w:cs="宋体"/>
          <w:color w:val="auto"/>
          <w:szCs w:val="21"/>
          <w:highlight w:val="none"/>
        </w:rPr>
        <w:t>。</w:t>
      </w:r>
    </w:p>
    <w:p w14:paraId="0756BF45">
      <w:pPr>
        <w:spacing w:line="400" w:lineRule="exact"/>
        <w:ind w:left="0" w:firstLine="422" w:firstLineChars="200"/>
        <w:outlineLvl w:val="0"/>
        <w:rPr>
          <w:rFonts w:ascii="宋体" w:hAnsi="宋体" w:eastAsia="宋体" w:cs="宋体"/>
          <w:b/>
          <w:bCs/>
          <w:color w:val="auto"/>
          <w:kern w:val="44"/>
          <w:szCs w:val="21"/>
          <w:highlight w:val="none"/>
        </w:rPr>
      </w:pPr>
      <w:bookmarkStart w:id="416" w:name="_Toc373478397"/>
      <w:bookmarkStart w:id="417" w:name="_Toc24555"/>
      <w:bookmarkStart w:id="418" w:name="_Toc389065315"/>
      <w:bookmarkStart w:id="419" w:name="_Toc19752"/>
      <w:bookmarkStart w:id="420" w:name="_Toc373227750"/>
      <w:bookmarkStart w:id="421" w:name="_Toc16243"/>
      <w:bookmarkStart w:id="422" w:name="_Toc4847"/>
      <w:bookmarkStart w:id="423" w:name="_Toc300935004"/>
      <w:bookmarkStart w:id="424" w:name="_Toc292559917"/>
      <w:bookmarkStart w:id="425" w:name="_Toc312678042"/>
      <w:bookmarkStart w:id="426" w:name="_Toc297216213"/>
      <w:bookmarkStart w:id="427" w:name="_Toc296503207"/>
      <w:bookmarkStart w:id="428" w:name="_Toc292559412"/>
      <w:bookmarkStart w:id="429" w:name="_Toc296346708"/>
      <w:bookmarkStart w:id="430" w:name="_Toc297123554"/>
      <w:bookmarkStart w:id="431" w:name="_Toc296944546"/>
      <w:bookmarkStart w:id="432" w:name="_Toc296891247"/>
      <w:bookmarkStart w:id="433" w:name="_Toc296891035"/>
      <w:bookmarkStart w:id="434" w:name="_Toc303539161"/>
      <w:bookmarkStart w:id="435" w:name="_Toc297048393"/>
      <w:bookmarkStart w:id="436" w:name="_Toc297120507"/>
      <w:bookmarkStart w:id="437" w:name="_Toc296347206"/>
      <w:bookmarkStart w:id="438" w:name="_Toc304295581"/>
      <w:r>
        <w:rPr>
          <w:rFonts w:hint="eastAsia" w:ascii="宋体" w:hAnsi="宋体" w:eastAsia="宋体" w:cs="宋体"/>
          <w:b/>
          <w:bCs/>
          <w:color w:val="auto"/>
          <w:kern w:val="44"/>
          <w:szCs w:val="21"/>
          <w:highlight w:val="none"/>
        </w:rPr>
        <w:t>12.2 预付款</w:t>
      </w:r>
      <w:bookmarkEnd w:id="416"/>
      <w:bookmarkEnd w:id="417"/>
      <w:bookmarkEnd w:id="418"/>
      <w:bookmarkEnd w:id="419"/>
      <w:bookmarkEnd w:id="420"/>
      <w:bookmarkEnd w:id="421"/>
      <w:bookmarkEnd w:id="422"/>
    </w:p>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p w14:paraId="406F3FF4">
      <w:pPr>
        <w:spacing w:line="440" w:lineRule="exact"/>
        <w:ind w:left="0" w:firstLine="420" w:firstLineChars="200"/>
        <w:rPr>
          <w:rFonts w:hAnsi="宋体" w:eastAsia="宋体"/>
          <w:color w:val="auto"/>
          <w:highlight w:val="none"/>
        </w:rPr>
      </w:pPr>
      <w:bookmarkStart w:id="439" w:name="_Toc373227751"/>
      <w:bookmarkStart w:id="440" w:name="_Toc373478398"/>
      <w:bookmarkStart w:id="441" w:name="_Toc389065316"/>
      <w:bookmarkStart w:id="442" w:name="_Toc25818"/>
      <w:r>
        <w:rPr>
          <w:rFonts w:hAnsi="宋体" w:eastAsia="宋体"/>
          <w:color w:val="auto"/>
          <w:highlight w:val="none"/>
        </w:rPr>
        <w:t xml:space="preserve">12.2.1 </w:t>
      </w:r>
      <w:r>
        <w:rPr>
          <w:rFonts w:hint="eastAsia" w:hAnsi="宋体" w:eastAsia="宋体"/>
          <w:color w:val="auto"/>
          <w:highlight w:val="none"/>
        </w:rPr>
        <w:t>预付款的支付</w:t>
      </w:r>
    </w:p>
    <w:p w14:paraId="605F440A">
      <w:pPr>
        <w:spacing w:line="440" w:lineRule="exact"/>
        <w:ind w:left="0" w:firstLine="420" w:firstLineChars="200"/>
        <w:rPr>
          <w:rFonts w:ascii="宋体" w:hAnsi="宋体" w:eastAsia="宋体"/>
          <w:color w:val="auto"/>
          <w:highlight w:val="none"/>
        </w:rPr>
      </w:pPr>
      <w:r>
        <w:rPr>
          <w:rFonts w:hint="eastAsia" w:ascii="宋体" w:hAnsi="宋体" w:eastAsia="宋体"/>
          <w:color w:val="auto"/>
          <w:highlight w:val="none"/>
        </w:rPr>
        <w:t>预付款支付比例或金额：</w:t>
      </w:r>
      <w:r>
        <w:rPr>
          <w:rFonts w:hint="eastAsia" w:ascii="宋体" w:hAnsi="宋体" w:eastAsia="宋体"/>
          <w:color w:val="auto"/>
          <w:highlight w:val="none"/>
          <w:u w:val="single"/>
        </w:rPr>
        <w:t>签约合同价扣除材料和工程设备暂估价、专业工程暂估价、安全生产责任保险费暂估价、暂列金额后的30%</w:t>
      </w:r>
      <w:r>
        <w:rPr>
          <w:rFonts w:hint="eastAsia" w:ascii="宋体" w:hAnsi="宋体" w:eastAsia="宋体"/>
          <w:color w:val="auto"/>
          <w:highlight w:val="none"/>
        </w:rPr>
        <w:t>。</w:t>
      </w:r>
    </w:p>
    <w:p w14:paraId="08304C93">
      <w:pPr>
        <w:spacing w:line="440" w:lineRule="exact"/>
        <w:ind w:left="0" w:firstLine="420" w:firstLineChars="200"/>
        <w:rPr>
          <w:rFonts w:ascii="宋体" w:hAnsi="宋体" w:eastAsia="宋体"/>
          <w:color w:val="auto"/>
          <w:highlight w:val="none"/>
        </w:rPr>
      </w:pPr>
      <w:r>
        <w:rPr>
          <w:rFonts w:hint="eastAsia" w:ascii="宋体" w:hAnsi="宋体" w:eastAsia="宋体"/>
          <w:color w:val="auto"/>
          <w:highlight w:val="none"/>
        </w:rPr>
        <w:t>预付款支付期限：</w:t>
      </w:r>
      <w:r>
        <w:rPr>
          <w:rFonts w:hint="eastAsia" w:ascii="宋体" w:hAnsi="宋体" w:eastAsia="宋体"/>
          <w:color w:val="auto"/>
          <w:highlight w:val="none"/>
          <w:u w:val="single"/>
        </w:rPr>
        <w:t>发包人在收到预付款全额增值税专用发票后</w:t>
      </w:r>
      <w:r>
        <w:rPr>
          <w:rFonts w:hint="eastAsia" w:ascii="宋体" w:hAnsi="宋体"/>
          <w:color w:val="auto"/>
          <w:highlight w:val="none"/>
          <w:u w:val="single"/>
          <w:lang w:val="en-US" w:eastAsia="zh-CN"/>
        </w:rPr>
        <w:t>10</w:t>
      </w:r>
      <w:r>
        <w:rPr>
          <w:rFonts w:hint="eastAsia" w:ascii="宋体" w:hAnsi="宋体" w:eastAsia="宋体"/>
          <w:color w:val="auto"/>
          <w:highlight w:val="none"/>
          <w:u w:val="single"/>
        </w:rPr>
        <w:t>个工作日内支付</w:t>
      </w:r>
      <w:r>
        <w:rPr>
          <w:rFonts w:hint="eastAsia" w:ascii="宋体" w:hAnsi="宋体" w:eastAsia="宋体"/>
          <w:color w:val="auto"/>
          <w:highlight w:val="none"/>
        </w:rPr>
        <w:t>。</w:t>
      </w:r>
    </w:p>
    <w:p w14:paraId="2047104D">
      <w:pPr>
        <w:spacing w:line="440" w:lineRule="exact"/>
        <w:ind w:left="0" w:firstLine="420" w:firstLineChars="200"/>
        <w:rPr>
          <w:rFonts w:hAnsi="宋体" w:eastAsia="宋体"/>
          <w:color w:val="auto"/>
          <w:highlight w:val="none"/>
        </w:rPr>
      </w:pPr>
      <w:r>
        <w:rPr>
          <w:rFonts w:hint="eastAsia" w:ascii="宋体" w:hAnsi="宋体" w:eastAsia="宋体"/>
          <w:color w:val="auto"/>
          <w:highlight w:val="none"/>
        </w:rPr>
        <w:t>预付款扣回的方式：</w:t>
      </w:r>
      <w:r>
        <w:rPr>
          <w:rFonts w:hint="eastAsia" w:ascii="宋体" w:hAnsi="宋体" w:eastAsia="宋体"/>
          <w:color w:val="auto"/>
          <w:highlight w:val="none"/>
          <w:u w:val="single"/>
        </w:rPr>
        <w:t xml:space="preserve"> 工程预付款在累计支付至80%合同价款（扣除发包人材料价款、暂估专业工程、安全生产责任保险费暂估价、暂列金额后）时，一次性从应付的80%工程进度款中扣回 </w:t>
      </w:r>
      <w:r>
        <w:rPr>
          <w:rFonts w:hint="eastAsia" w:ascii="宋体" w:hAnsi="宋体" w:eastAsia="宋体"/>
          <w:color w:val="auto"/>
          <w:highlight w:val="none"/>
        </w:rPr>
        <w:t>。</w:t>
      </w:r>
    </w:p>
    <w:p w14:paraId="6833F192">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12.2.2 预付款担保</w:t>
      </w:r>
    </w:p>
    <w:p w14:paraId="2A30E307">
      <w:pPr>
        <w:spacing w:line="400" w:lineRule="exact"/>
        <w:ind w:left="0" w:firstLine="420" w:firstLineChars="200"/>
        <w:jc w:val="left"/>
        <w:rPr>
          <w:rFonts w:ascii="宋体" w:hAnsi="宋体" w:eastAsia="宋体" w:cs="宋体"/>
          <w:color w:val="auto"/>
          <w:szCs w:val="21"/>
          <w:highlight w:val="none"/>
          <w:u w:val="single"/>
        </w:rPr>
      </w:pPr>
      <w:r>
        <w:rPr>
          <w:rFonts w:hint="eastAsia" w:ascii="宋体" w:hAnsi="宋体" w:eastAsia="宋体" w:cs="宋体"/>
          <w:color w:val="auto"/>
          <w:szCs w:val="21"/>
          <w:highlight w:val="none"/>
        </w:rPr>
        <w:t>承包人提交预付款担保的期限：</w:t>
      </w:r>
      <w:r>
        <w:rPr>
          <w:rFonts w:hint="eastAsia" w:ascii="宋体" w:hAnsi="宋体" w:eastAsia="宋体" w:cs="宋体"/>
          <w:color w:val="auto"/>
          <w:szCs w:val="21"/>
          <w:highlight w:val="none"/>
          <w:u w:val="single"/>
        </w:rPr>
        <w:t>无</w:t>
      </w:r>
      <w:r>
        <w:rPr>
          <w:rFonts w:hint="eastAsia" w:ascii="宋体" w:hAnsi="宋体" w:eastAsia="宋体" w:cs="宋体"/>
          <w:color w:val="auto"/>
          <w:szCs w:val="21"/>
          <w:highlight w:val="none"/>
        </w:rPr>
        <w:t>。</w:t>
      </w:r>
    </w:p>
    <w:p w14:paraId="7F8B1D4A">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预付款担保的形式为：</w:t>
      </w:r>
      <w:r>
        <w:rPr>
          <w:rFonts w:hint="eastAsia" w:ascii="宋体" w:hAnsi="宋体" w:eastAsia="宋体" w:cs="宋体"/>
          <w:color w:val="auto"/>
          <w:szCs w:val="21"/>
          <w:highlight w:val="none"/>
          <w:u w:val="single"/>
        </w:rPr>
        <w:t>无</w:t>
      </w:r>
      <w:r>
        <w:rPr>
          <w:rFonts w:hint="eastAsia" w:ascii="宋体" w:hAnsi="宋体" w:eastAsia="宋体" w:cs="宋体"/>
          <w:color w:val="auto"/>
          <w:szCs w:val="21"/>
          <w:highlight w:val="none"/>
        </w:rPr>
        <w:t>。</w:t>
      </w:r>
    </w:p>
    <w:p w14:paraId="19242256">
      <w:pPr>
        <w:spacing w:line="400" w:lineRule="exact"/>
        <w:ind w:left="0" w:firstLine="422" w:firstLineChars="200"/>
        <w:outlineLvl w:val="0"/>
        <w:rPr>
          <w:rFonts w:ascii="宋体" w:hAnsi="宋体" w:eastAsia="宋体" w:cs="宋体"/>
          <w:b/>
          <w:bCs/>
          <w:color w:val="auto"/>
          <w:kern w:val="44"/>
          <w:szCs w:val="21"/>
          <w:highlight w:val="none"/>
        </w:rPr>
      </w:pPr>
      <w:bookmarkStart w:id="443" w:name="_Toc17450"/>
      <w:bookmarkStart w:id="444" w:name="_Toc4667"/>
      <w:bookmarkStart w:id="445" w:name="_Toc1876"/>
      <w:r>
        <w:rPr>
          <w:rFonts w:hint="eastAsia" w:ascii="宋体" w:hAnsi="宋体" w:eastAsia="宋体" w:cs="宋体"/>
          <w:b/>
          <w:bCs/>
          <w:color w:val="auto"/>
          <w:kern w:val="44"/>
          <w:szCs w:val="21"/>
          <w:highlight w:val="none"/>
        </w:rPr>
        <w:t>12.3 计量</w:t>
      </w:r>
      <w:bookmarkEnd w:id="439"/>
      <w:bookmarkEnd w:id="440"/>
      <w:bookmarkEnd w:id="441"/>
      <w:bookmarkEnd w:id="442"/>
      <w:bookmarkEnd w:id="443"/>
      <w:bookmarkEnd w:id="444"/>
      <w:bookmarkEnd w:id="445"/>
    </w:p>
    <w:p w14:paraId="390512FB">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12.3.1 计量原则</w:t>
      </w:r>
    </w:p>
    <w:p w14:paraId="57C2017D">
      <w:pPr>
        <w:spacing w:line="400" w:lineRule="exact"/>
        <w:ind w:left="0" w:firstLine="420" w:firstLineChars="200"/>
        <w:jc w:val="left"/>
        <w:rPr>
          <w:rFonts w:ascii="宋体" w:hAnsi="宋体" w:eastAsia="宋体" w:cs="宋体"/>
          <w:color w:val="auto"/>
          <w:szCs w:val="21"/>
          <w:highlight w:val="none"/>
          <w:u w:val="single"/>
        </w:rPr>
      </w:pPr>
      <w:r>
        <w:rPr>
          <w:rFonts w:hint="eastAsia" w:ascii="宋体" w:hAnsi="宋体" w:eastAsia="宋体" w:cs="宋体"/>
          <w:color w:val="auto"/>
          <w:szCs w:val="21"/>
          <w:highlight w:val="none"/>
        </w:rPr>
        <w:t>工程量计算规则：</w:t>
      </w:r>
      <w:r>
        <w:rPr>
          <w:rFonts w:hint="eastAsia" w:ascii="宋体" w:hAnsi="宋体" w:eastAsia="宋体" w:cs="宋体"/>
          <w:color w:val="auto"/>
          <w:szCs w:val="21"/>
          <w:highlight w:val="none"/>
          <w:u w:val="single"/>
        </w:rPr>
        <w:t>工程的计量均以国家标准《建设工程工程量清单计价规范》（GB 50500－2013）、《&lt;建设工程工程量清单计价规范</w:t>
      </w:r>
      <w:r>
        <w:rPr>
          <w:rFonts w:hint="eastAsia" w:ascii="宋体" w:hAnsi="宋体" w:eastAsia="宋体" w:cs="宋体"/>
          <w:color w:val="auto"/>
          <w:sz w:val="22"/>
          <w:szCs w:val="21"/>
          <w:highlight w:val="none"/>
          <w:u w:val="single"/>
        </w:rPr>
        <w:t>&gt;GB50500-2013广西壮族自治区实施细则</w:t>
      </w:r>
      <w:r>
        <w:rPr>
          <w:rFonts w:hint="eastAsia" w:ascii="宋体" w:hAnsi="宋体" w:eastAsia="宋体" w:cs="宋体"/>
          <w:color w:val="auto"/>
          <w:szCs w:val="21"/>
          <w:highlight w:val="none"/>
          <w:u w:val="single"/>
        </w:rPr>
        <w:t>》、《建设工程工程量清单计算规范》（GB 50854~50862－2013）及其广西实施细则（修订本）、</w:t>
      </w:r>
      <w:r>
        <w:rPr>
          <w:rFonts w:hint="eastAsia" w:ascii="宋体" w:hAnsi="宋体" w:eastAsia="宋体" w:cs="宋体"/>
          <w:color w:val="auto"/>
          <w:szCs w:val="21"/>
          <w:highlight w:val="none"/>
        </w:rPr>
        <w:t>《关于建筑业实施营业税改征增值税后广西壮族自治区建设工程计价依据调整的通知》（桂建标〔2016〕17号）、《关于调整除税价计算使用增值税税率的通知》（桂建标〔2018〕14号）、《关于调整除税价计算适用增值税税率的通知》（桂建标〔2019〕10号）及本工程所使用定额的计算规则等计算方法为准，如有不明之处，应以造价管理部门确定的计量方法为准。</w:t>
      </w:r>
    </w:p>
    <w:p w14:paraId="1F41213F">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12.3.2 计量周期</w:t>
      </w:r>
    </w:p>
    <w:p w14:paraId="25211190">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关于计量周期的约定：</w:t>
      </w:r>
      <w:r>
        <w:rPr>
          <w:rFonts w:hint="eastAsia" w:ascii="宋体" w:hAnsi="宋体" w:eastAsia="宋体" w:cs="宋体"/>
          <w:color w:val="auto"/>
          <w:szCs w:val="21"/>
          <w:highlight w:val="none"/>
          <w:u w:val="single"/>
        </w:rPr>
        <w:t>按形象进度节点</w:t>
      </w:r>
      <w:r>
        <w:rPr>
          <w:rFonts w:hint="eastAsia" w:ascii="宋体" w:hAnsi="宋体" w:eastAsia="宋体" w:cs="宋体"/>
          <w:color w:val="auto"/>
          <w:szCs w:val="21"/>
          <w:highlight w:val="none"/>
        </w:rPr>
        <w:t>。</w:t>
      </w:r>
    </w:p>
    <w:p w14:paraId="4ACEF6DD">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12.3.3 单价合同的计量</w:t>
      </w:r>
    </w:p>
    <w:p w14:paraId="5B787979">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关于单价合同计量的约定：</w:t>
      </w:r>
    </w:p>
    <w:p w14:paraId="62D1D199">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 工程量清单所列的工程量，不能作为承包人按合同履行其责任依据，实际施工中发生的工程量增加或减少并不影响承包人履行合同的责任，工程结算以完成的实际工程量为准。</w:t>
      </w:r>
    </w:p>
    <w:p w14:paraId="358A27C9">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 除另有规定外，工程师应按照合同通过计量来核实确定已完成的工程量和价款，承包人应得到该价款扣除保留金后的金额。当工程师要对已完工的工程量进行计量时，应适时地通知承包人参加。</w:t>
      </w:r>
    </w:p>
    <w:p w14:paraId="7FB3E4E5">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12.3.4 总价合同的计量</w:t>
      </w:r>
    </w:p>
    <w:p w14:paraId="596F3FF8">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关于总价合同计量的约定：</w:t>
      </w:r>
      <w:r>
        <w:rPr>
          <w:rFonts w:hint="eastAsia" w:ascii="宋体" w:hAnsi="宋体" w:eastAsia="宋体" w:cs="宋体"/>
          <w:color w:val="auto"/>
          <w:szCs w:val="21"/>
          <w:highlight w:val="none"/>
          <w:u w:val="single"/>
        </w:rPr>
        <w:t xml:space="preserve">      /       </w:t>
      </w:r>
      <w:r>
        <w:rPr>
          <w:rFonts w:hint="eastAsia" w:ascii="宋体" w:hAnsi="宋体" w:eastAsia="宋体" w:cs="宋体"/>
          <w:color w:val="auto"/>
          <w:szCs w:val="21"/>
          <w:highlight w:val="none"/>
        </w:rPr>
        <w:t>。</w:t>
      </w:r>
    </w:p>
    <w:p w14:paraId="083E9E0B">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12.3.5总价合同采用支付分解表计量支付的，是否适用第</w:t>
      </w:r>
      <w:r>
        <w:rPr>
          <w:rFonts w:hint="eastAsia" w:ascii="宋体" w:hAnsi="宋体" w:eastAsia="宋体" w:cs="宋体"/>
          <w:color w:val="auto"/>
          <w:kern w:val="0"/>
          <w:szCs w:val="21"/>
          <w:highlight w:val="none"/>
        </w:rPr>
        <w:t xml:space="preserve">12.3.4 </w:t>
      </w:r>
      <w:r>
        <w:rPr>
          <w:rFonts w:hint="eastAsia" w:ascii="宋体" w:hAnsi="宋体" w:eastAsia="宋体" w:cs="宋体"/>
          <w:color w:val="auto"/>
          <w:szCs w:val="21"/>
          <w:highlight w:val="none"/>
        </w:rPr>
        <w:t>项</w:t>
      </w:r>
      <w:r>
        <w:rPr>
          <w:rFonts w:hint="eastAsia" w:ascii="宋体" w:hAnsi="宋体" w:eastAsia="宋体" w:cs="宋体"/>
          <w:color w:val="auto"/>
          <w:kern w:val="0"/>
          <w:szCs w:val="21"/>
          <w:highlight w:val="none"/>
        </w:rPr>
        <w:t>〔总价合同的计量〕</w:t>
      </w:r>
      <w:r>
        <w:rPr>
          <w:rFonts w:hint="eastAsia" w:ascii="宋体" w:hAnsi="宋体" w:eastAsia="宋体" w:cs="宋体"/>
          <w:color w:val="auto"/>
          <w:szCs w:val="21"/>
          <w:highlight w:val="none"/>
        </w:rPr>
        <w:t>约定进行计量：</w:t>
      </w:r>
      <w:r>
        <w:rPr>
          <w:rFonts w:hint="eastAsia" w:ascii="宋体" w:hAnsi="宋体" w:eastAsia="宋体" w:cs="宋体"/>
          <w:color w:val="auto"/>
          <w:szCs w:val="21"/>
          <w:highlight w:val="none"/>
          <w:u w:val="single"/>
        </w:rPr>
        <w:t xml:space="preserve">     /      </w:t>
      </w:r>
      <w:r>
        <w:rPr>
          <w:rFonts w:hint="eastAsia" w:ascii="宋体" w:hAnsi="宋体" w:eastAsia="宋体" w:cs="宋体"/>
          <w:color w:val="auto"/>
          <w:szCs w:val="21"/>
          <w:highlight w:val="none"/>
        </w:rPr>
        <w:t>。</w:t>
      </w:r>
    </w:p>
    <w:p w14:paraId="5CDF6C4A">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12.3.6 其他价格形式合同的计量</w:t>
      </w:r>
    </w:p>
    <w:p w14:paraId="49F6B48F">
      <w:pPr>
        <w:spacing w:line="400" w:lineRule="exact"/>
        <w:ind w:left="0" w:firstLine="420" w:firstLineChars="200"/>
        <w:jc w:val="left"/>
        <w:rPr>
          <w:rFonts w:ascii="宋体" w:hAnsi="宋体" w:eastAsia="宋体" w:cs="宋体"/>
          <w:color w:val="auto"/>
          <w:szCs w:val="21"/>
          <w:highlight w:val="none"/>
          <w:u w:val="single"/>
        </w:rPr>
      </w:pPr>
      <w:r>
        <w:rPr>
          <w:rFonts w:hint="eastAsia" w:ascii="宋体" w:hAnsi="宋体" w:eastAsia="宋体" w:cs="宋体"/>
          <w:color w:val="auto"/>
          <w:szCs w:val="21"/>
          <w:highlight w:val="none"/>
        </w:rPr>
        <w:t>其他价格形式的计量方式和程序：</w:t>
      </w:r>
      <w:r>
        <w:rPr>
          <w:rFonts w:hint="eastAsia" w:ascii="宋体" w:hAnsi="宋体" w:eastAsia="宋体" w:cs="宋体"/>
          <w:color w:val="auto"/>
          <w:szCs w:val="21"/>
          <w:highlight w:val="none"/>
          <w:u w:val="single"/>
        </w:rPr>
        <w:t xml:space="preserve">       /              </w:t>
      </w:r>
      <w:r>
        <w:rPr>
          <w:rFonts w:hint="eastAsia" w:ascii="宋体" w:hAnsi="宋体" w:eastAsia="宋体" w:cs="宋体"/>
          <w:color w:val="auto"/>
          <w:szCs w:val="21"/>
          <w:highlight w:val="none"/>
        </w:rPr>
        <w:t>。</w:t>
      </w:r>
    </w:p>
    <w:p w14:paraId="3559A5A7">
      <w:pPr>
        <w:spacing w:line="400" w:lineRule="exact"/>
        <w:ind w:left="0" w:firstLine="422" w:firstLineChars="200"/>
        <w:outlineLvl w:val="0"/>
        <w:rPr>
          <w:rFonts w:ascii="宋体" w:hAnsi="宋体" w:eastAsia="宋体" w:cs="宋体"/>
          <w:b/>
          <w:bCs/>
          <w:color w:val="auto"/>
          <w:kern w:val="44"/>
          <w:szCs w:val="21"/>
          <w:highlight w:val="none"/>
        </w:rPr>
      </w:pPr>
      <w:bookmarkStart w:id="446" w:name="_Toc373478399"/>
      <w:bookmarkStart w:id="447" w:name="_Toc389065317"/>
      <w:bookmarkStart w:id="448" w:name="_Toc373227752"/>
      <w:bookmarkStart w:id="449" w:name="_Toc14637"/>
      <w:bookmarkStart w:id="450" w:name="_Toc11408"/>
      <w:bookmarkStart w:id="451" w:name="_Toc18338"/>
      <w:bookmarkStart w:id="452" w:name="_Toc3394"/>
      <w:r>
        <w:rPr>
          <w:rFonts w:hint="eastAsia" w:ascii="宋体" w:hAnsi="宋体" w:eastAsia="宋体" w:cs="宋体"/>
          <w:b/>
          <w:bCs/>
          <w:color w:val="auto"/>
          <w:kern w:val="44"/>
          <w:szCs w:val="21"/>
          <w:highlight w:val="none"/>
        </w:rPr>
        <w:t>12.4 工程进度款支付</w:t>
      </w:r>
      <w:bookmarkEnd w:id="446"/>
      <w:bookmarkEnd w:id="447"/>
      <w:bookmarkEnd w:id="448"/>
      <w:r>
        <w:rPr>
          <w:rFonts w:hint="eastAsia" w:ascii="宋体" w:hAnsi="宋体" w:eastAsia="宋体" w:cs="宋体"/>
          <w:color w:val="auto"/>
          <w:szCs w:val="21"/>
          <w:highlight w:val="none"/>
          <w:u w:val="single"/>
        </w:rPr>
        <w:t>（如有补充协议按补充协议约定）</w:t>
      </w:r>
      <w:bookmarkEnd w:id="449"/>
      <w:bookmarkEnd w:id="450"/>
      <w:bookmarkEnd w:id="451"/>
      <w:bookmarkEnd w:id="452"/>
    </w:p>
    <w:p w14:paraId="4494441E">
      <w:pPr>
        <w:spacing w:line="400" w:lineRule="exact"/>
        <w:ind w:left="0" w:firstLine="420" w:firstLineChars="200"/>
        <w:jc w:val="left"/>
        <w:rPr>
          <w:rFonts w:ascii="宋体" w:hAnsi="宋体" w:eastAsia="宋体" w:cs="宋体"/>
          <w:color w:val="auto"/>
          <w:szCs w:val="21"/>
          <w:highlight w:val="none"/>
        </w:rPr>
      </w:pPr>
      <w:bookmarkStart w:id="453" w:name="_Toc296891039"/>
      <w:bookmarkStart w:id="454" w:name="_Toc292559416"/>
      <w:bookmarkStart w:id="455" w:name="_Toc300935006"/>
      <w:bookmarkStart w:id="456" w:name="_Toc297123556"/>
      <w:bookmarkStart w:id="457" w:name="_Toc296944550"/>
      <w:bookmarkStart w:id="458" w:name="_Toc296503211"/>
      <w:bookmarkStart w:id="459" w:name="_Toc297216215"/>
      <w:bookmarkStart w:id="460" w:name="_Toc296346712"/>
      <w:bookmarkStart w:id="461" w:name="_Toc297048397"/>
      <w:bookmarkStart w:id="462" w:name="_Toc297120511"/>
      <w:bookmarkStart w:id="463" w:name="_Toc296891251"/>
      <w:bookmarkStart w:id="464" w:name="_Toc303539163"/>
      <w:bookmarkStart w:id="465" w:name="_Toc296347210"/>
      <w:bookmarkStart w:id="466" w:name="_Toc292559921"/>
      <w:r>
        <w:rPr>
          <w:rFonts w:hint="eastAsia" w:ascii="宋体" w:hAnsi="宋体" w:eastAsia="宋体" w:cs="宋体"/>
          <w:color w:val="auto"/>
          <w:szCs w:val="21"/>
          <w:highlight w:val="none"/>
        </w:rPr>
        <w:t>12.4.1 付款周期</w:t>
      </w:r>
    </w:p>
    <w:p w14:paraId="502F09C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20" w:firstLineChars="200"/>
        <w:jc w:val="left"/>
        <w:rPr>
          <w:rFonts w:hint="eastAsia" w:ascii="宋体" w:hAnsi="宋体" w:eastAsia="宋体" w:cs="宋体"/>
          <w:bCs/>
          <w:color w:val="auto"/>
          <w:szCs w:val="21"/>
          <w:highlight w:val="none"/>
          <w:u w:val="single"/>
        </w:rPr>
      </w:pPr>
      <w:r>
        <w:rPr>
          <w:rFonts w:hint="eastAsia" w:ascii="宋体" w:hAnsi="宋体" w:eastAsia="宋体" w:cs="宋体"/>
          <w:color w:val="auto"/>
          <w:szCs w:val="21"/>
          <w:highlight w:val="none"/>
        </w:rPr>
        <w:t>关于付款周期的约定：</w:t>
      </w:r>
      <w:r>
        <w:rPr>
          <w:rFonts w:hint="eastAsia" w:ascii="宋体" w:hAnsi="宋体" w:eastAsia="宋体" w:cs="宋体"/>
          <w:bCs/>
          <w:color w:val="auto"/>
          <w:szCs w:val="21"/>
          <w:highlight w:val="none"/>
          <w:u w:val="single"/>
        </w:rPr>
        <w:t>工程完工经发包人验收合格，在收到承包人根据当期应付工程款开具的相应金额的增值税专用发票</w:t>
      </w:r>
      <w:r>
        <w:rPr>
          <w:rFonts w:ascii="宋体" w:hAnsi="宋体" w:eastAsia="宋体" w:cs="宋体"/>
          <w:color w:val="auto"/>
          <w:kern w:val="0"/>
          <w:sz w:val="21"/>
          <w:szCs w:val="21"/>
          <w:highlight w:val="none"/>
          <w:u w:val="single"/>
          <w:lang w:val="en-US" w:eastAsia="zh-CN" w:bidi="ar"/>
        </w:rPr>
        <w:t>后</w:t>
      </w:r>
      <w:r>
        <w:rPr>
          <w:rFonts w:hint="eastAsia" w:ascii="宋体" w:hAnsi="宋体" w:eastAsia="宋体" w:cs="宋体"/>
          <w:bCs/>
          <w:color w:val="auto"/>
          <w:sz w:val="21"/>
          <w:szCs w:val="21"/>
          <w:highlight w:val="none"/>
          <w:u w:val="single"/>
          <w:lang w:val="en-US" w:eastAsia="zh-CN"/>
        </w:rPr>
        <w:t>的</w:t>
      </w:r>
      <w:r>
        <w:rPr>
          <w:rFonts w:hint="eastAsia" w:ascii="宋体" w:hAnsi="宋体" w:cs="宋体"/>
          <w:bCs/>
          <w:color w:val="auto"/>
          <w:sz w:val="21"/>
          <w:szCs w:val="21"/>
          <w:highlight w:val="none"/>
          <w:u w:val="single"/>
          <w:lang w:val="en-US" w:eastAsia="zh-CN"/>
        </w:rPr>
        <w:t>1</w:t>
      </w:r>
      <w:r>
        <w:rPr>
          <w:rFonts w:hint="eastAsia" w:ascii="宋体" w:hAnsi="宋体" w:eastAsia="宋体" w:cs="宋体"/>
          <w:bCs/>
          <w:color w:val="auto"/>
          <w:sz w:val="21"/>
          <w:szCs w:val="21"/>
          <w:highlight w:val="none"/>
          <w:u w:val="single"/>
        </w:rPr>
        <w:t>0</w:t>
      </w:r>
      <w:r>
        <w:rPr>
          <w:rFonts w:hint="eastAsia" w:ascii="宋体" w:hAnsi="宋体" w:eastAsia="宋体" w:cs="宋体"/>
          <w:bCs/>
          <w:color w:val="auto"/>
          <w:szCs w:val="21"/>
          <w:highlight w:val="none"/>
          <w:u w:val="single"/>
        </w:rPr>
        <w:t>个工作日内支付至签约合同价扣除材料和工程设备暂估价、专业工程暂估价、安全生产责任保险费暂估价、暂列金额的80％。结算经发包人或发包人指定的审核机构审定且经发包人复核后，工程款支付至结算总价的97%，预留结算总价的3％作为质量保修金，待缺陷责任期满后按相关约定返还（无息）。本工程款项须由承包人根据当期应付工程款开具相应金额的增值税专用发票，发包人在收到</w:t>
      </w:r>
      <w:r>
        <w:rPr>
          <w:rFonts w:hint="eastAsia" w:ascii="宋体" w:hAnsi="宋体" w:eastAsia="宋体" w:cs="宋体"/>
          <w:bCs/>
          <w:color w:val="auto"/>
          <w:szCs w:val="21"/>
          <w:highlight w:val="none"/>
          <w:u w:val="single"/>
          <w:lang w:val="en-US" w:eastAsia="zh-CN"/>
        </w:rPr>
        <w:t>完整资料</w:t>
      </w:r>
      <w:r>
        <w:rPr>
          <w:rFonts w:hint="eastAsia" w:ascii="宋体" w:hAnsi="宋体" w:eastAsia="宋体" w:cs="宋体"/>
          <w:bCs/>
          <w:color w:val="auto"/>
          <w:szCs w:val="21"/>
          <w:highlight w:val="none"/>
          <w:u w:val="single"/>
        </w:rPr>
        <w:t>后支付相应的工程款。</w:t>
      </w:r>
    </w:p>
    <w:p w14:paraId="14CDE212">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12.4.2 进度付款申请单的编制</w:t>
      </w:r>
    </w:p>
    <w:p w14:paraId="083E9763">
      <w:pPr>
        <w:spacing w:line="400" w:lineRule="exact"/>
        <w:ind w:left="0" w:firstLine="420" w:firstLineChars="200"/>
        <w:jc w:val="left"/>
        <w:rPr>
          <w:rFonts w:ascii="宋体" w:hAnsi="宋体" w:eastAsia="宋体" w:cs="宋体"/>
          <w:color w:val="auto"/>
          <w:szCs w:val="21"/>
          <w:highlight w:val="none"/>
          <w:u w:val="single"/>
        </w:rPr>
      </w:pPr>
      <w:r>
        <w:rPr>
          <w:rFonts w:hint="eastAsia" w:ascii="宋体" w:hAnsi="宋体" w:eastAsia="宋体" w:cs="宋体"/>
          <w:color w:val="auto"/>
          <w:szCs w:val="21"/>
          <w:highlight w:val="none"/>
        </w:rPr>
        <w:t>关于进度付款申请单编制的约定：</w:t>
      </w:r>
      <w:r>
        <w:rPr>
          <w:rFonts w:hint="eastAsia" w:ascii="宋体" w:hAnsi="宋体" w:eastAsia="宋体" w:cs="宋体"/>
          <w:bCs/>
          <w:color w:val="auto"/>
          <w:szCs w:val="21"/>
          <w:highlight w:val="none"/>
          <w:u w:val="single"/>
        </w:rPr>
        <w:t>按发包人批准格式填写的工程款支付申请表（一式两份）及其附件（一式两份），附件为计量计算资料和质量保证资料</w:t>
      </w:r>
      <w:r>
        <w:rPr>
          <w:rFonts w:hint="eastAsia" w:ascii="宋体" w:hAnsi="宋体" w:eastAsia="宋体" w:cs="宋体"/>
          <w:color w:val="auto"/>
          <w:szCs w:val="21"/>
          <w:highlight w:val="none"/>
        </w:rPr>
        <w:t>。</w:t>
      </w:r>
    </w:p>
    <w:p w14:paraId="5D88BBA1">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1</w:t>
      </w:r>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r>
        <w:rPr>
          <w:rFonts w:hint="eastAsia" w:ascii="宋体" w:hAnsi="宋体" w:eastAsia="宋体" w:cs="宋体"/>
          <w:color w:val="auto"/>
          <w:szCs w:val="21"/>
          <w:highlight w:val="none"/>
        </w:rPr>
        <w:t>2.4.3 进度付款申请单的提交</w:t>
      </w:r>
    </w:p>
    <w:p w14:paraId="7AB3AE47">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（1）单价合同进度付款申请单提交的约定：</w:t>
      </w:r>
    </w:p>
    <w:p w14:paraId="1F17692D">
      <w:pPr>
        <w:spacing w:line="400" w:lineRule="exact"/>
        <w:ind w:left="0" w:firstLine="420" w:firstLineChars="200"/>
        <w:jc w:val="left"/>
        <w:rPr>
          <w:rFonts w:ascii="宋体" w:hAnsi="宋体" w:eastAsia="宋体" w:cs="宋体"/>
          <w:b/>
          <w:bCs/>
          <w:color w:val="auto"/>
          <w:szCs w:val="21"/>
          <w:highlight w:val="none"/>
          <w:u w:val="single"/>
        </w:rPr>
      </w:pPr>
      <w:r>
        <w:rPr>
          <w:rFonts w:hint="eastAsia" w:ascii="宋体" w:hAnsi="宋体" w:eastAsia="宋体" w:cs="宋体"/>
          <w:bCs/>
          <w:color w:val="auto"/>
          <w:szCs w:val="21"/>
          <w:highlight w:val="none"/>
          <w:u w:val="single"/>
        </w:rPr>
        <w:t>承包人应在每个节点完成后向总监理工程师□/发包人</w:t>
      </w:r>
      <w:r>
        <w:rPr>
          <w:rFonts w:hint="eastAsia" w:ascii="宋体" w:hAnsi="宋体" w:eastAsia="宋体" w:cs="宋体"/>
          <w:b/>
          <w:color w:val="auto"/>
          <w:kern w:val="0"/>
          <w:szCs w:val="21"/>
          <w:highlight w:val="none"/>
          <w:u w:val="single"/>
        </w:rPr>
        <w:sym w:font="Wingdings 2" w:char="0052"/>
      </w:r>
      <w:r>
        <w:rPr>
          <w:rFonts w:hint="eastAsia" w:ascii="宋体" w:hAnsi="宋体" w:eastAsia="宋体" w:cs="宋体"/>
          <w:bCs/>
          <w:color w:val="auto"/>
          <w:szCs w:val="21"/>
          <w:highlight w:val="none"/>
          <w:u w:val="single"/>
        </w:rPr>
        <w:t>提交由其项目经理签署的按发包人要求的格式填写的工程款支付申请表</w:t>
      </w:r>
      <w:r>
        <w:rPr>
          <w:rFonts w:hint="eastAsia" w:ascii="宋体" w:hAnsi="宋体" w:eastAsia="宋体" w:cs="宋体"/>
          <w:color w:val="auto"/>
          <w:szCs w:val="21"/>
          <w:highlight w:val="none"/>
        </w:rPr>
        <w:t>。</w:t>
      </w:r>
    </w:p>
    <w:p w14:paraId="5B7AAA31">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（2）总价合同进度付款申请单提交的约定：</w:t>
      </w:r>
      <w:r>
        <w:rPr>
          <w:rFonts w:hint="eastAsia" w:ascii="宋体" w:hAnsi="宋体" w:eastAsia="宋体" w:cs="宋体"/>
          <w:color w:val="auto"/>
          <w:szCs w:val="21"/>
          <w:highlight w:val="none"/>
          <w:u w:val="single"/>
        </w:rPr>
        <w:t xml:space="preserve">      /     </w:t>
      </w:r>
      <w:r>
        <w:rPr>
          <w:rFonts w:hint="eastAsia" w:ascii="宋体" w:hAnsi="宋体" w:eastAsia="宋体" w:cs="宋体"/>
          <w:color w:val="auto"/>
          <w:szCs w:val="21"/>
          <w:highlight w:val="none"/>
        </w:rPr>
        <w:t>。</w:t>
      </w:r>
    </w:p>
    <w:p w14:paraId="5F7D67DC">
      <w:pPr>
        <w:spacing w:line="400" w:lineRule="exact"/>
        <w:ind w:left="0" w:firstLine="420" w:firstLineChars="200"/>
        <w:jc w:val="left"/>
        <w:rPr>
          <w:rFonts w:ascii="宋体" w:hAnsi="宋体" w:eastAsia="宋体" w:cs="宋体"/>
          <w:color w:val="auto"/>
          <w:szCs w:val="21"/>
          <w:highlight w:val="none"/>
          <w:u w:val="single"/>
        </w:rPr>
      </w:pPr>
      <w:r>
        <w:rPr>
          <w:rFonts w:hint="eastAsia" w:ascii="宋体" w:hAnsi="宋体" w:eastAsia="宋体" w:cs="宋体"/>
          <w:color w:val="auto"/>
          <w:szCs w:val="21"/>
          <w:highlight w:val="none"/>
        </w:rPr>
        <w:t>（3）其他价格形式合同进度付款申请单提交的约定：</w:t>
      </w:r>
      <w:r>
        <w:rPr>
          <w:rFonts w:hint="eastAsia" w:ascii="宋体" w:hAnsi="宋体" w:eastAsia="宋体" w:cs="宋体"/>
          <w:color w:val="auto"/>
          <w:szCs w:val="21"/>
          <w:highlight w:val="none"/>
          <w:u w:val="single"/>
        </w:rPr>
        <w:t xml:space="preserve">     /    </w:t>
      </w:r>
      <w:r>
        <w:rPr>
          <w:rFonts w:hint="eastAsia" w:ascii="宋体" w:hAnsi="宋体" w:eastAsia="宋体" w:cs="宋体"/>
          <w:color w:val="auto"/>
          <w:szCs w:val="21"/>
          <w:highlight w:val="none"/>
        </w:rPr>
        <w:t>。</w:t>
      </w:r>
    </w:p>
    <w:p w14:paraId="7527787E">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12.4.4 进度款审核和支付</w:t>
      </w:r>
    </w:p>
    <w:p w14:paraId="32FBE8C7">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（1）工程有监理人：</w:t>
      </w:r>
    </w:p>
    <w:p w14:paraId="0FFCA7E9">
      <w:pPr>
        <w:spacing w:line="400" w:lineRule="exact"/>
        <w:ind w:left="0" w:firstLine="420" w:firstLineChars="200"/>
        <w:jc w:val="left"/>
        <w:rPr>
          <w:rFonts w:ascii="宋体" w:hAnsi="宋体" w:eastAsia="宋体" w:cs="宋体"/>
          <w:color w:val="auto"/>
          <w:szCs w:val="21"/>
          <w:highlight w:val="none"/>
          <w:u w:val="single"/>
        </w:rPr>
      </w:pPr>
      <w:r>
        <w:rPr>
          <w:rFonts w:hint="eastAsia" w:ascii="宋体" w:hAnsi="宋体" w:eastAsia="宋体" w:cs="宋体"/>
          <w:color w:val="auto"/>
          <w:szCs w:val="21"/>
          <w:highlight w:val="none"/>
        </w:rPr>
        <w:t>监理人审查并报送发包人的期限：</w:t>
      </w:r>
      <w:r>
        <w:rPr>
          <w:rFonts w:hint="eastAsia" w:ascii="宋体" w:hAnsi="宋体" w:eastAsia="宋体" w:cs="宋体"/>
          <w:bCs/>
          <w:color w:val="auto"/>
          <w:szCs w:val="21"/>
          <w:highlight w:val="none"/>
          <w:u w:val="single"/>
        </w:rPr>
        <w:t>在收到承包人支付申请之日起 3 天内，总监理工程师完成计量审核</w:t>
      </w:r>
      <w:r>
        <w:rPr>
          <w:rFonts w:hint="eastAsia" w:ascii="宋体" w:hAnsi="宋体" w:eastAsia="宋体" w:cs="宋体"/>
          <w:color w:val="auto"/>
          <w:szCs w:val="21"/>
          <w:highlight w:val="none"/>
        </w:rPr>
        <w:t>。</w:t>
      </w:r>
    </w:p>
    <w:p w14:paraId="0B3B4ED4">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发包人完成审批并签发进度款支付证书的期限：</w:t>
      </w:r>
      <w:r>
        <w:rPr>
          <w:rFonts w:hint="eastAsia" w:ascii="宋体" w:hAnsi="宋体" w:eastAsia="宋体" w:cs="宋体"/>
          <w:bCs/>
          <w:color w:val="auto"/>
          <w:szCs w:val="21"/>
          <w:highlight w:val="none"/>
          <w:u w:val="single"/>
        </w:rPr>
        <w:t>发包人应在收到总监理工程师签署的工程款支付证书之日起 5天内完成计量审核</w:t>
      </w:r>
      <w:r>
        <w:rPr>
          <w:rFonts w:hint="eastAsia" w:ascii="宋体" w:hAnsi="宋体" w:eastAsia="宋体" w:cs="宋体"/>
          <w:color w:val="auto"/>
          <w:szCs w:val="21"/>
          <w:highlight w:val="none"/>
        </w:rPr>
        <w:t>。</w:t>
      </w:r>
    </w:p>
    <w:p w14:paraId="5305B6F3">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（2）工程无监理人：</w:t>
      </w:r>
    </w:p>
    <w:p w14:paraId="0D0EDF8A">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发包人完成审批并签发进度款支付证书的期限：</w:t>
      </w:r>
      <w:r>
        <w:rPr>
          <w:rFonts w:hint="eastAsia" w:ascii="宋体" w:hAnsi="宋体" w:eastAsia="宋体" w:cs="宋体"/>
          <w:bCs/>
          <w:color w:val="auto"/>
          <w:szCs w:val="21"/>
          <w:highlight w:val="none"/>
          <w:u w:val="single"/>
        </w:rPr>
        <w:t>发包人在收到承包人支付申请之日起5天内完成计量审核并签署工程款支付证书</w:t>
      </w:r>
      <w:r>
        <w:rPr>
          <w:rFonts w:hint="eastAsia" w:ascii="宋体" w:hAnsi="宋体" w:eastAsia="宋体" w:cs="宋体"/>
          <w:color w:val="auto"/>
          <w:szCs w:val="21"/>
          <w:highlight w:val="none"/>
        </w:rPr>
        <w:t>。</w:t>
      </w:r>
    </w:p>
    <w:p w14:paraId="6DD432C8">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（3）发包人支付进度款的期限：</w:t>
      </w:r>
      <w:r>
        <w:rPr>
          <w:rFonts w:hint="eastAsia" w:ascii="宋体" w:hAnsi="宋体" w:eastAsia="宋体" w:cs="宋体"/>
          <w:bCs/>
          <w:color w:val="auto"/>
          <w:szCs w:val="21"/>
          <w:highlight w:val="none"/>
          <w:u w:val="single"/>
        </w:rPr>
        <w:t>计量审核完成之日起7</w:t>
      </w:r>
      <w:r>
        <w:rPr>
          <w:rFonts w:hint="eastAsia" w:ascii="宋体" w:hAnsi="宋体" w:eastAsia="宋体" w:cs="宋体"/>
          <w:color w:val="auto"/>
          <w:szCs w:val="21"/>
          <w:highlight w:val="none"/>
          <w:u w:val="single"/>
        </w:rPr>
        <w:t>天内</w:t>
      </w:r>
      <w:r>
        <w:rPr>
          <w:rFonts w:hint="eastAsia" w:ascii="宋体" w:hAnsi="宋体" w:eastAsia="宋体" w:cs="宋体"/>
          <w:color w:val="auto"/>
          <w:szCs w:val="21"/>
          <w:highlight w:val="none"/>
        </w:rPr>
        <w:t>。</w:t>
      </w:r>
    </w:p>
    <w:p w14:paraId="5C7533B9">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发包人逾期支付进度款的违约金的计算方式：</w:t>
      </w:r>
      <w:r>
        <w:rPr>
          <w:rFonts w:hint="eastAsia" w:ascii="宋体" w:hAnsi="宋体" w:eastAsia="宋体" w:cs="宋体"/>
          <w:color w:val="auto"/>
          <w:szCs w:val="21"/>
          <w:highlight w:val="none"/>
          <w:u w:val="single"/>
        </w:rPr>
        <w:t>另行协商</w:t>
      </w:r>
      <w:r>
        <w:rPr>
          <w:rFonts w:hint="eastAsia" w:ascii="宋体" w:hAnsi="宋体" w:eastAsia="宋体" w:cs="宋体"/>
          <w:color w:val="auto"/>
          <w:szCs w:val="21"/>
          <w:highlight w:val="none"/>
        </w:rPr>
        <w:t>。</w:t>
      </w:r>
    </w:p>
    <w:p w14:paraId="729F7BB8">
      <w:pPr>
        <w:spacing w:line="400" w:lineRule="exact"/>
        <w:ind w:left="0" w:firstLine="420" w:firstLineChars="200"/>
        <w:jc w:val="left"/>
        <w:rPr>
          <w:rFonts w:ascii="宋体" w:hAnsi="宋体" w:eastAsia="宋体" w:cs="宋体"/>
          <w:color w:val="auto"/>
          <w:szCs w:val="21"/>
          <w:highlight w:val="none"/>
          <w:u w:val="single"/>
        </w:rPr>
      </w:pPr>
      <w:r>
        <w:rPr>
          <w:rFonts w:hint="eastAsia" w:ascii="宋体" w:hAnsi="宋体" w:eastAsia="宋体" w:cs="宋体"/>
          <w:color w:val="auto"/>
          <w:szCs w:val="21"/>
          <w:highlight w:val="none"/>
        </w:rPr>
        <w:t>进度款支付方式：</w:t>
      </w:r>
      <w:r>
        <w:rPr>
          <w:rFonts w:hint="eastAsia" w:ascii="宋体" w:hAnsi="宋体" w:eastAsia="宋体" w:cs="宋体"/>
          <w:color w:val="auto"/>
          <w:szCs w:val="21"/>
          <w:highlight w:val="none"/>
          <w:u w:val="single"/>
        </w:rPr>
        <w:t>银行转账</w:t>
      </w:r>
      <w:r>
        <w:rPr>
          <w:rFonts w:hint="eastAsia" w:ascii="宋体" w:hAnsi="宋体" w:eastAsia="宋体" w:cs="宋体"/>
          <w:color w:val="auto"/>
          <w:szCs w:val="21"/>
          <w:highlight w:val="none"/>
        </w:rPr>
        <w:t>。</w:t>
      </w:r>
    </w:p>
    <w:p w14:paraId="06589DCF">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12.4.6 支付分解表的编制</w:t>
      </w:r>
    </w:p>
    <w:p w14:paraId="362CF7DF">
      <w:pPr>
        <w:spacing w:line="400" w:lineRule="exact"/>
        <w:ind w:left="0" w:firstLine="420" w:firstLineChars="200"/>
        <w:jc w:val="left"/>
        <w:rPr>
          <w:rFonts w:ascii="宋体" w:hAnsi="宋体" w:eastAsia="宋体" w:cs="宋体"/>
          <w:color w:val="auto"/>
          <w:szCs w:val="21"/>
          <w:highlight w:val="none"/>
          <w:u w:val="single"/>
        </w:rPr>
      </w:pPr>
      <w:r>
        <w:rPr>
          <w:rFonts w:hint="eastAsia" w:ascii="宋体" w:hAnsi="宋体" w:eastAsia="宋体" w:cs="宋体"/>
          <w:color w:val="auto"/>
          <w:szCs w:val="21"/>
          <w:highlight w:val="none"/>
        </w:rPr>
        <w:t>2、总价合同支付分解表的编制与审批：</w:t>
      </w:r>
      <w:r>
        <w:rPr>
          <w:rFonts w:hint="eastAsia" w:ascii="宋体" w:hAnsi="宋体" w:eastAsia="宋体" w:cs="宋体"/>
          <w:color w:val="auto"/>
          <w:szCs w:val="21"/>
          <w:highlight w:val="none"/>
          <w:u w:val="single"/>
        </w:rPr>
        <w:t xml:space="preserve">      /     </w:t>
      </w:r>
      <w:r>
        <w:rPr>
          <w:rFonts w:hint="eastAsia" w:ascii="宋体" w:hAnsi="宋体" w:eastAsia="宋体" w:cs="宋体"/>
          <w:color w:val="auto"/>
          <w:szCs w:val="21"/>
          <w:highlight w:val="none"/>
        </w:rPr>
        <w:t>。</w:t>
      </w:r>
    </w:p>
    <w:p w14:paraId="2460ECF0">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3、单价合同的总价项目支付分解表的编制与审批：</w:t>
      </w:r>
      <w:r>
        <w:rPr>
          <w:rFonts w:hint="eastAsia" w:ascii="宋体" w:hAnsi="宋体" w:eastAsia="宋体" w:cs="宋体"/>
          <w:color w:val="auto"/>
          <w:szCs w:val="21"/>
          <w:highlight w:val="none"/>
          <w:u w:val="single"/>
        </w:rPr>
        <w:t xml:space="preserve">    /   </w:t>
      </w:r>
      <w:r>
        <w:rPr>
          <w:rFonts w:hint="eastAsia" w:ascii="宋体" w:hAnsi="宋体" w:eastAsia="宋体" w:cs="宋体"/>
          <w:color w:val="auto"/>
          <w:szCs w:val="21"/>
          <w:highlight w:val="none"/>
        </w:rPr>
        <w:t>。</w:t>
      </w:r>
      <w:bookmarkEnd w:id="226"/>
    </w:p>
    <w:p w14:paraId="4AAE0DC7">
      <w:pPr>
        <w:keepNext/>
        <w:keepLines/>
        <w:spacing w:line="400" w:lineRule="exact"/>
        <w:ind w:left="0" w:firstLine="422" w:firstLineChars="200"/>
        <w:outlineLvl w:val="3"/>
        <w:rPr>
          <w:rFonts w:ascii="宋体" w:hAnsi="宋体" w:eastAsia="宋体" w:cs="宋体"/>
          <w:b/>
          <w:bCs/>
          <w:color w:val="auto"/>
          <w:szCs w:val="21"/>
          <w:highlight w:val="none"/>
        </w:rPr>
      </w:pPr>
      <w:r>
        <w:rPr>
          <w:rFonts w:hint="eastAsia" w:ascii="宋体" w:hAnsi="宋体" w:eastAsia="宋体" w:cs="宋体"/>
          <w:b/>
          <w:bCs/>
          <w:color w:val="auto"/>
          <w:szCs w:val="21"/>
          <w:highlight w:val="none"/>
        </w:rPr>
        <w:t>13. 验收和工程试车</w:t>
      </w:r>
    </w:p>
    <w:p w14:paraId="658D31BF">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13.1 分部分项工程验收</w:t>
      </w:r>
    </w:p>
    <w:p w14:paraId="779F9148">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13.1.2监理人不能按时进行验收时，应提前</w:t>
      </w:r>
      <w:r>
        <w:rPr>
          <w:rFonts w:hint="eastAsia" w:ascii="宋体" w:hAnsi="宋体" w:eastAsia="宋体" w:cs="宋体"/>
          <w:color w:val="auto"/>
          <w:szCs w:val="21"/>
          <w:highlight w:val="none"/>
          <w:u w:val="single"/>
        </w:rPr>
        <w:t xml:space="preserve">  24   </w:t>
      </w:r>
      <w:r>
        <w:rPr>
          <w:rFonts w:hint="eastAsia" w:ascii="宋体" w:hAnsi="宋体" w:eastAsia="宋体" w:cs="宋体"/>
          <w:color w:val="auto"/>
          <w:szCs w:val="21"/>
          <w:highlight w:val="none"/>
        </w:rPr>
        <w:t>小时提交书面延期要求。</w:t>
      </w:r>
    </w:p>
    <w:p w14:paraId="05849564">
      <w:pPr>
        <w:spacing w:line="400" w:lineRule="exact"/>
        <w:ind w:left="0" w:firstLine="420" w:firstLineChars="200"/>
        <w:jc w:val="left"/>
        <w:rPr>
          <w:rFonts w:ascii="宋体" w:hAnsi="宋体" w:eastAsia="宋体" w:cs="宋体"/>
          <w:b/>
          <w:color w:val="auto"/>
          <w:szCs w:val="21"/>
          <w:highlight w:val="none"/>
        </w:rPr>
      </w:pPr>
      <w:r>
        <w:rPr>
          <w:rFonts w:hint="eastAsia" w:ascii="宋体" w:hAnsi="宋体" w:eastAsia="宋体" w:cs="宋体"/>
          <w:color w:val="auto"/>
          <w:szCs w:val="21"/>
          <w:highlight w:val="none"/>
        </w:rPr>
        <w:t>关于延期最长不得超过：</w:t>
      </w:r>
      <w:r>
        <w:rPr>
          <w:rFonts w:hint="eastAsia" w:ascii="宋体" w:hAnsi="宋体" w:eastAsia="宋体" w:cs="宋体"/>
          <w:color w:val="auto"/>
          <w:szCs w:val="21"/>
          <w:highlight w:val="none"/>
          <w:u w:val="single"/>
        </w:rPr>
        <w:t xml:space="preserve">   48   </w:t>
      </w:r>
      <w:r>
        <w:rPr>
          <w:rFonts w:hint="eastAsia" w:ascii="宋体" w:hAnsi="宋体" w:eastAsia="宋体" w:cs="宋体"/>
          <w:color w:val="auto"/>
          <w:szCs w:val="21"/>
          <w:highlight w:val="none"/>
        </w:rPr>
        <w:t>小时。</w:t>
      </w:r>
    </w:p>
    <w:p w14:paraId="5D189C6D">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13.2 竣工验收</w:t>
      </w:r>
    </w:p>
    <w:p w14:paraId="4FC3BBA6">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13.2.1竣工验收条件</w:t>
      </w:r>
    </w:p>
    <w:p w14:paraId="61CCE06E">
      <w:pPr>
        <w:numPr>
          <w:ilvl w:val="0"/>
          <w:numId w:val="4"/>
        </w:num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承包人负责整理和提交的竣工验收资料应当符合工程所在地建设行政主管部门和(或)城市建设档案管理机构有关施工资料的要求，具体内容包括：</w:t>
      </w:r>
      <w:r>
        <w:rPr>
          <w:rFonts w:hint="eastAsia" w:ascii="宋体" w:hAnsi="宋体" w:eastAsia="宋体" w:cs="宋体"/>
          <w:color w:val="auto"/>
          <w:szCs w:val="21"/>
          <w:highlight w:val="none"/>
          <w:u w:val="single"/>
        </w:rPr>
        <w:t>按《</w:t>
      </w:r>
      <w:r>
        <w:rPr>
          <w:rFonts w:hint="eastAsia" w:ascii="宋体" w:hAnsi="宋体" w:eastAsia="宋体" w:cs="宋体"/>
          <w:color w:val="auto"/>
          <w:kern w:val="0"/>
          <w:szCs w:val="21"/>
          <w:highlight w:val="none"/>
          <w:u w:val="single"/>
        </w:rPr>
        <w:t>建设工程文件归档整理规范》GB/T50328-2014要求提供</w:t>
      </w:r>
      <w:r>
        <w:rPr>
          <w:rFonts w:hint="eastAsia" w:ascii="宋体" w:hAnsi="宋体" w:eastAsia="宋体" w:cs="宋体"/>
          <w:color w:val="auto"/>
          <w:szCs w:val="21"/>
          <w:highlight w:val="none"/>
        </w:rPr>
        <w:t>。</w:t>
      </w:r>
    </w:p>
    <w:p w14:paraId="30D6F484">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(4)在完成工程总体竣工验收之日起15天内完成总体工程的竣工图并送审；逾期送审的，</w:t>
      </w:r>
      <w:r>
        <w:rPr>
          <w:rFonts w:hint="eastAsia" w:ascii="宋体" w:hAnsi="宋体" w:eastAsia="宋体" w:cs="宋体"/>
          <w:color w:val="auto"/>
          <w:szCs w:val="21"/>
          <w:highlight w:val="none"/>
          <w:u w:val="single"/>
        </w:rPr>
        <w:t>承包人须承担300元/天(人民币) 违约金，违约金在当期的进度计量款支付时抵扣</w:t>
      </w:r>
      <w:r>
        <w:rPr>
          <w:rFonts w:hint="eastAsia" w:ascii="宋体" w:hAnsi="宋体" w:eastAsia="宋体" w:cs="宋体"/>
          <w:color w:val="auto"/>
          <w:szCs w:val="21"/>
          <w:highlight w:val="none"/>
        </w:rPr>
        <w:t>。</w:t>
      </w:r>
    </w:p>
    <w:p w14:paraId="50B065D7">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竣工验收资料的份数：</w:t>
      </w:r>
      <w:r>
        <w:rPr>
          <w:rFonts w:hint="eastAsia" w:ascii="宋体" w:hAnsi="宋体" w:eastAsia="宋体" w:cs="宋体"/>
          <w:color w:val="auto"/>
          <w:kern w:val="0"/>
          <w:szCs w:val="21"/>
          <w:highlight w:val="none"/>
          <w:u w:val="single"/>
        </w:rPr>
        <w:t>三套（两套存业主单位；一套用于结算）</w:t>
      </w:r>
      <w:r>
        <w:rPr>
          <w:rFonts w:hint="eastAsia" w:ascii="宋体" w:hAnsi="宋体" w:eastAsia="宋体" w:cs="宋体"/>
          <w:color w:val="auto"/>
          <w:szCs w:val="21"/>
          <w:highlight w:val="none"/>
        </w:rPr>
        <w:t>。</w:t>
      </w:r>
    </w:p>
    <w:p w14:paraId="10D86AFE">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bCs/>
          <w:color w:val="auto"/>
          <w:szCs w:val="21"/>
          <w:highlight w:val="none"/>
        </w:rPr>
        <w:t>承包人提供竣工图的约定：</w:t>
      </w:r>
      <w:r>
        <w:rPr>
          <w:rFonts w:hint="eastAsia" w:ascii="宋体" w:hAnsi="宋体" w:eastAsia="宋体" w:cs="宋体"/>
          <w:bCs/>
          <w:color w:val="auto"/>
          <w:szCs w:val="21"/>
          <w:highlight w:val="none"/>
          <w:u w:val="single"/>
        </w:rPr>
        <w:t>竣工验收正式通过后15天，提供竣工图的数量为2套</w:t>
      </w:r>
    </w:p>
    <w:p w14:paraId="624AC858">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13.2.2竣工验收程序</w:t>
      </w:r>
    </w:p>
    <w:p w14:paraId="3952303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20" w:firstLineChars="200"/>
        <w:jc w:val="left"/>
        <w:rPr>
          <w:rFonts w:ascii="宋体" w:hAnsi="宋体" w:eastAsia="宋体" w:cs="宋体"/>
          <w:color w:val="auto"/>
          <w:szCs w:val="21"/>
          <w:highlight w:val="none"/>
          <w:u w:val="single"/>
        </w:rPr>
      </w:pPr>
      <w:r>
        <w:rPr>
          <w:rFonts w:hint="eastAsia" w:ascii="宋体" w:hAnsi="宋体" w:eastAsia="宋体" w:cs="宋体"/>
          <w:color w:val="auto"/>
          <w:kern w:val="0"/>
          <w:szCs w:val="21"/>
          <w:highlight w:val="none"/>
        </w:rPr>
        <w:t>关于竣工验收程序的约定：</w:t>
      </w:r>
      <w:r>
        <w:rPr>
          <w:rFonts w:hint="eastAsia" w:ascii="宋体" w:hAnsi="宋体" w:eastAsia="宋体" w:cs="宋体"/>
          <w:b/>
          <w:bCs/>
          <w:color w:val="auto"/>
          <w:sz w:val="21"/>
          <w:szCs w:val="21"/>
          <w:highlight w:val="none"/>
          <w:u w:val="single"/>
        </w:rPr>
        <w:t xml:space="preserve"> </w:t>
      </w:r>
      <w:r>
        <w:rPr>
          <w:rFonts w:ascii="宋体" w:hAnsi="宋体" w:eastAsia="宋体" w:cs="宋体"/>
          <w:b/>
          <w:bCs/>
          <w:color w:val="auto"/>
          <w:kern w:val="0"/>
          <w:sz w:val="21"/>
          <w:szCs w:val="21"/>
          <w:highlight w:val="none"/>
          <w:u w:val="single"/>
          <w:lang w:val="en-US" w:eastAsia="zh-CN" w:bidi="ar"/>
        </w:rPr>
        <w:t>工程竣工验收由基建办牵头，</w:t>
      </w:r>
      <w:r>
        <w:rPr>
          <w:rFonts w:hint="eastAsia" w:ascii="宋体" w:hAnsi="宋体" w:eastAsia="宋体" w:cs="宋体"/>
          <w:b/>
          <w:bCs/>
          <w:color w:val="auto"/>
          <w:kern w:val="0"/>
          <w:sz w:val="21"/>
          <w:szCs w:val="21"/>
          <w:highlight w:val="none"/>
          <w:u w:val="single"/>
          <w:lang w:val="en-US" w:eastAsia="zh-CN" w:bidi="ar"/>
        </w:rPr>
        <w:t>相关部门</w:t>
      </w:r>
      <w:r>
        <w:rPr>
          <w:rFonts w:ascii="宋体" w:hAnsi="宋体" w:eastAsia="宋体" w:cs="宋体"/>
          <w:b/>
          <w:bCs/>
          <w:color w:val="auto"/>
          <w:kern w:val="0"/>
          <w:sz w:val="21"/>
          <w:szCs w:val="21"/>
          <w:highlight w:val="none"/>
          <w:u w:val="single"/>
          <w:lang w:val="en-US" w:eastAsia="zh-CN" w:bidi="ar"/>
        </w:rPr>
        <w:t>配合实施，验收合格后出具《</w:t>
      </w:r>
      <w:r>
        <w:rPr>
          <w:rFonts w:hint="eastAsia" w:ascii="宋体" w:hAnsi="宋体" w:eastAsia="宋体" w:cs="宋体"/>
          <w:b/>
          <w:bCs/>
          <w:color w:val="auto"/>
          <w:kern w:val="0"/>
          <w:sz w:val="21"/>
          <w:szCs w:val="21"/>
          <w:highlight w:val="none"/>
          <w:u w:val="single"/>
          <w:lang w:val="en-US" w:eastAsia="zh-CN" w:bidi="ar"/>
        </w:rPr>
        <w:t>柳州市人民医院采购项目履约验收书</w:t>
      </w:r>
      <w:r>
        <w:rPr>
          <w:rFonts w:ascii="宋体" w:hAnsi="宋体" w:eastAsia="宋体" w:cs="宋体"/>
          <w:b/>
          <w:bCs/>
          <w:color w:val="auto"/>
          <w:kern w:val="0"/>
          <w:sz w:val="21"/>
          <w:szCs w:val="21"/>
          <w:highlight w:val="none"/>
          <w:u w:val="single"/>
          <w:lang w:val="en-US" w:eastAsia="zh-CN" w:bidi="ar"/>
        </w:rPr>
        <w:t>》，需经各参与部门签字、盖章，作为工程款支付的核心依据。</w:t>
      </w:r>
    </w:p>
    <w:p w14:paraId="0381826C">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kern w:val="0"/>
          <w:szCs w:val="21"/>
          <w:highlight w:val="none"/>
        </w:rPr>
        <w:t>发包人不按照本项约定组织竣工验收、颁发工程接收证书的违约金的计算方法：</w:t>
      </w:r>
      <w:r>
        <w:rPr>
          <w:rFonts w:hint="eastAsia" w:ascii="宋体" w:hAnsi="宋体" w:eastAsia="宋体" w:cs="宋体"/>
          <w:color w:val="auto"/>
          <w:szCs w:val="21"/>
          <w:highlight w:val="none"/>
          <w:u w:val="single"/>
        </w:rPr>
        <w:t xml:space="preserve"> 另行协商</w:t>
      </w:r>
      <w:r>
        <w:rPr>
          <w:rFonts w:hint="eastAsia" w:ascii="宋体" w:hAnsi="宋体" w:eastAsia="宋体" w:cs="宋体"/>
          <w:color w:val="auto"/>
          <w:szCs w:val="21"/>
          <w:highlight w:val="none"/>
        </w:rPr>
        <w:t>。</w:t>
      </w:r>
    </w:p>
    <w:p w14:paraId="65916257">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13.2.5移交、接收全部与部分工程</w:t>
      </w:r>
    </w:p>
    <w:p w14:paraId="12520BEE">
      <w:pPr>
        <w:spacing w:line="400" w:lineRule="exact"/>
        <w:ind w:left="0" w:firstLine="420" w:firstLineChars="200"/>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承包人向发包人移交工程的期限：</w:t>
      </w:r>
      <w:r>
        <w:rPr>
          <w:rFonts w:hint="eastAsia" w:ascii="宋体" w:hAnsi="宋体" w:eastAsia="宋体" w:cs="宋体"/>
          <w:color w:val="auto"/>
          <w:szCs w:val="21"/>
          <w:highlight w:val="none"/>
          <w:u w:val="single"/>
        </w:rPr>
        <w:t xml:space="preserve">   /   </w:t>
      </w:r>
      <w:r>
        <w:rPr>
          <w:rFonts w:hint="eastAsia" w:ascii="宋体" w:hAnsi="宋体" w:eastAsia="宋体" w:cs="宋体"/>
          <w:color w:val="auto"/>
          <w:szCs w:val="21"/>
          <w:highlight w:val="none"/>
        </w:rPr>
        <w:t>。</w:t>
      </w:r>
    </w:p>
    <w:p w14:paraId="07FD8F77">
      <w:pPr>
        <w:spacing w:line="400" w:lineRule="exact"/>
        <w:ind w:left="0" w:firstLine="420" w:firstLineChars="200"/>
        <w:jc w:val="left"/>
        <w:rPr>
          <w:rFonts w:ascii="宋体" w:hAnsi="宋体" w:eastAsia="宋体" w:cs="宋体"/>
          <w:color w:val="auto"/>
          <w:szCs w:val="21"/>
          <w:highlight w:val="none"/>
          <w:u w:val="single"/>
        </w:rPr>
      </w:pPr>
      <w:r>
        <w:rPr>
          <w:rFonts w:hint="eastAsia" w:ascii="宋体" w:hAnsi="宋体" w:eastAsia="宋体" w:cs="宋体"/>
          <w:color w:val="auto"/>
          <w:kern w:val="0"/>
          <w:szCs w:val="21"/>
          <w:highlight w:val="none"/>
        </w:rPr>
        <w:t>发包人未按本合同约定接收全部或部分工程的，违约金的计算方法为：</w:t>
      </w:r>
      <w:r>
        <w:rPr>
          <w:rFonts w:hint="eastAsia" w:ascii="宋体" w:hAnsi="宋体" w:eastAsia="宋体" w:cs="宋体"/>
          <w:color w:val="auto"/>
          <w:szCs w:val="21"/>
          <w:highlight w:val="none"/>
          <w:u w:val="single"/>
        </w:rPr>
        <w:t xml:space="preserve"> /  </w:t>
      </w:r>
      <w:r>
        <w:rPr>
          <w:rFonts w:hint="eastAsia" w:ascii="宋体" w:hAnsi="宋体" w:eastAsia="宋体" w:cs="宋体"/>
          <w:color w:val="auto"/>
          <w:szCs w:val="21"/>
          <w:highlight w:val="none"/>
        </w:rPr>
        <w:t>。</w:t>
      </w:r>
    </w:p>
    <w:p w14:paraId="32DE5A11">
      <w:pPr>
        <w:spacing w:line="400" w:lineRule="exact"/>
        <w:ind w:left="0" w:firstLine="420" w:firstLineChars="200"/>
        <w:jc w:val="left"/>
        <w:rPr>
          <w:rFonts w:ascii="宋体" w:hAnsi="宋体" w:eastAsia="宋体" w:cs="宋体"/>
          <w:color w:val="auto"/>
          <w:szCs w:val="21"/>
          <w:highlight w:val="none"/>
          <w:u w:val="single"/>
        </w:rPr>
      </w:pPr>
      <w:r>
        <w:rPr>
          <w:rFonts w:hint="eastAsia" w:ascii="宋体" w:hAnsi="宋体" w:eastAsia="宋体" w:cs="宋体"/>
          <w:color w:val="auto"/>
          <w:szCs w:val="21"/>
          <w:highlight w:val="none"/>
        </w:rPr>
        <w:t>承包人未按时移交工程的，违约金的计算方法为：</w:t>
      </w:r>
      <w:r>
        <w:rPr>
          <w:rFonts w:hint="eastAsia" w:ascii="宋体" w:hAnsi="宋体" w:eastAsia="宋体" w:cs="宋体"/>
          <w:color w:val="auto"/>
          <w:szCs w:val="21"/>
          <w:highlight w:val="none"/>
          <w:u w:val="single"/>
        </w:rPr>
        <w:t xml:space="preserve">   /  </w:t>
      </w:r>
      <w:r>
        <w:rPr>
          <w:rFonts w:hint="eastAsia" w:ascii="宋体" w:hAnsi="宋体" w:eastAsia="宋体" w:cs="宋体"/>
          <w:color w:val="auto"/>
          <w:szCs w:val="21"/>
          <w:highlight w:val="none"/>
        </w:rPr>
        <w:t>。</w:t>
      </w:r>
    </w:p>
    <w:p w14:paraId="1A62952B">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13.3 工程试车</w:t>
      </w:r>
    </w:p>
    <w:p w14:paraId="0D6B3F90">
      <w:pPr>
        <w:spacing w:line="400" w:lineRule="exact"/>
        <w:ind w:left="0" w:firstLine="420" w:firstLineChars="200"/>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13.3.1 试车程序</w:t>
      </w:r>
    </w:p>
    <w:p w14:paraId="31C75B04">
      <w:pPr>
        <w:spacing w:line="400" w:lineRule="exact"/>
        <w:ind w:left="0" w:firstLine="420" w:firstLineChars="200"/>
        <w:jc w:val="left"/>
        <w:rPr>
          <w:rFonts w:ascii="宋体" w:hAnsi="宋体" w:eastAsia="宋体" w:cs="宋体"/>
          <w:color w:val="auto"/>
          <w:szCs w:val="21"/>
          <w:highlight w:val="none"/>
          <w:u w:val="single"/>
        </w:rPr>
      </w:pPr>
      <w:r>
        <w:rPr>
          <w:rFonts w:hint="eastAsia" w:ascii="宋体" w:hAnsi="宋体" w:eastAsia="宋体" w:cs="宋体"/>
          <w:color w:val="auto"/>
          <w:kern w:val="0"/>
          <w:szCs w:val="21"/>
          <w:highlight w:val="none"/>
        </w:rPr>
        <w:t>工程试车内容：</w:t>
      </w:r>
      <w:r>
        <w:rPr>
          <w:rFonts w:hint="eastAsia" w:ascii="宋体" w:hAnsi="宋体" w:eastAsia="宋体" w:cs="宋体"/>
          <w:color w:val="auto"/>
          <w:szCs w:val="21"/>
          <w:highlight w:val="none"/>
          <w:u w:val="single"/>
        </w:rPr>
        <w:t xml:space="preserve">    /   </w:t>
      </w:r>
      <w:r>
        <w:rPr>
          <w:rFonts w:hint="eastAsia" w:ascii="宋体" w:hAnsi="宋体" w:eastAsia="宋体" w:cs="宋体"/>
          <w:color w:val="auto"/>
          <w:szCs w:val="21"/>
          <w:highlight w:val="none"/>
        </w:rPr>
        <w:t>。</w:t>
      </w:r>
    </w:p>
    <w:p w14:paraId="3705D38C">
      <w:pPr>
        <w:spacing w:line="400" w:lineRule="exact"/>
        <w:ind w:left="0" w:firstLine="420" w:firstLineChars="200"/>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（1）单机无负荷试车费用由</w:t>
      </w:r>
      <w:r>
        <w:rPr>
          <w:rFonts w:hint="eastAsia" w:ascii="宋体" w:hAnsi="宋体" w:eastAsia="宋体" w:cs="宋体"/>
          <w:color w:val="auto"/>
          <w:szCs w:val="21"/>
          <w:highlight w:val="none"/>
          <w:u w:val="single"/>
        </w:rPr>
        <w:t xml:space="preserve">  承包人   </w:t>
      </w:r>
      <w:r>
        <w:rPr>
          <w:rFonts w:hint="eastAsia" w:ascii="宋体" w:hAnsi="宋体" w:eastAsia="宋体" w:cs="宋体"/>
          <w:color w:val="auto"/>
          <w:kern w:val="0"/>
          <w:szCs w:val="21"/>
          <w:highlight w:val="none"/>
        </w:rPr>
        <w:t>承担；</w:t>
      </w:r>
    </w:p>
    <w:p w14:paraId="6844A6EC">
      <w:pPr>
        <w:spacing w:line="400" w:lineRule="exact"/>
        <w:ind w:left="0" w:firstLine="420" w:firstLineChars="200"/>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（2）无负荷联动试车费用由</w:t>
      </w:r>
      <w:r>
        <w:rPr>
          <w:rFonts w:hint="eastAsia" w:ascii="宋体" w:hAnsi="宋体" w:eastAsia="宋体" w:cs="宋体"/>
          <w:color w:val="auto"/>
          <w:szCs w:val="21"/>
          <w:highlight w:val="none"/>
          <w:u w:val="single"/>
        </w:rPr>
        <w:t xml:space="preserve"> 发包人   </w:t>
      </w:r>
      <w:r>
        <w:rPr>
          <w:rFonts w:hint="eastAsia" w:ascii="宋体" w:hAnsi="宋体" w:eastAsia="宋体" w:cs="宋体"/>
          <w:color w:val="auto"/>
          <w:kern w:val="0"/>
          <w:szCs w:val="21"/>
          <w:highlight w:val="none"/>
        </w:rPr>
        <w:t>承担。</w:t>
      </w:r>
    </w:p>
    <w:p w14:paraId="172F3B10">
      <w:pPr>
        <w:spacing w:line="400" w:lineRule="exact"/>
        <w:ind w:left="0" w:firstLine="420" w:firstLineChars="200"/>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13.3.3 投料试车</w:t>
      </w:r>
    </w:p>
    <w:p w14:paraId="74892B76">
      <w:pPr>
        <w:spacing w:line="400" w:lineRule="exact"/>
        <w:ind w:left="0" w:firstLine="420" w:firstLineChars="200"/>
        <w:jc w:val="left"/>
        <w:rPr>
          <w:rFonts w:ascii="宋体" w:hAnsi="宋体" w:eastAsia="宋体" w:cs="宋体"/>
          <w:color w:val="auto"/>
          <w:szCs w:val="21"/>
          <w:highlight w:val="none"/>
          <w:u w:val="single"/>
        </w:rPr>
      </w:pPr>
      <w:r>
        <w:rPr>
          <w:rFonts w:hint="eastAsia" w:ascii="宋体" w:hAnsi="宋体" w:eastAsia="宋体" w:cs="宋体"/>
          <w:color w:val="auto"/>
          <w:kern w:val="0"/>
          <w:szCs w:val="21"/>
          <w:highlight w:val="none"/>
        </w:rPr>
        <w:t>关于投料试车相关事项的约定：</w:t>
      </w:r>
      <w:r>
        <w:rPr>
          <w:rFonts w:hint="eastAsia" w:ascii="宋体" w:hAnsi="宋体" w:eastAsia="宋体" w:cs="宋体"/>
          <w:color w:val="auto"/>
          <w:szCs w:val="21"/>
          <w:highlight w:val="none"/>
          <w:u w:val="single"/>
        </w:rPr>
        <w:t xml:space="preserve">    /  </w:t>
      </w:r>
      <w:r>
        <w:rPr>
          <w:rFonts w:hint="eastAsia" w:ascii="宋体" w:hAnsi="宋体" w:eastAsia="宋体" w:cs="宋体"/>
          <w:color w:val="auto"/>
          <w:szCs w:val="21"/>
          <w:highlight w:val="none"/>
        </w:rPr>
        <w:t>。</w:t>
      </w:r>
    </w:p>
    <w:p w14:paraId="53E47BA4">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13.6 竣工退场</w:t>
      </w:r>
    </w:p>
    <w:p w14:paraId="27B5895B">
      <w:pPr>
        <w:spacing w:line="400" w:lineRule="exact"/>
        <w:ind w:left="0" w:firstLine="420" w:firstLineChars="200"/>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13.6.1 竣工退场</w:t>
      </w:r>
    </w:p>
    <w:p w14:paraId="72DD9537">
      <w:pPr>
        <w:spacing w:line="400" w:lineRule="exact"/>
        <w:ind w:left="0" w:firstLine="420" w:firstLineChars="200"/>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承包人完成竣工退场的期限：</w:t>
      </w:r>
      <w:r>
        <w:rPr>
          <w:rFonts w:hint="eastAsia" w:ascii="宋体" w:hAnsi="宋体" w:eastAsia="宋体" w:cs="宋体"/>
          <w:color w:val="auto"/>
          <w:szCs w:val="21"/>
          <w:highlight w:val="none"/>
          <w:u w:val="single"/>
        </w:rPr>
        <w:t xml:space="preserve"> 从工程竣工验收通过之日起30天内  </w:t>
      </w:r>
      <w:r>
        <w:rPr>
          <w:rFonts w:hint="eastAsia" w:ascii="宋体" w:hAnsi="宋体" w:eastAsia="宋体" w:cs="宋体"/>
          <w:color w:val="auto"/>
          <w:kern w:val="0"/>
          <w:szCs w:val="21"/>
          <w:highlight w:val="none"/>
        </w:rPr>
        <w:t>。</w:t>
      </w:r>
    </w:p>
    <w:p w14:paraId="55B0ED29">
      <w:pPr>
        <w:keepNext/>
        <w:keepLines/>
        <w:spacing w:line="400" w:lineRule="exact"/>
        <w:ind w:left="0" w:firstLine="422" w:firstLineChars="200"/>
        <w:outlineLvl w:val="3"/>
        <w:rPr>
          <w:rFonts w:ascii="宋体" w:hAnsi="宋体" w:eastAsia="宋体" w:cs="宋体"/>
          <w:b/>
          <w:bCs/>
          <w:color w:val="auto"/>
          <w:szCs w:val="21"/>
          <w:highlight w:val="none"/>
        </w:rPr>
      </w:pPr>
      <w:bookmarkStart w:id="467" w:name="_Toc351203646"/>
      <w:r>
        <w:rPr>
          <w:rFonts w:hint="eastAsia" w:ascii="宋体" w:hAnsi="宋体" w:eastAsia="宋体" w:cs="宋体"/>
          <w:b/>
          <w:bCs/>
          <w:color w:val="auto"/>
          <w:szCs w:val="21"/>
          <w:highlight w:val="none"/>
        </w:rPr>
        <w:t>14. 竣工结算</w:t>
      </w:r>
      <w:bookmarkEnd w:id="467"/>
    </w:p>
    <w:p w14:paraId="44220F65">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14.1 竣工结算申请</w:t>
      </w:r>
    </w:p>
    <w:p w14:paraId="18002804">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承包人提交竣工结算申请单的期限：</w:t>
      </w:r>
      <w:r>
        <w:rPr>
          <w:rFonts w:hint="eastAsia" w:ascii="宋体" w:hAnsi="宋体" w:eastAsia="宋体" w:cs="宋体"/>
          <w:color w:val="auto"/>
          <w:szCs w:val="21"/>
          <w:highlight w:val="none"/>
          <w:u w:val="single"/>
        </w:rPr>
        <w:t>工程竣工验收报告经发包人认可后28天内</w:t>
      </w:r>
      <w:r>
        <w:rPr>
          <w:rFonts w:hint="eastAsia" w:ascii="宋体" w:hAnsi="宋体" w:eastAsia="宋体" w:cs="宋体"/>
          <w:color w:val="auto"/>
          <w:szCs w:val="21"/>
          <w:highlight w:val="none"/>
        </w:rPr>
        <w:t>。</w:t>
      </w:r>
    </w:p>
    <w:p w14:paraId="22A300E9">
      <w:pPr>
        <w:spacing w:line="400" w:lineRule="exact"/>
        <w:ind w:left="0" w:firstLine="420" w:firstLineChars="200"/>
        <w:jc w:val="left"/>
        <w:rPr>
          <w:rFonts w:ascii="宋体" w:hAnsi="宋体" w:eastAsia="宋体" w:cs="宋体"/>
          <w:color w:val="auto"/>
          <w:szCs w:val="21"/>
          <w:highlight w:val="none"/>
          <w:u w:val="single"/>
        </w:rPr>
      </w:pPr>
      <w:r>
        <w:rPr>
          <w:rFonts w:hint="eastAsia" w:ascii="宋体" w:hAnsi="宋体" w:eastAsia="宋体" w:cs="宋体"/>
          <w:color w:val="auto"/>
          <w:szCs w:val="21"/>
          <w:highlight w:val="none"/>
        </w:rPr>
        <w:t>竣工结算申请单应包括的内容：</w:t>
      </w:r>
      <w:r>
        <w:rPr>
          <w:rFonts w:hint="eastAsia" w:ascii="宋体" w:hAnsi="宋体" w:eastAsia="宋体" w:cs="宋体"/>
          <w:color w:val="auto"/>
          <w:szCs w:val="21"/>
          <w:highlight w:val="none"/>
          <w:u w:val="single"/>
        </w:rPr>
        <w:t xml:space="preserve">   /  </w:t>
      </w:r>
      <w:r>
        <w:rPr>
          <w:rFonts w:hint="eastAsia" w:ascii="宋体" w:hAnsi="宋体" w:eastAsia="宋体" w:cs="宋体"/>
          <w:color w:val="auto"/>
          <w:szCs w:val="21"/>
          <w:highlight w:val="none"/>
        </w:rPr>
        <w:t>。</w:t>
      </w:r>
    </w:p>
    <w:p w14:paraId="0B76BDA1">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承包人造价人员应如实编制竣工结算申请单，并对其编制的竣工结算申请单的正确性负责，不得弄虚作假和高估冒算。结算送审金额与审定金额相比，误差超过</w:t>
      </w:r>
      <w:r>
        <w:rPr>
          <w:rFonts w:hint="eastAsia" w:ascii="宋体" w:hAnsi="宋体" w:eastAsia="宋体" w:cs="宋体"/>
          <w:color w:val="auto"/>
          <w:szCs w:val="21"/>
          <w:highlight w:val="none"/>
          <w:u w:val="single"/>
        </w:rPr>
        <w:t xml:space="preserve"> 10 </w:t>
      </w:r>
      <w:r>
        <w:rPr>
          <w:rFonts w:hint="eastAsia" w:ascii="宋体" w:hAnsi="宋体" w:eastAsia="宋体" w:cs="宋体"/>
          <w:color w:val="auto"/>
          <w:szCs w:val="21"/>
          <w:highlight w:val="none"/>
        </w:rPr>
        <w:t>％的，由此增加的竣工结算第三方审核费用由承包人承担。增加审核费用＝（送审金额×0.9－审定金额）×5％，由发包人从承包人的结算款中扣除。并报建设主管部门，作为不良行为对承包人及其造价人员予以记录和通报。</w:t>
      </w:r>
    </w:p>
    <w:p w14:paraId="6FBE3D97">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14.2 竣工结算审核</w:t>
      </w:r>
    </w:p>
    <w:p w14:paraId="3960B1C2">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发包人审批竣工付款申请单的期限：</w:t>
      </w:r>
      <w:r>
        <w:rPr>
          <w:rFonts w:ascii="宋体" w:hAnsi="宋体" w:eastAsia="宋体" w:cs="宋体"/>
          <w:color w:val="auto"/>
          <w:kern w:val="0"/>
          <w:sz w:val="21"/>
          <w:szCs w:val="21"/>
          <w:highlight w:val="none"/>
          <w:u w:val="single"/>
          <w:lang w:val="en-US" w:eastAsia="zh-CN" w:bidi="ar"/>
        </w:rPr>
        <w:t>发包人收到完整竣工结算资料后 30 天内完成审核</w:t>
      </w:r>
      <w:r>
        <w:rPr>
          <w:rFonts w:hint="eastAsia" w:ascii="宋体" w:hAnsi="宋体" w:eastAsia="宋体" w:cs="宋体"/>
          <w:color w:val="auto"/>
          <w:sz w:val="21"/>
          <w:szCs w:val="21"/>
          <w:highlight w:val="none"/>
          <w:u w:val="single"/>
        </w:rPr>
        <w:t>。</w:t>
      </w:r>
    </w:p>
    <w:p w14:paraId="6DA419ED">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结算如需第三方审核结构审定时，发包人委托的竣工结算核审机构为： </w:t>
      </w:r>
      <w:r>
        <w:rPr>
          <w:rFonts w:hint="eastAsia" w:ascii="宋体" w:hAnsi="宋体" w:eastAsia="宋体" w:cs="宋体"/>
          <w:color w:val="auto"/>
          <w:szCs w:val="21"/>
          <w:highlight w:val="none"/>
          <w:u w:val="single"/>
        </w:rPr>
        <w:t xml:space="preserve">有资质的审核单位 </w:t>
      </w:r>
      <w:r>
        <w:rPr>
          <w:rFonts w:hint="eastAsia" w:ascii="宋体" w:hAnsi="宋体" w:eastAsia="宋体" w:cs="宋体"/>
          <w:color w:val="auto"/>
          <w:szCs w:val="21"/>
          <w:highlight w:val="none"/>
        </w:rPr>
        <w:t>。发包人或发包人委托的竣工结算核审机构对已签发的进度款支付证书进行汇总和复核中发现错误、遗漏或重复的有权提出修正。</w:t>
      </w:r>
    </w:p>
    <w:p w14:paraId="65A652E6">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发包人完成竣工付款的期限：</w:t>
      </w:r>
      <w:r>
        <w:rPr>
          <w:rFonts w:hint="eastAsia" w:ascii="宋体" w:hAnsi="宋体" w:eastAsia="宋体" w:cs="宋体"/>
          <w:color w:val="auto"/>
          <w:szCs w:val="21"/>
          <w:highlight w:val="none"/>
          <w:u w:val="single"/>
        </w:rPr>
        <w:t xml:space="preserve">    /   </w:t>
      </w:r>
      <w:r>
        <w:rPr>
          <w:rFonts w:hint="eastAsia" w:ascii="宋体" w:hAnsi="宋体" w:eastAsia="宋体" w:cs="宋体"/>
          <w:color w:val="auto"/>
          <w:szCs w:val="21"/>
          <w:highlight w:val="none"/>
        </w:rPr>
        <w:t>。</w:t>
      </w:r>
    </w:p>
    <w:p w14:paraId="3F901D6B">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关于竣工付款证书异议部分复核的方式和程序：</w:t>
      </w:r>
      <w:r>
        <w:rPr>
          <w:rFonts w:hint="eastAsia" w:ascii="宋体" w:hAnsi="宋体" w:eastAsia="宋体" w:cs="宋体"/>
          <w:color w:val="auto"/>
          <w:szCs w:val="21"/>
          <w:highlight w:val="none"/>
          <w:u w:val="single"/>
        </w:rPr>
        <w:t xml:space="preserve">    /   </w:t>
      </w:r>
      <w:r>
        <w:rPr>
          <w:rFonts w:hint="eastAsia" w:ascii="宋体" w:hAnsi="宋体" w:eastAsia="宋体" w:cs="宋体"/>
          <w:color w:val="auto"/>
          <w:szCs w:val="21"/>
          <w:highlight w:val="none"/>
        </w:rPr>
        <w:t>。</w:t>
      </w:r>
    </w:p>
    <w:p w14:paraId="3F981176">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14.4 最终结清</w:t>
      </w:r>
    </w:p>
    <w:p w14:paraId="7276C193">
      <w:pPr>
        <w:spacing w:line="400" w:lineRule="exact"/>
        <w:ind w:left="0"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14.4.1 最终结清申请单</w:t>
      </w:r>
    </w:p>
    <w:p w14:paraId="07AA6C03">
      <w:pPr>
        <w:spacing w:line="400" w:lineRule="exact"/>
        <w:ind w:left="0" w:firstLine="420" w:firstLineChars="200"/>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承包人提交最终结清申请单的份数：</w:t>
      </w:r>
      <w:r>
        <w:rPr>
          <w:rFonts w:hint="eastAsia" w:ascii="宋体" w:hAnsi="宋体" w:eastAsia="宋体" w:cs="宋体"/>
          <w:color w:val="auto"/>
          <w:szCs w:val="21"/>
          <w:highlight w:val="none"/>
          <w:u w:val="single"/>
        </w:rPr>
        <w:t>一式四份</w:t>
      </w:r>
      <w:r>
        <w:rPr>
          <w:rFonts w:hint="eastAsia" w:ascii="宋体" w:hAnsi="宋体" w:eastAsia="宋体" w:cs="宋体"/>
          <w:color w:val="auto"/>
          <w:szCs w:val="21"/>
          <w:highlight w:val="none"/>
        </w:rPr>
        <w:t>。</w:t>
      </w:r>
    </w:p>
    <w:p w14:paraId="04707C28">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kern w:val="0"/>
          <w:szCs w:val="21"/>
          <w:highlight w:val="none"/>
        </w:rPr>
        <w:t>承包人提交最终结算申请单的期限：</w:t>
      </w:r>
      <w:r>
        <w:rPr>
          <w:rFonts w:hint="eastAsia" w:ascii="宋体" w:hAnsi="宋体" w:eastAsia="宋体" w:cs="宋体"/>
          <w:color w:val="auto"/>
          <w:szCs w:val="21"/>
          <w:highlight w:val="none"/>
          <w:u w:val="single"/>
        </w:rPr>
        <w:t xml:space="preserve">    /    </w:t>
      </w:r>
      <w:r>
        <w:rPr>
          <w:rFonts w:hint="eastAsia" w:ascii="宋体" w:hAnsi="宋体" w:eastAsia="宋体" w:cs="宋体"/>
          <w:color w:val="auto"/>
          <w:szCs w:val="21"/>
          <w:highlight w:val="none"/>
        </w:rPr>
        <w:t xml:space="preserve">。 </w:t>
      </w:r>
    </w:p>
    <w:p w14:paraId="40A2F4B5">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14.4.2 最终结清证书和支付</w:t>
      </w:r>
    </w:p>
    <w:p w14:paraId="03C4AE2E">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（1）发包人完成最终结清申请单的审批并颁发最终结清证书的期限：</w:t>
      </w:r>
      <w:r>
        <w:rPr>
          <w:rFonts w:hint="eastAsia" w:ascii="宋体" w:hAnsi="宋体" w:eastAsia="宋体" w:cs="宋体"/>
          <w:color w:val="auto"/>
          <w:szCs w:val="21"/>
          <w:highlight w:val="none"/>
          <w:u w:val="single"/>
        </w:rPr>
        <w:t>收到申请28天内</w:t>
      </w:r>
      <w:r>
        <w:rPr>
          <w:rFonts w:hint="eastAsia" w:ascii="宋体" w:hAnsi="宋体" w:eastAsia="宋体" w:cs="宋体"/>
          <w:color w:val="auto"/>
          <w:szCs w:val="21"/>
          <w:highlight w:val="none"/>
        </w:rPr>
        <w:t>。</w:t>
      </w:r>
    </w:p>
    <w:p w14:paraId="05CA54F1">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（2）发包人完成支付的期限：</w:t>
      </w:r>
      <w:r>
        <w:rPr>
          <w:rFonts w:hint="eastAsia" w:ascii="宋体" w:hAnsi="宋体" w:eastAsia="宋体" w:cs="宋体"/>
          <w:color w:val="auto"/>
          <w:szCs w:val="21"/>
          <w:highlight w:val="none"/>
          <w:u w:val="single"/>
        </w:rPr>
        <w:t>申请签发后14天内</w:t>
      </w:r>
      <w:r>
        <w:rPr>
          <w:rFonts w:hint="eastAsia" w:ascii="宋体" w:hAnsi="宋体" w:eastAsia="宋体" w:cs="宋体"/>
          <w:color w:val="auto"/>
          <w:szCs w:val="21"/>
          <w:highlight w:val="none"/>
        </w:rPr>
        <w:t>。</w:t>
      </w:r>
    </w:p>
    <w:bookmarkEnd w:id="160"/>
    <w:bookmarkEnd w:id="161"/>
    <w:bookmarkEnd w:id="162"/>
    <w:bookmarkEnd w:id="163"/>
    <w:bookmarkEnd w:id="164"/>
    <w:bookmarkEnd w:id="165"/>
    <w:bookmarkEnd w:id="166"/>
    <w:bookmarkEnd w:id="167"/>
    <w:p w14:paraId="59159DF8">
      <w:pPr>
        <w:keepNext/>
        <w:keepLines/>
        <w:spacing w:line="400" w:lineRule="exact"/>
        <w:ind w:left="0" w:firstLine="422" w:firstLineChars="200"/>
        <w:outlineLvl w:val="3"/>
        <w:rPr>
          <w:rFonts w:ascii="宋体" w:hAnsi="宋体" w:eastAsia="宋体" w:cs="宋体"/>
          <w:b/>
          <w:bCs/>
          <w:color w:val="auto"/>
          <w:szCs w:val="21"/>
          <w:highlight w:val="none"/>
        </w:rPr>
      </w:pPr>
      <w:bookmarkStart w:id="468" w:name="_Toc351203647"/>
      <w:bookmarkStart w:id="469" w:name="_Toc267251484"/>
      <w:bookmarkStart w:id="470" w:name="_Toc267251483"/>
      <w:bookmarkStart w:id="471" w:name="_Toc267251482"/>
      <w:bookmarkStart w:id="472" w:name="_Toc267251485"/>
      <w:bookmarkStart w:id="473" w:name="_Toc267251489"/>
      <w:bookmarkStart w:id="474" w:name="_Toc267251486"/>
      <w:bookmarkStart w:id="475" w:name="_Toc267251490"/>
      <w:bookmarkStart w:id="476" w:name="_Toc267251488"/>
      <w:bookmarkStart w:id="477" w:name="_Toc267251499"/>
      <w:bookmarkStart w:id="478" w:name="_Toc267251511"/>
      <w:bookmarkStart w:id="479" w:name="_Toc267251514"/>
      <w:bookmarkStart w:id="480" w:name="_Toc267251497"/>
      <w:bookmarkStart w:id="481" w:name="_Toc267251492"/>
      <w:bookmarkStart w:id="482" w:name="_Toc267251491"/>
      <w:bookmarkStart w:id="483" w:name="_Toc267251504"/>
      <w:bookmarkStart w:id="484" w:name="_Toc267251513"/>
      <w:bookmarkStart w:id="485" w:name="_Toc267251502"/>
      <w:bookmarkStart w:id="486" w:name="_Toc267251496"/>
      <w:bookmarkStart w:id="487" w:name="_Toc267251495"/>
      <w:bookmarkStart w:id="488" w:name="_Toc267251494"/>
      <w:bookmarkStart w:id="489" w:name="_Toc267251503"/>
      <w:bookmarkStart w:id="490" w:name="_Toc267251493"/>
      <w:bookmarkStart w:id="491" w:name="_Toc267251508"/>
      <w:bookmarkStart w:id="492" w:name="_Toc267251506"/>
      <w:bookmarkStart w:id="493" w:name="_Toc267251510"/>
      <w:bookmarkStart w:id="494" w:name="_Toc267251501"/>
      <w:bookmarkStart w:id="495" w:name="_Toc267251509"/>
      <w:bookmarkStart w:id="496" w:name="_Toc267251515"/>
      <w:bookmarkStart w:id="497" w:name="_Toc267251498"/>
      <w:bookmarkStart w:id="498" w:name="_Toc267251507"/>
      <w:r>
        <w:rPr>
          <w:rFonts w:hint="eastAsia" w:ascii="宋体" w:hAnsi="宋体" w:eastAsia="宋体" w:cs="宋体"/>
          <w:b/>
          <w:bCs/>
          <w:color w:val="auto"/>
          <w:szCs w:val="21"/>
          <w:highlight w:val="none"/>
        </w:rPr>
        <w:t>15. 缺陷责任期与保修</w:t>
      </w:r>
      <w:bookmarkEnd w:id="468"/>
    </w:p>
    <w:bookmarkEnd w:id="469"/>
    <w:bookmarkEnd w:id="470"/>
    <w:bookmarkEnd w:id="471"/>
    <w:bookmarkEnd w:id="472"/>
    <w:p w14:paraId="764EED3B">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取消通用条款15.2.1内容，以下文取代：</w:t>
      </w:r>
    </w:p>
    <w:p w14:paraId="5D0E546A">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15.2.1缺陷责任期从工程通过竣工验收之日起计，缺陷责任期限为：</w:t>
      </w:r>
      <w:r>
        <w:rPr>
          <w:rFonts w:hint="eastAsia" w:ascii="宋体" w:hAnsi="宋体" w:eastAsia="宋体" w:cs="宋体"/>
          <w:color w:val="auto"/>
          <w:szCs w:val="21"/>
          <w:highlight w:val="none"/>
          <w:u w:val="single"/>
        </w:rPr>
        <w:t>2年</w:t>
      </w:r>
      <w:r>
        <w:rPr>
          <w:rFonts w:hint="eastAsia" w:ascii="宋体" w:hAnsi="宋体" w:eastAsia="宋体" w:cs="宋体"/>
          <w:color w:val="auto"/>
          <w:szCs w:val="21"/>
          <w:highlight w:val="none"/>
        </w:rPr>
        <w:t>。由于承包人原因导致工程无法按规定期限进行竣工验收的，缺陷责任期从实际通过竣工验收之日起计。由于发包人原因导致工程无法按规定期限进行竣工验收的，在承包人提交竣工验收报告90天后，工程自动进入缺陷责任期。</w:t>
      </w:r>
    </w:p>
    <w:p w14:paraId="0D3AACFA">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单位工程先于全部工程进行验收，经验收合格并交付使用的，该单位工程缺陷责任期自单位工程验收合格之日起算。发包人未经竣工验收擅自使用工程的，缺陷责任期自工程转移占有之日起开始计算。</w:t>
      </w:r>
    </w:p>
    <w:p w14:paraId="6CA7B326">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15.3 质量保证金</w:t>
      </w:r>
    </w:p>
    <w:p w14:paraId="78B7DD0C">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关于是否扣留质量保证金的约定：</w:t>
      </w:r>
      <w:r>
        <w:rPr>
          <w:rFonts w:hint="eastAsia" w:ascii="宋体" w:hAnsi="宋体" w:eastAsia="宋体" w:cs="宋体"/>
          <w:color w:val="auto"/>
          <w:szCs w:val="21"/>
          <w:highlight w:val="none"/>
          <w:u w:val="single"/>
        </w:rPr>
        <w:sym w:font="Wingdings 2" w:char="0052"/>
      </w:r>
      <w:r>
        <w:rPr>
          <w:rFonts w:hint="eastAsia" w:ascii="宋体" w:hAnsi="宋体" w:eastAsia="宋体" w:cs="宋体"/>
          <w:color w:val="auto"/>
          <w:szCs w:val="21"/>
          <w:highlight w:val="none"/>
          <w:u w:val="single"/>
        </w:rPr>
        <w:t xml:space="preserve">是   </w:t>
      </w:r>
      <w:r>
        <w:rPr>
          <w:rFonts w:hint="eastAsia" w:ascii="宋体" w:hAnsi="宋体" w:eastAsia="宋体" w:cs="宋体"/>
          <w:color w:val="auto"/>
          <w:szCs w:val="21"/>
          <w:highlight w:val="none"/>
          <w:u w:val="single"/>
        </w:rPr>
        <w:sym w:font="Wingdings 2" w:char="002A"/>
      </w:r>
      <w:r>
        <w:rPr>
          <w:rFonts w:hint="eastAsia" w:ascii="宋体" w:hAnsi="宋体" w:eastAsia="宋体" w:cs="宋体"/>
          <w:color w:val="auto"/>
          <w:szCs w:val="21"/>
          <w:highlight w:val="none"/>
          <w:u w:val="single"/>
        </w:rPr>
        <w:t xml:space="preserve">否   </w:t>
      </w:r>
      <w:r>
        <w:rPr>
          <w:rFonts w:hint="eastAsia" w:ascii="宋体" w:hAnsi="宋体" w:eastAsia="宋体" w:cs="宋体"/>
          <w:color w:val="auto"/>
          <w:szCs w:val="21"/>
          <w:highlight w:val="none"/>
        </w:rPr>
        <w:t>。</w:t>
      </w:r>
      <w:bookmarkStart w:id="499" w:name="_Hlk22995310"/>
      <w:r>
        <w:rPr>
          <w:rFonts w:hint="eastAsia" w:ascii="宋体" w:hAnsi="宋体" w:eastAsia="宋体" w:cs="宋体"/>
          <w:color w:val="auto"/>
          <w:szCs w:val="21"/>
          <w:highlight w:val="none"/>
        </w:rPr>
        <w:t>(在工程项目竣工前，承包人按专用合同条款第3.7条提供履约担保的，发包人不得同时预留工程质量保证金。)</w:t>
      </w:r>
      <w:bookmarkEnd w:id="499"/>
    </w:p>
    <w:p w14:paraId="79DD4DF6">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15.3.1 承包人提供质量保证金的方式</w:t>
      </w:r>
    </w:p>
    <w:p w14:paraId="5EA48C4F">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取消通用条款本款内容，以下文取代：</w:t>
      </w:r>
    </w:p>
    <w:p w14:paraId="31379149">
      <w:pPr>
        <w:autoSpaceDE w:val="0"/>
        <w:autoSpaceDN w:val="0"/>
        <w:adjustRightInd w:val="0"/>
        <w:spacing w:line="400" w:lineRule="exact"/>
        <w:ind w:left="0" w:firstLine="420" w:firstLineChars="200"/>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承包人提供质量保证金采取以下第</w:t>
      </w:r>
      <w:r>
        <w:rPr>
          <w:rFonts w:hint="eastAsia" w:ascii="宋体" w:hAnsi="宋体" w:eastAsia="宋体" w:cs="宋体"/>
          <w:color w:val="auto"/>
          <w:kern w:val="0"/>
          <w:szCs w:val="21"/>
          <w:highlight w:val="none"/>
          <w:u w:val="single"/>
        </w:rPr>
        <w:t xml:space="preserve"> （2）  </w:t>
      </w:r>
      <w:r>
        <w:rPr>
          <w:rFonts w:hint="eastAsia" w:ascii="宋体" w:hAnsi="宋体" w:eastAsia="宋体" w:cs="宋体"/>
          <w:color w:val="auto"/>
          <w:kern w:val="0"/>
          <w:szCs w:val="21"/>
          <w:highlight w:val="none"/>
        </w:rPr>
        <w:t>种方式：</w:t>
      </w:r>
    </w:p>
    <w:p w14:paraId="50D33B36">
      <w:pPr>
        <w:autoSpaceDE w:val="0"/>
        <w:autoSpaceDN w:val="0"/>
        <w:adjustRightInd w:val="0"/>
        <w:spacing w:line="400" w:lineRule="exact"/>
        <w:ind w:left="0" w:firstLine="420" w:firstLineChars="200"/>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（1）质量保证金保函，保证金额为：</w:t>
      </w:r>
      <w:r>
        <w:rPr>
          <w:rFonts w:hint="eastAsia" w:ascii="宋体" w:hAnsi="宋体" w:eastAsia="宋体" w:cs="宋体"/>
          <w:color w:val="auto"/>
          <w:kern w:val="0"/>
          <w:szCs w:val="21"/>
          <w:highlight w:val="none"/>
          <w:u w:val="single"/>
        </w:rPr>
        <w:t xml:space="preserve">  3%   </w:t>
      </w:r>
      <w:r>
        <w:rPr>
          <w:rFonts w:hint="eastAsia" w:ascii="宋体" w:hAnsi="宋体" w:eastAsia="宋体" w:cs="宋体"/>
          <w:color w:val="auto"/>
          <w:kern w:val="0"/>
          <w:szCs w:val="21"/>
          <w:highlight w:val="none"/>
        </w:rPr>
        <w:t>（不超过工程结算价的3%）。</w:t>
      </w:r>
    </w:p>
    <w:p w14:paraId="0BAFD80B">
      <w:pPr>
        <w:autoSpaceDE w:val="0"/>
        <w:autoSpaceDN w:val="0"/>
        <w:adjustRightInd w:val="0"/>
        <w:spacing w:line="400" w:lineRule="exact"/>
        <w:ind w:left="0" w:firstLine="420" w:firstLineChars="200"/>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（2）质量保证金预留在发包方，保证金额为：</w:t>
      </w:r>
      <w:r>
        <w:rPr>
          <w:rFonts w:hint="eastAsia" w:ascii="宋体" w:hAnsi="宋体" w:eastAsia="宋体" w:cs="宋体"/>
          <w:color w:val="auto"/>
          <w:kern w:val="0"/>
          <w:szCs w:val="21"/>
          <w:highlight w:val="none"/>
          <w:u w:val="single"/>
        </w:rPr>
        <w:t xml:space="preserve">  3%   </w:t>
      </w:r>
      <w:r>
        <w:rPr>
          <w:rFonts w:hint="eastAsia" w:ascii="宋体" w:hAnsi="宋体" w:eastAsia="宋体" w:cs="宋体"/>
          <w:color w:val="auto"/>
          <w:kern w:val="0"/>
          <w:szCs w:val="21"/>
          <w:highlight w:val="none"/>
        </w:rPr>
        <w:t>（不超过工程结算价的3%）。</w:t>
      </w:r>
    </w:p>
    <w:p w14:paraId="07E7990D">
      <w:pPr>
        <w:autoSpaceDE w:val="0"/>
        <w:autoSpaceDN w:val="0"/>
        <w:adjustRightInd w:val="0"/>
        <w:spacing w:line="400" w:lineRule="exact"/>
        <w:ind w:left="0" w:firstLine="420" w:firstLineChars="200"/>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（3）交由第三方金融机构托管，双方约定的第三方金融机构为（社会投资项目选此项）。</w:t>
      </w:r>
    </w:p>
    <w:p w14:paraId="3A843F69">
      <w:pPr>
        <w:autoSpaceDE w:val="0"/>
        <w:autoSpaceDN w:val="0"/>
        <w:adjustRightInd w:val="0"/>
        <w:spacing w:line="400" w:lineRule="exact"/>
        <w:ind w:left="0" w:firstLine="420" w:firstLineChars="200"/>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（4）双方约定的其他方式。</w:t>
      </w:r>
    </w:p>
    <w:p w14:paraId="6D1B6DE6">
      <w:pPr>
        <w:autoSpaceDE w:val="0"/>
        <w:autoSpaceDN w:val="0"/>
        <w:adjustRightInd w:val="0"/>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kern w:val="0"/>
          <w:szCs w:val="21"/>
          <w:highlight w:val="none"/>
        </w:rPr>
        <w:t>承包人可根据需要选择上述其中任一种方式提供质量保证金。</w:t>
      </w:r>
    </w:p>
    <w:p w14:paraId="49CAB2FD">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15.3.2 质量保证金的扣留 </w:t>
      </w:r>
    </w:p>
    <w:p w14:paraId="7595BCC7">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质量保证金的扣留采取以下第</w:t>
      </w:r>
      <w:r>
        <w:rPr>
          <w:rFonts w:hint="eastAsia" w:ascii="宋体" w:hAnsi="宋体" w:eastAsia="宋体" w:cs="宋体"/>
          <w:color w:val="auto"/>
          <w:szCs w:val="21"/>
          <w:highlight w:val="none"/>
          <w:u w:val="single"/>
        </w:rPr>
        <w:t xml:space="preserve"> （2） </w:t>
      </w:r>
      <w:r>
        <w:rPr>
          <w:rFonts w:hint="eastAsia" w:ascii="宋体" w:hAnsi="宋体" w:eastAsia="宋体" w:cs="宋体"/>
          <w:color w:val="auto"/>
          <w:szCs w:val="21"/>
          <w:highlight w:val="none"/>
        </w:rPr>
        <w:t>种方式：</w:t>
      </w:r>
    </w:p>
    <w:p w14:paraId="2CB3F778">
      <w:pPr>
        <w:autoSpaceDE w:val="0"/>
        <w:autoSpaceDN w:val="0"/>
        <w:adjustRightInd w:val="0"/>
        <w:spacing w:line="400" w:lineRule="exact"/>
        <w:ind w:left="0" w:firstLine="420" w:firstLineChars="200"/>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在支付工程进度款时逐次扣留，在此情形下，质量保证金的计算基数不包括预付款的支付、扣回以及价格调整的金额；（根据《建设工程质量保证金管理办法》（建质[2017]138号第六条规定，已经缴纳履约保证金的，不得选此项）</w:t>
      </w:r>
    </w:p>
    <w:p w14:paraId="2973DAB5">
      <w:pPr>
        <w:autoSpaceDE w:val="0"/>
        <w:autoSpaceDN w:val="0"/>
        <w:adjustRightInd w:val="0"/>
        <w:spacing w:line="400" w:lineRule="exact"/>
        <w:ind w:left="0" w:firstLine="420" w:firstLineChars="200"/>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（2）工程竣工结算时一次性扣留质量保证金；</w:t>
      </w:r>
    </w:p>
    <w:p w14:paraId="2AC95191">
      <w:pPr>
        <w:autoSpaceDE w:val="0"/>
        <w:autoSpaceDN w:val="0"/>
        <w:adjustRightInd w:val="0"/>
        <w:spacing w:line="400" w:lineRule="exact"/>
        <w:ind w:left="0" w:firstLine="420" w:firstLineChars="200"/>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（3）其他扣留方式：</w:t>
      </w:r>
      <w:r>
        <w:rPr>
          <w:rFonts w:hint="eastAsia" w:ascii="宋体" w:hAnsi="宋体" w:eastAsia="宋体" w:cs="宋体"/>
          <w:color w:val="auto"/>
          <w:kern w:val="0"/>
          <w:szCs w:val="21"/>
          <w:highlight w:val="none"/>
          <w:u w:val="single"/>
        </w:rPr>
        <w:t xml:space="preserve">   银行保函   </w:t>
      </w:r>
      <w:r>
        <w:rPr>
          <w:rFonts w:hint="eastAsia" w:ascii="宋体" w:hAnsi="宋体" w:eastAsia="宋体" w:cs="宋体"/>
          <w:color w:val="auto"/>
          <w:kern w:val="0"/>
          <w:szCs w:val="21"/>
          <w:highlight w:val="none"/>
        </w:rPr>
        <w:t>。</w:t>
      </w:r>
    </w:p>
    <w:p w14:paraId="029E204D">
      <w:pPr>
        <w:autoSpaceDE w:val="0"/>
        <w:autoSpaceDN w:val="0"/>
        <w:adjustRightInd w:val="0"/>
        <w:spacing w:line="400" w:lineRule="exact"/>
        <w:ind w:left="0" w:firstLine="420" w:firstLineChars="200"/>
        <w:jc w:val="left"/>
        <w:rPr>
          <w:rFonts w:ascii="宋体" w:hAnsi="宋体" w:eastAsia="宋体" w:cs="宋体"/>
          <w:color w:val="auto"/>
          <w:kern w:val="0"/>
          <w:szCs w:val="21"/>
          <w:highlight w:val="none"/>
          <w:u w:val="single"/>
        </w:rPr>
      </w:pPr>
      <w:r>
        <w:rPr>
          <w:rFonts w:hint="eastAsia" w:ascii="宋体" w:hAnsi="宋体" w:eastAsia="宋体" w:cs="宋体"/>
          <w:color w:val="auto"/>
          <w:szCs w:val="21"/>
          <w:highlight w:val="none"/>
        </w:rPr>
        <w:t>关于质量保证金的补充约定：</w:t>
      </w:r>
      <w:r>
        <w:rPr>
          <w:rFonts w:hint="eastAsia" w:ascii="宋体" w:hAnsi="宋体" w:eastAsia="宋体" w:cs="宋体"/>
          <w:color w:val="auto"/>
          <w:kern w:val="0"/>
          <w:szCs w:val="21"/>
          <w:highlight w:val="none"/>
        </w:rPr>
        <w:t>发</w:t>
      </w:r>
      <w:bookmarkStart w:id="500" w:name="#go4"/>
      <w:bookmarkEnd w:id="500"/>
      <w:r>
        <w:rPr>
          <w:rFonts w:hint="eastAsia" w:ascii="宋体" w:hAnsi="宋体" w:eastAsia="宋体" w:cs="宋体"/>
          <w:color w:val="auto"/>
          <w:kern w:val="0"/>
          <w:szCs w:val="21"/>
          <w:highlight w:val="none"/>
        </w:rPr>
        <w:t>包人累计扣留的质量保证金不得超过结算合同价格的3%，如承包人在发包人签发竣工付款证书后28天内提交质量保证金保函，发包人应同时退还扣留的作为质量保证金的工程价款。</w:t>
      </w:r>
    </w:p>
    <w:p w14:paraId="50AAAE92">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15.4保修</w:t>
      </w:r>
    </w:p>
    <w:p w14:paraId="52994885">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15.4.1 保修责任</w:t>
      </w:r>
    </w:p>
    <w:p w14:paraId="7EF0FDBE">
      <w:pPr>
        <w:spacing w:line="400" w:lineRule="exact"/>
        <w:ind w:left="0" w:firstLine="420" w:firstLineChars="200"/>
        <w:jc w:val="left"/>
        <w:rPr>
          <w:rFonts w:ascii="宋体" w:hAnsi="宋体" w:eastAsia="宋体" w:cs="宋体"/>
          <w:color w:val="auto"/>
          <w:kern w:val="0"/>
          <w:szCs w:val="21"/>
          <w:highlight w:val="none"/>
          <w:u w:val="single"/>
        </w:rPr>
      </w:pPr>
      <w:r>
        <w:rPr>
          <w:rFonts w:hint="eastAsia" w:ascii="宋体" w:hAnsi="宋体" w:eastAsia="宋体" w:cs="宋体"/>
          <w:color w:val="auto"/>
          <w:szCs w:val="21"/>
          <w:highlight w:val="none"/>
        </w:rPr>
        <w:t>工程保修期为：</w:t>
      </w:r>
      <w:r>
        <w:rPr>
          <w:rFonts w:hint="eastAsia" w:ascii="宋体" w:hAnsi="宋体" w:eastAsia="宋体" w:cs="宋体"/>
          <w:color w:val="auto"/>
          <w:szCs w:val="21"/>
          <w:highlight w:val="none"/>
          <w:u w:val="single"/>
        </w:rPr>
        <w:t>见附件《工程质量保修书》</w:t>
      </w:r>
      <w:r>
        <w:rPr>
          <w:rFonts w:hint="eastAsia" w:ascii="宋体" w:hAnsi="宋体" w:eastAsia="宋体" w:cs="宋体"/>
          <w:color w:val="auto"/>
          <w:kern w:val="0"/>
          <w:szCs w:val="21"/>
          <w:highlight w:val="none"/>
        </w:rPr>
        <w:t>。</w:t>
      </w:r>
    </w:p>
    <w:p w14:paraId="45E16733">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15.4.3 修复通知</w:t>
      </w:r>
    </w:p>
    <w:p w14:paraId="067D9983">
      <w:pPr>
        <w:spacing w:line="400" w:lineRule="exact"/>
        <w:ind w:left="0" w:firstLine="420" w:firstLineChars="200"/>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承包人收到保修通知并到达工程现场的合理时间：</w:t>
      </w:r>
      <w:r>
        <w:rPr>
          <w:rFonts w:hint="eastAsia" w:ascii="宋体" w:hAnsi="宋体" w:eastAsia="宋体" w:cs="宋体"/>
          <w:color w:val="auto"/>
          <w:kern w:val="0"/>
          <w:szCs w:val="21"/>
          <w:highlight w:val="none"/>
          <w:u w:val="single"/>
        </w:rPr>
        <w:t xml:space="preserve">24小时 </w:t>
      </w:r>
      <w:r>
        <w:rPr>
          <w:rFonts w:hint="eastAsia" w:ascii="宋体" w:hAnsi="宋体" w:eastAsia="宋体" w:cs="宋体"/>
          <w:color w:val="auto"/>
          <w:kern w:val="0"/>
          <w:szCs w:val="21"/>
          <w:highlight w:val="none"/>
        </w:rPr>
        <w:t>。</w:t>
      </w:r>
    </w:p>
    <w:p w14:paraId="2571B525">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15.4.4承包人在收到保修通知书之日起72小时内仍不进场维修的，发包人不需经承包人的同意可直接委托第三方队伍进场维修，第三方维修费用的价格不需经承包人签认，发包人实际支付给第三方的维修费用将直接从承包人的质保金中扣付，质保金不足以扣付的，发包人将通过法律途径进行追索。</w:t>
      </w:r>
    </w:p>
    <w:p w14:paraId="42B19B13">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15.4.6如因承包人原因造成人员伤亡、建筑物损毁损坏、设备设施损坏或影响墙体正常使用年限等问题的，相关责任及损失由承包人承担，本条款不受缺陷责任期与保修期等时间限制。</w:t>
      </w:r>
    </w:p>
    <w:bookmarkEnd w:id="473"/>
    <w:bookmarkEnd w:id="474"/>
    <w:bookmarkEnd w:id="475"/>
    <w:bookmarkEnd w:id="476"/>
    <w:p w14:paraId="50F60A79">
      <w:pPr>
        <w:spacing w:line="400" w:lineRule="exact"/>
        <w:ind w:left="0" w:firstLine="422" w:firstLineChars="200"/>
        <w:jc w:val="left"/>
        <w:rPr>
          <w:rFonts w:ascii="宋体" w:hAnsi="宋体" w:eastAsia="宋体" w:cs="宋体"/>
          <w:b/>
          <w:color w:val="auto"/>
          <w:szCs w:val="21"/>
          <w:highlight w:val="none"/>
        </w:rPr>
      </w:pPr>
      <w:bookmarkStart w:id="501" w:name="_Toc351203648"/>
      <w:bookmarkStart w:id="502" w:name="_Toc280868717"/>
      <w:bookmarkStart w:id="503" w:name="_Toc280868718"/>
      <w:r>
        <w:rPr>
          <w:rFonts w:hint="eastAsia" w:ascii="宋体" w:hAnsi="宋体" w:eastAsia="宋体" w:cs="宋体"/>
          <w:b/>
          <w:color w:val="auto"/>
          <w:szCs w:val="21"/>
          <w:highlight w:val="none"/>
        </w:rPr>
        <w:t>16. 违约</w:t>
      </w:r>
      <w:bookmarkEnd w:id="501"/>
    </w:p>
    <w:p w14:paraId="6B2C4609">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16.1 发包人违约</w:t>
      </w:r>
    </w:p>
    <w:p w14:paraId="52C2BE91">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16.1.1发包人违约的情形</w:t>
      </w:r>
    </w:p>
    <w:p w14:paraId="375C37A9">
      <w:pPr>
        <w:spacing w:line="400" w:lineRule="exact"/>
        <w:ind w:left="0" w:firstLine="420" w:firstLineChars="200"/>
        <w:jc w:val="left"/>
        <w:rPr>
          <w:rFonts w:ascii="宋体" w:hAnsi="宋体" w:eastAsia="宋体" w:cs="宋体"/>
          <w:color w:val="auto"/>
          <w:kern w:val="0"/>
          <w:szCs w:val="21"/>
          <w:highlight w:val="none"/>
          <w:u w:val="single"/>
        </w:rPr>
      </w:pPr>
      <w:r>
        <w:rPr>
          <w:rFonts w:hint="eastAsia" w:ascii="宋体" w:hAnsi="宋体" w:eastAsia="宋体" w:cs="宋体"/>
          <w:color w:val="auto"/>
          <w:kern w:val="0"/>
          <w:szCs w:val="21"/>
          <w:highlight w:val="none"/>
        </w:rPr>
        <w:t>发包人违约的其他情形：</w:t>
      </w:r>
      <w:r>
        <w:rPr>
          <w:rFonts w:hint="eastAsia" w:ascii="宋体" w:hAnsi="宋体" w:eastAsia="宋体" w:cs="宋体"/>
          <w:color w:val="auto"/>
          <w:kern w:val="0"/>
          <w:szCs w:val="21"/>
          <w:highlight w:val="none"/>
          <w:u w:val="single"/>
        </w:rPr>
        <w:t xml:space="preserve">     /    </w:t>
      </w:r>
      <w:r>
        <w:rPr>
          <w:rFonts w:hint="eastAsia" w:ascii="宋体" w:hAnsi="宋体" w:eastAsia="宋体" w:cs="宋体"/>
          <w:color w:val="auto"/>
          <w:kern w:val="0"/>
          <w:szCs w:val="21"/>
          <w:highlight w:val="none"/>
        </w:rPr>
        <w:t>。</w:t>
      </w:r>
    </w:p>
    <w:p w14:paraId="68B00596">
      <w:pPr>
        <w:spacing w:line="400" w:lineRule="exact"/>
        <w:ind w:left="0" w:firstLine="420" w:firstLineChars="200"/>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16.1.2 发包人违约的责任</w:t>
      </w:r>
    </w:p>
    <w:p w14:paraId="4BAED1A1">
      <w:pPr>
        <w:spacing w:line="400" w:lineRule="exact"/>
        <w:ind w:left="0" w:firstLine="420" w:firstLineChars="200"/>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发包人违约责任的承担方式和计算方法：</w:t>
      </w:r>
    </w:p>
    <w:p w14:paraId="10933F9A">
      <w:pPr>
        <w:spacing w:line="400" w:lineRule="exact"/>
        <w:ind w:left="0" w:firstLine="420" w:firstLineChars="200"/>
        <w:jc w:val="left"/>
        <w:rPr>
          <w:rFonts w:ascii="宋体" w:hAnsi="宋体" w:eastAsia="宋体" w:cs="宋体"/>
          <w:color w:val="auto"/>
          <w:kern w:val="0"/>
          <w:szCs w:val="21"/>
          <w:highlight w:val="none"/>
          <w:u w:val="single"/>
        </w:rPr>
      </w:pPr>
      <w:r>
        <w:rPr>
          <w:rFonts w:hint="eastAsia" w:ascii="宋体" w:hAnsi="宋体" w:eastAsia="宋体" w:cs="宋体"/>
          <w:color w:val="auto"/>
          <w:kern w:val="0"/>
          <w:szCs w:val="21"/>
          <w:highlight w:val="none"/>
        </w:rPr>
        <w:t>（1）因发包人原因未能在计划开工日期前7天内下达开工通知的违约责任：</w:t>
      </w:r>
      <w:r>
        <w:rPr>
          <w:rFonts w:hint="eastAsia" w:ascii="宋体" w:hAnsi="宋体" w:eastAsia="宋体" w:cs="宋体"/>
          <w:color w:val="auto"/>
          <w:kern w:val="0"/>
          <w:szCs w:val="21"/>
          <w:highlight w:val="none"/>
          <w:u w:val="single"/>
        </w:rPr>
        <w:t xml:space="preserve">双方另行商定 </w:t>
      </w:r>
      <w:r>
        <w:rPr>
          <w:rFonts w:hint="eastAsia" w:ascii="宋体" w:hAnsi="宋体" w:eastAsia="宋体" w:cs="宋体"/>
          <w:color w:val="auto"/>
          <w:kern w:val="0"/>
          <w:szCs w:val="21"/>
          <w:highlight w:val="none"/>
        </w:rPr>
        <w:t>。</w:t>
      </w:r>
    </w:p>
    <w:p w14:paraId="16726566">
      <w:pPr>
        <w:spacing w:line="400" w:lineRule="exact"/>
        <w:ind w:left="0" w:firstLine="420" w:firstLineChars="200"/>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（2）因发包人原因未能按合同约定支付合同价款的违约责任：</w:t>
      </w:r>
      <w:r>
        <w:rPr>
          <w:rFonts w:hint="eastAsia" w:ascii="宋体" w:hAnsi="宋体" w:eastAsia="宋体" w:cs="宋体"/>
          <w:color w:val="auto"/>
          <w:kern w:val="0"/>
          <w:szCs w:val="21"/>
          <w:highlight w:val="none"/>
          <w:u w:val="single"/>
        </w:rPr>
        <w:t xml:space="preserve">  双方另行商定  </w:t>
      </w:r>
      <w:r>
        <w:rPr>
          <w:rFonts w:hint="eastAsia" w:ascii="宋体" w:hAnsi="宋体" w:eastAsia="宋体" w:cs="宋体"/>
          <w:color w:val="auto"/>
          <w:kern w:val="0"/>
          <w:szCs w:val="21"/>
          <w:highlight w:val="none"/>
        </w:rPr>
        <w:t>。</w:t>
      </w:r>
    </w:p>
    <w:p w14:paraId="03A1CB49">
      <w:pPr>
        <w:spacing w:line="400" w:lineRule="exact"/>
        <w:ind w:left="0" w:firstLine="420" w:firstLineChars="200"/>
        <w:jc w:val="left"/>
        <w:rPr>
          <w:rFonts w:ascii="宋体" w:hAnsi="宋体" w:eastAsia="宋体" w:cs="宋体"/>
          <w:color w:val="auto"/>
          <w:kern w:val="0"/>
          <w:szCs w:val="21"/>
          <w:highlight w:val="none"/>
          <w:u w:val="single"/>
        </w:rPr>
      </w:pPr>
      <w:r>
        <w:rPr>
          <w:rFonts w:hint="eastAsia" w:ascii="宋体" w:hAnsi="宋体" w:eastAsia="宋体" w:cs="宋体"/>
          <w:color w:val="auto"/>
          <w:kern w:val="0"/>
          <w:szCs w:val="21"/>
          <w:highlight w:val="none"/>
        </w:rPr>
        <w:t>（3）发包人违反第10.1款〔变更的范围〕第（2）项约定，自行实施被取消的工作或转由他人实施的违约责任：</w:t>
      </w:r>
      <w:r>
        <w:rPr>
          <w:rFonts w:hint="eastAsia" w:ascii="宋体" w:hAnsi="宋体" w:eastAsia="宋体" w:cs="宋体"/>
          <w:color w:val="auto"/>
          <w:kern w:val="0"/>
          <w:szCs w:val="21"/>
          <w:highlight w:val="none"/>
          <w:u w:val="single"/>
        </w:rPr>
        <w:t xml:space="preserve">  双方另行商定  </w:t>
      </w:r>
      <w:r>
        <w:rPr>
          <w:rFonts w:hint="eastAsia" w:ascii="宋体" w:hAnsi="宋体" w:eastAsia="宋体" w:cs="宋体"/>
          <w:color w:val="auto"/>
          <w:kern w:val="0"/>
          <w:szCs w:val="21"/>
          <w:highlight w:val="none"/>
        </w:rPr>
        <w:t>。</w:t>
      </w:r>
    </w:p>
    <w:p w14:paraId="2B3AF8F8">
      <w:pPr>
        <w:spacing w:line="400" w:lineRule="exact"/>
        <w:ind w:left="0" w:firstLine="420" w:firstLineChars="200"/>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（4）发包人提供的材料、工程设备的规格、数量或质量不符合合同约定，或因发包人原因导致交货日期延误或交货地点变更等情况的违约责任：</w:t>
      </w:r>
      <w:r>
        <w:rPr>
          <w:rFonts w:hint="eastAsia" w:ascii="宋体" w:hAnsi="宋体" w:eastAsia="宋体" w:cs="宋体"/>
          <w:color w:val="auto"/>
          <w:kern w:val="0"/>
          <w:szCs w:val="21"/>
          <w:highlight w:val="none"/>
          <w:u w:val="single"/>
        </w:rPr>
        <w:t xml:space="preserve">  双方另行商定  </w:t>
      </w:r>
      <w:r>
        <w:rPr>
          <w:rFonts w:hint="eastAsia" w:ascii="宋体" w:hAnsi="宋体" w:eastAsia="宋体" w:cs="宋体"/>
          <w:color w:val="auto"/>
          <w:kern w:val="0"/>
          <w:szCs w:val="21"/>
          <w:highlight w:val="none"/>
        </w:rPr>
        <w:t>。</w:t>
      </w:r>
    </w:p>
    <w:p w14:paraId="1B768B65">
      <w:pPr>
        <w:spacing w:line="400" w:lineRule="exact"/>
        <w:ind w:left="0" w:firstLine="420" w:firstLineChars="200"/>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（5）因发包人违反合同约定造成暂停施工的违约责任：</w:t>
      </w:r>
      <w:r>
        <w:rPr>
          <w:rFonts w:hint="eastAsia" w:ascii="宋体" w:hAnsi="宋体" w:eastAsia="宋体" w:cs="宋体"/>
          <w:color w:val="auto"/>
          <w:kern w:val="0"/>
          <w:szCs w:val="21"/>
          <w:highlight w:val="none"/>
          <w:u w:val="single"/>
        </w:rPr>
        <w:t xml:space="preserve">  双方另行商定   </w:t>
      </w:r>
      <w:r>
        <w:rPr>
          <w:rFonts w:hint="eastAsia" w:ascii="宋体" w:hAnsi="宋体" w:eastAsia="宋体" w:cs="宋体"/>
          <w:color w:val="auto"/>
          <w:kern w:val="0"/>
          <w:szCs w:val="21"/>
          <w:highlight w:val="none"/>
        </w:rPr>
        <w:t>。</w:t>
      </w:r>
    </w:p>
    <w:p w14:paraId="2E3D1200">
      <w:pPr>
        <w:spacing w:line="400" w:lineRule="exact"/>
        <w:ind w:left="0" w:firstLine="420" w:firstLineChars="200"/>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（6）发包人无正当理由没有在约定期限内发出复工指示，导致承包人无法复工的违约责任：</w:t>
      </w:r>
      <w:r>
        <w:rPr>
          <w:rFonts w:hint="eastAsia" w:ascii="宋体" w:hAnsi="宋体" w:eastAsia="宋体" w:cs="宋体"/>
          <w:color w:val="auto"/>
          <w:kern w:val="0"/>
          <w:szCs w:val="21"/>
          <w:highlight w:val="none"/>
          <w:u w:val="single"/>
        </w:rPr>
        <w:t xml:space="preserve">   双方另行商定   </w:t>
      </w:r>
      <w:r>
        <w:rPr>
          <w:rFonts w:hint="eastAsia" w:ascii="宋体" w:hAnsi="宋体" w:eastAsia="宋体" w:cs="宋体"/>
          <w:color w:val="auto"/>
          <w:kern w:val="0"/>
          <w:szCs w:val="21"/>
          <w:highlight w:val="none"/>
        </w:rPr>
        <w:t>。</w:t>
      </w:r>
    </w:p>
    <w:p w14:paraId="00E771B7">
      <w:pPr>
        <w:spacing w:line="400" w:lineRule="exact"/>
        <w:ind w:left="0" w:firstLine="420" w:firstLineChars="200"/>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（7）其他：</w:t>
      </w:r>
      <w:r>
        <w:rPr>
          <w:rFonts w:hint="eastAsia" w:ascii="宋体" w:hAnsi="宋体" w:eastAsia="宋体" w:cs="宋体"/>
          <w:color w:val="auto"/>
          <w:kern w:val="0"/>
          <w:szCs w:val="21"/>
          <w:highlight w:val="none"/>
          <w:u w:val="single"/>
        </w:rPr>
        <w:t xml:space="preserve">     /    </w:t>
      </w:r>
      <w:r>
        <w:rPr>
          <w:rFonts w:hint="eastAsia" w:ascii="宋体" w:hAnsi="宋体" w:eastAsia="宋体" w:cs="宋体"/>
          <w:color w:val="auto"/>
          <w:kern w:val="0"/>
          <w:szCs w:val="21"/>
          <w:highlight w:val="none"/>
        </w:rPr>
        <w:t>。</w:t>
      </w:r>
    </w:p>
    <w:p w14:paraId="219966BF">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16.1.3 因发包人违约解除合同</w:t>
      </w:r>
    </w:p>
    <w:p w14:paraId="53D63675">
      <w:pPr>
        <w:autoSpaceDE w:val="0"/>
        <w:autoSpaceDN w:val="0"/>
        <w:adjustRightInd w:val="0"/>
        <w:spacing w:line="400" w:lineRule="exact"/>
        <w:ind w:left="0" w:firstLine="420" w:firstLineChars="200"/>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承包人按16.1.1项〔发包人违约的情形〕约定暂停施工满</w:t>
      </w:r>
      <w:r>
        <w:rPr>
          <w:rFonts w:hint="eastAsia" w:ascii="宋体" w:hAnsi="宋体" w:eastAsia="宋体" w:cs="宋体"/>
          <w:color w:val="auto"/>
          <w:kern w:val="0"/>
          <w:szCs w:val="21"/>
          <w:highlight w:val="none"/>
          <w:u w:val="single"/>
        </w:rPr>
        <w:t xml:space="preserve">  60  </w:t>
      </w:r>
      <w:r>
        <w:rPr>
          <w:rFonts w:hint="eastAsia" w:ascii="宋体" w:hAnsi="宋体" w:eastAsia="宋体" w:cs="宋体"/>
          <w:color w:val="auto"/>
          <w:kern w:val="0"/>
          <w:szCs w:val="21"/>
          <w:highlight w:val="none"/>
        </w:rPr>
        <w:t>天后发包人仍不纠正其违约行为并致使合同目的不能实现的，承包人有权解除合同。</w:t>
      </w:r>
    </w:p>
    <w:p w14:paraId="6B9EDA2B">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16.2 承包人违约</w:t>
      </w:r>
    </w:p>
    <w:p w14:paraId="248AEE4A">
      <w:pPr>
        <w:spacing w:line="400" w:lineRule="exact"/>
        <w:ind w:left="0" w:firstLine="420" w:firstLineChars="200"/>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16.2.1 承包人违约的情形</w:t>
      </w:r>
    </w:p>
    <w:p w14:paraId="2D8CB999">
      <w:pPr>
        <w:tabs>
          <w:tab w:val="left" w:pos="5103"/>
        </w:tabs>
        <w:spacing w:line="400" w:lineRule="exact"/>
        <w:ind w:left="0" w:firstLine="420" w:firstLineChars="200"/>
        <w:jc w:val="left"/>
        <w:rPr>
          <w:rFonts w:ascii="宋体" w:hAnsi="宋体" w:eastAsia="宋体" w:cs="宋体"/>
          <w:color w:val="auto"/>
          <w:kern w:val="0"/>
          <w:szCs w:val="21"/>
          <w:highlight w:val="none"/>
          <w:u w:val="single"/>
        </w:rPr>
      </w:pPr>
      <w:r>
        <w:rPr>
          <w:rFonts w:hint="eastAsia" w:ascii="宋体" w:hAnsi="宋体" w:eastAsia="宋体" w:cs="宋体"/>
          <w:color w:val="auto"/>
          <w:kern w:val="0"/>
          <w:szCs w:val="21"/>
          <w:highlight w:val="none"/>
        </w:rPr>
        <w:t>承包人违约的其他情形：</w:t>
      </w:r>
      <w:r>
        <w:rPr>
          <w:rFonts w:hint="eastAsia" w:ascii="宋体" w:hAnsi="宋体" w:eastAsia="宋体" w:cs="宋体"/>
          <w:color w:val="auto"/>
          <w:kern w:val="0"/>
          <w:szCs w:val="21"/>
          <w:highlight w:val="none"/>
          <w:u w:val="single"/>
        </w:rPr>
        <w:t xml:space="preserve">    /    </w:t>
      </w:r>
      <w:r>
        <w:rPr>
          <w:rFonts w:hint="eastAsia" w:ascii="宋体" w:hAnsi="宋体" w:eastAsia="宋体" w:cs="宋体"/>
          <w:color w:val="auto"/>
          <w:kern w:val="0"/>
          <w:szCs w:val="21"/>
          <w:highlight w:val="none"/>
        </w:rPr>
        <w:t>。</w:t>
      </w:r>
    </w:p>
    <w:p w14:paraId="76ECCBF7">
      <w:pPr>
        <w:spacing w:line="400" w:lineRule="exact"/>
        <w:ind w:left="0" w:firstLine="420" w:firstLineChars="200"/>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16.2.2承包人违约的责任</w:t>
      </w:r>
    </w:p>
    <w:p w14:paraId="73C98919">
      <w:pPr>
        <w:spacing w:line="400" w:lineRule="exact"/>
        <w:ind w:left="0" w:firstLine="420" w:firstLineChars="200"/>
        <w:jc w:val="left"/>
        <w:rPr>
          <w:rFonts w:ascii="宋体" w:hAnsi="宋体" w:eastAsia="宋体" w:cs="宋体"/>
          <w:color w:val="auto"/>
          <w:kern w:val="0"/>
          <w:szCs w:val="21"/>
          <w:highlight w:val="none"/>
          <w:u w:val="single"/>
        </w:rPr>
      </w:pPr>
      <w:r>
        <w:rPr>
          <w:rFonts w:hint="eastAsia" w:ascii="宋体" w:hAnsi="宋体" w:eastAsia="宋体" w:cs="宋体"/>
          <w:color w:val="auto"/>
          <w:kern w:val="0"/>
          <w:szCs w:val="21"/>
          <w:highlight w:val="none"/>
        </w:rPr>
        <w:t>承包人违约责任的承担方式和计算方法：</w:t>
      </w:r>
    </w:p>
    <w:p w14:paraId="587381F3">
      <w:pPr>
        <w:spacing w:line="400" w:lineRule="exact"/>
        <w:ind w:left="0" w:firstLine="420" w:firstLineChars="200"/>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承包人未按本合同通用条款第16.2.1（2）、（3）条内容完成的，承包人无条件返工处理，修复至工程质量要求并承担相关费用，并在发包人规定的时间内完成返工，否则发包人有权扣罚该分项工程10%的工程款作为处罚。</w:t>
      </w:r>
    </w:p>
    <w:p w14:paraId="2B83936A">
      <w:pPr>
        <w:spacing w:line="400" w:lineRule="exact"/>
        <w:ind w:left="0" w:firstLine="420" w:firstLineChars="200"/>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（2）承包人有本合同通用条款第16.2.1（6）条情形的，或经监理人检验认为修复质量不合格而承包人拒绝再进行修补的，发包人将扣除承包人全部质量保证金。</w:t>
      </w:r>
    </w:p>
    <w:p w14:paraId="6EFE0384">
      <w:pPr>
        <w:spacing w:line="400" w:lineRule="exact"/>
        <w:ind w:left="0" w:firstLine="420" w:firstLineChars="200"/>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承包人有本专用合同条款3.2、3.3条违约责任的，发包人有权扣除承包人的违约金。违约金金额均在承包人的履约保证金及计量支付款内扣除。监理人或发包人预先下发含有罚款意向的指令，如承包人不及时采取措施纠正，则在指令下达后十五天下发罚款通知书（不再陈述罚款理由）。承包人履约保证金被罚款后由发包人从最后一次计量支付时扣除相应金额补足履约保证金。承包人在合同期内，完成合同规定的全部工程，且质量合格，在本工程施工竣工验收后十五天内可申请返还全部或部分罚款，返还金额由监理人审核，发包人批准。罚款金额返还时不包括银行利息。</w:t>
      </w:r>
    </w:p>
    <w:p w14:paraId="779F365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leftChars="0" w:right="0" w:rightChars="0" w:firstLine="482" w:firstLineChars="200"/>
        <w:jc w:val="left"/>
        <w:textAlignment w:val="auto"/>
        <w:rPr>
          <w:rFonts w:ascii="宋体" w:hAnsi="宋体" w:eastAsia="宋体" w:cs="宋体"/>
          <w:b/>
          <w:bCs/>
          <w:color w:val="auto"/>
          <w:kern w:val="0"/>
          <w:sz w:val="24"/>
          <w:szCs w:val="24"/>
          <w:highlight w:val="none"/>
          <w:u w:val="single"/>
          <w:lang w:val="en-US" w:eastAsia="zh-CN" w:bidi="ar"/>
        </w:rPr>
      </w:pPr>
      <w:r>
        <w:rPr>
          <w:rFonts w:hint="default" w:ascii="宋体" w:hAnsi="宋体" w:eastAsia="宋体" w:cs="宋体"/>
          <w:b/>
          <w:bCs/>
          <w:color w:val="auto"/>
          <w:kern w:val="0"/>
          <w:sz w:val="24"/>
          <w:szCs w:val="24"/>
          <w:highlight w:val="none"/>
          <w:lang w:val="en-US" w:eastAsia="zh-CN" w:bidi="ar"/>
        </w:rPr>
        <w:t>(</w:t>
      </w:r>
      <w:r>
        <w:rPr>
          <w:rFonts w:hint="eastAsia" w:ascii="宋体" w:hAnsi="宋体" w:eastAsia="宋体" w:cs="宋体"/>
          <w:b/>
          <w:bCs/>
          <w:color w:val="auto"/>
          <w:kern w:val="0"/>
          <w:sz w:val="24"/>
          <w:szCs w:val="24"/>
          <w:highlight w:val="none"/>
          <w:lang w:val="en-US" w:eastAsia="zh-CN" w:bidi="ar"/>
        </w:rPr>
        <w:t>4</w:t>
      </w:r>
      <w:r>
        <w:rPr>
          <w:rFonts w:hint="default" w:ascii="宋体" w:hAnsi="宋体" w:eastAsia="宋体" w:cs="宋体"/>
          <w:b/>
          <w:bCs/>
          <w:color w:val="auto"/>
          <w:kern w:val="0"/>
          <w:sz w:val="24"/>
          <w:szCs w:val="24"/>
          <w:highlight w:val="none"/>
          <w:lang w:val="en-US" w:eastAsia="zh-CN" w:bidi="ar"/>
        </w:rPr>
        <w:t>)</w:t>
      </w:r>
      <w:r>
        <w:rPr>
          <w:rFonts w:hint="eastAsia" w:hAnsi="宋体" w:eastAsia="宋体"/>
          <w:color w:val="auto"/>
          <w:kern w:val="0"/>
          <w:szCs w:val="21"/>
          <w:highlight w:val="none"/>
        </w:rPr>
        <w:t>发包人已按时将农民工工资拨付到</w:t>
      </w:r>
      <w:r>
        <w:rPr>
          <w:rFonts w:hint="eastAsia" w:hAnsi="宋体" w:eastAsia="宋体"/>
          <w:b/>
          <w:bCs/>
          <w:color w:val="auto"/>
          <w:kern w:val="0"/>
          <w:szCs w:val="21"/>
          <w:highlight w:val="none"/>
          <w:lang w:val="en-US" w:eastAsia="zh-CN"/>
        </w:rPr>
        <w:t>承包方指定</w:t>
      </w:r>
      <w:r>
        <w:rPr>
          <w:rFonts w:hint="eastAsia" w:hAnsi="宋体" w:eastAsia="宋体"/>
          <w:color w:val="auto"/>
          <w:kern w:val="0"/>
          <w:szCs w:val="21"/>
          <w:highlight w:val="none"/>
        </w:rPr>
        <w:t>账户，仍出现农民工工资拖欠的，由承包人承担农民工工资清偿责任，发包人可从未支付工程款中清偿。</w:t>
      </w:r>
    </w:p>
    <w:p w14:paraId="755C13B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leftChars="0" w:right="0" w:rightChars="0" w:firstLine="420" w:firstLineChars="200"/>
        <w:jc w:val="left"/>
        <w:textAlignment w:val="auto"/>
        <w:rPr>
          <w:rFonts w:eastAsia="宋体"/>
          <w:color w:val="auto"/>
          <w:sz w:val="21"/>
          <w:szCs w:val="21"/>
          <w:highlight w:val="none"/>
        </w:rPr>
      </w:pPr>
      <w:r>
        <w:rPr>
          <w:rFonts w:hint="default" w:eastAsia="宋体"/>
          <w:color w:val="auto"/>
          <w:kern w:val="2"/>
          <w:sz w:val="21"/>
          <w:szCs w:val="21"/>
          <w:highlight w:val="none"/>
          <w:lang w:val="en-US" w:eastAsia="zh-CN" w:bidi="ar-SA"/>
        </w:rPr>
        <w:t>(</w:t>
      </w:r>
      <w:r>
        <w:rPr>
          <w:rFonts w:hint="eastAsia" w:eastAsia="宋体"/>
          <w:color w:val="auto"/>
          <w:kern w:val="2"/>
          <w:sz w:val="21"/>
          <w:szCs w:val="21"/>
          <w:highlight w:val="none"/>
          <w:lang w:val="en-US" w:eastAsia="zh-CN" w:bidi="ar-SA"/>
        </w:rPr>
        <w:t>5</w:t>
      </w:r>
      <w:r>
        <w:rPr>
          <w:rFonts w:hint="default" w:eastAsia="宋体"/>
          <w:color w:val="auto"/>
          <w:kern w:val="2"/>
          <w:sz w:val="21"/>
          <w:szCs w:val="21"/>
          <w:highlight w:val="none"/>
          <w:lang w:val="en-US" w:eastAsia="zh-CN" w:bidi="ar-SA"/>
        </w:rPr>
        <w:t>)</w:t>
      </w:r>
      <w:r>
        <w:rPr>
          <w:rFonts w:ascii="宋体" w:hAnsi="宋体" w:eastAsia="宋体" w:cs="宋体"/>
          <w:b/>
          <w:bCs/>
          <w:color w:val="auto"/>
          <w:kern w:val="0"/>
          <w:sz w:val="21"/>
          <w:szCs w:val="21"/>
          <w:highlight w:val="none"/>
          <w:u w:val="single"/>
          <w:lang w:val="en-US" w:eastAsia="zh-CN" w:bidi="ar"/>
        </w:rPr>
        <w:t>承包人未按约定提交施工组织设计、工程总进度计划的，发包人有权拒绝支付预付款；承包人未按工程进度审批流程提交完整付款资料的，发包人有权不予受理付款申请</w:t>
      </w:r>
      <w:r>
        <w:rPr>
          <w:rFonts w:ascii="宋体" w:hAnsi="宋体" w:eastAsia="宋体" w:cs="宋体"/>
          <w:color w:val="auto"/>
          <w:kern w:val="0"/>
          <w:sz w:val="21"/>
          <w:szCs w:val="21"/>
          <w:highlight w:val="none"/>
          <w:u w:val="single"/>
          <w:lang w:val="en-US" w:eastAsia="zh-CN" w:bidi="ar"/>
        </w:rPr>
        <w:t>。</w:t>
      </w:r>
    </w:p>
    <w:p w14:paraId="50569BCA">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16.2.3 因承包人违约解除合同</w:t>
      </w:r>
    </w:p>
    <w:p w14:paraId="57223B62">
      <w:pPr>
        <w:spacing w:line="400" w:lineRule="exact"/>
        <w:ind w:left="0" w:firstLine="420" w:firstLineChars="200"/>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关于承包人违约解除合同的特别约定：</w:t>
      </w:r>
      <w:r>
        <w:rPr>
          <w:rFonts w:hint="eastAsia" w:ascii="宋体" w:hAnsi="宋体" w:eastAsia="宋体" w:cs="宋体"/>
          <w:color w:val="auto"/>
          <w:kern w:val="0"/>
          <w:szCs w:val="21"/>
          <w:highlight w:val="none"/>
          <w:u w:val="single"/>
        </w:rPr>
        <w:t>承包人有违反以下情况之一的，发包人有权解除合同，并没收其全部履约保证金（如本项目</w:t>
      </w:r>
      <w:r>
        <w:rPr>
          <w:rFonts w:hint="eastAsia" w:ascii="宋体" w:hAnsi="宋体" w:eastAsia="宋体" w:cs="宋体"/>
          <w:color w:val="auto"/>
          <w:szCs w:val="21"/>
          <w:highlight w:val="none"/>
          <w:u w:val="single"/>
        </w:rPr>
        <w:t>无履约保证金的，承包人须在发生违约后的3个月内一次性向发包人支付违约金，违约金额按本工程合同价的30%计算</w:t>
      </w:r>
      <w:r>
        <w:rPr>
          <w:rFonts w:hint="eastAsia" w:ascii="宋体" w:hAnsi="宋体" w:eastAsia="宋体" w:cs="宋体"/>
          <w:color w:val="auto"/>
          <w:kern w:val="0"/>
          <w:szCs w:val="21"/>
          <w:highlight w:val="none"/>
          <w:u w:val="single"/>
        </w:rPr>
        <w:t>）</w:t>
      </w:r>
      <w:r>
        <w:rPr>
          <w:rFonts w:hint="eastAsia" w:ascii="宋体" w:hAnsi="宋体" w:eastAsia="宋体" w:cs="宋体"/>
          <w:color w:val="auto"/>
          <w:kern w:val="0"/>
          <w:szCs w:val="21"/>
          <w:highlight w:val="none"/>
        </w:rPr>
        <w:t>。</w:t>
      </w:r>
    </w:p>
    <w:p w14:paraId="37099E28">
      <w:pPr>
        <w:spacing w:line="400" w:lineRule="exact"/>
        <w:ind w:left="0" w:firstLine="420" w:firstLineChars="200"/>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(1)承包人无正当理由不按开工通知的要求及时进场组织施工和不按签订协议书时商定的进度计划有效地开展施工准备，造成工期延误的；</w:t>
      </w:r>
    </w:p>
    <w:p w14:paraId="0852C3E2">
      <w:pPr>
        <w:spacing w:line="400" w:lineRule="exact"/>
        <w:ind w:left="0" w:firstLine="420" w:firstLineChars="200"/>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(2)承包人违反本合同通用条款第3.5条规定私自将合同或合同的任何部分或任何权利转让给其他人，或私自将工程或工程的一部分分包出去的；</w:t>
      </w:r>
    </w:p>
    <w:p w14:paraId="4B7C098C">
      <w:pPr>
        <w:spacing w:line="400" w:lineRule="exact"/>
        <w:ind w:left="0" w:firstLine="420" w:firstLineChars="200"/>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(3)未经监理人或发包人批准，承包人私自将已按响应文件承诺进入工地的工程设备、施工设备、临时工程或材料撤离工地的；</w:t>
      </w:r>
    </w:p>
    <w:p w14:paraId="4D10C99F">
      <w:pPr>
        <w:spacing w:line="400" w:lineRule="exact"/>
        <w:ind w:left="0" w:firstLine="420" w:firstLineChars="200"/>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(4)由于承包人原因拒绝按合同进度计划及时完成合同规定的工程，而又未采取有效措施赶上进度，造成工期严重延误的；</w:t>
      </w:r>
    </w:p>
    <w:p w14:paraId="4FEF9B47">
      <w:pPr>
        <w:spacing w:line="400" w:lineRule="exact"/>
        <w:ind w:left="0"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(5)承包人否认合同有效或拒绝履行合同规定的承包人义务，或由于法律、财务等原因导致承包人无法继续履行或实质上已停止履行合同的义务的；</w:t>
      </w:r>
    </w:p>
    <w:p w14:paraId="0D899DC7">
      <w:pPr>
        <w:spacing w:line="400" w:lineRule="exact"/>
        <w:ind w:left="0"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(6)合同签订之日起十五日内，承包人无法按合同规定及响应文件的承诺进场经监理工程师□/发包人</w:t>
      </w:r>
      <w:r>
        <w:rPr>
          <w:rFonts w:hint="eastAsia" w:ascii="宋体" w:hAnsi="宋体" w:eastAsia="宋体" w:cs="宋体"/>
          <w:b/>
          <w:color w:val="auto"/>
          <w:kern w:val="0"/>
          <w:szCs w:val="21"/>
          <w:highlight w:val="none"/>
        </w:rPr>
        <w:sym w:font="Wingdings 2" w:char="0052"/>
      </w:r>
      <w:r>
        <w:rPr>
          <w:rFonts w:hint="eastAsia" w:ascii="宋体" w:hAnsi="宋体" w:eastAsia="宋体" w:cs="宋体"/>
          <w:color w:val="auto"/>
          <w:kern w:val="0"/>
          <w:szCs w:val="21"/>
          <w:highlight w:val="none"/>
        </w:rPr>
        <w:t>认可的全部人员和机械的。</w:t>
      </w:r>
    </w:p>
    <w:p w14:paraId="17EFAB38">
      <w:pPr>
        <w:spacing w:line="400" w:lineRule="exact"/>
        <w:ind w:left="0"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(7)由于承包人的原因造成工期延误累计达到120天的。</w:t>
      </w:r>
    </w:p>
    <w:p w14:paraId="38FF2049">
      <w:pPr>
        <w:spacing w:line="400" w:lineRule="exact"/>
        <w:ind w:left="0"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发包人继续使用承包人在施工现场的材料、设备、临时工程、承包人文件和由承包人或以其名义编制的其他文件的费用承担方式：</w:t>
      </w:r>
      <w:r>
        <w:rPr>
          <w:rFonts w:hint="eastAsia" w:ascii="宋体" w:hAnsi="宋体" w:eastAsia="宋体" w:cs="宋体"/>
          <w:color w:val="auto"/>
          <w:kern w:val="0"/>
          <w:szCs w:val="21"/>
          <w:highlight w:val="none"/>
          <w:u w:val="single"/>
        </w:rPr>
        <w:t>除材料、设备另行协商外，其它无偿使用</w:t>
      </w:r>
      <w:r>
        <w:rPr>
          <w:rFonts w:hint="eastAsia" w:ascii="宋体" w:hAnsi="宋体" w:eastAsia="宋体" w:cs="宋体"/>
          <w:color w:val="auto"/>
          <w:kern w:val="0"/>
          <w:szCs w:val="21"/>
          <w:highlight w:val="none"/>
        </w:rPr>
        <w:t>。</w:t>
      </w:r>
    </w:p>
    <w:p w14:paraId="7C5F0D5F">
      <w:pPr>
        <w:spacing w:line="400" w:lineRule="exact"/>
        <w:ind w:left="0" w:firstLine="420" w:firstLineChars="200"/>
        <w:rPr>
          <w:rFonts w:ascii="宋体" w:hAnsi="宋体" w:eastAsia="宋体" w:cs="宋体"/>
          <w:color w:val="auto"/>
          <w:highlight w:val="none"/>
        </w:rPr>
      </w:pPr>
      <w:r>
        <w:rPr>
          <w:rFonts w:hint="eastAsia" w:ascii="宋体" w:hAnsi="宋体" w:eastAsia="宋体" w:cs="宋体"/>
          <w:color w:val="auto"/>
          <w:kern w:val="0"/>
          <w:highlight w:val="none"/>
        </w:rPr>
        <w:t>（8）在合同履行过程中，如承包人出现破产、清算、合并或分立等情况，承包人应在三日内通知发包人，如未及时通知所造成的一切损失由承包人承担。承包人出现破产、清算、合并或分立等情况下，发包人有权单方解除合同，并无需承担违约责任。</w:t>
      </w:r>
    </w:p>
    <w:p w14:paraId="6319033B">
      <w:pPr>
        <w:spacing w:line="400" w:lineRule="exact"/>
        <w:ind w:left="0"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16.2.4因承包人违约解除合同后的处理</w:t>
      </w:r>
    </w:p>
    <w:p w14:paraId="4398885E">
      <w:pPr>
        <w:spacing w:line="400" w:lineRule="exact"/>
        <w:ind w:left="0"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如果发包人应扣除的金额超过应支付的金额，承包人应在合同解除后的56天内将其差额退还给发包人。</w:t>
      </w:r>
    </w:p>
    <w:p w14:paraId="5F6A2074">
      <w:pPr>
        <w:spacing w:line="400" w:lineRule="exact"/>
        <w:ind w:left="0" w:firstLine="422" w:firstLineChars="200"/>
        <w:jc w:val="left"/>
        <w:rPr>
          <w:rFonts w:ascii="宋体" w:hAnsi="宋体" w:eastAsia="宋体" w:cs="宋体"/>
          <w:b/>
          <w:color w:val="auto"/>
          <w:szCs w:val="21"/>
          <w:highlight w:val="none"/>
        </w:rPr>
      </w:pPr>
      <w:bookmarkStart w:id="504" w:name="_Toc351203649"/>
      <w:r>
        <w:rPr>
          <w:rFonts w:hint="eastAsia" w:ascii="宋体" w:hAnsi="宋体" w:eastAsia="宋体" w:cs="宋体"/>
          <w:b/>
          <w:color w:val="auto"/>
          <w:szCs w:val="21"/>
          <w:highlight w:val="none"/>
        </w:rPr>
        <w:t>17. 不可抗力</w:t>
      </w:r>
      <w:bookmarkEnd w:id="502"/>
      <w:bookmarkEnd w:id="504"/>
    </w:p>
    <w:p w14:paraId="7A5E0CEC">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17.1 不可抗力的确认</w:t>
      </w:r>
    </w:p>
    <w:p w14:paraId="6B8D7B6B">
      <w:pPr>
        <w:spacing w:line="400" w:lineRule="exact"/>
        <w:ind w:left="0" w:firstLine="420" w:firstLineChars="200"/>
        <w:jc w:val="left"/>
        <w:rPr>
          <w:rFonts w:ascii="宋体" w:hAnsi="宋体" w:eastAsia="宋体" w:cs="宋体"/>
          <w:color w:val="auto"/>
          <w:kern w:val="0"/>
          <w:szCs w:val="21"/>
          <w:highlight w:val="none"/>
          <w:u w:val="single"/>
        </w:rPr>
      </w:pPr>
      <w:r>
        <w:rPr>
          <w:rFonts w:hint="eastAsia" w:ascii="宋体" w:hAnsi="宋体" w:eastAsia="宋体" w:cs="宋体"/>
          <w:color w:val="auto"/>
          <w:szCs w:val="21"/>
          <w:highlight w:val="none"/>
        </w:rPr>
        <w:t xml:space="preserve">除通用合同条款约定的不可抗力事件之外，视为不可抗力的其他情形： </w:t>
      </w:r>
      <w:r>
        <w:rPr>
          <w:rFonts w:hint="eastAsia" w:ascii="宋体" w:hAnsi="宋体" w:eastAsia="宋体" w:cs="宋体"/>
          <w:color w:val="auto"/>
          <w:szCs w:val="21"/>
          <w:highlight w:val="none"/>
          <w:u w:val="single"/>
        </w:rPr>
        <w:t>因战争、动乱、空中飞行物体坠落或其他非发包人承包人责任造成的爆炸、火灾，以及：A.风力大于八级；B.七级以上地震；C.日最大降水量超过175mm。应在7日内办理签证，逾期视为放弃签证。</w:t>
      </w:r>
    </w:p>
    <w:p w14:paraId="0DBA1335">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17.4 因不可抗力解除合同</w:t>
      </w:r>
    </w:p>
    <w:p w14:paraId="6C0DFF0D">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合同解除后，发包人应在商定或确定发包人应支付款项后</w:t>
      </w:r>
      <w:r>
        <w:rPr>
          <w:rFonts w:hint="eastAsia" w:ascii="宋体" w:hAnsi="宋体" w:eastAsia="宋体" w:cs="宋体"/>
          <w:color w:val="auto"/>
          <w:szCs w:val="21"/>
          <w:highlight w:val="none"/>
          <w:u w:val="single"/>
        </w:rPr>
        <w:t>56</w:t>
      </w:r>
      <w:r>
        <w:rPr>
          <w:rFonts w:hint="eastAsia" w:ascii="宋体" w:hAnsi="宋体" w:eastAsia="宋体" w:cs="宋体"/>
          <w:color w:val="auto"/>
          <w:szCs w:val="21"/>
          <w:highlight w:val="none"/>
        </w:rPr>
        <w:t>天内完成款项的支付。</w:t>
      </w:r>
    </w:p>
    <w:p w14:paraId="70C4BA4A">
      <w:pPr>
        <w:spacing w:line="400" w:lineRule="exact"/>
        <w:ind w:left="0" w:firstLine="422" w:firstLineChars="200"/>
        <w:jc w:val="left"/>
        <w:rPr>
          <w:rFonts w:ascii="宋体" w:hAnsi="宋体" w:eastAsia="宋体" w:cs="宋体"/>
          <w:b/>
          <w:color w:val="auto"/>
          <w:szCs w:val="21"/>
          <w:highlight w:val="none"/>
        </w:rPr>
      </w:pPr>
      <w:bookmarkStart w:id="505" w:name="_Toc351203650"/>
      <w:r>
        <w:rPr>
          <w:rFonts w:hint="eastAsia" w:ascii="宋体" w:hAnsi="宋体" w:eastAsia="宋体" w:cs="宋体"/>
          <w:b/>
          <w:color w:val="auto"/>
          <w:szCs w:val="21"/>
          <w:highlight w:val="none"/>
        </w:rPr>
        <w:t>18. 保险</w:t>
      </w:r>
      <w:bookmarkEnd w:id="505"/>
    </w:p>
    <w:bookmarkEnd w:id="503"/>
    <w:p w14:paraId="0B6B9BA3">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18.1 工程保险</w:t>
      </w:r>
    </w:p>
    <w:p w14:paraId="39508A84">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关于工程保险的特别约定：</w:t>
      </w:r>
      <w:r>
        <w:rPr>
          <w:rFonts w:hint="eastAsia" w:ascii="宋体" w:hAnsi="宋体" w:eastAsia="宋体" w:cs="宋体"/>
          <w:color w:val="auto"/>
          <w:kern w:val="0"/>
          <w:szCs w:val="21"/>
          <w:highlight w:val="none"/>
          <w:u w:val="single"/>
        </w:rPr>
        <w:t xml:space="preserve">    /   </w:t>
      </w:r>
      <w:r>
        <w:rPr>
          <w:rFonts w:hint="eastAsia" w:ascii="宋体" w:hAnsi="宋体" w:eastAsia="宋体" w:cs="宋体"/>
          <w:color w:val="auto"/>
          <w:kern w:val="0"/>
          <w:szCs w:val="21"/>
          <w:highlight w:val="none"/>
        </w:rPr>
        <w:t>。</w:t>
      </w:r>
    </w:p>
    <w:p w14:paraId="23610274">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18.3 其他保险</w:t>
      </w:r>
    </w:p>
    <w:p w14:paraId="24A342D3">
      <w:pPr>
        <w:spacing w:line="400" w:lineRule="exact"/>
        <w:ind w:left="0" w:firstLine="420" w:firstLineChars="200"/>
        <w:jc w:val="left"/>
        <w:rPr>
          <w:rFonts w:ascii="宋体" w:hAnsi="宋体" w:eastAsia="宋体" w:cs="宋体"/>
          <w:color w:val="auto"/>
          <w:kern w:val="0"/>
          <w:szCs w:val="21"/>
          <w:highlight w:val="none"/>
        </w:rPr>
      </w:pPr>
      <w:r>
        <w:rPr>
          <w:rFonts w:hint="eastAsia" w:ascii="宋体" w:hAnsi="宋体" w:eastAsia="宋体" w:cs="宋体"/>
          <w:color w:val="auto"/>
          <w:szCs w:val="21"/>
          <w:highlight w:val="none"/>
        </w:rPr>
        <w:t>关于其他保险的约定：</w:t>
      </w:r>
      <w:r>
        <w:rPr>
          <w:rFonts w:hint="eastAsia" w:ascii="宋体" w:hAnsi="宋体" w:eastAsia="宋体" w:cs="宋体"/>
          <w:color w:val="auto"/>
          <w:kern w:val="0"/>
          <w:szCs w:val="21"/>
          <w:highlight w:val="none"/>
          <w:u w:val="single"/>
        </w:rPr>
        <w:t xml:space="preserve">     /   </w:t>
      </w:r>
      <w:r>
        <w:rPr>
          <w:rFonts w:hint="eastAsia" w:ascii="宋体" w:hAnsi="宋体" w:eastAsia="宋体" w:cs="宋体"/>
          <w:color w:val="auto"/>
          <w:kern w:val="0"/>
          <w:szCs w:val="21"/>
          <w:highlight w:val="none"/>
        </w:rPr>
        <w:t>。</w:t>
      </w:r>
    </w:p>
    <w:p w14:paraId="2F06D02B">
      <w:pPr>
        <w:spacing w:line="400" w:lineRule="exact"/>
        <w:ind w:left="0" w:firstLine="420" w:firstLineChars="200"/>
        <w:jc w:val="left"/>
        <w:rPr>
          <w:rFonts w:ascii="宋体" w:hAnsi="宋体" w:eastAsia="宋体" w:cs="宋体"/>
          <w:color w:val="auto"/>
          <w:szCs w:val="21"/>
          <w:highlight w:val="none"/>
          <w:u w:val="single"/>
        </w:rPr>
      </w:pPr>
      <w:r>
        <w:rPr>
          <w:rFonts w:hint="eastAsia" w:ascii="宋体" w:hAnsi="宋体" w:eastAsia="宋体" w:cs="宋体"/>
          <w:color w:val="auto"/>
          <w:szCs w:val="21"/>
          <w:highlight w:val="none"/>
        </w:rPr>
        <w:t>承包人是否应为其施工设备等办理财产保险：</w:t>
      </w:r>
      <w:r>
        <w:rPr>
          <w:rFonts w:hint="eastAsia" w:ascii="宋体" w:hAnsi="宋体" w:eastAsia="宋体" w:cs="宋体"/>
          <w:color w:val="auto"/>
          <w:kern w:val="0"/>
          <w:szCs w:val="21"/>
          <w:highlight w:val="none"/>
          <w:u w:val="single"/>
        </w:rPr>
        <w:t>承包人应为其施工设备等办理财产保险</w:t>
      </w:r>
      <w:r>
        <w:rPr>
          <w:rFonts w:hint="eastAsia" w:ascii="宋体" w:hAnsi="宋体" w:eastAsia="宋体" w:cs="宋体"/>
          <w:color w:val="auto"/>
          <w:szCs w:val="21"/>
          <w:highlight w:val="none"/>
        </w:rPr>
        <w:t>。</w:t>
      </w:r>
    </w:p>
    <w:p w14:paraId="12169CC6">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18.7 通知义务</w:t>
      </w:r>
    </w:p>
    <w:p w14:paraId="4D21A64A">
      <w:pPr>
        <w:spacing w:line="400" w:lineRule="exact"/>
        <w:ind w:left="0" w:firstLine="420" w:firstLineChars="200"/>
        <w:jc w:val="left"/>
        <w:rPr>
          <w:rFonts w:ascii="宋体" w:hAnsi="宋体" w:eastAsia="宋体" w:cs="宋体"/>
          <w:color w:val="auto"/>
          <w:szCs w:val="21"/>
          <w:highlight w:val="none"/>
          <w:u w:val="single"/>
        </w:rPr>
      </w:pPr>
      <w:r>
        <w:rPr>
          <w:rFonts w:hint="eastAsia" w:ascii="宋体" w:hAnsi="宋体" w:eastAsia="宋体" w:cs="宋体"/>
          <w:color w:val="auto"/>
          <w:kern w:val="0"/>
          <w:szCs w:val="21"/>
          <w:highlight w:val="none"/>
        </w:rPr>
        <w:t>关于变更保险合同时的通知义务的约定：</w:t>
      </w:r>
      <w:r>
        <w:rPr>
          <w:rFonts w:hint="eastAsia" w:ascii="宋体" w:hAnsi="宋体" w:eastAsia="宋体" w:cs="宋体"/>
          <w:color w:val="auto"/>
          <w:szCs w:val="21"/>
          <w:highlight w:val="none"/>
          <w:u w:val="single"/>
        </w:rPr>
        <w:t xml:space="preserve">    /   </w:t>
      </w:r>
      <w:r>
        <w:rPr>
          <w:rFonts w:hint="eastAsia" w:ascii="宋体" w:hAnsi="宋体" w:eastAsia="宋体" w:cs="宋体"/>
          <w:color w:val="auto"/>
          <w:szCs w:val="21"/>
          <w:highlight w:val="none"/>
        </w:rPr>
        <w:t>。</w:t>
      </w:r>
    </w:p>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p w14:paraId="617C26B2">
      <w:pPr>
        <w:spacing w:line="400" w:lineRule="exact"/>
        <w:ind w:left="0" w:firstLine="422" w:firstLineChars="200"/>
        <w:jc w:val="left"/>
        <w:rPr>
          <w:rFonts w:ascii="宋体" w:hAnsi="宋体" w:eastAsia="宋体" w:cs="宋体"/>
          <w:b/>
          <w:color w:val="auto"/>
          <w:szCs w:val="21"/>
          <w:highlight w:val="none"/>
        </w:rPr>
      </w:pPr>
      <w:r>
        <w:rPr>
          <w:rFonts w:hint="eastAsia" w:ascii="宋体" w:hAnsi="宋体" w:eastAsia="宋体" w:cs="宋体"/>
          <w:b/>
          <w:color w:val="auto"/>
          <w:szCs w:val="21"/>
          <w:highlight w:val="none"/>
        </w:rPr>
        <w:t>20. 争议解决</w:t>
      </w:r>
    </w:p>
    <w:p w14:paraId="16DC7577">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20.3 争议评审</w:t>
      </w:r>
    </w:p>
    <w:p w14:paraId="35D281CC">
      <w:pPr>
        <w:spacing w:line="400" w:lineRule="exact"/>
        <w:ind w:left="0" w:firstLine="420" w:firstLineChars="200"/>
        <w:jc w:val="left"/>
        <w:rPr>
          <w:rFonts w:ascii="宋体" w:hAnsi="宋体" w:eastAsia="宋体" w:cs="宋体"/>
          <w:color w:val="auto"/>
          <w:szCs w:val="21"/>
          <w:highlight w:val="none"/>
          <w:u w:val="single"/>
        </w:rPr>
      </w:pPr>
      <w:r>
        <w:rPr>
          <w:rFonts w:hint="eastAsia" w:ascii="宋体" w:hAnsi="宋体" w:eastAsia="宋体" w:cs="宋体"/>
          <w:color w:val="auto"/>
          <w:szCs w:val="21"/>
          <w:highlight w:val="none"/>
        </w:rPr>
        <w:t>合同当事人是否同意将工程争议提交争议评审小组决定：</w:t>
      </w:r>
      <w:r>
        <w:rPr>
          <w:rFonts w:hint="eastAsia" w:ascii="宋体" w:hAnsi="宋体" w:eastAsia="宋体" w:cs="宋体"/>
          <w:color w:val="auto"/>
          <w:kern w:val="0"/>
          <w:szCs w:val="21"/>
          <w:highlight w:val="none"/>
          <w:u w:val="single"/>
        </w:rPr>
        <w:t>双方因本合同所产生的争议应首先通过自行协商解决</w:t>
      </w:r>
      <w:r>
        <w:rPr>
          <w:rFonts w:hint="eastAsia" w:ascii="宋体" w:hAnsi="宋体" w:eastAsia="宋体" w:cs="宋体"/>
          <w:color w:val="auto"/>
          <w:szCs w:val="21"/>
          <w:highlight w:val="none"/>
        </w:rPr>
        <w:t xml:space="preserve">。  </w:t>
      </w:r>
    </w:p>
    <w:p w14:paraId="6457FF1B">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20.3.1 争议评审小组的确定</w:t>
      </w:r>
    </w:p>
    <w:p w14:paraId="46755A0A">
      <w:pPr>
        <w:spacing w:line="400" w:lineRule="exact"/>
        <w:ind w:left="0" w:firstLine="420" w:firstLineChars="200"/>
        <w:jc w:val="left"/>
        <w:rPr>
          <w:rFonts w:ascii="宋体" w:hAnsi="宋体" w:eastAsia="宋体" w:cs="宋体"/>
          <w:color w:val="auto"/>
          <w:szCs w:val="21"/>
          <w:highlight w:val="none"/>
          <w:u w:val="single"/>
        </w:rPr>
      </w:pPr>
      <w:r>
        <w:rPr>
          <w:rFonts w:hint="eastAsia" w:ascii="宋体" w:hAnsi="宋体" w:eastAsia="宋体" w:cs="宋体"/>
          <w:color w:val="auto"/>
          <w:szCs w:val="21"/>
          <w:highlight w:val="none"/>
        </w:rPr>
        <w:t>争议评审小组成员的确定：</w:t>
      </w:r>
      <w:r>
        <w:rPr>
          <w:rFonts w:hint="eastAsia" w:ascii="宋体" w:hAnsi="宋体" w:eastAsia="宋体" w:cs="宋体"/>
          <w:color w:val="auto"/>
          <w:szCs w:val="21"/>
          <w:highlight w:val="none"/>
          <w:u w:val="single"/>
        </w:rPr>
        <w:t xml:space="preserve">          /                   </w:t>
      </w:r>
      <w:r>
        <w:rPr>
          <w:rFonts w:hint="eastAsia" w:ascii="宋体" w:hAnsi="宋体" w:eastAsia="宋体" w:cs="宋体"/>
          <w:color w:val="auto"/>
          <w:szCs w:val="21"/>
          <w:highlight w:val="none"/>
        </w:rPr>
        <w:t>。</w:t>
      </w:r>
    </w:p>
    <w:p w14:paraId="6CA4B7F4">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选定争议评审员的期限：</w:t>
      </w:r>
      <w:r>
        <w:rPr>
          <w:rFonts w:hint="eastAsia" w:ascii="宋体" w:hAnsi="宋体" w:eastAsia="宋体" w:cs="宋体"/>
          <w:color w:val="auto"/>
          <w:szCs w:val="21"/>
          <w:highlight w:val="none"/>
          <w:u w:val="single"/>
        </w:rPr>
        <w:t xml:space="preserve">            /                   </w:t>
      </w:r>
      <w:r>
        <w:rPr>
          <w:rFonts w:hint="eastAsia" w:ascii="宋体" w:hAnsi="宋体" w:eastAsia="宋体" w:cs="宋体"/>
          <w:color w:val="auto"/>
          <w:szCs w:val="21"/>
          <w:highlight w:val="none"/>
        </w:rPr>
        <w:t>。</w:t>
      </w:r>
    </w:p>
    <w:p w14:paraId="653F7D4D">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争议评审小组成员的报酬承担方式：</w:t>
      </w:r>
      <w:r>
        <w:rPr>
          <w:rFonts w:hint="eastAsia" w:ascii="宋体" w:hAnsi="宋体" w:eastAsia="宋体" w:cs="宋体"/>
          <w:color w:val="auto"/>
          <w:szCs w:val="21"/>
          <w:highlight w:val="none"/>
          <w:u w:val="single"/>
        </w:rPr>
        <w:t xml:space="preserve">         /            </w:t>
      </w:r>
      <w:r>
        <w:rPr>
          <w:rFonts w:hint="eastAsia" w:ascii="宋体" w:hAnsi="宋体" w:eastAsia="宋体" w:cs="宋体"/>
          <w:color w:val="auto"/>
          <w:szCs w:val="21"/>
          <w:highlight w:val="none"/>
        </w:rPr>
        <w:t>。</w:t>
      </w:r>
    </w:p>
    <w:p w14:paraId="68CEEF91">
      <w:pPr>
        <w:spacing w:line="400" w:lineRule="exact"/>
        <w:ind w:left="0" w:firstLine="420" w:firstLineChars="200"/>
        <w:jc w:val="left"/>
        <w:rPr>
          <w:rFonts w:ascii="宋体" w:hAnsi="宋体" w:eastAsia="宋体" w:cs="宋体"/>
          <w:color w:val="auto"/>
          <w:highlight w:val="none"/>
        </w:rPr>
      </w:pPr>
      <w:r>
        <w:rPr>
          <w:rFonts w:hint="eastAsia" w:ascii="宋体" w:hAnsi="宋体" w:eastAsia="宋体" w:cs="宋体"/>
          <w:color w:val="auto"/>
          <w:szCs w:val="21"/>
          <w:highlight w:val="none"/>
        </w:rPr>
        <w:t>其他事项的约定：</w:t>
      </w:r>
      <w:r>
        <w:rPr>
          <w:rFonts w:hint="eastAsia" w:ascii="宋体" w:hAnsi="宋体" w:eastAsia="宋体" w:cs="宋体"/>
          <w:color w:val="auto"/>
          <w:szCs w:val="21"/>
          <w:highlight w:val="none"/>
          <w:u w:val="single"/>
        </w:rPr>
        <w:t xml:space="preserve">                       /              </w:t>
      </w:r>
      <w:r>
        <w:rPr>
          <w:rFonts w:hint="eastAsia" w:ascii="宋体" w:hAnsi="宋体" w:eastAsia="宋体" w:cs="宋体"/>
          <w:color w:val="auto"/>
          <w:szCs w:val="21"/>
          <w:highlight w:val="none"/>
        </w:rPr>
        <w:t>。</w:t>
      </w:r>
    </w:p>
    <w:p w14:paraId="27DBBF1A">
      <w:pPr>
        <w:autoSpaceDE w:val="0"/>
        <w:autoSpaceDN w:val="0"/>
        <w:adjustRightInd w:val="0"/>
        <w:spacing w:line="400" w:lineRule="exact"/>
        <w:ind w:left="0" w:firstLine="420" w:firstLineChars="200"/>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20.3.2 争议评审小组的决定</w:t>
      </w:r>
    </w:p>
    <w:p w14:paraId="588D5035">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合同当事人关于本项的约定：</w:t>
      </w:r>
      <w:r>
        <w:rPr>
          <w:rFonts w:hint="eastAsia" w:ascii="宋体" w:hAnsi="宋体" w:eastAsia="宋体" w:cs="宋体"/>
          <w:color w:val="auto"/>
          <w:szCs w:val="21"/>
          <w:highlight w:val="none"/>
          <w:u w:val="single"/>
        </w:rPr>
        <w:t xml:space="preserve">             /              </w:t>
      </w:r>
      <w:r>
        <w:rPr>
          <w:rFonts w:hint="eastAsia" w:ascii="宋体" w:hAnsi="宋体" w:eastAsia="宋体" w:cs="宋体"/>
          <w:color w:val="auto"/>
          <w:szCs w:val="21"/>
          <w:highlight w:val="none"/>
        </w:rPr>
        <w:t>。</w:t>
      </w:r>
    </w:p>
    <w:p w14:paraId="222692F7">
      <w:pPr>
        <w:spacing w:line="400" w:lineRule="exact"/>
        <w:ind w:left="0"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20.4仲裁或诉讼</w:t>
      </w:r>
    </w:p>
    <w:p w14:paraId="316D72B1">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因合同及合同有关事项发生的争议，按下列第</w:t>
      </w:r>
      <w:r>
        <w:rPr>
          <w:rFonts w:hint="eastAsia" w:ascii="宋体" w:hAnsi="宋体" w:eastAsia="宋体" w:cs="宋体"/>
          <w:color w:val="auto"/>
          <w:szCs w:val="21"/>
          <w:highlight w:val="none"/>
          <w:u w:val="single"/>
        </w:rPr>
        <w:t>（2）</w:t>
      </w:r>
      <w:r>
        <w:rPr>
          <w:rFonts w:hint="eastAsia" w:ascii="宋体" w:hAnsi="宋体" w:eastAsia="宋体" w:cs="宋体"/>
          <w:color w:val="auto"/>
          <w:szCs w:val="21"/>
          <w:highlight w:val="none"/>
        </w:rPr>
        <w:t>种方式解决：</w:t>
      </w:r>
    </w:p>
    <w:p w14:paraId="49341C47">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（1）向</w:t>
      </w:r>
      <w:r>
        <w:rPr>
          <w:rFonts w:hint="eastAsia" w:ascii="宋体" w:hAnsi="宋体" w:eastAsia="宋体" w:cs="宋体"/>
          <w:color w:val="auto"/>
          <w:szCs w:val="21"/>
          <w:highlight w:val="none"/>
          <w:u w:val="single"/>
        </w:rPr>
        <w:t xml:space="preserve">   柳州     </w:t>
      </w:r>
      <w:r>
        <w:rPr>
          <w:rFonts w:hint="eastAsia" w:ascii="宋体" w:hAnsi="宋体" w:eastAsia="宋体" w:cs="宋体"/>
          <w:color w:val="auto"/>
          <w:szCs w:val="21"/>
          <w:highlight w:val="none"/>
        </w:rPr>
        <w:t>仲裁委员会申请仲裁；</w:t>
      </w:r>
    </w:p>
    <w:p w14:paraId="4CE152CE">
      <w:pPr>
        <w:spacing w:line="400" w:lineRule="exact"/>
        <w:ind w:left="0"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（2）向</w:t>
      </w:r>
      <w:r>
        <w:rPr>
          <w:rFonts w:hint="eastAsia" w:ascii="宋体" w:hAnsi="宋体" w:eastAsia="宋体" w:cs="宋体"/>
          <w:color w:val="auto"/>
          <w:szCs w:val="21"/>
          <w:highlight w:val="none"/>
          <w:u w:val="single"/>
        </w:rPr>
        <w:t xml:space="preserve"> 发包人所在地   </w:t>
      </w:r>
      <w:r>
        <w:rPr>
          <w:rFonts w:hint="eastAsia" w:ascii="宋体" w:hAnsi="宋体" w:eastAsia="宋体" w:cs="宋体"/>
          <w:color w:val="auto"/>
          <w:szCs w:val="21"/>
          <w:highlight w:val="none"/>
        </w:rPr>
        <w:t>人民法院起诉。</w:t>
      </w:r>
    </w:p>
    <w:p w14:paraId="452E34BA">
      <w:pPr>
        <w:spacing w:line="400" w:lineRule="exact"/>
        <w:ind w:left="0" w:firstLine="422" w:firstLineChars="200"/>
        <w:jc w:val="left"/>
        <w:rPr>
          <w:rFonts w:ascii="宋体" w:hAnsi="宋体" w:eastAsia="宋体" w:cs="宋体"/>
          <w:color w:val="auto"/>
          <w:szCs w:val="21"/>
          <w:highlight w:val="none"/>
        </w:rPr>
      </w:pPr>
      <w:r>
        <w:rPr>
          <w:rFonts w:hint="eastAsia" w:ascii="宋体" w:hAnsi="宋体" w:eastAsia="宋体" w:cs="宋体"/>
          <w:b/>
          <w:color w:val="auto"/>
          <w:szCs w:val="21"/>
          <w:highlight w:val="none"/>
        </w:rPr>
        <w:t>21. 其他条款</w:t>
      </w:r>
    </w:p>
    <w:p w14:paraId="35138F91">
      <w:pPr>
        <w:spacing w:line="400" w:lineRule="exact"/>
        <w:ind w:left="0" w:firstLine="420" w:firstLineChars="200"/>
        <w:rPr>
          <w:rFonts w:ascii="宋体" w:hAnsi="宋体" w:eastAsia="宋体" w:cs="宋体"/>
          <w:color w:val="auto"/>
          <w:szCs w:val="22"/>
          <w:highlight w:val="none"/>
        </w:rPr>
      </w:pPr>
      <w:r>
        <w:rPr>
          <w:rFonts w:hint="eastAsia" w:ascii="宋体" w:hAnsi="宋体" w:eastAsia="宋体" w:cs="宋体"/>
          <w:color w:val="auto"/>
          <w:szCs w:val="22"/>
          <w:highlight w:val="none"/>
        </w:rPr>
        <w:t>21.1承包人违反发包人与承包人约定的安全文明施工条例约定的，按双方签认的《安全文明施工违章约定》承担相应的违约金。</w:t>
      </w:r>
    </w:p>
    <w:p w14:paraId="62CC5DB8">
      <w:pPr>
        <w:spacing w:line="400" w:lineRule="exact"/>
        <w:ind w:left="0" w:firstLine="420" w:firstLineChars="200"/>
        <w:rPr>
          <w:rFonts w:ascii="宋体" w:hAnsi="宋体" w:eastAsia="宋体" w:cs="宋体"/>
          <w:color w:val="auto"/>
          <w:szCs w:val="22"/>
          <w:highlight w:val="none"/>
        </w:rPr>
      </w:pPr>
      <w:r>
        <w:rPr>
          <w:rFonts w:hint="eastAsia" w:ascii="宋体" w:hAnsi="宋体" w:eastAsia="宋体" w:cs="宋体"/>
          <w:color w:val="auto"/>
          <w:szCs w:val="22"/>
          <w:highlight w:val="none"/>
        </w:rPr>
        <w:t>21.2签证资料要求</w:t>
      </w:r>
    </w:p>
    <w:p w14:paraId="5C756195">
      <w:pPr>
        <w:spacing w:line="400" w:lineRule="exact"/>
        <w:ind w:left="0" w:firstLine="420" w:firstLineChars="200"/>
        <w:rPr>
          <w:rFonts w:hint="eastAsia" w:ascii="宋体" w:hAnsi="宋体" w:eastAsia="宋体" w:cs="宋体"/>
          <w:color w:val="auto"/>
          <w:szCs w:val="22"/>
          <w:highlight w:val="none"/>
          <w:lang w:eastAsia="zh-CN"/>
        </w:rPr>
      </w:pPr>
      <w:r>
        <w:rPr>
          <w:rFonts w:hint="eastAsia" w:ascii="宋体" w:hAnsi="宋体" w:eastAsia="宋体" w:cs="宋体"/>
          <w:color w:val="auto"/>
          <w:szCs w:val="22"/>
          <w:highlight w:val="none"/>
        </w:rPr>
        <w:t>（1）签证及时。签证工作实施完成经发包人验收合格之日起5天内必须报送《工程签证单》，在总体工程验收合格之日起30天仍未报送《工程签证单》的，视为承包人放弃该项签证工作费用</w:t>
      </w:r>
      <w:r>
        <w:rPr>
          <w:rFonts w:hint="eastAsia" w:ascii="宋体" w:hAnsi="宋体" w:eastAsia="宋体" w:cs="宋体"/>
          <w:color w:val="auto"/>
          <w:szCs w:val="22"/>
          <w:highlight w:val="none"/>
          <w:lang w:eastAsia="zh-CN"/>
        </w:rPr>
        <w:t>。</w:t>
      </w:r>
    </w:p>
    <w:p w14:paraId="5DF93364">
      <w:pPr>
        <w:spacing w:line="400" w:lineRule="exact"/>
        <w:ind w:left="0" w:firstLine="420" w:firstLineChars="200"/>
        <w:rPr>
          <w:rFonts w:ascii="宋体" w:hAnsi="宋体" w:eastAsia="宋体" w:cs="宋体"/>
          <w:color w:val="auto"/>
          <w:szCs w:val="22"/>
          <w:highlight w:val="none"/>
        </w:rPr>
      </w:pPr>
      <w:r>
        <w:rPr>
          <w:rFonts w:hint="eastAsia" w:ascii="宋体" w:hAnsi="宋体" w:eastAsia="宋体" w:cs="宋体"/>
          <w:color w:val="auto"/>
          <w:szCs w:val="22"/>
          <w:highlight w:val="none"/>
        </w:rPr>
        <w:t>（2）签证资料真实。如发现承包人对签证资料进行涂改、造假或与发包人相关人员一同造假等行为，一经查实，该项不予结算，并</w:t>
      </w:r>
      <w:r>
        <w:rPr>
          <w:rFonts w:hint="eastAsia" w:ascii="宋体" w:hAnsi="宋体" w:eastAsia="宋体" w:cs="宋体"/>
          <w:color w:val="auto"/>
          <w:szCs w:val="22"/>
          <w:highlight w:val="none"/>
          <w:lang w:val="en-US" w:eastAsia="zh-CN"/>
        </w:rPr>
        <w:t>承担</w:t>
      </w:r>
      <w:r>
        <w:rPr>
          <w:rFonts w:hint="eastAsia" w:ascii="宋体" w:hAnsi="宋体" w:eastAsia="宋体" w:cs="宋体"/>
          <w:color w:val="auto"/>
          <w:szCs w:val="22"/>
          <w:highlight w:val="none"/>
        </w:rPr>
        <w:t>1万元以上3万元以下的</w:t>
      </w:r>
      <w:r>
        <w:rPr>
          <w:rFonts w:hint="eastAsia" w:ascii="宋体" w:hAnsi="宋体" w:eastAsia="宋体" w:cs="宋体"/>
          <w:color w:val="auto"/>
          <w:szCs w:val="22"/>
          <w:highlight w:val="none"/>
          <w:lang w:val="en-US" w:eastAsia="zh-CN"/>
        </w:rPr>
        <w:t>违约金</w:t>
      </w:r>
      <w:r>
        <w:rPr>
          <w:rFonts w:hint="eastAsia" w:ascii="宋体" w:hAnsi="宋体" w:eastAsia="宋体" w:cs="宋体"/>
          <w:color w:val="auto"/>
          <w:szCs w:val="22"/>
          <w:highlight w:val="none"/>
        </w:rPr>
        <w:t>。</w:t>
      </w:r>
    </w:p>
    <w:p w14:paraId="1F3BF1C4">
      <w:pPr>
        <w:spacing w:line="400" w:lineRule="exact"/>
        <w:ind w:left="0" w:firstLine="420" w:firstLineChars="200"/>
        <w:rPr>
          <w:rFonts w:ascii="宋体" w:hAnsi="宋体" w:eastAsia="宋体" w:cs="宋体"/>
          <w:b/>
          <w:color w:val="auto"/>
          <w:szCs w:val="21"/>
          <w:highlight w:val="none"/>
        </w:rPr>
      </w:pPr>
      <w:r>
        <w:rPr>
          <w:rFonts w:hint="eastAsia" w:ascii="宋体" w:hAnsi="宋体" w:eastAsia="宋体" w:cs="宋体"/>
          <w:color w:val="auto"/>
          <w:szCs w:val="22"/>
          <w:highlight w:val="none"/>
        </w:rPr>
        <w:t>21.3承包人履行合同义务行为必须遵守法律法规及各种规章制度，因承包人行为违反相关规定造成后果的，</w:t>
      </w:r>
      <w:r>
        <w:rPr>
          <w:rFonts w:hint="eastAsia" w:ascii="宋体" w:hAnsi="宋体" w:eastAsia="宋体" w:cs="宋体"/>
          <w:color w:val="auto"/>
          <w:szCs w:val="21"/>
          <w:highlight w:val="none"/>
        </w:rPr>
        <w:t>承包人需承担由此引发的责任损失及赔偿。承包人对于违法违规等问题未能及时响应处置整改的，发包人有权聘请第三方进行处置，由此产生的相关费用由承包人承担，该部分费用从工程余款直接扣除，不足部分承包人向发包人补缴，且发包人有权终止本合同。</w:t>
      </w:r>
    </w:p>
    <w:p w14:paraId="2097B98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22" w:firstLineChars="200"/>
        <w:jc w:val="left"/>
        <w:outlineLvl w:val="2"/>
        <w:rPr>
          <w:rFonts w:ascii="Times New Roman" w:hAnsi="Times New Roman" w:eastAsia="宋体" w:cs="Times New Roman"/>
          <w:b/>
          <w:bCs/>
          <w:color w:val="auto"/>
          <w:kern w:val="2"/>
          <w:sz w:val="21"/>
          <w:szCs w:val="21"/>
          <w:highlight w:val="none"/>
          <w:lang w:val="en-US" w:eastAsia="zh-CN" w:bidi="ar-SA"/>
        </w:rPr>
      </w:pPr>
      <w:r>
        <w:rPr>
          <w:rFonts w:ascii="Times New Roman" w:hAnsi="Times New Roman" w:eastAsia="宋体" w:cs="Times New Roman"/>
          <w:b/>
          <w:bCs/>
          <w:color w:val="auto"/>
          <w:kern w:val="2"/>
          <w:sz w:val="21"/>
          <w:szCs w:val="21"/>
          <w:highlight w:val="none"/>
          <w:lang w:val="en-US" w:eastAsia="zh-CN" w:bidi="ar-SA"/>
        </w:rPr>
        <w:t xml:space="preserve">21.4 施工及验收管理 </w:t>
      </w:r>
    </w:p>
    <w:p w14:paraId="1AA8C4C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20" w:firstLineChars="200"/>
        <w:jc w:val="left"/>
        <w:rPr>
          <w:rFonts w:eastAsia="宋体"/>
          <w:color w:val="auto"/>
          <w:sz w:val="21"/>
          <w:szCs w:val="21"/>
          <w:highlight w:val="none"/>
        </w:rPr>
      </w:pPr>
      <w:r>
        <w:rPr>
          <w:rFonts w:ascii="宋体" w:hAnsi="宋体" w:eastAsia="宋体" w:cs="宋体"/>
          <w:color w:val="auto"/>
          <w:kern w:val="0"/>
          <w:sz w:val="21"/>
          <w:szCs w:val="21"/>
          <w:highlight w:val="none"/>
          <w:lang w:val="en-US" w:eastAsia="zh-CN" w:bidi="ar"/>
        </w:rPr>
        <w:t>承包人应建立工程现场管理台账，包含材料进场检验记录、工程变更签证记录等内容</w:t>
      </w:r>
      <w:r>
        <w:rPr>
          <w:rFonts w:hint="eastAsia" w:ascii="宋体" w:hAnsi="宋体" w:eastAsia="宋体" w:cs="宋体"/>
          <w:color w:val="auto"/>
          <w:kern w:val="0"/>
          <w:sz w:val="21"/>
          <w:szCs w:val="21"/>
          <w:highlight w:val="none"/>
          <w:lang w:val="en-US" w:eastAsia="zh-CN" w:bidi="ar"/>
        </w:rPr>
        <w:t>，</w:t>
      </w:r>
      <w:r>
        <w:rPr>
          <w:rFonts w:ascii="宋体" w:hAnsi="宋体" w:eastAsia="宋体" w:cs="宋体"/>
          <w:color w:val="auto"/>
          <w:kern w:val="0"/>
          <w:sz w:val="21"/>
          <w:szCs w:val="21"/>
          <w:highlight w:val="none"/>
          <w:lang w:val="en-US" w:eastAsia="zh-CN" w:bidi="ar"/>
        </w:rPr>
        <w:t>接受发包人检查。</w:t>
      </w:r>
    </w:p>
    <w:p w14:paraId="6660981F">
      <w:pPr>
        <w:spacing w:line="400" w:lineRule="exact"/>
        <w:ind w:left="0" w:firstLine="422" w:firstLineChars="200"/>
        <w:rPr>
          <w:rFonts w:ascii="宋体" w:hAnsi="宋体" w:eastAsia="宋体" w:cs="宋体"/>
          <w:b/>
          <w:color w:val="auto"/>
          <w:szCs w:val="21"/>
          <w:highlight w:val="none"/>
        </w:rPr>
      </w:pPr>
    </w:p>
    <w:p w14:paraId="33A602A9">
      <w:pPr>
        <w:spacing w:line="400" w:lineRule="exact"/>
        <w:ind w:left="0" w:firstLine="422" w:firstLineChars="200"/>
        <w:rPr>
          <w:rFonts w:ascii="宋体" w:hAnsi="宋体" w:eastAsia="宋体" w:cs="宋体"/>
          <w:b/>
          <w:color w:val="auto"/>
          <w:szCs w:val="21"/>
          <w:highlight w:val="none"/>
        </w:rPr>
      </w:pPr>
      <w:r>
        <w:rPr>
          <w:rFonts w:hint="eastAsia" w:ascii="宋体" w:hAnsi="宋体" w:eastAsia="宋体" w:cs="宋体"/>
          <w:b/>
          <w:color w:val="auto"/>
          <w:szCs w:val="21"/>
          <w:highlight w:val="none"/>
        </w:rPr>
        <w:t xml:space="preserve">附件   </w:t>
      </w:r>
    </w:p>
    <w:p w14:paraId="2EDCD558">
      <w:pPr>
        <w:spacing w:line="400" w:lineRule="exact"/>
        <w:ind w:left="0" w:firstLine="420" w:firstLineChars="200"/>
        <w:jc w:val="left"/>
        <w:outlineLvl w:val="0"/>
        <w:rPr>
          <w:rFonts w:ascii="宋体" w:hAnsi="宋体" w:eastAsia="宋体" w:cs="宋体"/>
          <w:color w:val="auto"/>
          <w:szCs w:val="21"/>
          <w:highlight w:val="none"/>
        </w:rPr>
      </w:pPr>
      <w:bookmarkStart w:id="506" w:name="_Toc14407"/>
      <w:bookmarkStart w:id="507" w:name="_Toc3571"/>
      <w:bookmarkStart w:id="508" w:name="_Toc9219"/>
      <w:bookmarkStart w:id="509" w:name="_Toc29093"/>
      <w:r>
        <w:rPr>
          <w:rFonts w:hint="eastAsia" w:ascii="宋体" w:hAnsi="宋体" w:eastAsia="宋体" w:cs="宋体"/>
          <w:color w:val="auto"/>
          <w:szCs w:val="21"/>
          <w:highlight w:val="none"/>
        </w:rPr>
        <w:t>附件1：工程质量保修书</w:t>
      </w:r>
      <w:bookmarkEnd w:id="506"/>
      <w:bookmarkEnd w:id="507"/>
      <w:bookmarkEnd w:id="508"/>
      <w:bookmarkEnd w:id="509"/>
    </w:p>
    <w:p w14:paraId="2500EABE">
      <w:pPr>
        <w:spacing w:line="400" w:lineRule="exact"/>
        <w:ind w:left="0" w:firstLine="420" w:firstLineChars="200"/>
        <w:jc w:val="left"/>
        <w:outlineLvl w:val="0"/>
        <w:rPr>
          <w:rFonts w:ascii="宋体" w:hAnsi="宋体" w:eastAsia="宋体" w:cs="宋体"/>
          <w:color w:val="auto"/>
          <w:szCs w:val="21"/>
          <w:highlight w:val="none"/>
        </w:rPr>
      </w:pPr>
      <w:bookmarkStart w:id="510" w:name="_Toc11901"/>
      <w:bookmarkStart w:id="511" w:name="_Toc27204"/>
      <w:bookmarkStart w:id="512" w:name="_Toc30685"/>
      <w:bookmarkStart w:id="513" w:name="_Toc12339"/>
      <w:r>
        <w:rPr>
          <w:rFonts w:hint="eastAsia" w:ascii="宋体" w:hAnsi="宋体" w:eastAsia="宋体" w:cs="宋体"/>
          <w:color w:val="auto"/>
          <w:szCs w:val="21"/>
          <w:highlight w:val="none"/>
        </w:rPr>
        <w:t>附件2：承包人主要施工管理人员表</w:t>
      </w:r>
      <w:bookmarkEnd w:id="510"/>
      <w:bookmarkEnd w:id="511"/>
      <w:bookmarkEnd w:id="512"/>
      <w:bookmarkEnd w:id="513"/>
    </w:p>
    <w:p w14:paraId="71D04056">
      <w:pPr>
        <w:spacing w:line="400" w:lineRule="exact"/>
        <w:ind w:left="0" w:firstLine="420" w:firstLineChars="200"/>
        <w:jc w:val="left"/>
        <w:outlineLvl w:val="0"/>
        <w:rPr>
          <w:rFonts w:hint="eastAsia" w:ascii="宋体" w:hAnsi="宋体" w:eastAsia="宋体" w:cs="宋体"/>
          <w:color w:val="auto"/>
          <w:szCs w:val="21"/>
          <w:highlight w:val="none"/>
        </w:rPr>
      </w:pPr>
      <w:bookmarkStart w:id="514" w:name="_Toc30812"/>
      <w:bookmarkStart w:id="515" w:name="_Toc5212"/>
      <w:bookmarkStart w:id="516" w:name="_Toc6102"/>
      <w:bookmarkStart w:id="517" w:name="_Toc9015"/>
      <w:r>
        <w:rPr>
          <w:rFonts w:hint="eastAsia" w:ascii="宋体" w:hAnsi="宋体" w:eastAsia="宋体" w:cs="宋体"/>
          <w:color w:val="auto"/>
          <w:szCs w:val="21"/>
          <w:highlight w:val="none"/>
        </w:rPr>
        <w:t>附件3：安全文明施工违章</w:t>
      </w:r>
      <w:bookmarkEnd w:id="514"/>
      <w:bookmarkEnd w:id="515"/>
      <w:bookmarkEnd w:id="516"/>
      <w:r>
        <w:rPr>
          <w:rFonts w:hint="eastAsia" w:ascii="宋体" w:hAnsi="宋体" w:eastAsia="宋体" w:cs="宋体"/>
          <w:color w:val="auto"/>
          <w:szCs w:val="21"/>
          <w:highlight w:val="none"/>
        </w:rPr>
        <w:t>约定</w:t>
      </w:r>
      <w:bookmarkEnd w:id="517"/>
    </w:p>
    <w:p w14:paraId="6D00D78E">
      <w:pPr>
        <w:spacing w:line="400" w:lineRule="exact"/>
        <w:ind w:left="0" w:firstLine="420" w:firstLineChars="200"/>
        <w:jc w:val="left"/>
        <w:outlineLvl w:val="0"/>
        <w:rPr>
          <w:rFonts w:ascii="宋体" w:hAnsi="宋体" w:eastAsia="宋体" w:cs="宋体"/>
          <w:color w:val="auto"/>
          <w:szCs w:val="21"/>
          <w:highlight w:val="none"/>
        </w:rPr>
      </w:pPr>
      <w:bookmarkStart w:id="518" w:name="_Toc15257"/>
      <w:bookmarkStart w:id="519" w:name="_Toc2940"/>
      <w:bookmarkStart w:id="520" w:name="_Toc3168"/>
      <w:bookmarkStart w:id="521" w:name="_Toc5963"/>
      <w:r>
        <w:rPr>
          <w:rFonts w:hint="eastAsia" w:ascii="宋体" w:hAnsi="宋体" w:eastAsia="宋体" w:cs="宋体"/>
          <w:color w:val="auto"/>
          <w:szCs w:val="21"/>
          <w:highlight w:val="none"/>
        </w:rPr>
        <w:t>附件4：安 全 协 议</w:t>
      </w:r>
      <w:bookmarkEnd w:id="518"/>
      <w:bookmarkEnd w:id="519"/>
      <w:bookmarkEnd w:id="520"/>
      <w:bookmarkEnd w:id="521"/>
    </w:p>
    <w:p w14:paraId="0C6D3F14">
      <w:pPr>
        <w:spacing w:line="400" w:lineRule="exact"/>
        <w:ind w:left="0" w:firstLine="420" w:firstLineChars="200"/>
        <w:jc w:val="left"/>
        <w:outlineLvl w:val="0"/>
        <w:rPr>
          <w:rFonts w:ascii="宋体" w:hAnsi="宋体" w:eastAsia="宋体" w:cs="宋体"/>
          <w:color w:val="auto"/>
          <w:szCs w:val="21"/>
          <w:highlight w:val="none"/>
        </w:rPr>
      </w:pPr>
      <w:bookmarkStart w:id="522" w:name="_Toc29208"/>
      <w:bookmarkStart w:id="523" w:name="_Toc25071"/>
      <w:bookmarkStart w:id="524" w:name="_Toc32430"/>
      <w:r>
        <w:rPr>
          <w:rFonts w:hint="eastAsia" w:ascii="宋体" w:hAnsi="宋体" w:eastAsia="宋体" w:cs="宋体"/>
          <w:color w:val="auto"/>
          <w:szCs w:val="21"/>
          <w:highlight w:val="none"/>
        </w:rPr>
        <w:t>附件5：柳州市人民医院后勤经济活动廉洁公约</w:t>
      </w:r>
      <w:bookmarkEnd w:id="522"/>
      <w:bookmarkEnd w:id="523"/>
      <w:bookmarkEnd w:id="524"/>
    </w:p>
    <w:p w14:paraId="05C13EAE">
      <w:pPr>
        <w:spacing w:line="440" w:lineRule="exact"/>
        <w:ind w:left="0" w:firstLine="0"/>
        <w:outlineLvl w:val="0"/>
        <w:rPr>
          <w:rFonts w:ascii="宋体" w:hAnsi="宋体" w:eastAsia="宋体" w:cs="宋体"/>
          <w:b/>
          <w:color w:val="auto"/>
          <w:szCs w:val="21"/>
          <w:highlight w:val="none"/>
        </w:rPr>
      </w:pPr>
      <w:bookmarkStart w:id="525" w:name="_Toc13191"/>
    </w:p>
    <w:p w14:paraId="7C8787A8">
      <w:pPr>
        <w:spacing w:line="440" w:lineRule="exact"/>
        <w:ind w:left="0" w:firstLine="0"/>
        <w:outlineLvl w:val="0"/>
        <w:rPr>
          <w:rFonts w:ascii="宋体" w:hAnsi="宋体" w:eastAsia="宋体" w:cs="宋体"/>
          <w:b/>
          <w:color w:val="auto"/>
          <w:szCs w:val="21"/>
          <w:highlight w:val="none"/>
        </w:rPr>
      </w:pPr>
    </w:p>
    <w:p w14:paraId="049912E2">
      <w:pPr>
        <w:spacing w:line="440" w:lineRule="exact"/>
        <w:ind w:left="0" w:firstLine="0"/>
        <w:outlineLvl w:val="0"/>
        <w:rPr>
          <w:rFonts w:ascii="宋体" w:hAnsi="宋体" w:eastAsia="宋体" w:cs="宋体"/>
          <w:b/>
          <w:color w:val="auto"/>
          <w:szCs w:val="21"/>
          <w:highlight w:val="none"/>
        </w:rPr>
      </w:pPr>
    </w:p>
    <w:p w14:paraId="4781ECCB">
      <w:pPr>
        <w:spacing w:line="440" w:lineRule="exact"/>
        <w:ind w:left="0" w:firstLine="0"/>
        <w:outlineLvl w:val="0"/>
        <w:rPr>
          <w:rFonts w:ascii="宋体" w:hAnsi="宋体" w:eastAsia="宋体" w:cs="宋体"/>
          <w:b/>
          <w:color w:val="auto"/>
          <w:szCs w:val="21"/>
          <w:highlight w:val="none"/>
        </w:rPr>
      </w:pPr>
    </w:p>
    <w:p w14:paraId="57BA3B6A">
      <w:pPr>
        <w:spacing w:line="440" w:lineRule="exact"/>
        <w:ind w:left="0" w:firstLine="0"/>
        <w:outlineLvl w:val="0"/>
        <w:rPr>
          <w:rFonts w:ascii="宋体" w:hAnsi="宋体" w:eastAsia="宋体" w:cs="宋体"/>
          <w:b/>
          <w:color w:val="auto"/>
          <w:szCs w:val="21"/>
          <w:highlight w:val="none"/>
        </w:rPr>
      </w:pPr>
    </w:p>
    <w:p w14:paraId="09A7A67D">
      <w:pPr>
        <w:spacing w:line="440" w:lineRule="exact"/>
        <w:ind w:left="0" w:firstLine="0"/>
        <w:outlineLvl w:val="0"/>
        <w:rPr>
          <w:rFonts w:ascii="宋体" w:hAnsi="宋体" w:eastAsia="宋体" w:cs="宋体"/>
          <w:b/>
          <w:color w:val="auto"/>
          <w:szCs w:val="21"/>
          <w:highlight w:val="none"/>
        </w:rPr>
      </w:pPr>
    </w:p>
    <w:p w14:paraId="2A81140B">
      <w:pPr>
        <w:spacing w:line="440" w:lineRule="exact"/>
        <w:outlineLvl w:val="0"/>
        <w:rPr>
          <w:rFonts w:ascii="宋体" w:hAnsi="宋体" w:cs="宋体"/>
          <w:b/>
          <w:color w:val="auto"/>
          <w:szCs w:val="21"/>
          <w:highlight w:val="none"/>
        </w:rPr>
        <w:sectPr>
          <w:headerReference r:id="rId17" w:type="default"/>
          <w:footerReference r:id="rId18" w:type="default"/>
          <w:pgSz w:w="11905" w:h="16838"/>
          <w:pgMar w:top="1247" w:right="1247" w:bottom="1247" w:left="1304" w:header="850" w:footer="992" w:gutter="0"/>
          <w:cols w:space="720" w:num="1"/>
          <w:docGrid w:type="lines" w:linePitch="319" w:charSpace="0"/>
        </w:sectPr>
      </w:pPr>
    </w:p>
    <w:p w14:paraId="65A3F58E">
      <w:pPr>
        <w:spacing w:line="440" w:lineRule="exact"/>
        <w:ind w:left="0" w:firstLine="0"/>
        <w:outlineLvl w:val="0"/>
        <w:rPr>
          <w:rFonts w:ascii="宋体" w:hAnsi="宋体" w:eastAsia="宋体" w:cs="宋体"/>
          <w:b/>
          <w:color w:val="auto"/>
          <w:sz w:val="24"/>
          <w:highlight w:val="none"/>
        </w:rPr>
      </w:pPr>
      <w:bookmarkStart w:id="526" w:name="_Toc18366"/>
      <w:bookmarkStart w:id="527" w:name="_Toc13550"/>
      <w:bookmarkStart w:id="528" w:name="_Toc19364"/>
      <w:r>
        <w:rPr>
          <w:rFonts w:hint="eastAsia" w:ascii="宋体" w:hAnsi="宋体" w:eastAsia="宋体" w:cs="宋体"/>
          <w:b/>
          <w:color w:val="auto"/>
          <w:sz w:val="24"/>
          <w:highlight w:val="none"/>
        </w:rPr>
        <w:t>附件1：</w:t>
      </w:r>
      <w:bookmarkEnd w:id="525"/>
      <w:bookmarkEnd w:id="526"/>
      <w:bookmarkEnd w:id="527"/>
      <w:bookmarkEnd w:id="528"/>
    </w:p>
    <w:p w14:paraId="72BF2CCA">
      <w:pPr>
        <w:tabs>
          <w:tab w:val="left" w:pos="2295"/>
        </w:tabs>
        <w:spacing w:line="360" w:lineRule="auto"/>
        <w:ind w:left="0" w:firstLine="0"/>
        <w:jc w:val="center"/>
        <w:rPr>
          <w:rFonts w:ascii="宋体" w:hAnsi="宋体" w:eastAsia="宋体" w:cs="宋体"/>
          <w:b/>
          <w:color w:val="auto"/>
          <w:sz w:val="28"/>
          <w:szCs w:val="28"/>
          <w:highlight w:val="none"/>
        </w:rPr>
      </w:pPr>
      <w:r>
        <w:rPr>
          <w:rFonts w:hint="eastAsia" w:ascii="宋体" w:hAnsi="宋体" w:eastAsia="宋体" w:cs="宋体"/>
          <w:b/>
          <w:color w:val="auto"/>
          <w:sz w:val="28"/>
          <w:szCs w:val="28"/>
          <w:highlight w:val="none"/>
        </w:rPr>
        <w:t>工程质量保修书</w:t>
      </w:r>
    </w:p>
    <w:p w14:paraId="10D08AF6">
      <w:pPr>
        <w:tabs>
          <w:tab w:val="left" w:pos="2295"/>
        </w:tabs>
        <w:spacing w:line="360" w:lineRule="auto"/>
        <w:ind w:left="0" w:firstLine="3584" w:firstLineChars="1700"/>
        <w:rPr>
          <w:rFonts w:ascii="宋体" w:hAnsi="宋体" w:eastAsia="宋体" w:cs="宋体"/>
          <w:b/>
          <w:color w:val="auto"/>
          <w:szCs w:val="21"/>
          <w:highlight w:val="none"/>
        </w:rPr>
      </w:pPr>
    </w:p>
    <w:p w14:paraId="188CB5CD">
      <w:pPr>
        <w:tabs>
          <w:tab w:val="left" w:pos="105"/>
          <w:tab w:val="left" w:pos="5565"/>
        </w:tabs>
        <w:spacing w:line="440" w:lineRule="exact"/>
        <w:ind w:left="0" w:firstLine="0"/>
        <w:jc w:val="left"/>
        <w:rPr>
          <w:rFonts w:ascii="宋体" w:hAnsi="宋体" w:eastAsia="宋体"/>
          <w:color w:val="auto"/>
          <w:szCs w:val="21"/>
          <w:highlight w:val="none"/>
        </w:rPr>
      </w:pPr>
      <w:r>
        <w:rPr>
          <w:rFonts w:hint="eastAsia" w:ascii="宋体" w:hAnsi="宋体" w:eastAsia="宋体"/>
          <w:color w:val="auto"/>
          <w:szCs w:val="21"/>
          <w:highlight w:val="none"/>
        </w:rPr>
        <w:t>发包人（全称）：</w:t>
      </w:r>
      <w:r>
        <w:rPr>
          <w:rFonts w:hint="eastAsia" w:hAnsi="宋体" w:eastAsia="宋体"/>
          <w:b/>
          <w:color w:val="auto"/>
          <w:szCs w:val="21"/>
          <w:highlight w:val="none"/>
          <w:u w:val="single"/>
        </w:rPr>
        <w:t>柳州市人民医院</w:t>
      </w:r>
    </w:p>
    <w:p w14:paraId="63BA102C">
      <w:pPr>
        <w:tabs>
          <w:tab w:val="left" w:pos="105"/>
          <w:tab w:val="left" w:pos="5565"/>
        </w:tabs>
        <w:spacing w:line="440" w:lineRule="exact"/>
        <w:ind w:left="0" w:firstLine="0"/>
        <w:jc w:val="left"/>
        <w:rPr>
          <w:rFonts w:ascii="宋体" w:hAnsi="宋体" w:eastAsia="宋体"/>
          <w:color w:val="auto"/>
          <w:szCs w:val="21"/>
          <w:highlight w:val="none"/>
          <w:u w:val="single"/>
        </w:rPr>
      </w:pPr>
      <w:r>
        <w:rPr>
          <w:rFonts w:hint="eastAsia" w:ascii="宋体" w:hAnsi="宋体" w:eastAsia="宋体"/>
          <w:color w:val="auto"/>
          <w:szCs w:val="21"/>
          <w:highlight w:val="none"/>
        </w:rPr>
        <w:t>承包人（全称）：</w:t>
      </w:r>
      <w:r>
        <w:rPr>
          <w:rFonts w:hint="eastAsia" w:ascii="宋体" w:hAnsi="宋体" w:eastAsia="宋体"/>
          <w:color w:val="auto"/>
          <w:szCs w:val="21"/>
          <w:highlight w:val="none"/>
          <w:u w:val="single"/>
        </w:rPr>
        <w:t xml:space="preserve">              </w:t>
      </w:r>
    </w:p>
    <w:p w14:paraId="5FC4D553">
      <w:pPr>
        <w:spacing w:line="240" w:lineRule="auto"/>
        <w:ind w:left="0" w:firstLine="0"/>
        <w:rPr>
          <w:rFonts w:eastAsia="宋体"/>
          <w:color w:val="auto"/>
          <w:highlight w:val="none"/>
        </w:rPr>
      </w:pPr>
    </w:p>
    <w:p w14:paraId="74C87477">
      <w:pPr>
        <w:tabs>
          <w:tab w:val="left" w:pos="105"/>
          <w:tab w:val="left" w:pos="5565"/>
        </w:tabs>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发包人、承包人根据《中华人民共和国建筑法》、《建设工程质量管理条例》，经协商一致，对</w:t>
      </w:r>
      <w:r>
        <w:rPr>
          <w:rFonts w:hint="eastAsia" w:ascii="宋体" w:hAnsi="宋体" w:cs="宋体"/>
          <w:b/>
          <w:color w:val="auto"/>
          <w:szCs w:val="21"/>
          <w:highlight w:val="none"/>
          <w:u w:val="single"/>
          <w:lang w:eastAsia="zh-CN"/>
        </w:rPr>
        <w:t>柳州市人民医院眼科手术室装修改造工程</w:t>
      </w:r>
      <w:r>
        <w:rPr>
          <w:rFonts w:hint="eastAsia" w:ascii="宋体" w:hAnsi="宋体" w:eastAsia="宋体" w:cs="宋体"/>
          <w:color w:val="auto"/>
          <w:szCs w:val="21"/>
          <w:highlight w:val="none"/>
        </w:rPr>
        <w:t>签订工程质量保修书。</w:t>
      </w:r>
    </w:p>
    <w:p w14:paraId="7DF20ECD">
      <w:pPr>
        <w:tabs>
          <w:tab w:val="left" w:pos="105"/>
          <w:tab w:val="left" w:pos="5565"/>
        </w:tabs>
        <w:spacing w:line="400" w:lineRule="exact"/>
        <w:ind w:left="0" w:firstLine="422" w:firstLineChars="200"/>
        <w:rPr>
          <w:rFonts w:ascii="宋体" w:hAnsi="宋体" w:eastAsia="宋体" w:cs="宋体"/>
          <w:b/>
          <w:bCs/>
          <w:color w:val="auto"/>
          <w:szCs w:val="21"/>
          <w:highlight w:val="none"/>
        </w:rPr>
      </w:pPr>
      <w:r>
        <w:rPr>
          <w:rFonts w:hint="eastAsia" w:ascii="宋体" w:hAnsi="宋体" w:eastAsia="宋体" w:cs="宋体"/>
          <w:b/>
          <w:bCs/>
          <w:color w:val="auto"/>
          <w:szCs w:val="21"/>
          <w:highlight w:val="none"/>
        </w:rPr>
        <w:t>一、工程质量保修范围和内容</w:t>
      </w:r>
    </w:p>
    <w:p w14:paraId="2CA02510">
      <w:pPr>
        <w:tabs>
          <w:tab w:val="left" w:pos="105"/>
          <w:tab w:val="left" w:pos="5565"/>
        </w:tabs>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承包人在质量保修期内，按照有关法律、法规、规章的规定和双方约定，承担本工程质量保修责任。</w:t>
      </w:r>
    </w:p>
    <w:p w14:paraId="6D467C08">
      <w:pPr>
        <w:tabs>
          <w:tab w:val="left" w:pos="105"/>
          <w:tab w:val="left" w:pos="5565"/>
        </w:tabs>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具体保修的内容如下：</w:t>
      </w:r>
    </w:p>
    <w:p w14:paraId="62074CD1">
      <w:pPr>
        <w:tabs>
          <w:tab w:val="left" w:pos="105"/>
          <w:tab w:val="left" w:pos="5565"/>
        </w:tabs>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1.地基基础工程、主体结构工程；</w:t>
      </w:r>
    </w:p>
    <w:p w14:paraId="54548360">
      <w:pPr>
        <w:tabs>
          <w:tab w:val="left" w:pos="105"/>
          <w:tab w:val="left" w:pos="5565"/>
        </w:tabs>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2.屋面防水和卫生间防水工程；</w:t>
      </w:r>
    </w:p>
    <w:p w14:paraId="476075CF">
      <w:pPr>
        <w:tabs>
          <w:tab w:val="left" w:pos="105"/>
          <w:tab w:val="left" w:pos="5565"/>
        </w:tabs>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3.房间和外墙面的防渗漏工程；</w:t>
      </w:r>
    </w:p>
    <w:p w14:paraId="6D3C2CA8">
      <w:pPr>
        <w:tabs>
          <w:tab w:val="left" w:pos="105"/>
          <w:tab w:val="left" w:pos="5565"/>
        </w:tabs>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4.空调通风系统；</w:t>
      </w:r>
    </w:p>
    <w:p w14:paraId="381166FA">
      <w:pPr>
        <w:tabs>
          <w:tab w:val="left" w:pos="105"/>
          <w:tab w:val="left" w:pos="5565"/>
        </w:tabs>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5.电气管线工程；</w:t>
      </w:r>
    </w:p>
    <w:p w14:paraId="1A259D8B">
      <w:pPr>
        <w:tabs>
          <w:tab w:val="left" w:pos="105"/>
          <w:tab w:val="left" w:pos="5565"/>
        </w:tabs>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6.给排水管道工程；</w:t>
      </w:r>
    </w:p>
    <w:p w14:paraId="2817426F">
      <w:pPr>
        <w:tabs>
          <w:tab w:val="left" w:pos="105"/>
          <w:tab w:val="left" w:pos="5565"/>
        </w:tabs>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7.设备安装和装修工程；</w:t>
      </w:r>
    </w:p>
    <w:p w14:paraId="0B7078BF">
      <w:pPr>
        <w:tabs>
          <w:tab w:val="left" w:pos="105"/>
          <w:tab w:val="left" w:pos="5565"/>
        </w:tabs>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8.弱电工程；</w:t>
      </w:r>
    </w:p>
    <w:p w14:paraId="6BD7FB76">
      <w:pPr>
        <w:tabs>
          <w:tab w:val="left" w:pos="105"/>
          <w:tab w:val="left" w:pos="5565"/>
        </w:tabs>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9.苗木存活率（质量标准以“发包人满意”为标准）；</w:t>
      </w:r>
    </w:p>
    <w:p w14:paraId="10DEA91A">
      <w:pPr>
        <w:tabs>
          <w:tab w:val="left" w:pos="105"/>
          <w:tab w:val="left" w:pos="5565"/>
        </w:tabs>
        <w:spacing w:line="400" w:lineRule="exact"/>
        <w:ind w:left="0" w:firstLine="422" w:firstLineChars="200"/>
        <w:rPr>
          <w:rFonts w:ascii="宋体" w:hAnsi="宋体" w:eastAsia="宋体" w:cs="宋体"/>
          <w:b/>
          <w:bCs/>
          <w:color w:val="auto"/>
          <w:szCs w:val="21"/>
          <w:highlight w:val="none"/>
        </w:rPr>
      </w:pPr>
      <w:r>
        <w:rPr>
          <w:rFonts w:hint="eastAsia" w:ascii="宋体" w:hAnsi="宋体" w:eastAsia="宋体" w:cs="宋体"/>
          <w:b/>
          <w:bCs/>
          <w:color w:val="auto"/>
          <w:szCs w:val="21"/>
          <w:highlight w:val="none"/>
        </w:rPr>
        <w:t>二、质量保修期</w:t>
      </w:r>
    </w:p>
    <w:p w14:paraId="2AB6682F">
      <w:pPr>
        <w:tabs>
          <w:tab w:val="left" w:pos="105"/>
          <w:tab w:val="left" w:pos="5565"/>
        </w:tabs>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双方根据《建设工程质量管理条例》及有关规定，约定本工程的质量保修期如下：</w:t>
      </w:r>
    </w:p>
    <w:p w14:paraId="709ED297">
      <w:pPr>
        <w:tabs>
          <w:tab w:val="left" w:pos="105"/>
          <w:tab w:val="left" w:pos="5565"/>
        </w:tabs>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1.本项目中涉及到的地基基础工程、主体结构工程直接关系到基础设施工程和构筑物的整体安全可靠，必须在该工程的合理使用年限内予以保修，即实行终身负责制。其它土建工程2年；</w:t>
      </w:r>
    </w:p>
    <w:p w14:paraId="693EB3FE">
      <w:pPr>
        <w:tabs>
          <w:tab w:val="left" w:pos="105"/>
          <w:tab w:val="left" w:pos="5565"/>
        </w:tabs>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2.屋面防水和卫生间防水工程     保修期为5年</w:t>
      </w:r>
    </w:p>
    <w:p w14:paraId="5442395A">
      <w:pPr>
        <w:tabs>
          <w:tab w:val="left" w:pos="105"/>
          <w:tab w:val="left" w:pos="5565"/>
        </w:tabs>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3.房间和外墙面的防渗漏工程     保修期为5年</w:t>
      </w:r>
    </w:p>
    <w:p w14:paraId="4E18775C">
      <w:pPr>
        <w:tabs>
          <w:tab w:val="left" w:pos="105"/>
          <w:tab w:val="left" w:pos="5565"/>
        </w:tabs>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4.空调通风系统                 保修期为2年</w:t>
      </w:r>
    </w:p>
    <w:p w14:paraId="79D0E1F8">
      <w:pPr>
        <w:tabs>
          <w:tab w:val="left" w:pos="105"/>
          <w:tab w:val="left" w:pos="5565"/>
        </w:tabs>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5.电气管线工程                 保修期为2年</w:t>
      </w:r>
    </w:p>
    <w:p w14:paraId="51BC8B17">
      <w:pPr>
        <w:tabs>
          <w:tab w:val="left" w:pos="105"/>
          <w:tab w:val="left" w:pos="5565"/>
        </w:tabs>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6.给排水管道工程               保修期为2年</w:t>
      </w:r>
    </w:p>
    <w:p w14:paraId="6FB62746">
      <w:pPr>
        <w:tabs>
          <w:tab w:val="left" w:pos="105"/>
          <w:tab w:val="left" w:pos="5565"/>
        </w:tabs>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7.设备安装和装修工程           保修期为2年</w:t>
      </w:r>
    </w:p>
    <w:p w14:paraId="53089D3A">
      <w:pPr>
        <w:tabs>
          <w:tab w:val="left" w:pos="105"/>
          <w:tab w:val="left" w:pos="5565"/>
        </w:tabs>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8.弱电工程                     保修期为2年</w:t>
      </w:r>
    </w:p>
    <w:p w14:paraId="69E845DA">
      <w:pPr>
        <w:tabs>
          <w:tab w:val="left" w:pos="105"/>
          <w:tab w:val="left" w:pos="5565"/>
        </w:tabs>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质量保修期自工程竣工验收合格之日起计算。</w:t>
      </w:r>
    </w:p>
    <w:p w14:paraId="37ED85E4">
      <w:pPr>
        <w:tabs>
          <w:tab w:val="left" w:pos="105"/>
          <w:tab w:val="left" w:pos="5565"/>
        </w:tabs>
        <w:spacing w:line="400" w:lineRule="exact"/>
        <w:ind w:left="0" w:firstLine="422" w:firstLineChars="200"/>
        <w:rPr>
          <w:rFonts w:ascii="宋体" w:hAnsi="宋体" w:eastAsia="宋体" w:cs="宋体"/>
          <w:b/>
          <w:bCs/>
          <w:color w:val="auto"/>
          <w:szCs w:val="21"/>
          <w:highlight w:val="none"/>
        </w:rPr>
      </w:pPr>
      <w:r>
        <w:rPr>
          <w:rFonts w:hint="eastAsia" w:ascii="宋体" w:hAnsi="宋体" w:eastAsia="宋体" w:cs="宋体"/>
          <w:b/>
          <w:bCs/>
          <w:color w:val="auto"/>
          <w:szCs w:val="21"/>
          <w:highlight w:val="none"/>
        </w:rPr>
        <w:t>三、质量保修责任</w:t>
      </w:r>
    </w:p>
    <w:p w14:paraId="160DDA73">
      <w:pPr>
        <w:tabs>
          <w:tab w:val="left" w:pos="105"/>
          <w:tab w:val="left" w:pos="5565"/>
        </w:tabs>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1.属于保修范围和内容的项目，承包人应在接到保修通知之日起24小时内派人保修。承包人不在约定期限内派人保修，发包人可委托其他人员保修，保修费用从质量保证金内扣除。</w:t>
      </w:r>
    </w:p>
    <w:p w14:paraId="19B4EA75">
      <w:pPr>
        <w:tabs>
          <w:tab w:val="left" w:pos="105"/>
          <w:tab w:val="left" w:pos="5565"/>
        </w:tabs>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2.发生须紧急抢修事故，承包人接到事故通知后，应立即到达事故现场抢修。非承包人施工质量引起的事故，抢修费用由发包人承担。</w:t>
      </w:r>
    </w:p>
    <w:p w14:paraId="65C6343D">
      <w:pPr>
        <w:tabs>
          <w:tab w:val="left" w:pos="105"/>
          <w:tab w:val="left" w:pos="5565"/>
        </w:tabs>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在相关的法律法规、行业标准、设计规范及本工程《质量保修书》中约定的工程合理使用期限内，承包人确保地基基础工程和主体结构的质量。因承包人原因致使工程在合理使用期内造成人身和财产损害的，承包人应承担赔偿责任。</w:t>
      </w:r>
    </w:p>
    <w:p w14:paraId="497C8D6C">
      <w:pPr>
        <w:tabs>
          <w:tab w:val="left" w:pos="105"/>
          <w:tab w:val="left" w:pos="5565"/>
        </w:tabs>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四、质量保证金的支付</w:t>
      </w:r>
    </w:p>
    <w:p w14:paraId="5C630FC4">
      <w:pPr>
        <w:tabs>
          <w:tab w:val="left" w:pos="105"/>
          <w:tab w:val="left" w:pos="5565"/>
        </w:tabs>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本工程约定的工程质量保证金为工程结算款的3％。</w:t>
      </w:r>
    </w:p>
    <w:p w14:paraId="166FF029">
      <w:pPr>
        <w:tabs>
          <w:tab w:val="left" w:pos="105"/>
          <w:tab w:val="left" w:pos="5565"/>
        </w:tabs>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五、质量保证金的返还</w:t>
      </w:r>
    </w:p>
    <w:p w14:paraId="260609E8">
      <w:pPr>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在工程竣工结算后，承包人必须向发包人支付工程质量保证金。在工程竣工验收合格之日起2年期满后14天内，发包人将保修金100%（不计利息）返还承包人。但地基基础工程、主体结构工程、屋面防水和卫生间防水工程、房间和外墙面的防渗漏工程等保修义务不变。</w:t>
      </w:r>
    </w:p>
    <w:p w14:paraId="5E9E31AE">
      <w:pPr>
        <w:tabs>
          <w:tab w:val="left" w:pos="105"/>
          <w:tab w:val="left" w:pos="5565"/>
        </w:tabs>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六、其他</w:t>
      </w:r>
    </w:p>
    <w:p w14:paraId="320A7CCF">
      <w:pPr>
        <w:tabs>
          <w:tab w:val="left" w:pos="105"/>
          <w:tab w:val="left" w:pos="5565"/>
        </w:tabs>
        <w:spacing w:line="400" w:lineRule="exact"/>
        <w:ind w:left="0" w:firstLine="420" w:firstLineChars="200"/>
        <w:rPr>
          <w:rFonts w:ascii="宋体" w:hAnsi="宋体" w:eastAsia="宋体" w:cs="宋体"/>
          <w:color w:val="auto"/>
          <w:szCs w:val="21"/>
          <w:highlight w:val="none"/>
          <w:u w:val="single"/>
        </w:rPr>
      </w:pPr>
      <w:r>
        <w:rPr>
          <w:rFonts w:hint="eastAsia" w:ascii="宋体" w:hAnsi="宋体" w:eastAsia="宋体" w:cs="宋体"/>
          <w:color w:val="auto"/>
          <w:szCs w:val="21"/>
          <w:highlight w:val="none"/>
        </w:rPr>
        <w:t xml:space="preserve">双方约定的其他工程质量保修事项： </w:t>
      </w:r>
      <w:r>
        <w:rPr>
          <w:rFonts w:hint="eastAsia" w:ascii="宋体" w:hAnsi="宋体" w:eastAsia="宋体" w:cs="宋体"/>
          <w:color w:val="auto"/>
          <w:szCs w:val="21"/>
          <w:highlight w:val="none"/>
          <w:u w:val="single"/>
        </w:rPr>
        <w:t xml:space="preserve">        /     </w:t>
      </w:r>
      <w:r>
        <w:rPr>
          <w:rFonts w:hint="eastAsia" w:ascii="宋体" w:hAnsi="宋体" w:eastAsia="宋体" w:cs="宋体"/>
          <w:color w:val="auto"/>
          <w:szCs w:val="21"/>
          <w:highlight w:val="none"/>
        </w:rPr>
        <w:t>。</w:t>
      </w:r>
    </w:p>
    <w:p w14:paraId="4F6302E4">
      <w:pPr>
        <w:tabs>
          <w:tab w:val="left" w:pos="105"/>
          <w:tab w:val="left" w:pos="5565"/>
        </w:tabs>
        <w:spacing w:line="40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本工程质量保修书作为施工合同附件，由施工合同发包人和承包人双方共同签署。</w:t>
      </w:r>
    </w:p>
    <w:p w14:paraId="3AED6ACE">
      <w:pPr>
        <w:tabs>
          <w:tab w:val="left" w:pos="105"/>
          <w:tab w:val="left" w:pos="5565"/>
        </w:tabs>
        <w:spacing w:line="400" w:lineRule="exact"/>
        <w:ind w:left="0" w:firstLine="420" w:firstLineChars="200"/>
        <w:rPr>
          <w:rFonts w:ascii="宋体" w:hAnsi="宋体" w:eastAsia="宋体" w:cs="宋体"/>
          <w:color w:val="auto"/>
          <w:szCs w:val="21"/>
          <w:highlight w:val="none"/>
        </w:rPr>
      </w:pPr>
    </w:p>
    <w:p w14:paraId="7A6326FA">
      <w:pPr>
        <w:spacing w:line="400" w:lineRule="exact"/>
        <w:ind w:left="0" w:firstLine="420" w:firstLineChars="200"/>
        <w:rPr>
          <w:rFonts w:ascii="宋体" w:hAnsi="宋体" w:eastAsia="宋体" w:cs="宋体"/>
          <w:color w:val="auto"/>
          <w:szCs w:val="21"/>
          <w:highlight w:val="none"/>
        </w:rPr>
      </w:pPr>
    </w:p>
    <w:p w14:paraId="7C466525">
      <w:pPr>
        <w:spacing w:line="400" w:lineRule="exact"/>
        <w:ind w:left="0" w:firstLine="420" w:firstLineChars="200"/>
        <w:rPr>
          <w:rFonts w:ascii="宋体" w:hAnsi="宋体" w:eastAsia="宋体" w:cs="宋体"/>
          <w:color w:val="auto"/>
          <w:szCs w:val="21"/>
          <w:highlight w:val="none"/>
        </w:rPr>
      </w:pPr>
    </w:p>
    <w:p w14:paraId="201F522A">
      <w:pPr>
        <w:autoSpaceDE w:val="0"/>
        <w:spacing w:line="500" w:lineRule="exact"/>
        <w:ind w:left="0" w:firstLine="0"/>
        <w:rPr>
          <w:rFonts w:eastAsia="宋体"/>
          <w:color w:val="auto"/>
          <w:szCs w:val="21"/>
          <w:highlight w:val="none"/>
        </w:rPr>
      </w:pPr>
      <w:r>
        <w:rPr>
          <w:rFonts w:hint="eastAsia" w:eastAsia="宋体"/>
          <w:color w:val="auto"/>
          <w:szCs w:val="21"/>
          <w:highlight w:val="none"/>
        </w:rPr>
        <w:t xml:space="preserve">发包人（公章）：柳州市人民医院                 </w:t>
      </w:r>
      <w:r>
        <w:rPr>
          <w:rFonts w:hint="eastAsia" w:ascii="宋体" w:hAnsi="宋体" w:eastAsia="宋体"/>
          <w:color w:val="auto"/>
          <w:szCs w:val="21"/>
          <w:highlight w:val="none"/>
        </w:rPr>
        <w:t>承包人（公章）：</w:t>
      </w:r>
    </w:p>
    <w:p w14:paraId="28B005DA">
      <w:pPr>
        <w:spacing w:line="320" w:lineRule="exact"/>
        <w:ind w:left="6720" w:leftChars="200" w:hanging="6300" w:hangingChars="3000"/>
        <w:rPr>
          <w:rFonts w:ascii="宋体" w:hAnsi="宋体" w:eastAsia="宋体"/>
          <w:color w:val="auto"/>
          <w:szCs w:val="21"/>
          <w:highlight w:val="none"/>
        </w:rPr>
      </w:pPr>
    </w:p>
    <w:p w14:paraId="55F41A19">
      <w:pPr>
        <w:tabs>
          <w:tab w:val="left" w:pos="105"/>
          <w:tab w:val="left" w:pos="5565"/>
        </w:tabs>
        <w:spacing w:line="500" w:lineRule="exact"/>
        <w:ind w:left="5880" w:hanging="5880" w:hangingChars="2800"/>
        <w:jc w:val="left"/>
        <w:rPr>
          <w:rFonts w:ascii="宋体" w:hAnsi="宋体" w:eastAsia="宋体"/>
          <w:color w:val="auto"/>
          <w:szCs w:val="21"/>
          <w:highlight w:val="none"/>
        </w:rPr>
      </w:pPr>
      <w:r>
        <w:rPr>
          <w:rFonts w:hint="eastAsia" w:ascii="宋体" w:hAnsi="宋体" w:eastAsia="宋体"/>
          <w:color w:val="auto"/>
          <w:szCs w:val="21"/>
          <w:highlight w:val="none"/>
        </w:rPr>
        <w:t>法定代表人：（签字或盖章）                     法定代表人：（签字或盖章）</w:t>
      </w:r>
    </w:p>
    <w:p w14:paraId="4C5AA35E">
      <w:pPr>
        <w:tabs>
          <w:tab w:val="left" w:pos="105"/>
          <w:tab w:val="left" w:pos="5565"/>
        </w:tabs>
        <w:spacing w:line="500" w:lineRule="exact"/>
        <w:ind w:left="5880" w:hanging="5880" w:hangingChars="2800"/>
        <w:jc w:val="left"/>
        <w:rPr>
          <w:rFonts w:ascii="宋体" w:hAnsi="宋体" w:eastAsia="宋体"/>
          <w:color w:val="auto"/>
          <w:szCs w:val="21"/>
          <w:highlight w:val="none"/>
        </w:rPr>
      </w:pPr>
      <w:r>
        <w:rPr>
          <w:rFonts w:hint="eastAsia" w:ascii="宋体" w:hAnsi="宋体" w:eastAsia="宋体"/>
          <w:color w:val="auto"/>
          <w:szCs w:val="21"/>
          <w:highlight w:val="none"/>
        </w:rPr>
        <w:t>或委托代理人：（签字或盖章）                    或委托代理人：（签字或盖章）</w:t>
      </w:r>
    </w:p>
    <w:p w14:paraId="66F81F67">
      <w:pPr>
        <w:tabs>
          <w:tab w:val="left" w:pos="105"/>
          <w:tab w:val="left" w:pos="5565"/>
        </w:tabs>
        <w:spacing w:line="500" w:lineRule="exact"/>
        <w:ind w:left="5880" w:hanging="5880" w:hangingChars="2800"/>
        <w:jc w:val="left"/>
        <w:rPr>
          <w:rFonts w:ascii="宋体" w:hAnsi="宋体" w:eastAsia="宋体"/>
          <w:color w:val="auto"/>
          <w:szCs w:val="21"/>
          <w:highlight w:val="none"/>
        </w:rPr>
      </w:pPr>
    </w:p>
    <w:p w14:paraId="343B1F12">
      <w:pPr>
        <w:tabs>
          <w:tab w:val="left" w:pos="105"/>
          <w:tab w:val="left" w:pos="5565"/>
        </w:tabs>
        <w:spacing w:line="500" w:lineRule="exact"/>
        <w:ind w:left="5880" w:hanging="5880" w:hangingChars="2800"/>
        <w:jc w:val="left"/>
        <w:rPr>
          <w:rFonts w:ascii="宋体" w:hAnsi="宋体" w:eastAsia="宋体"/>
          <w:color w:val="auto"/>
          <w:szCs w:val="21"/>
          <w:highlight w:val="none"/>
        </w:rPr>
      </w:pPr>
      <w:r>
        <w:rPr>
          <w:rFonts w:hint="eastAsia" w:ascii="宋体" w:hAnsi="宋体" w:eastAsia="宋体"/>
          <w:color w:val="auto"/>
          <w:szCs w:val="21"/>
          <w:highlight w:val="none"/>
        </w:rPr>
        <w:t>2026年  月  日                                   2026年   月   日</w:t>
      </w:r>
    </w:p>
    <w:p w14:paraId="11E20BD0">
      <w:pPr>
        <w:spacing w:line="400" w:lineRule="exact"/>
        <w:ind w:left="0" w:firstLine="420" w:firstLineChars="200"/>
        <w:outlineLvl w:val="0"/>
        <w:rPr>
          <w:rFonts w:ascii="宋体" w:hAnsi="宋体" w:eastAsia="宋体" w:cs="宋体"/>
          <w:b/>
          <w:color w:val="auto"/>
          <w:szCs w:val="21"/>
          <w:highlight w:val="none"/>
        </w:rPr>
      </w:pPr>
      <w:r>
        <w:rPr>
          <w:rFonts w:hint="eastAsia" w:ascii="宋体" w:hAnsi="宋体" w:eastAsia="宋体" w:cs="宋体"/>
          <w:color w:val="auto"/>
          <w:szCs w:val="21"/>
          <w:highlight w:val="none"/>
        </w:rPr>
        <w:br w:type="page"/>
      </w:r>
      <w:bookmarkStart w:id="529" w:name="_Toc11346"/>
      <w:bookmarkStart w:id="530" w:name="_Toc27805"/>
      <w:bookmarkStart w:id="531" w:name="_Toc31954"/>
      <w:bookmarkStart w:id="532" w:name="_Toc8716"/>
      <w:r>
        <w:rPr>
          <w:rFonts w:hint="eastAsia" w:ascii="宋体" w:hAnsi="宋体" w:eastAsia="宋体" w:cs="宋体"/>
          <w:b/>
          <w:color w:val="auto"/>
          <w:sz w:val="24"/>
          <w:highlight w:val="none"/>
        </w:rPr>
        <w:t>附件2：</w:t>
      </w:r>
      <w:bookmarkEnd w:id="529"/>
      <w:bookmarkEnd w:id="530"/>
      <w:bookmarkEnd w:id="531"/>
      <w:bookmarkEnd w:id="532"/>
    </w:p>
    <w:p w14:paraId="75A544C2">
      <w:pPr>
        <w:spacing w:line="440" w:lineRule="exact"/>
        <w:ind w:left="0" w:firstLine="0"/>
        <w:jc w:val="center"/>
        <w:outlineLvl w:val="0"/>
        <w:rPr>
          <w:rFonts w:ascii="宋体" w:hAnsi="宋体" w:eastAsia="宋体" w:cs="宋体"/>
          <w:b/>
          <w:color w:val="auto"/>
          <w:sz w:val="28"/>
          <w:szCs w:val="28"/>
          <w:highlight w:val="none"/>
        </w:rPr>
      </w:pPr>
      <w:bookmarkStart w:id="533" w:name="_Toc197"/>
      <w:bookmarkStart w:id="534" w:name="_Toc27513"/>
      <w:bookmarkStart w:id="535" w:name="_Toc23118"/>
      <w:r>
        <w:rPr>
          <w:rFonts w:hint="eastAsia" w:ascii="宋体" w:hAnsi="宋体" w:eastAsia="宋体" w:cs="宋体"/>
          <w:b/>
          <w:color w:val="auto"/>
          <w:sz w:val="28"/>
          <w:szCs w:val="28"/>
          <w:highlight w:val="none"/>
        </w:rPr>
        <w:t>承包人主要施工管理人员表</w:t>
      </w:r>
      <w:bookmarkEnd w:id="533"/>
      <w:bookmarkEnd w:id="534"/>
      <w:bookmarkEnd w:id="535"/>
    </w:p>
    <w:tbl>
      <w:tblPr>
        <w:tblStyle w:val="15"/>
        <w:tblpPr w:leftFromText="180" w:rightFromText="180" w:vertAnchor="text" w:horzAnchor="margin" w:tblpXSpec="center" w:tblpY="334"/>
        <w:tblOverlap w:val="never"/>
        <w:tblW w:w="8850"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427"/>
        <w:gridCol w:w="1185"/>
        <w:gridCol w:w="1300"/>
        <w:gridCol w:w="1354"/>
        <w:gridCol w:w="3584"/>
      </w:tblGrid>
      <w:tr w14:paraId="4D896A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82" w:hRule="atLeast"/>
        </w:trPr>
        <w:tc>
          <w:tcPr>
            <w:tcW w:w="1427" w:type="dxa"/>
            <w:tcBorders>
              <w:top w:val="single" w:color="auto" w:sz="4" w:space="0"/>
              <w:left w:val="single" w:color="auto" w:sz="4" w:space="0"/>
              <w:bottom w:val="single" w:color="auto" w:sz="4" w:space="0"/>
              <w:right w:val="single" w:color="auto" w:sz="4" w:space="0"/>
            </w:tcBorders>
            <w:noWrap/>
            <w:vAlign w:val="center"/>
          </w:tcPr>
          <w:p w14:paraId="7DEE4B6E">
            <w:pPr>
              <w:keepNext/>
              <w:keepLines w:val="0"/>
              <w:suppressLineNumbers w:val="0"/>
              <w:adjustRightInd w:val="0"/>
              <w:spacing w:before="0" w:beforeAutospacing="0" w:after="0" w:afterAutospacing="0" w:line="440" w:lineRule="exact"/>
              <w:ind w:left="63" w:leftChars="30" w:right="63" w:rightChars="30" w:firstLine="0"/>
              <w:jc w:val="center"/>
              <w:textAlignment w:val="baseline"/>
              <w:rPr>
                <w:rFonts w:hint="default" w:ascii="宋体" w:hAnsi="宋体" w:eastAsia="宋体" w:cs="宋体"/>
                <w:color w:val="auto"/>
                <w:szCs w:val="21"/>
                <w:highlight w:val="none"/>
              </w:rPr>
            </w:pPr>
            <w:r>
              <w:rPr>
                <w:rFonts w:hint="eastAsia" w:ascii="宋体" w:hAnsi="宋体" w:eastAsia="宋体" w:cs="宋体"/>
                <w:color w:val="auto"/>
                <w:szCs w:val="21"/>
                <w:highlight w:val="none"/>
              </w:rPr>
              <w:t>名称</w:t>
            </w:r>
          </w:p>
        </w:tc>
        <w:tc>
          <w:tcPr>
            <w:tcW w:w="1185" w:type="dxa"/>
            <w:tcBorders>
              <w:top w:val="single" w:color="auto" w:sz="4" w:space="0"/>
              <w:left w:val="single" w:color="auto" w:sz="4" w:space="0"/>
              <w:bottom w:val="single" w:color="auto" w:sz="4" w:space="0"/>
              <w:right w:val="single" w:color="auto" w:sz="4" w:space="0"/>
            </w:tcBorders>
            <w:noWrap/>
            <w:vAlign w:val="center"/>
          </w:tcPr>
          <w:p w14:paraId="39D9DADE">
            <w:pPr>
              <w:keepNext/>
              <w:keepLines w:val="0"/>
              <w:suppressLineNumbers w:val="0"/>
              <w:adjustRightInd w:val="0"/>
              <w:spacing w:before="0" w:beforeAutospacing="0" w:after="0" w:afterAutospacing="0" w:line="440" w:lineRule="exact"/>
              <w:ind w:left="63" w:leftChars="30" w:right="63" w:rightChars="30" w:firstLine="0"/>
              <w:jc w:val="center"/>
              <w:textAlignment w:val="baseline"/>
              <w:rPr>
                <w:rFonts w:hint="default" w:ascii="宋体" w:hAnsi="宋体" w:eastAsia="宋体" w:cs="宋体"/>
                <w:color w:val="auto"/>
                <w:szCs w:val="21"/>
                <w:highlight w:val="none"/>
              </w:rPr>
            </w:pPr>
            <w:r>
              <w:rPr>
                <w:rFonts w:hint="eastAsia" w:ascii="宋体" w:hAnsi="宋体" w:eastAsia="宋体" w:cs="宋体"/>
                <w:color w:val="auto"/>
                <w:szCs w:val="21"/>
                <w:highlight w:val="none"/>
              </w:rPr>
              <w:t>姓名</w:t>
            </w:r>
          </w:p>
        </w:tc>
        <w:tc>
          <w:tcPr>
            <w:tcW w:w="1300" w:type="dxa"/>
            <w:tcBorders>
              <w:top w:val="single" w:color="auto" w:sz="4" w:space="0"/>
              <w:left w:val="single" w:color="auto" w:sz="4" w:space="0"/>
              <w:bottom w:val="single" w:color="auto" w:sz="4" w:space="0"/>
              <w:right w:val="single" w:color="auto" w:sz="4" w:space="0"/>
            </w:tcBorders>
            <w:noWrap/>
            <w:vAlign w:val="center"/>
          </w:tcPr>
          <w:p w14:paraId="64FFB922">
            <w:pPr>
              <w:keepNext/>
              <w:keepLines w:val="0"/>
              <w:suppressLineNumbers w:val="0"/>
              <w:adjustRightInd w:val="0"/>
              <w:spacing w:before="0" w:beforeAutospacing="0" w:after="0" w:afterAutospacing="0" w:line="440" w:lineRule="exact"/>
              <w:ind w:left="63" w:leftChars="30" w:right="63" w:rightChars="30" w:firstLine="0"/>
              <w:jc w:val="center"/>
              <w:textAlignment w:val="baseline"/>
              <w:rPr>
                <w:rFonts w:hint="default" w:ascii="宋体" w:hAnsi="宋体" w:eastAsia="宋体" w:cs="宋体"/>
                <w:color w:val="auto"/>
                <w:szCs w:val="21"/>
                <w:highlight w:val="none"/>
              </w:rPr>
            </w:pPr>
            <w:r>
              <w:rPr>
                <w:rFonts w:hint="eastAsia" w:ascii="宋体" w:hAnsi="宋体" w:eastAsia="宋体" w:cs="宋体"/>
                <w:color w:val="auto"/>
                <w:szCs w:val="21"/>
                <w:highlight w:val="none"/>
              </w:rPr>
              <w:t>职务</w:t>
            </w:r>
          </w:p>
        </w:tc>
        <w:tc>
          <w:tcPr>
            <w:tcW w:w="1354" w:type="dxa"/>
            <w:tcBorders>
              <w:top w:val="single" w:color="auto" w:sz="4" w:space="0"/>
              <w:left w:val="single" w:color="auto" w:sz="4" w:space="0"/>
              <w:bottom w:val="single" w:color="auto" w:sz="4" w:space="0"/>
              <w:right w:val="single" w:color="auto" w:sz="4" w:space="0"/>
            </w:tcBorders>
            <w:noWrap/>
            <w:vAlign w:val="center"/>
          </w:tcPr>
          <w:p w14:paraId="6AB38EFB">
            <w:pPr>
              <w:keepNext/>
              <w:keepLines w:val="0"/>
              <w:suppressLineNumbers w:val="0"/>
              <w:adjustRightInd w:val="0"/>
              <w:spacing w:before="0" w:beforeAutospacing="0" w:after="0" w:afterAutospacing="0" w:line="440" w:lineRule="exact"/>
              <w:ind w:left="63" w:leftChars="30" w:right="63" w:rightChars="30" w:firstLine="0"/>
              <w:jc w:val="center"/>
              <w:textAlignment w:val="baseline"/>
              <w:rPr>
                <w:rFonts w:hint="default" w:ascii="宋体" w:hAnsi="宋体" w:eastAsia="宋体" w:cs="宋体"/>
                <w:color w:val="auto"/>
                <w:szCs w:val="21"/>
                <w:highlight w:val="none"/>
              </w:rPr>
            </w:pPr>
            <w:r>
              <w:rPr>
                <w:rFonts w:hint="eastAsia" w:ascii="宋体" w:hAnsi="宋体" w:eastAsia="宋体" w:cs="宋体"/>
                <w:color w:val="auto"/>
                <w:szCs w:val="21"/>
                <w:highlight w:val="none"/>
              </w:rPr>
              <w:t>职称</w:t>
            </w:r>
          </w:p>
        </w:tc>
        <w:tc>
          <w:tcPr>
            <w:tcW w:w="3584" w:type="dxa"/>
            <w:tcBorders>
              <w:top w:val="single" w:color="auto" w:sz="4" w:space="0"/>
              <w:left w:val="single" w:color="auto" w:sz="4" w:space="0"/>
              <w:bottom w:val="single" w:color="auto" w:sz="4" w:space="0"/>
              <w:right w:val="single" w:color="auto" w:sz="4" w:space="0"/>
            </w:tcBorders>
            <w:noWrap/>
            <w:vAlign w:val="center"/>
          </w:tcPr>
          <w:p w14:paraId="7677A744">
            <w:pPr>
              <w:keepNext/>
              <w:keepLines w:val="0"/>
              <w:suppressLineNumbers w:val="0"/>
              <w:adjustRightInd w:val="0"/>
              <w:spacing w:before="0" w:beforeAutospacing="0" w:after="0" w:afterAutospacing="0" w:line="440" w:lineRule="exact"/>
              <w:ind w:left="63" w:leftChars="30" w:right="63" w:rightChars="30" w:firstLine="0"/>
              <w:jc w:val="center"/>
              <w:textAlignment w:val="baseline"/>
              <w:rPr>
                <w:rFonts w:hint="default" w:ascii="宋体" w:hAnsi="宋体" w:eastAsia="宋体" w:cs="宋体"/>
                <w:color w:val="auto"/>
                <w:szCs w:val="21"/>
                <w:highlight w:val="none"/>
              </w:rPr>
            </w:pPr>
            <w:r>
              <w:rPr>
                <w:rFonts w:hint="eastAsia" w:ascii="宋体" w:hAnsi="宋体" w:eastAsia="宋体" w:cs="宋体"/>
                <w:color w:val="auto"/>
                <w:szCs w:val="21"/>
                <w:highlight w:val="none"/>
              </w:rPr>
              <w:t>主要资历、经验及承担过的项目</w:t>
            </w:r>
          </w:p>
        </w:tc>
      </w:tr>
      <w:tr w14:paraId="6575B2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97" w:hRule="atLeast"/>
        </w:trPr>
        <w:tc>
          <w:tcPr>
            <w:tcW w:w="8850" w:type="dxa"/>
            <w:gridSpan w:val="5"/>
            <w:tcBorders>
              <w:top w:val="single" w:color="auto" w:sz="4" w:space="0"/>
              <w:left w:val="single" w:color="auto" w:sz="4" w:space="0"/>
              <w:bottom w:val="single" w:color="auto" w:sz="4" w:space="0"/>
              <w:right w:val="single" w:color="auto" w:sz="4" w:space="0"/>
            </w:tcBorders>
            <w:noWrap/>
            <w:vAlign w:val="center"/>
          </w:tcPr>
          <w:p w14:paraId="7C7DBE6E">
            <w:pPr>
              <w:keepNext/>
              <w:keepLines w:val="0"/>
              <w:suppressLineNumbers w:val="0"/>
              <w:adjustRightInd w:val="0"/>
              <w:spacing w:before="0" w:beforeAutospacing="0" w:after="0" w:afterAutospacing="0" w:line="440" w:lineRule="exact"/>
              <w:ind w:left="63" w:leftChars="30" w:right="63" w:rightChars="30" w:firstLine="0"/>
              <w:jc w:val="center"/>
              <w:textAlignment w:val="baseline"/>
              <w:rPr>
                <w:rFonts w:hint="default" w:ascii="宋体" w:hAnsi="宋体" w:eastAsia="宋体" w:cs="宋体"/>
                <w:color w:val="auto"/>
                <w:szCs w:val="21"/>
                <w:highlight w:val="none"/>
              </w:rPr>
            </w:pPr>
            <w:r>
              <w:rPr>
                <w:rFonts w:hint="eastAsia" w:ascii="宋体" w:hAnsi="宋体" w:eastAsia="宋体" w:cs="宋体"/>
                <w:color w:val="auto"/>
                <w:szCs w:val="21"/>
                <w:highlight w:val="none"/>
              </w:rPr>
              <w:t>一、总部人员</w:t>
            </w:r>
          </w:p>
        </w:tc>
      </w:tr>
      <w:tr w14:paraId="5C0B67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82" w:hRule="atLeast"/>
        </w:trPr>
        <w:tc>
          <w:tcPr>
            <w:tcW w:w="1427" w:type="dxa"/>
            <w:tcBorders>
              <w:top w:val="single" w:color="auto" w:sz="4" w:space="0"/>
              <w:left w:val="single" w:color="auto" w:sz="4" w:space="0"/>
              <w:bottom w:val="single" w:color="auto" w:sz="4" w:space="0"/>
              <w:right w:val="single" w:color="auto" w:sz="4" w:space="0"/>
            </w:tcBorders>
            <w:noWrap/>
            <w:vAlign w:val="center"/>
          </w:tcPr>
          <w:p w14:paraId="522088A4">
            <w:pPr>
              <w:keepNext/>
              <w:keepLines w:val="0"/>
              <w:suppressLineNumbers w:val="0"/>
              <w:adjustRightInd w:val="0"/>
              <w:spacing w:before="0" w:beforeAutospacing="0" w:after="0" w:afterAutospacing="0" w:line="440" w:lineRule="exact"/>
              <w:ind w:left="63" w:leftChars="30" w:right="63" w:rightChars="30" w:firstLine="0"/>
              <w:jc w:val="center"/>
              <w:textAlignment w:val="baseline"/>
              <w:rPr>
                <w:rFonts w:hint="default" w:ascii="宋体" w:hAnsi="宋体" w:eastAsia="宋体" w:cs="宋体"/>
                <w:color w:val="auto"/>
                <w:szCs w:val="21"/>
                <w:highlight w:val="none"/>
              </w:rPr>
            </w:pPr>
            <w:r>
              <w:rPr>
                <w:rFonts w:hint="eastAsia" w:ascii="宋体" w:hAnsi="宋体" w:eastAsia="宋体" w:cs="宋体"/>
                <w:color w:val="auto"/>
                <w:szCs w:val="21"/>
                <w:highlight w:val="none"/>
              </w:rPr>
              <w:t>项目主管</w:t>
            </w:r>
          </w:p>
        </w:tc>
        <w:tc>
          <w:tcPr>
            <w:tcW w:w="1185" w:type="dxa"/>
            <w:tcBorders>
              <w:top w:val="single" w:color="auto" w:sz="4" w:space="0"/>
              <w:left w:val="single" w:color="auto" w:sz="4" w:space="0"/>
              <w:bottom w:val="single" w:color="auto" w:sz="4" w:space="0"/>
              <w:right w:val="single" w:color="auto" w:sz="4" w:space="0"/>
            </w:tcBorders>
            <w:noWrap/>
            <w:vAlign w:val="center"/>
          </w:tcPr>
          <w:p w14:paraId="2D3F5727">
            <w:pPr>
              <w:keepNext/>
              <w:keepLines w:val="0"/>
              <w:suppressLineNumbers w:val="0"/>
              <w:adjustRightInd w:val="0"/>
              <w:spacing w:before="0" w:beforeAutospacing="0" w:after="0" w:afterAutospacing="0" w:line="440" w:lineRule="exact"/>
              <w:ind w:left="63" w:leftChars="30" w:right="63" w:rightChars="30" w:firstLine="0"/>
              <w:jc w:val="center"/>
              <w:textAlignment w:val="baseline"/>
              <w:rPr>
                <w:rFonts w:hint="default" w:ascii="宋体" w:hAnsi="宋体" w:eastAsia="宋体"/>
                <w:color w:val="auto"/>
                <w:szCs w:val="21"/>
                <w:highlight w:val="none"/>
              </w:rPr>
            </w:pPr>
          </w:p>
        </w:tc>
        <w:tc>
          <w:tcPr>
            <w:tcW w:w="1300" w:type="dxa"/>
            <w:tcBorders>
              <w:top w:val="single" w:color="auto" w:sz="4" w:space="0"/>
              <w:left w:val="single" w:color="auto" w:sz="4" w:space="0"/>
              <w:bottom w:val="single" w:color="auto" w:sz="4" w:space="0"/>
              <w:right w:val="single" w:color="auto" w:sz="4" w:space="0"/>
            </w:tcBorders>
            <w:noWrap/>
            <w:vAlign w:val="center"/>
          </w:tcPr>
          <w:p w14:paraId="3E80FA2F">
            <w:pPr>
              <w:keepNext/>
              <w:keepLines w:val="0"/>
              <w:suppressLineNumbers w:val="0"/>
              <w:adjustRightInd w:val="0"/>
              <w:spacing w:before="0" w:beforeAutospacing="0" w:after="0" w:afterAutospacing="0" w:line="440" w:lineRule="exact"/>
              <w:ind w:left="63" w:leftChars="30" w:right="63" w:rightChars="30" w:firstLine="0"/>
              <w:jc w:val="center"/>
              <w:textAlignment w:val="baseline"/>
              <w:rPr>
                <w:rFonts w:hint="default" w:ascii="宋体" w:eastAsia="宋体"/>
                <w:color w:val="auto"/>
                <w:szCs w:val="21"/>
                <w:highlight w:val="none"/>
              </w:rPr>
            </w:pPr>
          </w:p>
        </w:tc>
        <w:tc>
          <w:tcPr>
            <w:tcW w:w="1354" w:type="dxa"/>
            <w:tcBorders>
              <w:top w:val="single" w:color="auto" w:sz="4" w:space="0"/>
              <w:left w:val="single" w:color="auto" w:sz="4" w:space="0"/>
              <w:bottom w:val="single" w:color="auto" w:sz="4" w:space="0"/>
              <w:right w:val="single" w:color="auto" w:sz="4" w:space="0"/>
            </w:tcBorders>
            <w:noWrap/>
            <w:vAlign w:val="center"/>
          </w:tcPr>
          <w:p w14:paraId="7FBDAECE">
            <w:pPr>
              <w:keepNext/>
              <w:keepLines w:val="0"/>
              <w:suppressLineNumbers w:val="0"/>
              <w:adjustRightInd w:val="0"/>
              <w:spacing w:before="0" w:beforeAutospacing="0" w:after="0" w:afterAutospacing="0" w:line="440" w:lineRule="exact"/>
              <w:ind w:left="63" w:leftChars="30" w:right="63" w:rightChars="30" w:firstLine="0"/>
              <w:jc w:val="center"/>
              <w:textAlignment w:val="baseline"/>
              <w:rPr>
                <w:rFonts w:hint="default" w:ascii="宋体" w:eastAsia="宋体"/>
                <w:color w:val="auto"/>
                <w:szCs w:val="21"/>
                <w:highlight w:val="none"/>
              </w:rPr>
            </w:pPr>
          </w:p>
        </w:tc>
        <w:tc>
          <w:tcPr>
            <w:tcW w:w="3584" w:type="dxa"/>
            <w:tcBorders>
              <w:top w:val="single" w:color="auto" w:sz="4" w:space="0"/>
              <w:left w:val="single" w:color="auto" w:sz="4" w:space="0"/>
              <w:bottom w:val="single" w:color="auto" w:sz="4" w:space="0"/>
              <w:right w:val="single" w:color="auto" w:sz="4" w:space="0"/>
            </w:tcBorders>
            <w:noWrap/>
            <w:vAlign w:val="center"/>
          </w:tcPr>
          <w:p w14:paraId="3325317E">
            <w:pPr>
              <w:keepNext/>
              <w:keepLines w:val="0"/>
              <w:suppressLineNumbers w:val="0"/>
              <w:adjustRightInd w:val="0"/>
              <w:spacing w:before="0" w:beforeAutospacing="0" w:after="0" w:afterAutospacing="0" w:line="440" w:lineRule="exact"/>
              <w:ind w:left="63" w:leftChars="30" w:right="63" w:rightChars="30" w:firstLine="0"/>
              <w:jc w:val="center"/>
              <w:textAlignment w:val="baseline"/>
              <w:rPr>
                <w:rFonts w:hint="default" w:ascii="宋体" w:eastAsia="宋体"/>
                <w:color w:val="auto"/>
                <w:szCs w:val="21"/>
                <w:highlight w:val="none"/>
              </w:rPr>
            </w:pPr>
          </w:p>
        </w:tc>
      </w:tr>
      <w:tr w14:paraId="04CDB8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82" w:hRule="atLeast"/>
        </w:trPr>
        <w:tc>
          <w:tcPr>
            <w:tcW w:w="1427" w:type="dxa"/>
            <w:tcBorders>
              <w:top w:val="single" w:color="auto" w:sz="4" w:space="0"/>
              <w:left w:val="single" w:color="auto" w:sz="4" w:space="0"/>
              <w:bottom w:val="single" w:color="auto" w:sz="4" w:space="0"/>
              <w:right w:val="single" w:color="auto" w:sz="4" w:space="0"/>
            </w:tcBorders>
            <w:noWrap/>
            <w:vAlign w:val="center"/>
          </w:tcPr>
          <w:p w14:paraId="74524E21">
            <w:pPr>
              <w:keepNext/>
              <w:keepLines w:val="0"/>
              <w:suppressLineNumbers w:val="0"/>
              <w:adjustRightInd w:val="0"/>
              <w:spacing w:before="0" w:beforeAutospacing="0" w:after="0" w:afterAutospacing="0" w:line="440" w:lineRule="exact"/>
              <w:ind w:left="63" w:leftChars="30" w:right="63" w:rightChars="30" w:firstLine="0"/>
              <w:jc w:val="center"/>
              <w:textAlignment w:val="baseline"/>
              <w:rPr>
                <w:rFonts w:hint="default" w:ascii="宋体" w:hAnsi="宋体" w:eastAsia="宋体" w:cs="宋体"/>
                <w:color w:val="auto"/>
                <w:szCs w:val="21"/>
                <w:highlight w:val="none"/>
              </w:rPr>
            </w:pPr>
            <w:r>
              <w:rPr>
                <w:rFonts w:hint="eastAsia" w:ascii="宋体" w:hAnsi="宋体" w:eastAsia="宋体" w:cs="宋体"/>
                <w:color w:val="auto"/>
                <w:szCs w:val="21"/>
                <w:highlight w:val="none"/>
              </w:rPr>
              <w:t xml:space="preserve"> 其他人员</w:t>
            </w:r>
          </w:p>
        </w:tc>
        <w:tc>
          <w:tcPr>
            <w:tcW w:w="1185" w:type="dxa"/>
            <w:tcBorders>
              <w:top w:val="single" w:color="auto" w:sz="4" w:space="0"/>
              <w:left w:val="single" w:color="auto" w:sz="4" w:space="0"/>
              <w:bottom w:val="single" w:color="auto" w:sz="4" w:space="0"/>
              <w:right w:val="single" w:color="auto" w:sz="4" w:space="0"/>
            </w:tcBorders>
            <w:noWrap/>
            <w:vAlign w:val="center"/>
          </w:tcPr>
          <w:p w14:paraId="63A734D3">
            <w:pPr>
              <w:keepNext/>
              <w:keepLines w:val="0"/>
              <w:suppressLineNumbers w:val="0"/>
              <w:adjustRightInd w:val="0"/>
              <w:spacing w:before="0" w:beforeAutospacing="0" w:after="0" w:afterAutospacing="0" w:line="440" w:lineRule="exact"/>
              <w:ind w:left="63" w:leftChars="30" w:right="63" w:rightChars="30" w:firstLine="0"/>
              <w:jc w:val="center"/>
              <w:textAlignment w:val="baseline"/>
              <w:rPr>
                <w:rFonts w:hint="default" w:ascii="宋体" w:hAnsi="宋体" w:eastAsia="宋体" w:cs="宋体"/>
                <w:color w:val="auto"/>
                <w:szCs w:val="21"/>
                <w:highlight w:val="none"/>
              </w:rPr>
            </w:pPr>
          </w:p>
        </w:tc>
        <w:tc>
          <w:tcPr>
            <w:tcW w:w="1300" w:type="dxa"/>
            <w:tcBorders>
              <w:top w:val="single" w:color="auto" w:sz="4" w:space="0"/>
              <w:left w:val="single" w:color="auto" w:sz="4" w:space="0"/>
              <w:bottom w:val="single" w:color="auto" w:sz="4" w:space="0"/>
              <w:right w:val="single" w:color="auto" w:sz="4" w:space="0"/>
            </w:tcBorders>
            <w:noWrap/>
            <w:vAlign w:val="center"/>
          </w:tcPr>
          <w:p w14:paraId="40857993">
            <w:pPr>
              <w:keepNext/>
              <w:keepLines w:val="0"/>
              <w:suppressLineNumbers w:val="0"/>
              <w:adjustRightInd w:val="0"/>
              <w:spacing w:before="0" w:beforeAutospacing="0" w:after="0" w:afterAutospacing="0" w:line="440" w:lineRule="exact"/>
              <w:ind w:left="63" w:leftChars="30" w:right="63" w:rightChars="30" w:firstLine="0"/>
              <w:jc w:val="center"/>
              <w:textAlignment w:val="baseline"/>
              <w:rPr>
                <w:rFonts w:hint="default" w:ascii="宋体" w:hAnsi="宋体" w:eastAsia="宋体" w:cs="宋体"/>
                <w:color w:val="auto"/>
                <w:szCs w:val="21"/>
                <w:highlight w:val="none"/>
              </w:rPr>
            </w:pPr>
          </w:p>
        </w:tc>
        <w:tc>
          <w:tcPr>
            <w:tcW w:w="1354" w:type="dxa"/>
            <w:tcBorders>
              <w:top w:val="single" w:color="auto" w:sz="4" w:space="0"/>
              <w:left w:val="single" w:color="auto" w:sz="4" w:space="0"/>
              <w:bottom w:val="single" w:color="auto" w:sz="4" w:space="0"/>
              <w:right w:val="single" w:color="auto" w:sz="4" w:space="0"/>
            </w:tcBorders>
            <w:noWrap/>
            <w:vAlign w:val="center"/>
          </w:tcPr>
          <w:p w14:paraId="32C5C3B7">
            <w:pPr>
              <w:keepNext/>
              <w:keepLines w:val="0"/>
              <w:suppressLineNumbers w:val="0"/>
              <w:adjustRightInd w:val="0"/>
              <w:spacing w:before="0" w:beforeAutospacing="0" w:after="0" w:afterAutospacing="0" w:line="440" w:lineRule="exact"/>
              <w:ind w:left="63" w:leftChars="30" w:right="63" w:rightChars="30" w:firstLine="0"/>
              <w:jc w:val="center"/>
              <w:textAlignment w:val="baseline"/>
              <w:rPr>
                <w:rFonts w:hint="default" w:ascii="宋体" w:hAnsi="宋体" w:eastAsia="宋体" w:cs="宋体"/>
                <w:color w:val="auto"/>
                <w:szCs w:val="21"/>
                <w:highlight w:val="none"/>
              </w:rPr>
            </w:pPr>
          </w:p>
        </w:tc>
        <w:tc>
          <w:tcPr>
            <w:tcW w:w="3584" w:type="dxa"/>
            <w:tcBorders>
              <w:top w:val="single" w:color="auto" w:sz="4" w:space="0"/>
              <w:left w:val="single" w:color="auto" w:sz="4" w:space="0"/>
              <w:bottom w:val="single" w:color="auto" w:sz="4" w:space="0"/>
              <w:right w:val="single" w:color="auto" w:sz="4" w:space="0"/>
            </w:tcBorders>
            <w:noWrap/>
            <w:vAlign w:val="center"/>
          </w:tcPr>
          <w:p w14:paraId="42F94407">
            <w:pPr>
              <w:keepNext/>
              <w:keepLines w:val="0"/>
              <w:suppressLineNumbers w:val="0"/>
              <w:adjustRightInd w:val="0"/>
              <w:spacing w:before="0" w:beforeAutospacing="0" w:after="0" w:afterAutospacing="0" w:line="440" w:lineRule="exact"/>
              <w:ind w:left="63" w:leftChars="30" w:right="63" w:rightChars="30" w:firstLine="0"/>
              <w:jc w:val="center"/>
              <w:textAlignment w:val="baseline"/>
              <w:rPr>
                <w:rFonts w:hint="default" w:ascii="宋体" w:hAnsi="宋体" w:eastAsia="宋体" w:cs="宋体"/>
                <w:color w:val="auto"/>
                <w:szCs w:val="21"/>
                <w:highlight w:val="none"/>
              </w:rPr>
            </w:pPr>
          </w:p>
        </w:tc>
      </w:tr>
      <w:tr w14:paraId="6CF10B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82" w:hRule="atLeast"/>
        </w:trPr>
        <w:tc>
          <w:tcPr>
            <w:tcW w:w="1427" w:type="dxa"/>
            <w:tcBorders>
              <w:top w:val="single" w:color="auto" w:sz="4" w:space="0"/>
              <w:left w:val="single" w:color="auto" w:sz="4" w:space="0"/>
              <w:bottom w:val="single" w:color="auto" w:sz="4" w:space="0"/>
              <w:right w:val="single" w:color="auto" w:sz="4" w:space="0"/>
            </w:tcBorders>
            <w:noWrap/>
            <w:vAlign w:val="center"/>
          </w:tcPr>
          <w:p w14:paraId="10707AE7">
            <w:pPr>
              <w:keepNext/>
              <w:keepLines w:val="0"/>
              <w:suppressLineNumbers w:val="0"/>
              <w:adjustRightInd w:val="0"/>
              <w:spacing w:before="0" w:beforeAutospacing="0" w:after="0" w:afterAutospacing="0" w:line="440" w:lineRule="exact"/>
              <w:ind w:left="63" w:leftChars="30" w:right="63" w:rightChars="30" w:firstLine="0"/>
              <w:jc w:val="center"/>
              <w:textAlignment w:val="baseline"/>
              <w:rPr>
                <w:rFonts w:hint="default" w:ascii="宋体" w:hAnsi="宋体" w:eastAsia="宋体" w:cs="宋体"/>
                <w:color w:val="auto"/>
                <w:szCs w:val="21"/>
                <w:highlight w:val="none"/>
              </w:rPr>
            </w:pPr>
          </w:p>
        </w:tc>
        <w:tc>
          <w:tcPr>
            <w:tcW w:w="1185" w:type="dxa"/>
            <w:tcBorders>
              <w:top w:val="single" w:color="auto" w:sz="4" w:space="0"/>
              <w:left w:val="single" w:color="auto" w:sz="4" w:space="0"/>
              <w:bottom w:val="single" w:color="auto" w:sz="4" w:space="0"/>
              <w:right w:val="single" w:color="auto" w:sz="4" w:space="0"/>
            </w:tcBorders>
            <w:noWrap/>
            <w:vAlign w:val="center"/>
          </w:tcPr>
          <w:p w14:paraId="7FF54AF6">
            <w:pPr>
              <w:keepNext/>
              <w:keepLines w:val="0"/>
              <w:suppressLineNumbers w:val="0"/>
              <w:adjustRightInd w:val="0"/>
              <w:spacing w:before="0" w:beforeAutospacing="0" w:after="0" w:afterAutospacing="0" w:line="440" w:lineRule="exact"/>
              <w:ind w:left="63" w:leftChars="30" w:right="63" w:rightChars="30" w:firstLine="0"/>
              <w:jc w:val="center"/>
              <w:textAlignment w:val="baseline"/>
              <w:rPr>
                <w:rFonts w:hint="default" w:ascii="宋体" w:hAnsi="宋体" w:eastAsia="宋体" w:cs="宋体"/>
                <w:color w:val="auto"/>
                <w:szCs w:val="21"/>
                <w:highlight w:val="none"/>
              </w:rPr>
            </w:pPr>
          </w:p>
        </w:tc>
        <w:tc>
          <w:tcPr>
            <w:tcW w:w="1300" w:type="dxa"/>
            <w:tcBorders>
              <w:top w:val="single" w:color="auto" w:sz="4" w:space="0"/>
              <w:left w:val="single" w:color="auto" w:sz="4" w:space="0"/>
              <w:bottom w:val="single" w:color="auto" w:sz="4" w:space="0"/>
              <w:right w:val="single" w:color="auto" w:sz="4" w:space="0"/>
            </w:tcBorders>
            <w:noWrap/>
            <w:vAlign w:val="center"/>
          </w:tcPr>
          <w:p w14:paraId="2B336EBF">
            <w:pPr>
              <w:keepNext/>
              <w:keepLines w:val="0"/>
              <w:suppressLineNumbers w:val="0"/>
              <w:adjustRightInd w:val="0"/>
              <w:spacing w:before="0" w:beforeAutospacing="0" w:after="0" w:afterAutospacing="0" w:line="440" w:lineRule="exact"/>
              <w:ind w:left="63" w:leftChars="30" w:right="63" w:rightChars="30" w:firstLine="0"/>
              <w:jc w:val="center"/>
              <w:textAlignment w:val="baseline"/>
              <w:rPr>
                <w:rFonts w:hint="default" w:ascii="宋体" w:hAnsi="宋体" w:eastAsia="宋体" w:cs="宋体"/>
                <w:color w:val="auto"/>
                <w:szCs w:val="21"/>
                <w:highlight w:val="none"/>
              </w:rPr>
            </w:pPr>
          </w:p>
        </w:tc>
        <w:tc>
          <w:tcPr>
            <w:tcW w:w="1354" w:type="dxa"/>
            <w:tcBorders>
              <w:top w:val="single" w:color="auto" w:sz="4" w:space="0"/>
              <w:left w:val="single" w:color="auto" w:sz="4" w:space="0"/>
              <w:bottom w:val="single" w:color="auto" w:sz="4" w:space="0"/>
              <w:right w:val="single" w:color="auto" w:sz="4" w:space="0"/>
            </w:tcBorders>
            <w:noWrap/>
            <w:vAlign w:val="center"/>
          </w:tcPr>
          <w:p w14:paraId="1C090DC9">
            <w:pPr>
              <w:keepNext/>
              <w:keepLines w:val="0"/>
              <w:suppressLineNumbers w:val="0"/>
              <w:adjustRightInd w:val="0"/>
              <w:spacing w:before="0" w:beforeAutospacing="0" w:after="0" w:afterAutospacing="0" w:line="440" w:lineRule="exact"/>
              <w:ind w:left="63" w:leftChars="30" w:right="63" w:rightChars="30" w:firstLine="0"/>
              <w:jc w:val="center"/>
              <w:textAlignment w:val="baseline"/>
              <w:rPr>
                <w:rFonts w:hint="default" w:ascii="宋体" w:hAnsi="宋体" w:eastAsia="宋体" w:cs="宋体"/>
                <w:color w:val="auto"/>
                <w:szCs w:val="21"/>
                <w:highlight w:val="none"/>
              </w:rPr>
            </w:pPr>
          </w:p>
        </w:tc>
        <w:tc>
          <w:tcPr>
            <w:tcW w:w="3584" w:type="dxa"/>
            <w:tcBorders>
              <w:top w:val="single" w:color="auto" w:sz="4" w:space="0"/>
              <w:left w:val="single" w:color="auto" w:sz="4" w:space="0"/>
              <w:bottom w:val="single" w:color="auto" w:sz="4" w:space="0"/>
              <w:right w:val="single" w:color="auto" w:sz="4" w:space="0"/>
            </w:tcBorders>
            <w:noWrap/>
            <w:vAlign w:val="center"/>
          </w:tcPr>
          <w:p w14:paraId="64CE4B51">
            <w:pPr>
              <w:keepNext/>
              <w:keepLines w:val="0"/>
              <w:suppressLineNumbers w:val="0"/>
              <w:adjustRightInd w:val="0"/>
              <w:spacing w:before="0" w:beforeAutospacing="0" w:after="0" w:afterAutospacing="0" w:line="440" w:lineRule="exact"/>
              <w:ind w:left="63" w:leftChars="30" w:right="63" w:rightChars="30" w:firstLine="0"/>
              <w:jc w:val="center"/>
              <w:textAlignment w:val="baseline"/>
              <w:rPr>
                <w:rFonts w:hint="default" w:ascii="宋体" w:hAnsi="宋体" w:eastAsia="宋体" w:cs="宋体"/>
                <w:color w:val="auto"/>
                <w:szCs w:val="21"/>
                <w:highlight w:val="none"/>
              </w:rPr>
            </w:pPr>
          </w:p>
        </w:tc>
      </w:tr>
      <w:tr w14:paraId="1CD9CF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82" w:hRule="atLeast"/>
        </w:trPr>
        <w:tc>
          <w:tcPr>
            <w:tcW w:w="8850" w:type="dxa"/>
            <w:gridSpan w:val="5"/>
            <w:tcBorders>
              <w:top w:val="single" w:color="auto" w:sz="4" w:space="0"/>
              <w:left w:val="single" w:color="auto" w:sz="4" w:space="0"/>
              <w:bottom w:val="single" w:color="auto" w:sz="4" w:space="0"/>
              <w:right w:val="single" w:color="auto" w:sz="4" w:space="0"/>
            </w:tcBorders>
            <w:noWrap/>
            <w:vAlign w:val="center"/>
          </w:tcPr>
          <w:p w14:paraId="2629F653">
            <w:pPr>
              <w:keepNext/>
              <w:keepLines w:val="0"/>
              <w:suppressLineNumbers w:val="0"/>
              <w:adjustRightInd w:val="0"/>
              <w:spacing w:before="0" w:beforeAutospacing="0" w:after="0" w:afterAutospacing="0" w:line="440" w:lineRule="exact"/>
              <w:ind w:left="63" w:leftChars="30" w:right="63" w:rightChars="30" w:firstLine="0"/>
              <w:jc w:val="center"/>
              <w:textAlignment w:val="baseline"/>
              <w:rPr>
                <w:rFonts w:hint="default" w:ascii="宋体" w:hAnsi="宋体" w:eastAsia="宋体" w:cs="宋体"/>
                <w:color w:val="auto"/>
                <w:szCs w:val="21"/>
                <w:highlight w:val="none"/>
              </w:rPr>
            </w:pPr>
            <w:r>
              <w:rPr>
                <w:rFonts w:hint="eastAsia" w:ascii="宋体" w:hAnsi="宋体" w:eastAsia="宋体" w:cs="宋体"/>
                <w:color w:val="auto"/>
                <w:szCs w:val="21"/>
                <w:highlight w:val="none"/>
              </w:rPr>
              <w:t>二、现场人员</w:t>
            </w:r>
          </w:p>
        </w:tc>
      </w:tr>
      <w:tr w14:paraId="2E1C4E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82" w:hRule="atLeast"/>
        </w:trPr>
        <w:tc>
          <w:tcPr>
            <w:tcW w:w="1427" w:type="dxa"/>
            <w:tcBorders>
              <w:top w:val="single" w:color="auto" w:sz="4" w:space="0"/>
              <w:left w:val="single" w:color="auto" w:sz="4" w:space="0"/>
              <w:bottom w:val="single" w:color="auto" w:sz="4" w:space="0"/>
              <w:right w:val="single" w:color="auto" w:sz="4" w:space="0"/>
            </w:tcBorders>
            <w:noWrap/>
            <w:vAlign w:val="center"/>
          </w:tcPr>
          <w:p w14:paraId="7254E578">
            <w:pPr>
              <w:keepNext/>
              <w:keepLines w:val="0"/>
              <w:suppressLineNumbers w:val="0"/>
              <w:adjustRightInd w:val="0"/>
              <w:spacing w:before="0" w:beforeAutospacing="0" w:after="0" w:afterAutospacing="0" w:line="440" w:lineRule="exact"/>
              <w:ind w:left="63" w:leftChars="30" w:right="63" w:rightChars="30" w:firstLine="0"/>
              <w:jc w:val="center"/>
              <w:textAlignment w:val="baseline"/>
              <w:rPr>
                <w:rFonts w:hint="default" w:ascii="宋体" w:hAnsi="宋体" w:eastAsia="宋体"/>
                <w:color w:val="auto"/>
                <w:szCs w:val="21"/>
                <w:highlight w:val="none"/>
              </w:rPr>
            </w:pPr>
            <w:r>
              <w:rPr>
                <w:rFonts w:hint="eastAsia" w:ascii="宋体" w:hAnsi="宋体" w:eastAsia="宋体"/>
                <w:color w:val="auto"/>
                <w:szCs w:val="21"/>
                <w:highlight w:val="none"/>
              </w:rPr>
              <w:t>项目经理</w:t>
            </w:r>
          </w:p>
        </w:tc>
        <w:tc>
          <w:tcPr>
            <w:tcW w:w="1185" w:type="dxa"/>
            <w:tcBorders>
              <w:top w:val="single" w:color="auto" w:sz="4" w:space="0"/>
              <w:left w:val="single" w:color="auto" w:sz="4" w:space="0"/>
              <w:bottom w:val="single" w:color="auto" w:sz="4" w:space="0"/>
              <w:right w:val="single" w:color="auto" w:sz="4" w:space="0"/>
            </w:tcBorders>
            <w:noWrap/>
            <w:vAlign w:val="center"/>
          </w:tcPr>
          <w:p w14:paraId="20A492B6">
            <w:pPr>
              <w:keepNext w:val="0"/>
              <w:keepLines w:val="0"/>
              <w:suppressLineNumbers w:val="0"/>
              <w:spacing w:before="0" w:beforeAutospacing="0" w:after="0" w:afterAutospacing="0" w:line="240" w:lineRule="auto"/>
              <w:ind w:left="223" w:right="0" w:hanging="222" w:hangingChars="106"/>
              <w:jc w:val="center"/>
              <w:rPr>
                <w:rFonts w:hint="default" w:ascii="宋体" w:eastAsia="宋体"/>
                <w:color w:val="auto"/>
                <w:szCs w:val="21"/>
                <w:highlight w:val="none"/>
              </w:rPr>
            </w:pPr>
          </w:p>
        </w:tc>
        <w:tc>
          <w:tcPr>
            <w:tcW w:w="1300" w:type="dxa"/>
            <w:tcBorders>
              <w:top w:val="single" w:color="auto" w:sz="4" w:space="0"/>
              <w:left w:val="single" w:color="auto" w:sz="4" w:space="0"/>
              <w:bottom w:val="single" w:color="auto" w:sz="4" w:space="0"/>
              <w:right w:val="single" w:color="auto" w:sz="4" w:space="0"/>
            </w:tcBorders>
            <w:noWrap/>
            <w:vAlign w:val="center"/>
          </w:tcPr>
          <w:p w14:paraId="05EB5C26">
            <w:pPr>
              <w:keepNext/>
              <w:keepLines w:val="0"/>
              <w:suppressLineNumbers w:val="0"/>
              <w:adjustRightInd w:val="0"/>
              <w:spacing w:before="0" w:beforeAutospacing="0" w:after="0" w:afterAutospacing="0" w:line="440" w:lineRule="exact"/>
              <w:ind w:left="63" w:leftChars="30" w:right="63" w:rightChars="30" w:firstLine="0"/>
              <w:jc w:val="center"/>
              <w:textAlignment w:val="baseline"/>
              <w:rPr>
                <w:rFonts w:hint="default" w:ascii="宋体" w:hAnsi="宋体" w:eastAsia="宋体"/>
                <w:color w:val="auto"/>
                <w:szCs w:val="21"/>
                <w:highlight w:val="none"/>
              </w:rPr>
            </w:pPr>
          </w:p>
        </w:tc>
        <w:tc>
          <w:tcPr>
            <w:tcW w:w="1354" w:type="dxa"/>
            <w:tcBorders>
              <w:top w:val="single" w:color="auto" w:sz="4" w:space="0"/>
              <w:left w:val="single" w:color="auto" w:sz="4" w:space="0"/>
              <w:bottom w:val="single" w:color="auto" w:sz="4" w:space="0"/>
              <w:right w:val="single" w:color="auto" w:sz="4" w:space="0"/>
            </w:tcBorders>
            <w:noWrap/>
            <w:vAlign w:val="center"/>
          </w:tcPr>
          <w:p w14:paraId="02496963">
            <w:pPr>
              <w:keepNext/>
              <w:keepLines w:val="0"/>
              <w:suppressLineNumbers w:val="0"/>
              <w:adjustRightInd w:val="0"/>
              <w:spacing w:before="0" w:beforeAutospacing="0" w:after="0" w:afterAutospacing="0" w:line="440" w:lineRule="exact"/>
              <w:ind w:left="63" w:leftChars="30" w:right="63" w:rightChars="30" w:firstLine="0"/>
              <w:jc w:val="center"/>
              <w:textAlignment w:val="baseline"/>
              <w:rPr>
                <w:rFonts w:hint="default" w:ascii="宋体" w:hAnsi="宋体" w:eastAsia="宋体"/>
                <w:color w:val="auto"/>
                <w:szCs w:val="21"/>
                <w:highlight w:val="none"/>
              </w:rPr>
            </w:pPr>
          </w:p>
        </w:tc>
        <w:tc>
          <w:tcPr>
            <w:tcW w:w="3584" w:type="dxa"/>
            <w:tcBorders>
              <w:top w:val="single" w:color="auto" w:sz="4" w:space="0"/>
              <w:left w:val="single" w:color="auto" w:sz="4" w:space="0"/>
              <w:bottom w:val="single" w:color="auto" w:sz="4" w:space="0"/>
              <w:right w:val="single" w:color="auto" w:sz="4" w:space="0"/>
            </w:tcBorders>
            <w:noWrap/>
            <w:vAlign w:val="center"/>
          </w:tcPr>
          <w:p w14:paraId="6213CC50">
            <w:pPr>
              <w:keepNext w:val="0"/>
              <w:keepLines w:val="0"/>
              <w:suppressLineNumbers w:val="0"/>
              <w:spacing w:before="0" w:beforeAutospacing="0" w:after="0" w:afterAutospacing="0" w:line="240" w:lineRule="auto"/>
              <w:ind w:left="0" w:right="0" w:firstLine="0"/>
              <w:jc w:val="center"/>
              <w:rPr>
                <w:rFonts w:hint="default" w:ascii="宋体" w:hAnsi="宋体" w:eastAsia="宋体" w:cs="宋体"/>
                <w:color w:val="auto"/>
                <w:szCs w:val="21"/>
                <w:highlight w:val="none"/>
              </w:rPr>
            </w:pPr>
          </w:p>
        </w:tc>
      </w:tr>
      <w:tr w14:paraId="30CE54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82" w:hRule="atLeast"/>
        </w:trPr>
        <w:tc>
          <w:tcPr>
            <w:tcW w:w="1427" w:type="dxa"/>
            <w:tcBorders>
              <w:top w:val="single" w:color="auto" w:sz="4" w:space="0"/>
              <w:left w:val="single" w:color="auto" w:sz="4" w:space="0"/>
              <w:bottom w:val="single" w:color="auto" w:sz="4" w:space="0"/>
              <w:right w:val="single" w:color="auto" w:sz="4" w:space="0"/>
            </w:tcBorders>
            <w:noWrap/>
            <w:vAlign w:val="center"/>
          </w:tcPr>
          <w:p w14:paraId="719FE425">
            <w:pPr>
              <w:keepNext/>
              <w:keepLines w:val="0"/>
              <w:suppressLineNumbers w:val="0"/>
              <w:adjustRightInd w:val="0"/>
              <w:spacing w:before="0" w:beforeAutospacing="0" w:after="0" w:afterAutospacing="0" w:line="440" w:lineRule="exact"/>
              <w:ind w:left="63" w:leftChars="30" w:right="63" w:rightChars="30" w:firstLine="0"/>
              <w:jc w:val="center"/>
              <w:textAlignment w:val="baseline"/>
              <w:rPr>
                <w:rFonts w:hint="default" w:ascii="宋体" w:hAnsi="宋体" w:eastAsia="宋体"/>
                <w:color w:val="auto"/>
                <w:szCs w:val="21"/>
                <w:highlight w:val="none"/>
              </w:rPr>
            </w:pPr>
            <w:r>
              <w:rPr>
                <w:rFonts w:hint="default" w:ascii="宋体" w:hAnsi="宋体" w:eastAsia="宋体"/>
                <w:color w:val="auto"/>
                <w:szCs w:val="21"/>
                <w:highlight w:val="none"/>
              </w:rPr>
              <w:t>项目副经理</w:t>
            </w:r>
          </w:p>
        </w:tc>
        <w:tc>
          <w:tcPr>
            <w:tcW w:w="1185" w:type="dxa"/>
            <w:tcBorders>
              <w:top w:val="single" w:color="auto" w:sz="4" w:space="0"/>
              <w:left w:val="single" w:color="auto" w:sz="4" w:space="0"/>
              <w:bottom w:val="single" w:color="auto" w:sz="4" w:space="0"/>
              <w:right w:val="single" w:color="auto" w:sz="4" w:space="0"/>
            </w:tcBorders>
            <w:noWrap/>
            <w:vAlign w:val="center"/>
          </w:tcPr>
          <w:p w14:paraId="5B88E267">
            <w:pPr>
              <w:keepNext w:val="0"/>
              <w:keepLines w:val="0"/>
              <w:suppressLineNumbers w:val="0"/>
              <w:spacing w:before="0" w:beforeAutospacing="0" w:after="0" w:afterAutospacing="0" w:line="240" w:lineRule="auto"/>
              <w:ind w:left="223" w:right="0" w:hanging="222" w:hangingChars="106"/>
              <w:jc w:val="center"/>
              <w:rPr>
                <w:rFonts w:hint="default" w:ascii="宋体" w:eastAsia="宋体"/>
                <w:color w:val="auto"/>
                <w:szCs w:val="21"/>
                <w:highlight w:val="none"/>
              </w:rPr>
            </w:pPr>
          </w:p>
        </w:tc>
        <w:tc>
          <w:tcPr>
            <w:tcW w:w="1300" w:type="dxa"/>
            <w:tcBorders>
              <w:top w:val="single" w:color="auto" w:sz="4" w:space="0"/>
              <w:left w:val="single" w:color="auto" w:sz="4" w:space="0"/>
              <w:bottom w:val="single" w:color="auto" w:sz="4" w:space="0"/>
              <w:right w:val="single" w:color="auto" w:sz="4" w:space="0"/>
            </w:tcBorders>
            <w:noWrap/>
            <w:vAlign w:val="center"/>
          </w:tcPr>
          <w:p w14:paraId="72C3C9AE">
            <w:pPr>
              <w:keepNext/>
              <w:keepLines w:val="0"/>
              <w:suppressLineNumbers w:val="0"/>
              <w:adjustRightInd w:val="0"/>
              <w:spacing w:before="0" w:beforeAutospacing="0" w:after="0" w:afterAutospacing="0" w:line="440" w:lineRule="exact"/>
              <w:ind w:left="63" w:leftChars="30" w:right="63" w:rightChars="30" w:firstLine="0"/>
              <w:jc w:val="center"/>
              <w:textAlignment w:val="baseline"/>
              <w:rPr>
                <w:rFonts w:hint="default" w:ascii="宋体" w:eastAsia="宋体"/>
                <w:color w:val="auto"/>
                <w:szCs w:val="21"/>
                <w:highlight w:val="none"/>
              </w:rPr>
            </w:pPr>
          </w:p>
        </w:tc>
        <w:tc>
          <w:tcPr>
            <w:tcW w:w="1354" w:type="dxa"/>
            <w:tcBorders>
              <w:top w:val="single" w:color="auto" w:sz="4" w:space="0"/>
              <w:left w:val="single" w:color="auto" w:sz="4" w:space="0"/>
              <w:bottom w:val="single" w:color="auto" w:sz="4" w:space="0"/>
              <w:right w:val="single" w:color="auto" w:sz="4" w:space="0"/>
            </w:tcBorders>
            <w:noWrap/>
            <w:vAlign w:val="center"/>
          </w:tcPr>
          <w:p w14:paraId="694C675B">
            <w:pPr>
              <w:keepNext/>
              <w:keepLines w:val="0"/>
              <w:suppressLineNumbers w:val="0"/>
              <w:adjustRightInd w:val="0"/>
              <w:spacing w:before="0" w:beforeAutospacing="0" w:after="0" w:afterAutospacing="0" w:line="440" w:lineRule="exact"/>
              <w:ind w:left="63" w:leftChars="30" w:right="63" w:rightChars="30" w:firstLine="0"/>
              <w:jc w:val="center"/>
              <w:textAlignment w:val="baseline"/>
              <w:rPr>
                <w:rFonts w:hint="default" w:eastAsia="宋体"/>
                <w:color w:val="auto"/>
                <w:szCs w:val="21"/>
                <w:highlight w:val="none"/>
              </w:rPr>
            </w:pPr>
          </w:p>
        </w:tc>
        <w:tc>
          <w:tcPr>
            <w:tcW w:w="3584" w:type="dxa"/>
            <w:tcBorders>
              <w:top w:val="single" w:color="auto" w:sz="4" w:space="0"/>
              <w:left w:val="single" w:color="auto" w:sz="4" w:space="0"/>
              <w:bottom w:val="single" w:color="auto" w:sz="4" w:space="0"/>
              <w:right w:val="single" w:color="auto" w:sz="4" w:space="0"/>
            </w:tcBorders>
            <w:noWrap/>
            <w:vAlign w:val="center"/>
          </w:tcPr>
          <w:p w14:paraId="7A6E1300">
            <w:pPr>
              <w:keepNext w:val="0"/>
              <w:keepLines w:val="0"/>
              <w:suppressLineNumbers w:val="0"/>
              <w:spacing w:before="0" w:beforeAutospacing="0" w:after="0" w:afterAutospacing="0" w:line="240" w:lineRule="auto"/>
              <w:ind w:left="0" w:right="0" w:firstLine="0"/>
              <w:jc w:val="center"/>
              <w:rPr>
                <w:rFonts w:hint="default" w:ascii="宋体" w:hAnsi="宋体" w:eastAsia="宋体" w:cs="宋体"/>
                <w:color w:val="auto"/>
                <w:szCs w:val="21"/>
                <w:highlight w:val="none"/>
              </w:rPr>
            </w:pPr>
          </w:p>
        </w:tc>
      </w:tr>
      <w:tr w14:paraId="30BA9E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82" w:hRule="atLeast"/>
        </w:trPr>
        <w:tc>
          <w:tcPr>
            <w:tcW w:w="1427" w:type="dxa"/>
            <w:tcBorders>
              <w:top w:val="single" w:color="auto" w:sz="4" w:space="0"/>
              <w:left w:val="single" w:color="auto" w:sz="4" w:space="0"/>
              <w:bottom w:val="single" w:color="auto" w:sz="4" w:space="0"/>
              <w:right w:val="single" w:color="auto" w:sz="4" w:space="0"/>
            </w:tcBorders>
            <w:noWrap/>
            <w:vAlign w:val="center"/>
          </w:tcPr>
          <w:p w14:paraId="19568369">
            <w:pPr>
              <w:keepNext/>
              <w:keepLines w:val="0"/>
              <w:suppressLineNumbers w:val="0"/>
              <w:adjustRightInd w:val="0"/>
              <w:spacing w:before="0" w:beforeAutospacing="0" w:after="0" w:afterAutospacing="0" w:line="440" w:lineRule="exact"/>
              <w:ind w:left="63" w:leftChars="30" w:right="63" w:rightChars="30" w:firstLine="0"/>
              <w:jc w:val="center"/>
              <w:textAlignment w:val="baseline"/>
              <w:rPr>
                <w:rFonts w:hint="default" w:ascii="宋体" w:hAnsi="Calibri" w:eastAsia="宋体"/>
                <w:color w:val="auto"/>
                <w:szCs w:val="21"/>
                <w:highlight w:val="none"/>
              </w:rPr>
            </w:pPr>
            <w:r>
              <w:rPr>
                <w:rFonts w:hint="eastAsia" w:ascii="宋体" w:hAnsi="宋体" w:eastAsia="宋体"/>
                <w:color w:val="auto"/>
                <w:szCs w:val="21"/>
                <w:highlight w:val="none"/>
              </w:rPr>
              <w:t>技术负责人</w:t>
            </w:r>
          </w:p>
        </w:tc>
        <w:tc>
          <w:tcPr>
            <w:tcW w:w="1185" w:type="dxa"/>
            <w:tcBorders>
              <w:top w:val="single" w:color="auto" w:sz="4" w:space="0"/>
              <w:left w:val="single" w:color="auto" w:sz="4" w:space="0"/>
              <w:bottom w:val="single" w:color="auto" w:sz="4" w:space="0"/>
              <w:right w:val="single" w:color="auto" w:sz="4" w:space="0"/>
            </w:tcBorders>
            <w:noWrap/>
            <w:vAlign w:val="center"/>
          </w:tcPr>
          <w:p w14:paraId="6C34CF4D">
            <w:pPr>
              <w:keepNext w:val="0"/>
              <w:keepLines w:val="0"/>
              <w:suppressLineNumbers w:val="0"/>
              <w:spacing w:before="0" w:beforeAutospacing="0" w:after="0" w:afterAutospacing="0" w:line="240" w:lineRule="auto"/>
              <w:ind w:left="223" w:right="0" w:hanging="222" w:hangingChars="106"/>
              <w:jc w:val="center"/>
              <w:rPr>
                <w:rFonts w:hint="default" w:ascii="宋体" w:eastAsia="宋体"/>
                <w:color w:val="auto"/>
                <w:szCs w:val="21"/>
                <w:highlight w:val="none"/>
              </w:rPr>
            </w:pPr>
          </w:p>
        </w:tc>
        <w:tc>
          <w:tcPr>
            <w:tcW w:w="1300" w:type="dxa"/>
            <w:tcBorders>
              <w:top w:val="single" w:color="auto" w:sz="4" w:space="0"/>
              <w:left w:val="single" w:color="auto" w:sz="4" w:space="0"/>
              <w:bottom w:val="single" w:color="auto" w:sz="4" w:space="0"/>
              <w:right w:val="single" w:color="auto" w:sz="4" w:space="0"/>
            </w:tcBorders>
            <w:noWrap/>
            <w:vAlign w:val="center"/>
          </w:tcPr>
          <w:p w14:paraId="5A3F1364">
            <w:pPr>
              <w:keepNext w:val="0"/>
              <w:keepLines w:val="0"/>
              <w:suppressLineNumbers w:val="0"/>
              <w:spacing w:before="0" w:beforeAutospacing="0" w:after="0" w:afterAutospacing="0" w:line="240" w:lineRule="auto"/>
              <w:ind w:left="223" w:right="0" w:hanging="222" w:hangingChars="106"/>
              <w:jc w:val="center"/>
              <w:rPr>
                <w:rFonts w:hint="default" w:ascii="宋体" w:eastAsia="宋体"/>
                <w:color w:val="auto"/>
                <w:szCs w:val="21"/>
                <w:highlight w:val="none"/>
              </w:rPr>
            </w:pPr>
          </w:p>
        </w:tc>
        <w:tc>
          <w:tcPr>
            <w:tcW w:w="1354" w:type="dxa"/>
            <w:tcBorders>
              <w:top w:val="single" w:color="auto" w:sz="4" w:space="0"/>
              <w:left w:val="single" w:color="auto" w:sz="4" w:space="0"/>
              <w:bottom w:val="single" w:color="auto" w:sz="4" w:space="0"/>
              <w:right w:val="single" w:color="auto" w:sz="4" w:space="0"/>
            </w:tcBorders>
            <w:noWrap/>
            <w:vAlign w:val="center"/>
          </w:tcPr>
          <w:p w14:paraId="14A1BE08">
            <w:pPr>
              <w:keepNext w:val="0"/>
              <w:keepLines w:val="0"/>
              <w:suppressLineNumbers w:val="0"/>
              <w:spacing w:before="0" w:beforeAutospacing="0" w:after="0" w:afterAutospacing="0" w:line="240" w:lineRule="auto"/>
              <w:ind w:left="223" w:right="0" w:hanging="222" w:hangingChars="106"/>
              <w:jc w:val="center"/>
              <w:rPr>
                <w:rFonts w:hint="default" w:ascii="宋体" w:hAnsi="Calibri" w:eastAsia="宋体"/>
                <w:color w:val="auto"/>
                <w:szCs w:val="21"/>
                <w:highlight w:val="none"/>
              </w:rPr>
            </w:pPr>
          </w:p>
        </w:tc>
        <w:tc>
          <w:tcPr>
            <w:tcW w:w="3584" w:type="dxa"/>
            <w:tcBorders>
              <w:top w:val="single" w:color="auto" w:sz="4" w:space="0"/>
              <w:left w:val="single" w:color="auto" w:sz="4" w:space="0"/>
              <w:bottom w:val="single" w:color="auto" w:sz="4" w:space="0"/>
              <w:right w:val="single" w:color="auto" w:sz="4" w:space="0"/>
            </w:tcBorders>
            <w:noWrap/>
            <w:vAlign w:val="center"/>
          </w:tcPr>
          <w:p w14:paraId="09962AB1">
            <w:pPr>
              <w:keepNext/>
              <w:keepLines w:val="0"/>
              <w:suppressLineNumbers w:val="0"/>
              <w:adjustRightInd w:val="0"/>
              <w:spacing w:before="0" w:beforeAutospacing="0" w:after="0" w:afterAutospacing="0" w:line="440" w:lineRule="exact"/>
              <w:ind w:left="63" w:leftChars="30" w:right="63" w:rightChars="30" w:firstLine="0"/>
              <w:jc w:val="center"/>
              <w:textAlignment w:val="baseline"/>
              <w:rPr>
                <w:rFonts w:hint="default" w:ascii="宋体" w:hAnsi="宋体" w:eastAsia="宋体" w:cs="宋体"/>
                <w:color w:val="auto"/>
                <w:szCs w:val="21"/>
                <w:highlight w:val="none"/>
              </w:rPr>
            </w:pPr>
          </w:p>
        </w:tc>
      </w:tr>
      <w:tr w14:paraId="6E30F8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82" w:hRule="atLeast"/>
        </w:trPr>
        <w:tc>
          <w:tcPr>
            <w:tcW w:w="1427" w:type="dxa"/>
            <w:tcBorders>
              <w:top w:val="single" w:color="auto" w:sz="4" w:space="0"/>
              <w:left w:val="single" w:color="auto" w:sz="4" w:space="0"/>
              <w:bottom w:val="single" w:color="auto" w:sz="4" w:space="0"/>
              <w:right w:val="single" w:color="auto" w:sz="4" w:space="0"/>
            </w:tcBorders>
            <w:noWrap/>
            <w:vAlign w:val="center"/>
          </w:tcPr>
          <w:p w14:paraId="68FE9403">
            <w:pPr>
              <w:keepNext/>
              <w:keepLines w:val="0"/>
              <w:suppressLineNumbers w:val="0"/>
              <w:adjustRightInd w:val="0"/>
              <w:spacing w:before="0" w:beforeAutospacing="0" w:after="0" w:afterAutospacing="0" w:line="440" w:lineRule="exact"/>
              <w:ind w:left="63" w:leftChars="30" w:right="63" w:rightChars="30" w:firstLine="0"/>
              <w:jc w:val="center"/>
              <w:textAlignment w:val="baseline"/>
              <w:rPr>
                <w:rFonts w:hint="default" w:ascii="宋体" w:hAnsi="Calibri" w:eastAsia="宋体"/>
                <w:color w:val="auto"/>
                <w:szCs w:val="21"/>
                <w:highlight w:val="none"/>
              </w:rPr>
            </w:pPr>
            <w:r>
              <w:rPr>
                <w:rFonts w:hint="eastAsia" w:ascii="宋体" w:hAnsi="宋体" w:eastAsia="宋体"/>
                <w:color w:val="auto"/>
                <w:szCs w:val="21"/>
                <w:highlight w:val="none"/>
              </w:rPr>
              <w:t>造价管理</w:t>
            </w:r>
          </w:p>
        </w:tc>
        <w:tc>
          <w:tcPr>
            <w:tcW w:w="1185" w:type="dxa"/>
            <w:tcBorders>
              <w:top w:val="single" w:color="auto" w:sz="4" w:space="0"/>
              <w:left w:val="single" w:color="auto" w:sz="4" w:space="0"/>
              <w:bottom w:val="single" w:color="auto" w:sz="4" w:space="0"/>
              <w:right w:val="single" w:color="auto" w:sz="4" w:space="0"/>
            </w:tcBorders>
            <w:noWrap/>
            <w:vAlign w:val="center"/>
          </w:tcPr>
          <w:p w14:paraId="12F1772F">
            <w:pPr>
              <w:keepNext w:val="0"/>
              <w:keepLines w:val="0"/>
              <w:suppressLineNumbers w:val="0"/>
              <w:spacing w:before="0" w:beforeAutospacing="0" w:after="0" w:afterAutospacing="0" w:line="240" w:lineRule="auto"/>
              <w:ind w:left="223" w:right="0" w:hanging="222" w:hangingChars="106"/>
              <w:jc w:val="center"/>
              <w:rPr>
                <w:rFonts w:hint="default" w:ascii="宋体" w:eastAsia="宋体"/>
                <w:color w:val="auto"/>
                <w:szCs w:val="21"/>
                <w:highlight w:val="none"/>
              </w:rPr>
            </w:pPr>
          </w:p>
        </w:tc>
        <w:tc>
          <w:tcPr>
            <w:tcW w:w="1300" w:type="dxa"/>
            <w:tcBorders>
              <w:top w:val="single" w:color="auto" w:sz="4" w:space="0"/>
              <w:left w:val="single" w:color="auto" w:sz="4" w:space="0"/>
              <w:bottom w:val="single" w:color="auto" w:sz="4" w:space="0"/>
              <w:right w:val="single" w:color="auto" w:sz="4" w:space="0"/>
            </w:tcBorders>
            <w:noWrap/>
            <w:vAlign w:val="center"/>
          </w:tcPr>
          <w:p w14:paraId="1E655521">
            <w:pPr>
              <w:keepNext w:val="0"/>
              <w:keepLines w:val="0"/>
              <w:suppressLineNumbers w:val="0"/>
              <w:spacing w:before="0" w:beforeAutospacing="0" w:after="0" w:afterAutospacing="0" w:line="240" w:lineRule="auto"/>
              <w:ind w:left="0" w:right="0" w:firstLine="0"/>
              <w:jc w:val="center"/>
              <w:rPr>
                <w:rFonts w:hint="default" w:ascii="宋体" w:hAnsi="Calibri" w:eastAsia="宋体"/>
                <w:color w:val="auto"/>
                <w:szCs w:val="21"/>
                <w:highlight w:val="none"/>
              </w:rPr>
            </w:pPr>
          </w:p>
        </w:tc>
        <w:tc>
          <w:tcPr>
            <w:tcW w:w="1354" w:type="dxa"/>
            <w:tcBorders>
              <w:top w:val="single" w:color="auto" w:sz="4" w:space="0"/>
              <w:left w:val="single" w:color="auto" w:sz="4" w:space="0"/>
              <w:bottom w:val="single" w:color="auto" w:sz="4" w:space="0"/>
              <w:right w:val="single" w:color="auto" w:sz="4" w:space="0"/>
            </w:tcBorders>
            <w:noWrap/>
            <w:vAlign w:val="center"/>
          </w:tcPr>
          <w:p w14:paraId="4041A13F">
            <w:pPr>
              <w:keepNext w:val="0"/>
              <w:keepLines w:val="0"/>
              <w:suppressLineNumbers w:val="0"/>
              <w:spacing w:before="0" w:beforeAutospacing="0" w:after="0" w:afterAutospacing="0" w:line="240" w:lineRule="auto"/>
              <w:ind w:left="0" w:right="0" w:firstLine="0"/>
              <w:jc w:val="center"/>
              <w:rPr>
                <w:rFonts w:hint="default" w:ascii="宋体" w:hAnsi="Calibri" w:eastAsia="宋体"/>
                <w:color w:val="auto"/>
                <w:szCs w:val="21"/>
                <w:highlight w:val="none"/>
              </w:rPr>
            </w:pPr>
          </w:p>
        </w:tc>
        <w:tc>
          <w:tcPr>
            <w:tcW w:w="3584" w:type="dxa"/>
            <w:tcBorders>
              <w:top w:val="single" w:color="auto" w:sz="4" w:space="0"/>
              <w:left w:val="single" w:color="auto" w:sz="4" w:space="0"/>
              <w:bottom w:val="single" w:color="auto" w:sz="4" w:space="0"/>
              <w:right w:val="single" w:color="auto" w:sz="4" w:space="0"/>
            </w:tcBorders>
            <w:noWrap/>
            <w:vAlign w:val="center"/>
          </w:tcPr>
          <w:p w14:paraId="38634361">
            <w:pPr>
              <w:keepNext/>
              <w:keepLines w:val="0"/>
              <w:suppressLineNumbers w:val="0"/>
              <w:adjustRightInd w:val="0"/>
              <w:spacing w:before="0" w:beforeAutospacing="0" w:after="0" w:afterAutospacing="0" w:line="440" w:lineRule="exact"/>
              <w:ind w:left="63" w:leftChars="30" w:right="63" w:rightChars="30" w:firstLine="0"/>
              <w:jc w:val="center"/>
              <w:textAlignment w:val="baseline"/>
              <w:rPr>
                <w:rFonts w:hint="default" w:ascii="宋体" w:hAnsi="宋体" w:eastAsia="宋体" w:cs="宋体"/>
                <w:color w:val="auto"/>
                <w:szCs w:val="21"/>
                <w:highlight w:val="none"/>
              </w:rPr>
            </w:pPr>
          </w:p>
        </w:tc>
      </w:tr>
      <w:tr w14:paraId="337AC8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82" w:hRule="atLeast"/>
        </w:trPr>
        <w:tc>
          <w:tcPr>
            <w:tcW w:w="1427" w:type="dxa"/>
            <w:tcBorders>
              <w:top w:val="single" w:color="auto" w:sz="4" w:space="0"/>
              <w:left w:val="single" w:color="auto" w:sz="4" w:space="0"/>
              <w:bottom w:val="single" w:color="auto" w:sz="4" w:space="0"/>
              <w:right w:val="single" w:color="auto" w:sz="4" w:space="0"/>
            </w:tcBorders>
            <w:noWrap/>
            <w:vAlign w:val="center"/>
          </w:tcPr>
          <w:p w14:paraId="3DFDE4B8">
            <w:pPr>
              <w:keepNext/>
              <w:keepLines w:val="0"/>
              <w:suppressLineNumbers w:val="0"/>
              <w:adjustRightInd w:val="0"/>
              <w:spacing w:before="0" w:beforeAutospacing="0" w:after="0" w:afterAutospacing="0" w:line="440" w:lineRule="exact"/>
              <w:ind w:left="63" w:leftChars="30" w:right="63" w:rightChars="30" w:firstLine="0"/>
              <w:jc w:val="center"/>
              <w:textAlignment w:val="baseline"/>
              <w:rPr>
                <w:rFonts w:hint="default" w:ascii="宋体" w:hAnsi="Calibri" w:eastAsia="宋体"/>
                <w:color w:val="auto"/>
                <w:szCs w:val="21"/>
                <w:highlight w:val="none"/>
              </w:rPr>
            </w:pPr>
            <w:r>
              <w:rPr>
                <w:rFonts w:hint="eastAsia" w:ascii="宋体" w:hAnsi="宋体" w:eastAsia="宋体"/>
                <w:color w:val="auto"/>
                <w:szCs w:val="21"/>
                <w:highlight w:val="none"/>
              </w:rPr>
              <w:t>质量管理</w:t>
            </w:r>
          </w:p>
        </w:tc>
        <w:tc>
          <w:tcPr>
            <w:tcW w:w="1185" w:type="dxa"/>
            <w:tcBorders>
              <w:top w:val="single" w:color="auto" w:sz="4" w:space="0"/>
              <w:left w:val="single" w:color="auto" w:sz="4" w:space="0"/>
              <w:bottom w:val="single" w:color="auto" w:sz="4" w:space="0"/>
              <w:right w:val="single" w:color="auto" w:sz="4" w:space="0"/>
            </w:tcBorders>
            <w:noWrap/>
            <w:vAlign w:val="center"/>
          </w:tcPr>
          <w:p w14:paraId="1249F2DC">
            <w:pPr>
              <w:keepNext w:val="0"/>
              <w:keepLines w:val="0"/>
              <w:suppressLineNumbers w:val="0"/>
              <w:spacing w:before="0" w:beforeAutospacing="0" w:after="0" w:afterAutospacing="0" w:line="240" w:lineRule="auto"/>
              <w:ind w:left="223" w:right="0" w:hanging="222" w:hangingChars="106"/>
              <w:jc w:val="center"/>
              <w:rPr>
                <w:rFonts w:hint="default" w:ascii="宋体" w:eastAsia="宋体"/>
                <w:color w:val="auto"/>
                <w:szCs w:val="21"/>
                <w:highlight w:val="none"/>
              </w:rPr>
            </w:pPr>
          </w:p>
        </w:tc>
        <w:tc>
          <w:tcPr>
            <w:tcW w:w="1300" w:type="dxa"/>
            <w:tcBorders>
              <w:top w:val="single" w:color="auto" w:sz="4" w:space="0"/>
              <w:left w:val="single" w:color="auto" w:sz="4" w:space="0"/>
              <w:bottom w:val="single" w:color="auto" w:sz="4" w:space="0"/>
              <w:right w:val="single" w:color="auto" w:sz="4" w:space="0"/>
            </w:tcBorders>
            <w:noWrap/>
            <w:vAlign w:val="center"/>
          </w:tcPr>
          <w:p w14:paraId="66686D17">
            <w:pPr>
              <w:keepNext w:val="0"/>
              <w:keepLines w:val="0"/>
              <w:suppressLineNumbers w:val="0"/>
              <w:spacing w:before="0" w:beforeAutospacing="0" w:after="0" w:afterAutospacing="0" w:line="240" w:lineRule="auto"/>
              <w:ind w:left="223" w:right="0" w:hanging="222" w:hangingChars="106"/>
              <w:jc w:val="center"/>
              <w:rPr>
                <w:rFonts w:hint="default" w:ascii="宋体" w:hAnsi="Calibri" w:eastAsia="宋体"/>
                <w:color w:val="auto"/>
                <w:szCs w:val="21"/>
                <w:highlight w:val="none"/>
              </w:rPr>
            </w:pPr>
          </w:p>
        </w:tc>
        <w:tc>
          <w:tcPr>
            <w:tcW w:w="1354" w:type="dxa"/>
            <w:tcBorders>
              <w:top w:val="single" w:color="auto" w:sz="4" w:space="0"/>
              <w:left w:val="single" w:color="auto" w:sz="4" w:space="0"/>
              <w:bottom w:val="single" w:color="auto" w:sz="4" w:space="0"/>
              <w:right w:val="single" w:color="auto" w:sz="4" w:space="0"/>
            </w:tcBorders>
            <w:noWrap/>
            <w:vAlign w:val="center"/>
          </w:tcPr>
          <w:p w14:paraId="59BD5501">
            <w:pPr>
              <w:keepNext w:val="0"/>
              <w:keepLines w:val="0"/>
              <w:suppressLineNumbers w:val="0"/>
              <w:spacing w:before="0" w:beforeAutospacing="0" w:after="0" w:afterAutospacing="0" w:line="240" w:lineRule="auto"/>
              <w:ind w:left="223" w:right="0" w:hanging="222" w:hangingChars="106"/>
              <w:jc w:val="center"/>
              <w:rPr>
                <w:rFonts w:hint="default" w:ascii="宋体" w:hAnsi="Calibri" w:eastAsia="宋体"/>
                <w:color w:val="auto"/>
                <w:szCs w:val="21"/>
                <w:highlight w:val="none"/>
              </w:rPr>
            </w:pPr>
          </w:p>
        </w:tc>
        <w:tc>
          <w:tcPr>
            <w:tcW w:w="3584" w:type="dxa"/>
            <w:tcBorders>
              <w:top w:val="single" w:color="auto" w:sz="4" w:space="0"/>
              <w:left w:val="single" w:color="auto" w:sz="4" w:space="0"/>
              <w:bottom w:val="single" w:color="auto" w:sz="4" w:space="0"/>
              <w:right w:val="single" w:color="auto" w:sz="4" w:space="0"/>
            </w:tcBorders>
            <w:noWrap/>
            <w:vAlign w:val="center"/>
          </w:tcPr>
          <w:p w14:paraId="75D5F812">
            <w:pPr>
              <w:keepNext/>
              <w:keepLines w:val="0"/>
              <w:suppressLineNumbers w:val="0"/>
              <w:adjustRightInd w:val="0"/>
              <w:spacing w:before="0" w:beforeAutospacing="0" w:after="0" w:afterAutospacing="0" w:line="440" w:lineRule="exact"/>
              <w:ind w:left="63" w:leftChars="30" w:right="63" w:rightChars="30" w:firstLine="0"/>
              <w:jc w:val="center"/>
              <w:textAlignment w:val="baseline"/>
              <w:rPr>
                <w:rFonts w:hint="default" w:ascii="宋体" w:hAnsi="宋体" w:eastAsia="宋体" w:cs="宋体"/>
                <w:color w:val="auto"/>
                <w:szCs w:val="21"/>
                <w:highlight w:val="none"/>
              </w:rPr>
            </w:pPr>
          </w:p>
        </w:tc>
      </w:tr>
      <w:tr w14:paraId="7D74F3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82" w:hRule="atLeast"/>
        </w:trPr>
        <w:tc>
          <w:tcPr>
            <w:tcW w:w="1427" w:type="dxa"/>
            <w:tcBorders>
              <w:top w:val="single" w:color="auto" w:sz="4" w:space="0"/>
              <w:left w:val="single" w:color="auto" w:sz="4" w:space="0"/>
              <w:bottom w:val="single" w:color="auto" w:sz="4" w:space="0"/>
              <w:right w:val="single" w:color="auto" w:sz="4" w:space="0"/>
            </w:tcBorders>
            <w:noWrap/>
            <w:vAlign w:val="center"/>
          </w:tcPr>
          <w:p w14:paraId="7D26DB95">
            <w:pPr>
              <w:keepNext/>
              <w:keepLines w:val="0"/>
              <w:suppressLineNumbers w:val="0"/>
              <w:adjustRightInd w:val="0"/>
              <w:spacing w:before="0" w:beforeAutospacing="0" w:after="0" w:afterAutospacing="0" w:line="440" w:lineRule="exact"/>
              <w:ind w:left="63" w:leftChars="30" w:right="63" w:rightChars="30" w:firstLine="0"/>
              <w:jc w:val="center"/>
              <w:textAlignment w:val="baseline"/>
              <w:rPr>
                <w:rFonts w:hint="default" w:ascii="宋体" w:hAnsi="Calibri" w:eastAsia="宋体"/>
                <w:color w:val="auto"/>
                <w:szCs w:val="21"/>
                <w:highlight w:val="none"/>
              </w:rPr>
            </w:pPr>
            <w:r>
              <w:rPr>
                <w:rFonts w:hint="eastAsia" w:ascii="宋体" w:hAnsi="宋体" w:eastAsia="宋体"/>
                <w:color w:val="auto"/>
                <w:szCs w:val="21"/>
                <w:highlight w:val="none"/>
              </w:rPr>
              <w:t>材料管理</w:t>
            </w:r>
          </w:p>
        </w:tc>
        <w:tc>
          <w:tcPr>
            <w:tcW w:w="1185" w:type="dxa"/>
            <w:tcBorders>
              <w:top w:val="single" w:color="auto" w:sz="4" w:space="0"/>
              <w:left w:val="single" w:color="auto" w:sz="4" w:space="0"/>
              <w:bottom w:val="single" w:color="auto" w:sz="4" w:space="0"/>
              <w:right w:val="single" w:color="auto" w:sz="4" w:space="0"/>
            </w:tcBorders>
            <w:noWrap/>
            <w:vAlign w:val="center"/>
          </w:tcPr>
          <w:p w14:paraId="7F859BB3">
            <w:pPr>
              <w:keepNext w:val="0"/>
              <w:keepLines w:val="0"/>
              <w:suppressLineNumbers w:val="0"/>
              <w:spacing w:before="0" w:beforeAutospacing="0" w:after="0" w:afterAutospacing="0" w:line="240" w:lineRule="auto"/>
              <w:ind w:left="223" w:right="0" w:hanging="222" w:hangingChars="106"/>
              <w:jc w:val="center"/>
              <w:rPr>
                <w:rFonts w:hint="default" w:ascii="宋体" w:eastAsia="宋体"/>
                <w:color w:val="auto"/>
                <w:szCs w:val="21"/>
                <w:highlight w:val="none"/>
              </w:rPr>
            </w:pPr>
          </w:p>
        </w:tc>
        <w:tc>
          <w:tcPr>
            <w:tcW w:w="1300" w:type="dxa"/>
            <w:tcBorders>
              <w:top w:val="single" w:color="auto" w:sz="4" w:space="0"/>
              <w:left w:val="single" w:color="auto" w:sz="4" w:space="0"/>
              <w:bottom w:val="single" w:color="auto" w:sz="4" w:space="0"/>
              <w:right w:val="single" w:color="auto" w:sz="4" w:space="0"/>
            </w:tcBorders>
            <w:noWrap/>
            <w:vAlign w:val="center"/>
          </w:tcPr>
          <w:p w14:paraId="11A51847">
            <w:pPr>
              <w:keepNext w:val="0"/>
              <w:keepLines w:val="0"/>
              <w:suppressLineNumbers w:val="0"/>
              <w:spacing w:before="0" w:beforeAutospacing="0" w:after="0" w:afterAutospacing="0" w:line="240" w:lineRule="auto"/>
              <w:ind w:left="223" w:right="0" w:hanging="222" w:hangingChars="106"/>
              <w:jc w:val="center"/>
              <w:rPr>
                <w:rFonts w:hint="default" w:ascii="宋体" w:hAnsi="Calibri" w:eastAsia="宋体"/>
                <w:color w:val="auto"/>
                <w:szCs w:val="21"/>
                <w:highlight w:val="none"/>
              </w:rPr>
            </w:pPr>
          </w:p>
        </w:tc>
        <w:tc>
          <w:tcPr>
            <w:tcW w:w="1354" w:type="dxa"/>
            <w:tcBorders>
              <w:top w:val="single" w:color="auto" w:sz="4" w:space="0"/>
              <w:left w:val="single" w:color="auto" w:sz="4" w:space="0"/>
              <w:bottom w:val="single" w:color="auto" w:sz="4" w:space="0"/>
              <w:right w:val="single" w:color="auto" w:sz="4" w:space="0"/>
            </w:tcBorders>
            <w:noWrap/>
            <w:vAlign w:val="center"/>
          </w:tcPr>
          <w:p w14:paraId="6FA1F052">
            <w:pPr>
              <w:keepNext w:val="0"/>
              <w:keepLines w:val="0"/>
              <w:suppressLineNumbers w:val="0"/>
              <w:spacing w:before="0" w:beforeAutospacing="0" w:after="0" w:afterAutospacing="0" w:line="240" w:lineRule="auto"/>
              <w:ind w:left="223" w:right="0" w:hanging="222" w:hangingChars="106"/>
              <w:jc w:val="center"/>
              <w:rPr>
                <w:rFonts w:hint="default" w:ascii="宋体" w:hAnsi="Calibri" w:eastAsia="宋体"/>
                <w:color w:val="auto"/>
                <w:szCs w:val="21"/>
                <w:highlight w:val="none"/>
              </w:rPr>
            </w:pPr>
          </w:p>
        </w:tc>
        <w:tc>
          <w:tcPr>
            <w:tcW w:w="3584" w:type="dxa"/>
            <w:tcBorders>
              <w:top w:val="single" w:color="auto" w:sz="4" w:space="0"/>
              <w:left w:val="single" w:color="auto" w:sz="4" w:space="0"/>
              <w:bottom w:val="single" w:color="auto" w:sz="4" w:space="0"/>
              <w:right w:val="single" w:color="auto" w:sz="4" w:space="0"/>
            </w:tcBorders>
            <w:noWrap/>
            <w:vAlign w:val="center"/>
          </w:tcPr>
          <w:p w14:paraId="1E088513">
            <w:pPr>
              <w:keepNext/>
              <w:keepLines w:val="0"/>
              <w:suppressLineNumbers w:val="0"/>
              <w:adjustRightInd w:val="0"/>
              <w:spacing w:before="0" w:beforeAutospacing="0" w:after="0" w:afterAutospacing="0" w:line="440" w:lineRule="exact"/>
              <w:ind w:left="63" w:leftChars="30" w:right="63" w:rightChars="30" w:firstLine="0"/>
              <w:jc w:val="center"/>
              <w:textAlignment w:val="baseline"/>
              <w:rPr>
                <w:rFonts w:hint="default" w:ascii="宋体" w:hAnsi="宋体" w:eastAsia="宋体" w:cs="宋体"/>
                <w:color w:val="auto"/>
                <w:szCs w:val="21"/>
                <w:highlight w:val="none"/>
              </w:rPr>
            </w:pPr>
          </w:p>
        </w:tc>
      </w:tr>
      <w:tr w14:paraId="6D47B7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82" w:hRule="atLeast"/>
        </w:trPr>
        <w:tc>
          <w:tcPr>
            <w:tcW w:w="1427" w:type="dxa"/>
            <w:tcBorders>
              <w:top w:val="single" w:color="auto" w:sz="4" w:space="0"/>
              <w:left w:val="single" w:color="auto" w:sz="4" w:space="0"/>
              <w:bottom w:val="single" w:color="auto" w:sz="4" w:space="0"/>
              <w:right w:val="single" w:color="auto" w:sz="4" w:space="0"/>
            </w:tcBorders>
            <w:noWrap/>
            <w:vAlign w:val="center"/>
          </w:tcPr>
          <w:p w14:paraId="313E61E5">
            <w:pPr>
              <w:keepNext/>
              <w:keepLines w:val="0"/>
              <w:suppressLineNumbers w:val="0"/>
              <w:adjustRightInd w:val="0"/>
              <w:spacing w:before="0" w:beforeAutospacing="0" w:after="0" w:afterAutospacing="0" w:line="440" w:lineRule="exact"/>
              <w:ind w:left="63" w:leftChars="30" w:right="63" w:rightChars="30" w:firstLine="0"/>
              <w:jc w:val="center"/>
              <w:textAlignment w:val="baseline"/>
              <w:rPr>
                <w:rFonts w:hint="default" w:ascii="宋体" w:hAnsi="Calibri" w:eastAsia="宋体"/>
                <w:color w:val="auto"/>
                <w:szCs w:val="21"/>
                <w:highlight w:val="none"/>
              </w:rPr>
            </w:pPr>
            <w:r>
              <w:rPr>
                <w:rFonts w:hint="eastAsia" w:ascii="宋体" w:hAnsi="宋体" w:eastAsia="宋体"/>
                <w:color w:val="auto"/>
                <w:szCs w:val="21"/>
                <w:highlight w:val="none"/>
              </w:rPr>
              <w:t>施工管理</w:t>
            </w:r>
          </w:p>
        </w:tc>
        <w:tc>
          <w:tcPr>
            <w:tcW w:w="1185" w:type="dxa"/>
            <w:tcBorders>
              <w:top w:val="single" w:color="auto" w:sz="4" w:space="0"/>
              <w:left w:val="single" w:color="auto" w:sz="4" w:space="0"/>
              <w:bottom w:val="single" w:color="auto" w:sz="4" w:space="0"/>
              <w:right w:val="single" w:color="auto" w:sz="4" w:space="0"/>
            </w:tcBorders>
            <w:noWrap/>
            <w:vAlign w:val="center"/>
          </w:tcPr>
          <w:p w14:paraId="172D7316">
            <w:pPr>
              <w:keepNext w:val="0"/>
              <w:keepLines w:val="0"/>
              <w:suppressLineNumbers w:val="0"/>
              <w:spacing w:before="0" w:beforeAutospacing="0" w:after="0" w:afterAutospacing="0" w:line="240" w:lineRule="auto"/>
              <w:ind w:left="223" w:right="0" w:hanging="222" w:hangingChars="106"/>
              <w:jc w:val="center"/>
              <w:rPr>
                <w:rFonts w:hint="default" w:ascii="宋体" w:eastAsia="宋体"/>
                <w:color w:val="auto"/>
                <w:szCs w:val="21"/>
                <w:highlight w:val="none"/>
              </w:rPr>
            </w:pPr>
          </w:p>
        </w:tc>
        <w:tc>
          <w:tcPr>
            <w:tcW w:w="1300" w:type="dxa"/>
            <w:tcBorders>
              <w:top w:val="single" w:color="auto" w:sz="4" w:space="0"/>
              <w:left w:val="single" w:color="auto" w:sz="4" w:space="0"/>
              <w:bottom w:val="single" w:color="auto" w:sz="4" w:space="0"/>
              <w:right w:val="single" w:color="auto" w:sz="4" w:space="0"/>
            </w:tcBorders>
            <w:noWrap/>
            <w:vAlign w:val="center"/>
          </w:tcPr>
          <w:p w14:paraId="370419BD">
            <w:pPr>
              <w:keepNext w:val="0"/>
              <w:keepLines w:val="0"/>
              <w:suppressLineNumbers w:val="0"/>
              <w:spacing w:before="0" w:beforeAutospacing="0" w:after="0" w:afterAutospacing="0" w:line="240" w:lineRule="auto"/>
              <w:ind w:left="223" w:right="0" w:hanging="222" w:hangingChars="106"/>
              <w:jc w:val="center"/>
              <w:rPr>
                <w:rFonts w:hint="default" w:ascii="宋体" w:hAnsi="Calibri" w:eastAsia="宋体"/>
                <w:color w:val="auto"/>
                <w:szCs w:val="21"/>
                <w:highlight w:val="none"/>
              </w:rPr>
            </w:pPr>
          </w:p>
        </w:tc>
        <w:tc>
          <w:tcPr>
            <w:tcW w:w="1354" w:type="dxa"/>
            <w:tcBorders>
              <w:top w:val="single" w:color="auto" w:sz="4" w:space="0"/>
              <w:left w:val="single" w:color="auto" w:sz="4" w:space="0"/>
              <w:bottom w:val="single" w:color="auto" w:sz="4" w:space="0"/>
              <w:right w:val="single" w:color="auto" w:sz="4" w:space="0"/>
            </w:tcBorders>
            <w:noWrap/>
            <w:vAlign w:val="center"/>
          </w:tcPr>
          <w:p w14:paraId="006EC971">
            <w:pPr>
              <w:keepNext w:val="0"/>
              <w:keepLines w:val="0"/>
              <w:suppressLineNumbers w:val="0"/>
              <w:spacing w:before="0" w:beforeAutospacing="0" w:after="0" w:afterAutospacing="0" w:line="240" w:lineRule="auto"/>
              <w:ind w:left="223" w:right="0" w:hanging="222" w:hangingChars="106"/>
              <w:jc w:val="center"/>
              <w:rPr>
                <w:rFonts w:hint="default" w:ascii="宋体" w:hAnsi="Calibri" w:eastAsia="宋体"/>
                <w:color w:val="auto"/>
                <w:szCs w:val="21"/>
                <w:highlight w:val="none"/>
              </w:rPr>
            </w:pPr>
          </w:p>
        </w:tc>
        <w:tc>
          <w:tcPr>
            <w:tcW w:w="3584" w:type="dxa"/>
            <w:tcBorders>
              <w:top w:val="single" w:color="auto" w:sz="4" w:space="0"/>
              <w:left w:val="single" w:color="auto" w:sz="4" w:space="0"/>
              <w:bottom w:val="single" w:color="auto" w:sz="4" w:space="0"/>
              <w:right w:val="single" w:color="auto" w:sz="4" w:space="0"/>
            </w:tcBorders>
            <w:noWrap/>
            <w:vAlign w:val="center"/>
          </w:tcPr>
          <w:p w14:paraId="3D0B5F0D">
            <w:pPr>
              <w:keepNext/>
              <w:keepLines w:val="0"/>
              <w:suppressLineNumbers w:val="0"/>
              <w:adjustRightInd w:val="0"/>
              <w:spacing w:before="0" w:beforeAutospacing="0" w:after="0" w:afterAutospacing="0" w:line="440" w:lineRule="exact"/>
              <w:ind w:left="63" w:leftChars="30" w:right="63" w:rightChars="30" w:firstLine="0"/>
              <w:jc w:val="center"/>
              <w:textAlignment w:val="baseline"/>
              <w:rPr>
                <w:rFonts w:hint="default" w:ascii="宋体" w:hAnsi="宋体" w:eastAsia="宋体" w:cs="宋体"/>
                <w:color w:val="auto"/>
                <w:szCs w:val="21"/>
                <w:highlight w:val="none"/>
              </w:rPr>
            </w:pPr>
          </w:p>
        </w:tc>
      </w:tr>
      <w:tr w14:paraId="1D2A1D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82" w:hRule="atLeast"/>
        </w:trPr>
        <w:tc>
          <w:tcPr>
            <w:tcW w:w="1427" w:type="dxa"/>
            <w:tcBorders>
              <w:top w:val="single" w:color="auto" w:sz="4" w:space="0"/>
              <w:left w:val="single" w:color="auto" w:sz="4" w:space="0"/>
              <w:bottom w:val="single" w:color="auto" w:sz="4" w:space="0"/>
              <w:right w:val="single" w:color="auto" w:sz="4" w:space="0"/>
            </w:tcBorders>
            <w:noWrap/>
            <w:vAlign w:val="center"/>
          </w:tcPr>
          <w:p w14:paraId="47F25F37">
            <w:pPr>
              <w:keepNext/>
              <w:keepLines w:val="0"/>
              <w:suppressLineNumbers w:val="0"/>
              <w:adjustRightInd w:val="0"/>
              <w:spacing w:before="0" w:beforeAutospacing="0" w:after="0" w:afterAutospacing="0" w:line="440" w:lineRule="exact"/>
              <w:ind w:left="63" w:leftChars="30" w:right="63" w:rightChars="30" w:firstLine="0"/>
              <w:jc w:val="center"/>
              <w:textAlignment w:val="baseline"/>
              <w:rPr>
                <w:rFonts w:hint="default" w:ascii="宋体" w:hAnsi="Calibri" w:eastAsia="宋体"/>
                <w:color w:val="auto"/>
                <w:szCs w:val="21"/>
                <w:highlight w:val="none"/>
              </w:rPr>
            </w:pPr>
            <w:r>
              <w:rPr>
                <w:rFonts w:hint="eastAsia" w:ascii="宋体" w:hAnsi="宋体" w:eastAsia="宋体"/>
                <w:color w:val="auto"/>
                <w:szCs w:val="21"/>
                <w:highlight w:val="none"/>
              </w:rPr>
              <w:t>安全管理</w:t>
            </w:r>
          </w:p>
        </w:tc>
        <w:tc>
          <w:tcPr>
            <w:tcW w:w="1185" w:type="dxa"/>
            <w:tcBorders>
              <w:top w:val="single" w:color="auto" w:sz="4" w:space="0"/>
              <w:left w:val="single" w:color="auto" w:sz="4" w:space="0"/>
              <w:bottom w:val="single" w:color="auto" w:sz="4" w:space="0"/>
              <w:right w:val="single" w:color="auto" w:sz="4" w:space="0"/>
            </w:tcBorders>
            <w:noWrap/>
            <w:vAlign w:val="center"/>
          </w:tcPr>
          <w:p w14:paraId="2D856C3A">
            <w:pPr>
              <w:keepNext w:val="0"/>
              <w:keepLines w:val="0"/>
              <w:suppressLineNumbers w:val="0"/>
              <w:spacing w:before="0" w:beforeAutospacing="0" w:after="0" w:afterAutospacing="0" w:line="240" w:lineRule="auto"/>
              <w:ind w:left="223" w:right="0" w:hanging="222" w:hangingChars="106"/>
              <w:jc w:val="center"/>
              <w:rPr>
                <w:rFonts w:hint="default" w:ascii="宋体" w:eastAsia="宋体"/>
                <w:color w:val="auto"/>
                <w:szCs w:val="21"/>
                <w:highlight w:val="none"/>
              </w:rPr>
            </w:pPr>
          </w:p>
        </w:tc>
        <w:tc>
          <w:tcPr>
            <w:tcW w:w="1300" w:type="dxa"/>
            <w:tcBorders>
              <w:top w:val="single" w:color="auto" w:sz="4" w:space="0"/>
              <w:left w:val="single" w:color="auto" w:sz="4" w:space="0"/>
              <w:bottom w:val="single" w:color="auto" w:sz="4" w:space="0"/>
              <w:right w:val="single" w:color="auto" w:sz="4" w:space="0"/>
            </w:tcBorders>
            <w:noWrap/>
            <w:vAlign w:val="center"/>
          </w:tcPr>
          <w:p w14:paraId="69972BCC">
            <w:pPr>
              <w:keepNext w:val="0"/>
              <w:keepLines w:val="0"/>
              <w:suppressLineNumbers w:val="0"/>
              <w:spacing w:before="0" w:beforeAutospacing="0" w:after="0" w:afterAutospacing="0" w:line="240" w:lineRule="auto"/>
              <w:ind w:left="223" w:right="0" w:hanging="222" w:hangingChars="106"/>
              <w:jc w:val="center"/>
              <w:rPr>
                <w:rFonts w:hint="default" w:ascii="宋体" w:hAnsi="Calibri" w:eastAsia="宋体"/>
                <w:color w:val="auto"/>
                <w:szCs w:val="21"/>
                <w:highlight w:val="none"/>
              </w:rPr>
            </w:pPr>
          </w:p>
        </w:tc>
        <w:tc>
          <w:tcPr>
            <w:tcW w:w="1354" w:type="dxa"/>
            <w:tcBorders>
              <w:top w:val="single" w:color="auto" w:sz="4" w:space="0"/>
              <w:left w:val="single" w:color="auto" w:sz="4" w:space="0"/>
              <w:bottom w:val="single" w:color="auto" w:sz="4" w:space="0"/>
              <w:right w:val="single" w:color="auto" w:sz="4" w:space="0"/>
            </w:tcBorders>
            <w:noWrap/>
            <w:vAlign w:val="center"/>
          </w:tcPr>
          <w:p w14:paraId="2820C066">
            <w:pPr>
              <w:keepNext w:val="0"/>
              <w:keepLines w:val="0"/>
              <w:suppressLineNumbers w:val="0"/>
              <w:spacing w:before="0" w:beforeAutospacing="0" w:after="0" w:afterAutospacing="0" w:line="240" w:lineRule="auto"/>
              <w:ind w:left="223" w:right="0" w:hanging="222" w:hangingChars="106"/>
              <w:jc w:val="center"/>
              <w:rPr>
                <w:rFonts w:hint="default" w:ascii="宋体" w:hAnsi="Calibri" w:eastAsia="宋体"/>
                <w:color w:val="auto"/>
                <w:szCs w:val="21"/>
                <w:highlight w:val="none"/>
              </w:rPr>
            </w:pPr>
          </w:p>
        </w:tc>
        <w:tc>
          <w:tcPr>
            <w:tcW w:w="3584" w:type="dxa"/>
            <w:tcBorders>
              <w:top w:val="single" w:color="auto" w:sz="4" w:space="0"/>
              <w:left w:val="single" w:color="auto" w:sz="4" w:space="0"/>
              <w:bottom w:val="single" w:color="auto" w:sz="4" w:space="0"/>
              <w:right w:val="single" w:color="auto" w:sz="4" w:space="0"/>
            </w:tcBorders>
            <w:noWrap/>
            <w:vAlign w:val="center"/>
          </w:tcPr>
          <w:p w14:paraId="142279F1">
            <w:pPr>
              <w:keepNext/>
              <w:keepLines w:val="0"/>
              <w:suppressLineNumbers w:val="0"/>
              <w:adjustRightInd w:val="0"/>
              <w:spacing w:before="0" w:beforeAutospacing="0" w:after="0" w:afterAutospacing="0" w:line="440" w:lineRule="exact"/>
              <w:ind w:left="63" w:leftChars="30" w:right="63" w:rightChars="30" w:firstLine="0"/>
              <w:jc w:val="center"/>
              <w:textAlignment w:val="baseline"/>
              <w:rPr>
                <w:rFonts w:hint="default" w:ascii="宋体" w:hAnsi="宋体" w:eastAsia="宋体" w:cs="宋体"/>
                <w:color w:val="auto"/>
                <w:szCs w:val="21"/>
                <w:highlight w:val="none"/>
              </w:rPr>
            </w:pPr>
          </w:p>
        </w:tc>
      </w:tr>
      <w:tr w14:paraId="53B55A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82" w:hRule="atLeast"/>
        </w:trPr>
        <w:tc>
          <w:tcPr>
            <w:tcW w:w="1427" w:type="dxa"/>
            <w:vMerge w:val="restart"/>
            <w:tcBorders>
              <w:top w:val="single" w:color="auto" w:sz="4" w:space="0"/>
              <w:left w:val="single" w:color="auto" w:sz="4" w:space="0"/>
              <w:bottom w:val="single" w:color="auto" w:sz="4" w:space="0"/>
              <w:right w:val="single" w:color="auto" w:sz="4" w:space="0"/>
            </w:tcBorders>
            <w:noWrap/>
            <w:vAlign w:val="center"/>
          </w:tcPr>
          <w:p w14:paraId="3147BB58">
            <w:pPr>
              <w:keepNext/>
              <w:keepLines w:val="0"/>
              <w:suppressLineNumbers w:val="0"/>
              <w:adjustRightInd w:val="0"/>
              <w:spacing w:before="0" w:beforeAutospacing="0" w:after="0" w:afterAutospacing="0" w:line="440" w:lineRule="exact"/>
              <w:ind w:left="63" w:leftChars="30" w:right="63" w:rightChars="30" w:firstLine="0"/>
              <w:jc w:val="center"/>
              <w:textAlignment w:val="baseline"/>
              <w:rPr>
                <w:rFonts w:hint="default" w:ascii="宋体" w:eastAsia="宋体"/>
                <w:color w:val="auto"/>
                <w:szCs w:val="21"/>
                <w:highlight w:val="none"/>
              </w:rPr>
            </w:pPr>
            <w:r>
              <w:rPr>
                <w:rFonts w:hint="eastAsia" w:ascii="宋体" w:hAnsi="宋体" w:eastAsia="宋体"/>
                <w:color w:val="auto"/>
                <w:szCs w:val="21"/>
                <w:highlight w:val="none"/>
              </w:rPr>
              <w:t>其他人员</w:t>
            </w:r>
          </w:p>
          <w:p w14:paraId="093DA621">
            <w:pPr>
              <w:keepNext/>
              <w:keepLines w:val="0"/>
              <w:suppressLineNumbers w:val="0"/>
              <w:adjustRightInd w:val="0"/>
              <w:spacing w:before="0" w:beforeAutospacing="0" w:after="0" w:afterAutospacing="0" w:line="440" w:lineRule="exact"/>
              <w:ind w:left="63" w:leftChars="30" w:right="63" w:rightChars="30" w:firstLine="0"/>
              <w:jc w:val="center"/>
              <w:textAlignment w:val="baseline"/>
              <w:rPr>
                <w:rFonts w:hint="default" w:ascii="宋体" w:hAnsi="宋体" w:eastAsia="宋体" w:cs="宋体"/>
                <w:color w:val="auto"/>
                <w:szCs w:val="21"/>
                <w:highlight w:val="none"/>
              </w:rPr>
            </w:pPr>
          </w:p>
        </w:tc>
        <w:tc>
          <w:tcPr>
            <w:tcW w:w="1185" w:type="dxa"/>
            <w:tcBorders>
              <w:top w:val="single" w:color="auto" w:sz="4" w:space="0"/>
              <w:left w:val="single" w:color="auto" w:sz="4" w:space="0"/>
              <w:bottom w:val="single" w:color="auto" w:sz="4" w:space="0"/>
              <w:right w:val="single" w:color="auto" w:sz="4" w:space="0"/>
            </w:tcBorders>
            <w:noWrap/>
            <w:vAlign w:val="center"/>
          </w:tcPr>
          <w:p w14:paraId="43E5D1EA">
            <w:pPr>
              <w:keepNext w:val="0"/>
              <w:keepLines w:val="0"/>
              <w:suppressLineNumbers w:val="0"/>
              <w:spacing w:before="0" w:beforeAutospacing="0" w:after="0" w:afterAutospacing="0" w:line="240" w:lineRule="auto"/>
              <w:ind w:left="223" w:right="0" w:hanging="222" w:hangingChars="106"/>
              <w:jc w:val="center"/>
              <w:rPr>
                <w:rFonts w:hint="default" w:ascii="宋体" w:eastAsia="宋体"/>
                <w:color w:val="auto"/>
                <w:szCs w:val="21"/>
                <w:highlight w:val="none"/>
              </w:rPr>
            </w:pPr>
          </w:p>
        </w:tc>
        <w:tc>
          <w:tcPr>
            <w:tcW w:w="1300" w:type="dxa"/>
            <w:tcBorders>
              <w:top w:val="single" w:color="auto" w:sz="4" w:space="0"/>
              <w:left w:val="single" w:color="auto" w:sz="4" w:space="0"/>
              <w:bottom w:val="single" w:color="auto" w:sz="4" w:space="0"/>
              <w:right w:val="single" w:color="auto" w:sz="4" w:space="0"/>
            </w:tcBorders>
            <w:noWrap/>
            <w:vAlign w:val="center"/>
          </w:tcPr>
          <w:p w14:paraId="46CD25BF">
            <w:pPr>
              <w:keepNext/>
              <w:keepLines w:val="0"/>
              <w:suppressLineNumbers w:val="0"/>
              <w:adjustRightInd w:val="0"/>
              <w:spacing w:before="0" w:beforeAutospacing="0" w:after="0" w:afterAutospacing="0" w:line="440" w:lineRule="exact"/>
              <w:ind w:left="63" w:leftChars="30" w:right="63" w:rightChars="30" w:firstLine="0"/>
              <w:jc w:val="center"/>
              <w:textAlignment w:val="baseline"/>
              <w:rPr>
                <w:rFonts w:hint="default" w:ascii="宋体" w:eastAsia="宋体"/>
                <w:color w:val="auto"/>
                <w:szCs w:val="21"/>
                <w:highlight w:val="none"/>
              </w:rPr>
            </w:pPr>
          </w:p>
        </w:tc>
        <w:tc>
          <w:tcPr>
            <w:tcW w:w="1354" w:type="dxa"/>
            <w:tcBorders>
              <w:top w:val="single" w:color="auto" w:sz="4" w:space="0"/>
              <w:left w:val="single" w:color="auto" w:sz="4" w:space="0"/>
              <w:bottom w:val="single" w:color="auto" w:sz="4" w:space="0"/>
              <w:right w:val="single" w:color="auto" w:sz="4" w:space="0"/>
            </w:tcBorders>
            <w:noWrap/>
            <w:vAlign w:val="center"/>
          </w:tcPr>
          <w:p w14:paraId="3321EB55">
            <w:pPr>
              <w:keepNext/>
              <w:keepLines w:val="0"/>
              <w:suppressLineNumbers w:val="0"/>
              <w:adjustRightInd w:val="0"/>
              <w:spacing w:before="0" w:beforeAutospacing="0" w:after="0" w:afterAutospacing="0" w:line="440" w:lineRule="exact"/>
              <w:ind w:left="63" w:leftChars="30" w:right="63" w:rightChars="30" w:firstLine="0"/>
              <w:jc w:val="center"/>
              <w:textAlignment w:val="baseline"/>
              <w:rPr>
                <w:rFonts w:hint="default" w:ascii="宋体" w:eastAsia="宋体"/>
                <w:color w:val="auto"/>
                <w:szCs w:val="21"/>
                <w:highlight w:val="none"/>
              </w:rPr>
            </w:pPr>
          </w:p>
        </w:tc>
        <w:tc>
          <w:tcPr>
            <w:tcW w:w="3584" w:type="dxa"/>
            <w:tcBorders>
              <w:top w:val="single" w:color="auto" w:sz="4" w:space="0"/>
              <w:left w:val="single" w:color="auto" w:sz="4" w:space="0"/>
              <w:bottom w:val="single" w:color="auto" w:sz="4" w:space="0"/>
              <w:right w:val="single" w:color="auto" w:sz="4" w:space="0"/>
            </w:tcBorders>
            <w:noWrap/>
            <w:vAlign w:val="center"/>
          </w:tcPr>
          <w:p w14:paraId="0E8A6059">
            <w:pPr>
              <w:keepNext/>
              <w:keepLines w:val="0"/>
              <w:suppressLineNumbers w:val="0"/>
              <w:adjustRightInd w:val="0"/>
              <w:spacing w:before="0" w:beforeAutospacing="0" w:after="0" w:afterAutospacing="0" w:line="440" w:lineRule="exact"/>
              <w:ind w:left="63" w:leftChars="30" w:right="63" w:rightChars="30" w:firstLine="0"/>
              <w:jc w:val="center"/>
              <w:textAlignment w:val="baseline"/>
              <w:rPr>
                <w:rFonts w:hint="default" w:ascii="宋体" w:hAnsi="宋体" w:eastAsia="宋体" w:cs="宋体"/>
                <w:color w:val="auto"/>
                <w:szCs w:val="21"/>
                <w:highlight w:val="none"/>
              </w:rPr>
            </w:pPr>
          </w:p>
        </w:tc>
      </w:tr>
      <w:tr w14:paraId="17AAF3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82" w:hRule="atLeast"/>
        </w:trPr>
        <w:tc>
          <w:tcPr>
            <w:tcW w:w="1427" w:type="dxa"/>
            <w:vMerge w:val="continue"/>
            <w:tcBorders>
              <w:top w:val="single" w:color="auto" w:sz="4" w:space="0"/>
              <w:left w:val="single" w:color="auto" w:sz="4" w:space="0"/>
              <w:bottom w:val="single" w:color="auto" w:sz="4" w:space="0"/>
              <w:right w:val="single" w:color="auto" w:sz="4" w:space="0"/>
            </w:tcBorders>
            <w:noWrap/>
            <w:vAlign w:val="center"/>
          </w:tcPr>
          <w:p w14:paraId="5B7E0A6E">
            <w:pPr>
              <w:keepNext w:val="0"/>
              <w:keepLines w:val="0"/>
              <w:suppressLineNumbers w:val="0"/>
              <w:spacing w:before="0" w:beforeAutospacing="0" w:after="0" w:afterAutospacing="0" w:line="240" w:lineRule="auto"/>
              <w:ind w:left="0" w:right="0" w:firstLine="0"/>
              <w:rPr>
                <w:rFonts w:hint="default" w:ascii="宋体" w:hAnsi="宋体" w:eastAsia="宋体" w:cs="宋体"/>
                <w:color w:val="auto"/>
                <w:szCs w:val="21"/>
                <w:highlight w:val="none"/>
              </w:rPr>
            </w:pPr>
          </w:p>
        </w:tc>
        <w:tc>
          <w:tcPr>
            <w:tcW w:w="1185" w:type="dxa"/>
            <w:tcBorders>
              <w:top w:val="single" w:color="auto" w:sz="4" w:space="0"/>
              <w:left w:val="single" w:color="auto" w:sz="4" w:space="0"/>
              <w:bottom w:val="single" w:color="auto" w:sz="4" w:space="0"/>
              <w:right w:val="single" w:color="auto" w:sz="4" w:space="0"/>
            </w:tcBorders>
            <w:noWrap/>
            <w:vAlign w:val="center"/>
          </w:tcPr>
          <w:p w14:paraId="415D112C">
            <w:pPr>
              <w:keepNext w:val="0"/>
              <w:keepLines w:val="0"/>
              <w:suppressLineNumbers w:val="0"/>
              <w:spacing w:before="0" w:beforeAutospacing="0" w:after="0" w:afterAutospacing="0" w:line="240" w:lineRule="auto"/>
              <w:ind w:left="223" w:right="0" w:hanging="222" w:hangingChars="106"/>
              <w:jc w:val="center"/>
              <w:rPr>
                <w:rFonts w:hint="default" w:ascii="宋体" w:eastAsia="宋体"/>
                <w:color w:val="auto"/>
                <w:szCs w:val="21"/>
                <w:highlight w:val="none"/>
              </w:rPr>
            </w:pPr>
          </w:p>
        </w:tc>
        <w:tc>
          <w:tcPr>
            <w:tcW w:w="1300" w:type="dxa"/>
            <w:tcBorders>
              <w:top w:val="single" w:color="auto" w:sz="4" w:space="0"/>
              <w:left w:val="single" w:color="auto" w:sz="4" w:space="0"/>
              <w:bottom w:val="single" w:color="auto" w:sz="4" w:space="0"/>
              <w:right w:val="single" w:color="auto" w:sz="4" w:space="0"/>
            </w:tcBorders>
            <w:noWrap/>
            <w:vAlign w:val="center"/>
          </w:tcPr>
          <w:p w14:paraId="64D9FAC8">
            <w:pPr>
              <w:keepNext/>
              <w:keepLines w:val="0"/>
              <w:suppressLineNumbers w:val="0"/>
              <w:adjustRightInd w:val="0"/>
              <w:spacing w:before="0" w:beforeAutospacing="0" w:after="0" w:afterAutospacing="0" w:line="440" w:lineRule="exact"/>
              <w:ind w:left="63" w:leftChars="30" w:right="63" w:rightChars="30" w:firstLine="0"/>
              <w:jc w:val="center"/>
              <w:textAlignment w:val="baseline"/>
              <w:rPr>
                <w:rFonts w:hint="default" w:ascii="宋体" w:eastAsia="宋体"/>
                <w:color w:val="auto"/>
                <w:szCs w:val="21"/>
                <w:highlight w:val="none"/>
              </w:rPr>
            </w:pPr>
          </w:p>
        </w:tc>
        <w:tc>
          <w:tcPr>
            <w:tcW w:w="1354" w:type="dxa"/>
            <w:tcBorders>
              <w:top w:val="single" w:color="auto" w:sz="4" w:space="0"/>
              <w:left w:val="single" w:color="auto" w:sz="4" w:space="0"/>
              <w:bottom w:val="single" w:color="auto" w:sz="4" w:space="0"/>
              <w:right w:val="single" w:color="auto" w:sz="4" w:space="0"/>
            </w:tcBorders>
            <w:noWrap/>
            <w:vAlign w:val="center"/>
          </w:tcPr>
          <w:p w14:paraId="1C0BD7BE">
            <w:pPr>
              <w:keepNext/>
              <w:keepLines w:val="0"/>
              <w:suppressLineNumbers w:val="0"/>
              <w:adjustRightInd w:val="0"/>
              <w:spacing w:before="0" w:beforeAutospacing="0" w:after="0" w:afterAutospacing="0" w:line="440" w:lineRule="exact"/>
              <w:ind w:left="63" w:leftChars="30" w:right="63" w:rightChars="30" w:firstLine="0"/>
              <w:jc w:val="center"/>
              <w:textAlignment w:val="baseline"/>
              <w:rPr>
                <w:rFonts w:hint="default" w:ascii="宋体" w:eastAsia="宋体"/>
                <w:color w:val="auto"/>
                <w:szCs w:val="21"/>
                <w:highlight w:val="none"/>
              </w:rPr>
            </w:pPr>
          </w:p>
        </w:tc>
        <w:tc>
          <w:tcPr>
            <w:tcW w:w="3584" w:type="dxa"/>
            <w:tcBorders>
              <w:top w:val="single" w:color="auto" w:sz="4" w:space="0"/>
              <w:left w:val="single" w:color="auto" w:sz="4" w:space="0"/>
              <w:bottom w:val="single" w:color="auto" w:sz="4" w:space="0"/>
              <w:right w:val="single" w:color="auto" w:sz="4" w:space="0"/>
            </w:tcBorders>
            <w:noWrap/>
            <w:vAlign w:val="center"/>
          </w:tcPr>
          <w:p w14:paraId="431D25B5">
            <w:pPr>
              <w:keepNext/>
              <w:keepLines w:val="0"/>
              <w:suppressLineNumbers w:val="0"/>
              <w:adjustRightInd w:val="0"/>
              <w:spacing w:before="0" w:beforeAutospacing="0" w:after="0" w:afterAutospacing="0" w:line="440" w:lineRule="exact"/>
              <w:ind w:left="63" w:leftChars="30" w:right="63" w:rightChars="30" w:firstLine="0"/>
              <w:jc w:val="center"/>
              <w:textAlignment w:val="baseline"/>
              <w:rPr>
                <w:rFonts w:hint="default" w:ascii="宋体" w:hAnsi="宋体" w:eastAsia="宋体" w:cs="宋体"/>
                <w:color w:val="auto"/>
                <w:szCs w:val="21"/>
                <w:highlight w:val="none"/>
              </w:rPr>
            </w:pPr>
          </w:p>
        </w:tc>
      </w:tr>
      <w:tr w14:paraId="10D372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82" w:hRule="atLeast"/>
        </w:trPr>
        <w:tc>
          <w:tcPr>
            <w:tcW w:w="1427" w:type="dxa"/>
            <w:vMerge w:val="continue"/>
            <w:tcBorders>
              <w:top w:val="single" w:color="auto" w:sz="4" w:space="0"/>
              <w:left w:val="single" w:color="auto" w:sz="4" w:space="0"/>
              <w:bottom w:val="single" w:color="auto" w:sz="4" w:space="0"/>
              <w:right w:val="single" w:color="auto" w:sz="4" w:space="0"/>
            </w:tcBorders>
            <w:noWrap/>
            <w:vAlign w:val="center"/>
          </w:tcPr>
          <w:p w14:paraId="7B5E532F">
            <w:pPr>
              <w:keepNext w:val="0"/>
              <w:keepLines w:val="0"/>
              <w:suppressLineNumbers w:val="0"/>
              <w:spacing w:before="0" w:beforeAutospacing="0" w:after="0" w:afterAutospacing="0" w:line="240" w:lineRule="auto"/>
              <w:ind w:left="0" w:right="0" w:firstLine="0"/>
              <w:rPr>
                <w:rFonts w:hint="default" w:ascii="宋体" w:hAnsi="宋体" w:eastAsia="宋体" w:cs="宋体"/>
                <w:color w:val="auto"/>
                <w:szCs w:val="21"/>
                <w:highlight w:val="none"/>
              </w:rPr>
            </w:pPr>
          </w:p>
        </w:tc>
        <w:tc>
          <w:tcPr>
            <w:tcW w:w="1185" w:type="dxa"/>
            <w:tcBorders>
              <w:top w:val="single" w:color="auto" w:sz="4" w:space="0"/>
              <w:left w:val="single" w:color="auto" w:sz="4" w:space="0"/>
              <w:bottom w:val="single" w:color="auto" w:sz="4" w:space="0"/>
              <w:right w:val="single" w:color="auto" w:sz="4" w:space="0"/>
            </w:tcBorders>
            <w:noWrap/>
            <w:vAlign w:val="center"/>
          </w:tcPr>
          <w:p w14:paraId="61AAC7C5">
            <w:pPr>
              <w:keepNext/>
              <w:keepLines w:val="0"/>
              <w:suppressLineNumbers w:val="0"/>
              <w:adjustRightInd w:val="0"/>
              <w:spacing w:before="0" w:beforeAutospacing="0" w:after="0" w:afterAutospacing="0" w:line="440" w:lineRule="exact"/>
              <w:ind w:left="63" w:leftChars="30" w:right="63" w:rightChars="30" w:firstLine="0"/>
              <w:jc w:val="center"/>
              <w:textAlignment w:val="baseline"/>
              <w:rPr>
                <w:rFonts w:hint="default" w:ascii="宋体" w:hAnsi="宋体" w:eastAsia="宋体" w:cs="宋体"/>
                <w:color w:val="auto"/>
                <w:szCs w:val="21"/>
                <w:highlight w:val="none"/>
              </w:rPr>
            </w:pPr>
          </w:p>
        </w:tc>
        <w:tc>
          <w:tcPr>
            <w:tcW w:w="1300" w:type="dxa"/>
            <w:tcBorders>
              <w:top w:val="single" w:color="auto" w:sz="4" w:space="0"/>
              <w:left w:val="single" w:color="auto" w:sz="4" w:space="0"/>
              <w:bottom w:val="single" w:color="auto" w:sz="4" w:space="0"/>
              <w:right w:val="single" w:color="auto" w:sz="4" w:space="0"/>
            </w:tcBorders>
            <w:noWrap/>
            <w:vAlign w:val="center"/>
          </w:tcPr>
          <w:p w14:paraId="07415BD4">
            <w:pPr>
              <w:keepNext/>
              <w:keepLines w:val="0"/>
              <w:suppressLineNumbers w:val="0"/>
              <w:adjustRightInd w:val="0"/>
              <w:spacing w:before="0" w:beforeAutospacing="0" w:after="0" w:afterAutospacing="0" w:line="440" w:lineRule="exact"/>
              <w:ind w:left="63" w:leftChars="30" w:right="63" w:rightChars="30" w:firstLine="0"/>
              <w:jc w:val="center"/>
              <w:textAlignment w:val="baseline"/>
              <w:rPr>
                <w:rFonts w:hint="default" w:ascii="宋体" w:hAnsi="宋体" w:eastAsia="宋体" w:cs="宋体"/>
                <w:color w:val="auto"/>
                <w:szCs w:val="21"/>
                <w:highlight w:val="none"/>
              </w:rPr>
            </w:pPr>
          </w:p>
        </w:tc>
        <w:tc>
          <w:tcPr>
            <w:tcW w:w="1354" w:type="dxa"/>
            <w:tcBorders>
              <w:top w:val="single" w:color="auto" w:sz="4" w:space="0"/>
              <w:left w:val="single" w:color="auto" w:sz="4" w:space="0"/>
              <w:bottom w:val="single" w:color="auto" w:sz="4" w:space="0"/>
              <w:right w:val="single" w:color="auto" w:sz="4" w:space="0"/>
            </w:tcBorders>
            <w:noWrap/>
            <w:vAlign w:val="center"/>
          </w:tcPr>
          <w:p w14:paraId="6D26A9DC">
            <w:pPr>
              <w:keepNext/>
              <w:keepLines w:val="0"/>
              <w:suppressLineNumbers w:val="0"/>
              <w:adjustRightInd w:val="0"/>
              <w:spacing w:before="0" w:beforeAutospacing="0" w:after="0" w:afterAutospacing="0" w:line="440" w:lineRule="exact"/>
              <w:ind w:left="63" w:leftChars="30" w:right="63" w:rightChars="30" w:firstLine="0"/>
              <w:jc w:val="center"/>
              <w:textAlignment w:val="baseline"/>
              <w:rPr>
                <w:rFonts w:hint="default" w:ascii="宋体" w:hAnsi="宋体" w:eastAsia="宋体" w:cs="宋体"/>
                <w:color w:val="auto"/>
                <w:szCs w:val="21"/>
                <w:highlight w:val="none"/>
              </w:rPr>
            </w:pPr>
          </w:p>
        </w:tc>
        <w:tc>
          <w:tcPr>
            <w:tcW w:w="3584" w:type="dxa"/>
            <w:tcBorders>
              <w:top w:val="single" w:color="auto" w:sz="4" w:space="0"/>
              <w:left w:val="single" w:color="auto" w:sz="4" w:space="0"/>
              <w:bottom w:val="single" w:color="auto" w:sz="4" w:space="0"/>
              <w:right w:val="single" w:color="auto" w:sz="4" w:space="0"/>
            </w:tcBorders>
            <w:noWrap/>
            <w:vAlign w:val="center"/>
          </w:tcPr>
          <w:p w14:paraId="2361621D">
            <w:pPr>
              <w:keepNext/>
              <w:keepLines w:val="0"/>
              <w:suppressLineNumbers w:val="0"/>
              <w:adjustRightInd w:val="0"/>
              <w:spacing w:before="0" w:beforeAutospacing="0" w:after="0" w:afterAutospacing="0" w:line="440" w:lineRule="exact"/>
              <w:ind w:left="63" w:leftChars="30" w:right="63" w:rightChars="30" w:firstLine="0"/>
              <w:jc w:val="center"/>
              <w:textAlignment w:val="baseline"/>
              <w:rPr>
                <w:rFonts w:hint="default" w:ascii="宋体" w:hAnsi="宋体" w:eastAsia="宋体" w:cs="宋体"/>
                <w:color w:val="auto"/>
                <w:szCs w:val="21"/>
                <w:highlight w:val="none"/>
              </w:rPr>
            </w:pPr>
          </w:p>
        </w:tc>
      </w:tr>
      <w:tr w14:paraId="53B68E8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82" w:hRule="atLeast"/>
        </w:trPr>
        <w:tc>
          <w:tcPr>
            <w:tcW w:w="1427" w:type="dxa"/>
            <w:vMerge w:val="continue"/>
            <w:tcBorders>
              <w:top w:val="single" w:color="auto" w:sz="4" w:space="0"/>
              <w:left w:val="single" w:color="auto" w:sz="4" w:space="0"/>
              <w:bottom w:val="single" w:color="auto" w:sz="4" w:space="0"/>
              <w:right w:val="single" w:color="auto" w:sz="4" w:space="0"/>
            </w:tcBorders>
            <w:noWrap/>
            <w:vAlign w:val="center"/>
          </w:tcPr>
          <w:p w14:paraId="1C5C347F">
            <w:pPr>
              <w:keepNext w:val="0"/>
              <w:keepLines w:val="0"/>
              <w:suppressLineNumbers w:val="0"/>
              <w:spacing w:before="0" w:beforeAutospacing="0" w:after="0" w:afterAutospacing="0" w:line="240" w:lineRule="auto"/>
              <w:ind w:left="0" w:right="0" w:firstLine="0"/>
              <w:rPr>
                <w:rFonts w:hint="default" w:ascii="宋体" w:hAnsi="宋体" w:eastAsia="宋体" w:cs="宋体"/>
                <w:color w:val="auto"/>
                <w:szCs w:val="21"/>
                <w:highlight w:val="none"/>
              </w:rPr>
            </w:pPr>
          </w:p>
        </w:tc>
        <w:tc>
          <w:tcPr>
            <w:tcW w:w="1185" w:type="dxa"/>
            <w:tcBorders>
              <w:top w:val="single" w:color="auto" w:sz="4" w:space="0"/>
              <w:left w:val="single" w:color="auto" w:sz="4" w:space="0"/>
              <w:bottom w:val="single" w:color="auto" w:sz="4" w:space="0"/>
              <w:right w:val="single" w:color="auto" w:sz="4" w:space="0"/>
            </w:tcBorders>
            <w:noWrap/>
            <w:vAlign w:val="center"/>
          </w:tcPr>
          <w:p w14:paraId="3B0335D4">
            <w:pPr>
              <w:keepNext/>
              <w:keepLines w:val="0"/>
              <w:suppressLineNumbers w:val="0"/>
              <w:adjustRightInd w:val="0"/>
              <w:spacing w:before="0" w:beforeAutospacing="0" w:after="0" w:afterAutospacing="0" w:line="440" w:lineRule="exact"/>
              <w:ind w:left="63" w:leftChars="30" w:right="63" w:rightChars="30" w:firstLine="0"/>
              <w:jc w:val="center"/>
              <w:textAlignment w:val="baseline"/>
              <w:rPr>
                <w:rFonts w:hint="default" w:ascii="宋体" w:hAnsi="宋体" w:eastAsia="宋体" w:cs="宋体"/>
                <w:color w:val="auto"/>
                <w:szCs w:val="21"/>
                <w:highlight w:val="none"/>
              </w:rPr>
            </w:pPr>
          </w:p>
        </w:tc>
        <w:tc>
          <w:tcPr>
            <w:tcW w:w="1300" w:type="dxa"/>
            <w:tcBorders>
              <w:top w:val="single" w:color="auto" w:sz="4" w:space="0"/>
              <w:left w:val="single" w:color="auto" w:sz="4" w:space="0"/>
              <w:bottom w:val="single" w:color="auto" w:sz="4" w:space="0"/>
              <w:right w:val="single" w:color="auto" w:sz="4" w:space="0"/>
            </w:tcBorders>
            <w:noWrap/>
            <w:vAlign w:val="center"/>
          </w:tcPr>
          <w:p w14:paraId="72A54295">
            <w:pPr>
              <w:keepNext/>
              <w:keepLines w:val="0"/>
              <w:suppressLineNumbers w:val="0"/>
              <w:adjustRightInd w:val="0"/>
              <w:spacing w:before="0" w:beforeAutospacing="0" w:after="0" w:afterAutospacing="0" w:line="440" w:lineRule="exact"/>
              <w:ind w:left="63" w:leftChars="30" w:right="63" w:rightChars="30" w:firstLine="0"/>
              <w:jc w:val="center"/>
              <w:textAlignment w:val="baseline"/>
              <w:rPr>
                <w:rFonts w:hint="default" w:ascii="宋体" w:hAnsi="宋体" w:eastAsia="宋体" w:cs="宋体"/>
                <w:color w:val="auto"/>
                <w:szCs w:val="21"/>
                <w:highlight w:val="none"/>
              </w:rPr>
            </w:pPr>
          </w:p>
        </w:tc>
        <w:tc>
          <w:tcPr>
            <w:tcW w:w="1354" w:type="dxa"/>
            <w:tcBorders>
              <w:top w:val="single" w:color="auto" w:sz="4" w:space="0"/>
              <w:left w:val="single" w:color="auto" w:sz="4" w:space="0"/>
              <w:bottom w:val="single" w:color="auto" w:sz="4" w:space="0"/>
              <w:right w:val="single" w:color="auto" w:sz="4" w:space="0"/>
            </w:tcBorders>
            <w:noWrap/>
            <w:vAlign w:val="center"/>
          </w:tcPr>
          <w:p w14:paraId="3DD5EDF6">
            <w:pPr>
              <w:keepNext/>
              <w:keepLines w:val="0"/>
              <w:suppressLineNumbers w:val="0"/>
              <w:adjustRightInd w:val="0"/>
              <w:spacing w:before="0" w:beforeAutospacing="0" w:after="0" w:afterAutospacing="0" w:line="440" w:lineRule="exact"/>
              <w:ind w:left="63" w:leftChars="30" w:right="63" w:rightChars="30" w:firstLine="0"/>
              <w:jc w:val="center"/>
              <w:textAlignment w:val="baseline"/>
              <w:rPr>
                <w:rFonts w:hint="default" w:ascii="宋体" w:hAnsi="宋体" w:eastAsia="宋体" w:cs="宋体"/>
                <w:color w:val="auto"/>
                <w:szCs w:val="21"/>
                <w:highlight w:val="none"/>
              </w:rPr>
            </w:pPr>
          </w:p>
        </w:tc>
        <w:tc>
          <w:tcPr>
            <w:tcW w:w="3584" w:type="dxa"/>
            <w:tcBorders>
              <w:top w:val="single" w:color="auto" w:sz="4" w:space="0"/>
              <w:left w:val="single" w:color="auto" w:sz="4" w:space="0"/>
              <w:bottom w:val="single" w:color="auto" w:sz="4" w:space="0"/>
              <w:right w:val="single" w:color="auto" w:sz="4" w:space="0"/>
            </w:tcBorders>
            <w:noWrap/>
            <w:vAlign w:val="center"/>
          </w:tcPr>
          <w:p w14:paraId="77A8CC60">
            <w:pPr>
              <w:keepNext/>
              <w:keepLines w:val="0"/>
              <w:suppressLineNumbers w:val="0"/>
              <w:adjustRightInd w:val="0"/>
              <w:spacing w:before="0" w:beforeAutospacing="0" w:after="0" w:afterAutospacing="0" w:line="440" w:lineRule="exact"/>
              <w:ind w:left="63" w:leftChars="30" w:right="63" w:rightChars="30" w:firstLine="0"/>
              <w:jc w:val="center"/>
              <w:textAlignment w:val="baseline"/>
              <w:rPr>
                <w:rFonts w:hint="default" w:ascii="宋体" w:hAnsi="宋体" w:eastAsia="宋体" w:cs="宋体"/>
                <w:color w:val="auto"/>
                <w:szCs w:val="21"/>
                <w:highlight w:val="none"/>
              </w:rPr>
            </w:pPr>
          </w:p>
        </w:tc>
      </w:tr>
    </w:tbl>
    <w:p w14:paraId="1EDF4C54">
      <w:pPr>
        <w:widowControl w:val="0"/>
        <w:adjustRightInd w:val="0"/>
        <w:spacing w:line="420" w:lineRule="atLeast"/>
        <w:jc w:val="left"/>
        <w:rPr>
          <w:rFonts w:ascii="宋体" w:hAnsi="宋体" w:eastAsia="宋体" w:cs="宋体"/>
          <w:color w:val="auto"/>
          <w:kern w:val="0"/>
          <w:sz w:val="21"/>
          <w:szCs w:val="22"/>
          <w:highlight w:val="none"/>
          <w:lang w:val="en-US" w:eastAsia="zh-CN" w:bidi="ar-SA"/>
        </w:rPr>
      </w:pPr>
    </w:p>
    <w:p w14:paraId="6F9BED11">
      <w:pPr>
        <w:widowControl w:val="0"/>
        <w:adjustRightInd w:val="0"/>
        <w:spacing w:line="420" w:lineRule="atLeast"/>
        <w:ind w:left="0" w:leftChars="0" w:firstLine="0" w:firstLineChars="0"/>
        <w:jc w:val="left"/>
        <w:rPr>
          <w:rFonts w:ascii="宋体" w:hAnsi="宋体" w:eastAsia="宋体" w:cs="宋体"/>
          <w:color w:val="auto"/>
          <w:kern w:val="0"/>
          <w:sz w:val="21"/>
          <w:szCs w:val="22"/>
          <w:highlight w:val="none"/>
          <w:lang w:val="en-US" w:eastAsia="zh-CN" w:bidi="ar-SA"/>
        </w:rPr>
      </w:pPr>
    </w:p>
    <w:p w14:paraId="58715312">
      <w:pPr>
        <w:widowControl w:val="0"/>
        <w:adjustRightInd w:val="0"/>
        <w:spacing w:line="420" w:lineRule="atLeast"/>
        <w:ind w:left="0" w:leftChars="0" w:firstLine="0" w:firstLineChars="0"/>
        <w:jc w:val="left"/>
        <w:rPr>
          <w:rFonts w:ascii="宋体" w:hAnsi="宋体" w:eastAsia="宋体" w:cs="宋体"/>
          <w:color w:val="auto"/>
          <w:kern w:val="0"/>
          <w:sz w:val="21"/>
          <w:szCs w:val="22"/>
          <w:highlight w:val="none"/>
          <w:lang w:val="en-US" w:eastAsia="zh-CN" w:bidi="ar-SA"/>
        </w:rPr>
      </w:pPr>
    </w:p>
    <w:p w14:paraId="38DFD9B7">
      <w:pPr>
        <w:widowControl w:val="0"/>
        <w:adjustRightInd w:val="0"/>
        <w:spacing w:line="420" w:lineRule="atLeast"/>
        <w:ind w:left="0" w:leftChars="0" w:firstLine="0" w:firstLineChars="0"/>
        <w:jc w:val="left"/>
        <w:rPr>
          <w:rFonts w:ascii="宋体" w:hAnsi="宋体" w:eastAsia="宋体" w:cs="宋体"/>
          <w:color w:val="auto"/>
          <w:kern w:val="0"/>
          <w:sz w:val="21"/>
          <w:szCs w:val="22"/>
          <w:highlight w:val="none"/>
          <w:lang w:val="en-US" w:eastAsia="zh-CN" w:bidi="ar-SA"/>
        </w:rPr>
      </w:pPr>
    </w:p>
    <w:p w14:paraId="0EA59DF1">
      <w:pPr>
        <w:widowControl w:val="0"/>
        <w:adjustRightInd w:val="0"/>
        <w:spacing w:line="420" w:lineRule="atLeast"/>
        <w:jc w:val="left"/>
        <w:rPr>
          <w:rFonts w:ascii="宋体" w:hAnsi="宋体" w:eastAsia="宋体" w:cs="宋体"/>
          <w:color w:val="auto"/>
          <w:kern w:val="0"/>
          <w:sz w:val="21"/>
          <w:szCs w:val="22"/>
          <w:highlight w:val="none"/>
          <w:lang w:val="en-US" w:eastAsia="zh-CN" w:bidi="ar-SA"/>
        </w:rPr>
      </w:pPr>
    </w:p>
    <w:p w14:paraId="5CC299F4">
      <w:pPr>
        <w:spacing w:line="240" w:lineRule="auto"/>
        <w:ind w:left="0" w:firstLine="0"/>
        <w:rPr>
          <w:rFonts w:ascii="宋体" w:hAnsi="宋体" w:eastAsia="宋体" w:cs="宋体"/>
          <w:b/>
          <w:color w:val="auto"/>
          <w:szCs w:val="21"/>
          <w:highlight w:val="none"/>
        </w:rPr>
      </w:pPr>
      <w:bookmarkStart w:id="536" w:name="_Toc10086"/>
      <w:r>
        <w:rPr>
          <w:rFonts w:hint="eastAsia" w:ascii="宋体" w:hAnsi="宋体" w:eastAsia="宋体" w:cs="宋体"/>
          <w:b/>
          <w:color w:val="auto"/>
          <w:sz w:val="24"/>
          <w:highlight w:val="none"/>
        </w:rPr>
        <w:t>附件3：</w:t>
      </w:r>
    </w:p>
    <w:bookmarkEnd w:id="536"/>
    <w:p w14:paraId="2A0C6553">
      <w:pPr>
        <w:tabs>
          <w:tab w:val="left" w:pos="105"/>
          <w:tab w:val="left" w:pos="5565"/>
        </w:tabs>
        <w:spacing w:line="440" w:lineRule="exact"/>
        <w:ind w:left="0" w:firstLine="0"/>
        <w:jc w:val="center"/>
        <w:rPr>
          <w:rFonts w:hint="eastAsia" w:ascii="宋体" w:hAnsi="宋体" w:eastAsia="宋体" w:cs="宋体"/>
          <w:b/>
          <w:color w:val="auto"/>
          <w:sz w:val="28"/>
          <w:szCs w:val="28"/>
          <w:highlight w:val="none"/>
        </w:rPr>
      </w:pPr>
      <w:bookmarkStart w:id="537" w:name="_Toc18822"/>
      <w:r>
        <w:rPr>
          <w:rFonts w:hint="eastAsia" w:ascii="宋体" w:hAnsi="宋体" w:eastAsia="宋体" w:cs="宋体"/>
          <w:b/>
          <w:color w:val="auto"/>
          <w:sz w:val="28"/>
          <w:szCs w:val="28"/>
          <w:highlight w:val="none"/>
        </w:rPr>
        <w:t>安全文明施工违章约定</w:t>
      </w:r>
    </w:p>
    <w:p w14:paraId="021452AC">
      <w:pPr>
        <w:tabs>
          <w:tab w:val="left" w:pos="105"/>
          <w:tab w:val="left" w:pos="5565"/>
        </w:tabs>
        <w:spacing w:line="440" w:lineRule="exact"/>
        <w:ind w:left="0" w:firstLine="472" w:firstLineChars="225"/>
        <w:jc w:val="left"/>
        <w:rPr>
          <w:rFonts w:ascii="宋体" w:hAnsi="宋体" w:eastAsia="宋体" w:cs="宋体"/>
          <w:color w:val="auto"/>
          <w:szCs w:val="21"/>
          <w:highlight w:val="none"/>
        </w:rPr>
      </w:pPr>
    </w:p>
    <w:p w14:paraId="405FEBE9">
      <w:pPr>
        <w:tabs>
          <w:tab w:val="left" w:pos="105"/>
          <w:tab w:val="left" w:pos="5565"/>
        </w:tabs>
        <w:spacing w:line="312" w:lineRule="auto"/>
        <w:ind w:left="0" w:firstLine="495" w:firstLineChars="225"/>
        <w:jc w:val="left"/>
        <w:rPr>
          <w:rFonts w:ascii="宋体" w:hAnsi="宋体" w:eastAsia="宋体"/>
          <w:color w:val="auto"/>
          <w:sz w:val="22"/>
          <w:szCs w:val="22"/>
          <w:highlight w:val="none"/>
        </w:rPr>
      </w:pPr>
      <w:r>
        <w:rPr>
          <w:rFonts w:hint="eastAsia" w:ascii="宋体" w:hAnsi="宋体" w:eastAsia="宋体"/>
          <w:color w:val="auto"/>
          <w:sz w:val="22"/>
          <w:szCs w:val="22"/>
          <w:highlight w:val="none"/>
        </w:rPr>
        <w:t>发包人(全称)：</w:t>
      </w:r>
      <w:r>
        <w:rPr>
          <w:rFonts w:hint="eastAsia" w:ascii="宋体" w:hAnsi="宋体" w:eastAsia="宋体"/>
          <w:color w:val="auto"/>
          <w:sz w:val="22"/>
          <w:szCs w:val="22"/>
          <w:highlight w:val="none"/>
          <w:u w:val="single"/>
        </w:rPr>
        <w:t>柳州市人民医院</w:t>
      </w:r>
    </w:p>
    <w:p w14:paraId="6702A177">
      <w:pPr>
        <w:spacing w:line="312" w:lineRule="auto"/>
        <w:ind w:left="7020" w:leftChars="200" w:hanging="6600" w:hangingChars="3000"/>
        <w:rPr>
          <w:rFonts w:hAnsi="宋体" w:eastAsia="宋体" w:cs="宋体"/>
          <w:color w:val="auto"/>
          <w:sz w:val="22"/>
          <w:szCs w:val="22"/>
          <w:highlight w:val="none"/>
          <w:u w:val="single"/>
        </w:rPr>
      </w:pPr>
      <w:r>
        <w:rPr>
          <w:rFonts w:hint="eastAsia" w:ascii="宋体" w:hAnsi="宋体" w:eastAsia="宋体"/>
          <w:color w:val="auto"/>
          <w:sz w:val="22"/>
          <w:szCs w:val="22"/>
          <w:highlight w:val="none"/>
        </w:rPr>
        <w:t>承包人(全称)：</w:t>
      </w:r>
      <w:r>
        <w:rPr>
          <w:rFonts w:hint="eastAsia" w:ascii="宋体" w:hAnsi="宋体" w:eastAsia="宋体"/>
          <w:color w:val="auto"/>
          <w:sz w:val="22"/>
          <w:szCs w:val="22"/>
          <w:highlight w:val="none"/>
          <w:u w:val="single"/>
        </w:rPr>
        <w:t xml:space="preserve">               </w:t>
      </w:r>
    </w:p>
    <w:p w14:paraId="0C34EDD1">
      <w:pPr>
        <w:spacing w:line="312" w:lineRule="auto"/>
        <w:ind w:left="0" w:firstLine="0"/>
        <w:rPr>
          <w:rFonts w:ascii="宋体" w:hAnsi="宋体" w:eastAsia="宋体" w:cs="宋体"/>
          <w:color w:val="auto"/>
          <w:sz w:val="22"/>
          <w:szCs w:val="22"/>
          <w:highlight w:val="none"/>
        </w:rPr>
      </w:pPr>
    </w:p>
    <w:p w14:paraId="61CED8F2">
      <w:pPr>
        <w:tabs>
          <w:tab w:val="left" w:pos="105"/>
          <w:tab w:val="left" w:pos="5565"/>
        </w:tabs>
        <w:spacing w:line="312" w:lineRule="auto"/>
        <w:ind w:left="0" w:firstLine="495" w:firstLineChars="225"/>
        <w:jc w:val="left"/>
        <w:rPr>
          <w:rFonts w:ascii="宋体" w:hAnsi="宋体" w:eastAsia="宋体" w:cs="宋体"/>
          <w:color w:val="auto"/>
          <w:sz w:val="22"/>
          <w:szCs w:val="22"/>
          <w:highlight w:val="none"/>
        </w:rPr>
      </w:pPr>
      <w:r>
        <w:rPr>
          <w:rFonts w:hint="eastAsia" w:ascii="宋体" w:hAnsi="宋体" w:eastAsia="宋体" w:cs="宋体"/>
          <w:color w:val="auto"/>
          <w:sz w:val="22"/>
          <w:szCs w:val="22"/>
          <w:highlight w:val="none"/>
        </w:rPr>
        <w:t>为加强施工现场安全管理，实现文明施工，保障施工人员的生命安全，维护医院良好秩序环境，制定《安全文明施工违章约定》。有违反相应条例的情况，承包人应按违约金标准承担相应的违约金，违约金在结算费用中扣除。</w:t>
      </w:r>
    </w:p>
    <w:tbl>
      <w:tblPr>
        <w:tblStyle w:val="15"/>
        <w:tblW w:w="8755" w:type="dxa"/>
        <w:jc w:val="center"/>
        <w:tblLayout w:type="fixed"/>
        <w:tblCellMar>
          <w:top w:w="0" w:type="dxa"/>
          <w:left w:w="108" w:type="dxa"/>
          <w:bottom w:w="0" w:type="dxa"/>
          <w:right w:w="108" w:type="dxa"/>
        </w:tblCellMar>
      </w:tblPr>
      <w:tblGrid>
        <w:gridCol w:w="690"/>
        <w:gridCol w:w="6127"/>
        <w:gridCol w:w="1938"/>
      </w:tblGrid>
      <w:tr w14:paraId="2144C678">
        <w:tblPrEx>
          <w:tblCellMar>
            <w:top w:w="0" w:type="dxa"/>
            <w:left w:w="108" w:type="dxa"/>
            <w:bottom w:w="0" w:type="dxa"/>
            <w:right w:w="108" w:type="dxa"/>
          </w:tblCellMar>
        </w:tblPrEx>
        <w:trPr>
          <w:trHeight w:val="571" w:hRule="atLeast"/>
          <w:jc w:val="center"/>
        </w:trPr>
        <w:tc>
          <w:tcPr>
            <w:tcW w:w="690" w:type="dxa"/>
            <w:tcBorders>
              <w:top w:val="single" w:color="auto" w:sz="4" w:space="0"/>
              <w:left w:val="single" w:color="auto" w:sz="4" w:space="0"/>
              <w:bottom w:val="single" w:color="auto" w:sz="4" w:space="0"/>
              <w:right w:val="single" w:color="auto" w:sz="4" w:space="0"/>
            </w:tcBorders>
            <w:noWrap/>
            <w:vAlign w:val="center"/>
          </w:tcPr>
          <w:p w14:paraId="0AC4C7C6">
            <w:pPr>
              <w:keepNext w:val="0"/>
              <w:keepLines w:val="0"/>
              <w:suppressLineNumbers w:val="0"/>
              <w:tabs>
                <w:tab w:val="left" w:pos="105"/>
                <w:tab w:val="left" w:pos="5565"/>
              </w:tabs>
              <w:spacing w:before="0" w:beforeAutospacing="0" w:after="0" w:afterAutospacing="0" w:line="440" w:lineRule="exact"/>
              <w:ind w:left="0" w:right="0" w:firstLine="0"/>
              <w:jc w:val="center"/>
              <w:rPr>
                <w:rFonts w:hint="default" w:ascii="宋体" w:hAnsi="宋体" w:eastAsia="宋体" w:cs="宋体"/>
                <w:b/>
                <w:color w:val="auto"/>
                <w:szCs w:val="21"/>
                <w:highlight w:val="none"/>
              </w:rPr>
            </w:pPr>
            <w:r>
              <w:rPr>
                <w:rFonts w:hint="eastAsia" w:ascii="宋体" w:hAnsi="宋体" w:eastAsia="宋体" w:cs="宋体"/>
                <w:b/>
                <w:color w:val="auto"/>
                <w:szCs w:val="21"/>
                <w:highlight w:val="none"/>
              </w:rPr>
              <w:t>序号</w:t>
            </w:r>
          </w:p>
        </w:tc>
        <w:tc>
          <w:tcPr>
            <w:tcW w:w="6127" w:type="dxa"/>
            <w:tcBorders>
              <w:top w:val="single" w:color="auto" w:sz="4" w:space="0"/>
              <w:left w:val="nil"/>
              <w:bottom w:val="single" w:color="auto" w:sz="4" w:space="0"/>
              <w:right w:val="single" w:color="auto" w:sz="4" w:space="0"/>
            </w:tcBorders>
            <w:noWrap/>
            <w:vAlign w:val="center"/>
          </w:tcPr>
          <w:p w14:paraId="1C28621B">
            <w:pPr>
              <w:keepNext w:val="0"/>
              <w:keepLines w:val="0"/>
              <w:suppressLineNumbers w:val="0"/>
              <w:tabs>
                <w:tab w:val="left" w:pos="105"/>
                <w:tab w:val="left" w:pos="5565"/>
              </w:tabs>
              <w:spacing w:before="0" w:beforeAutospacing="0" w:after="0" w:afterAutospacing="0" w:line="440" w:lineRule="exact"/>
              <w:ind w:left="0" w:right="0" w:firstLine="474" w:firstLineChars="225"/>
              <w:jc w:val="center"/>
              <w:rPr>
                <w:rFonts w:hint="default" w:ascii="宋体" w:hAnsi="宋体" w:eastAsia="宋体" w:cs="宋体"/>
                <w:b/>
                <w:color w:val="auto"/>
                <w:szCs w:val="21"/>
                <w:highlight w:val="none"/>
              </w:rPr>
            </w:pPr>
            <w:r>
              <w:rPr>
                <w:rFonts w:hint="eastAsia" w:ascii="宋体" w:hAnsi="宋体" w:eastAsia="宋体" w:cs="宋体"/>
                <w:b/>
                <w:color w:val="auto"/>
                <w:szCs w:val="21"/>
                <w:highlight w:val="none"/>
              </w:rPr>
              <w:t>违章情况描述</w:t>
            </w:r>
          </w:p>
        </w:tc>
        <w:tc>
          <w:tcPr>
            <w:tcW w:w="1938" w:type="dxa"/>
            <w:tcBorders>
              <w:top w:val="single" w:color="auto" w:sz="4" w:space="0"/>
              <w:left w:val="nil"/>
              <w:bottom w:val="single" w:color="auto" w:sz="4" w:space="0"/>
              <w:right w:val="single" w:color="auto" w:sz="4" w:space="0"/>
            </w:tcBorders>
            <w:noWrap/>
            <w:vAlign w:val="center"/>
          </w:tcPr>
          <w:p w14:paraId="15D52415">
            <w:pPr>
              <w:keepNext w:val="0"/>
              <w:keepLines w:val="0"/>
              <w:suppressLineNumbers w:val="0"/>
              <w:tabs>
                <w:tab w:val="left" w:pos="105"/>
                <w:tab w:val="left" w:pos="5565"/>
              </w:tabs>
              <w:spacing w:before="0" w:beforeAutospacing="0" w:after="0" w:afterAutospacing="0" w:line="440" w:lineRule="exact"/>
              <w:ind w:left="0" w:right="0" w:firstLine="0"/>
              <w:jc w:val="center"/>
              <w:rPr>
                <w:rFonts w:hint="default" w:ascii="宋体" w:hAnsi="宋体" w:eastAsia="宋体" w:cs="宋体"/>
                <w:b/>
                <w:color w:val="auto"/>
                <w:szCs w:val="21"/>
                <w:highlight w:val="none"/>
              </w:rPr>
            </w:pPr>
            <w:r>
              <w:rPr>
                <w:rFonts w:hint="eastAsia" w:ascii="宋体" w:hAnsi="宋体" w:eastAsia="宋体" w:cs="宋体"/>
                <w:b/>
                <w:color w:val="auto"/>
                <w:szCs w:val="21"/>
                <w:highlight w:val="none"/>
              </w:rPr>
              <w:t>违约金标准</w:t>
            </w:r>
          </w:p>
        </w:tc>
      </w:tr>
      <w:tr w14:paraId="1A76CC08">
        <w:tblPrEx>
          <w:tblCellMar>
            <w:top w:w="0" w:type="dxa"/>
            <w:left w:w="108" w:type="dxa"/>
            <w:bottom w:w="0" w:type="dxa"/>
            <w:right w:w="108" w:type="dxa"/>
          </w:tblCellMar>
        </w:tblPrEx>
        <w:trPr>
          <w:trHeight w:val="499" w:hRule="atLeast"/>
          <w:jc w:val="center"/>
        </w:trPr>
        <w:tc>
          <w:tcPr>
            <w:tcW w:w="690" w:type="dxa"/>
            <w:tcBorders>
              <w:top w:val="nil"/>
              <w:left w:val="single" w:color="auto" w:sz="4" w:space="0"/>
              <w:bottom w:val="single" w:color="auto" w:sz="4" w:space="0"/>
              <w:right w:val="single" w:color="auto" w:sz="4" w:space="0"/>
            </w:tcBorders>
            <w:noWrap/>
            <w:vAlign w:val="center"/>
          </w:tcPr>
          <w:p w14:paraId="6FDD3098">
            <w:pPr>
              <w:keepNext w:val="0"/>
              <w:keepLines w:val="0"/>
              <w:suppressLineNumbers w:val="0"/>
              <w:tabs>
                <w:tab w:val="left" w:pos="105"/>
                <w:tab w:val="left" w:pos="5565"/>
              </w:tabs>
              <w:spacing w:before="0" w:beforeAutospacing="0" w:after="0" w:afterAutospacing="0" w:line="440" w:lineRule="exact"/>
              <w:ind w:left="0" w:right="0" w:firstLine="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6127" w:type="dxa"/>
            <w:tcBorders>
              <w:top w:val="nil"/>
              <w:left w:val="nil"/>
              <w:bottom w:val="single" w:color="auto" w:sz="4" w:space="0"/>
              <w:right w:val="single" w:color="auto" w:sz="4" w:space="0"/>
            </w:tcBorders>
            <w:noWrap/>
            <w:vAlign w:val="center"/>
          </w:tcPr>
          <w:p w14:paraId="48B491A8">
            <w:pPr>
              <w:keepNext w:val="0"/>
              <w:keepLines w:val="0"/>
              <w:suppressLineNumbers w:val="0"/>
              <w:tabs>
                <w:tab w:val="left" w:pos="105"/>
                <w:tab w:val="left" w:pos="5565"/>
              </w:tabs>
              <w:spacing w:before="0" w:beforeAutospacing="0" w:after="0" w:afterAutospacing="0" w:line="440" w:lineRule="exact"/>
              <w:ind w:left="0" w:right="0" w:firstLine="0"/>
              <w:rPr>
                <w:rFonts w:hint="default" w:ascii="宋体" w:hAnsi="宋体" w:eastAsia="宋体" w:cs="宋体"/>
                <w:color w:val="auto"/>
                <w:szCs w:val="21"/>
                <w:highlight w:val="none"/>
              </w:rPr>
            </w:pPr>
            <w:r>
              <w:rPr>
                <w:rFonts w:hint="eastAsia" w:ascii="宋体" w:hAnsi="宋体" w:eastAsia="宋体" w:cs="宋体"/>
                <w:color w:val="auto"/>
                <w:szCs w:val="21"/>
                <w:highlight w:val="none"/>
              </w:rPr>
              <w:t>进入必须佩戴安全帽的施工现场不戴安全帽的</w:t>
            </w:r>
          </w:p>
        </w:tc>
        <w:tc>
          <w:tcPr>
            <w:tcW w:w="1938" w:type="dxa"/>
            <w:tcBorders>
              <w:top w:val="nil"/>
              <w:left w:val="nil"/>
              <w:bottom w:val="single" w:color="auto" w:sz="4" w:space="0"/>
              <w:right w:val="single" w:color="auto" w:sz="4" w:space="0"/>
            </w:tcBorders>
            <w:noWrap/>
            <w:vAlign w:val="center"/>
          </w:tcPr>
          <w:p w14:paraId="17D7F9A9">
            <w:pPr>
              <w:keepNext w:val="0"/>
              <w:keepLines w:val="0"/>
              <w:suppressLineNumbers w:val="0"/>
              <w:tabs>
                <w:tab w:val="left" w:pos="105"/>
                <w:tab w:val="left" w:pos="5565"/>
              </w:tabs>
              <w:spacing w:before="0" w:beforeAutospacing="0" w:after="0" w:afterAutospacing="0" w:line="440" w:lineRule="exact"/>
              <w:ind w:left="0" w:right="0" w:firstLine="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300元/人</w:t>
            </w:r>
          </w:p>
        </w:tc>
      </w:tr>
      <w:tr w14:paraId="0B25BF59">
        <w:tblPrEx>
          <w:tblCellMar>
            <w:top w:w="0" w:type="dxa"/>
            <w:left w:w="108" w:type="dxa"/>
            <w:bottom w:w="0" w:type="dxa"/>
            <w:right w:w="108" w:type="dxa"/>
          </w:tblCellMar>
        </w:tblPrEx>
        <w:trPr>
          <w:trHeight w:val="496" w:hRule="atLeast"/>
          <w:jc w:val="center"/>
        </w:trPr>
        <w:tc>
          <w:tcPr>
            <w:tcW w:w="690" w:type="dxa"/>
            <w:tcBorders>
              <w:top w:val="nil"/>
              <w:left w:val="single" w:color="auto" w:sz="4" w:space="0"/>
              <w:bottom w:val="single" w:color="auto" w:sz="4" w:space="0"/>
              <w:right w:val="single" w:color="auto" w:sz="4" w:space="0"/>
            </w:tcBorders>
            <w:noWrap/>
            <w:vAlign w:val="center"/>
          </w:tcPr>
          <w:p w14:paraId="790852AD">
            <w:pPr>
              <w:keepNext w:val="0"/>
              <w:keepLines w:val="0"/>
              <w:suppressLineNumbers w:val="0"/>
              <w:tabs>
                <w:tab w:val="left" w:pos="105"/>
                <w:tab w:val="left" w:pos="5565"/>
              </w:tabs>
              <w:spacing w:before="0" w:beforeAutospacing="0" w:after="0" w:afterAutospacing="0" w:line="440" w:lineRule="exact"/>
              <w:ind w:left="0" w:right="0" w:firstLine="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6127" w:type="dxa"/>
            <w:tcBorders>
              <w:top w:val="nil"/>
              <w:left w:val="nil"/>
              <w:bottom w:val="single" w:color="auto" w:sz="4" w:space="0"/>
              <w:right w:val="single" w:color="auto" w:sz="4" w:space="0"/>
            </w:tcBorders>
            <w:noWrap/>
            <w:vAlign w:val="center"/>
          </w:tcPr>
          <w:p w14:paraId="3434AAF5">
            <w:pPr>
              <w:keepNext w:val="0"/>
              <w:keepLines w:val="0"/>
              <w:suppressLineNumbers w:val="0"/>
              <w:tabs>
                <w:tab w:val="left" w:pos="105"/>
                <w:tab w:val="left" w:pos="5565"/>
              </w:tabs>
              <w:spacing w:before="0" w:beforeAutospacing="0" w:after="0" w:afterAutospacing="0" w:line="440" w:lineRule="exact"/>
              <w:ind w:left="0" w:right="0" w:firstLine="0"/>
              <w:rPr>
                <w:rFonts w:hint="default" w:ascii="宋体" w:hAnsi="宋体" w:eastAsia="宋体" w:cs="宋体"/>
                <w:color w:val="auto"/>
                <w:szCs w:val="21"/>
                <w:highlight w:val="none"/>
              </w:rPr>
            </w:pPr>
            <w:r>
              <w:rPr>
                <w:rFonts w:hint="eastAsia" w:ascii="宋体" w:hAnsi="宋体" w:eastAsia="宋体" w:cs="宋体"/>
                <w:color w:val="auto"/>
                <w:szCs w:val="21"/>
                <w:highlight w:val="none"/>
              </w:rPr>
              <w:t>在施工现场穿凉、拖鞋、高跟鞋、踩跟鞋、赤脚、赤膊</w:t>
            </w:r>
          </w:p>
        </w:tc>
        <w:tc>
          <w:tcPr>
            <w:tcW w:w="1938" w:type="dxa"/>
            <w:tcBorders>
              <w:top w:val="nil"/>
              <w:left w:val="nil"/>
              <w:bottom w:val="single" w:color="auto" w:sz="4" w:space="0"/>
              <w:right w:val="single" w:color="auto" w:sz="4" w:space="0"/>
            </w:tcBorders>
            <w:noWrap/>
            <w:vAlign w:val="center"/>
          </w:tcPr>
          <w:p w14:paraId="730F6ECC">
            <w:pPr>
              <w:keepNext w:val="0"/>
              <w:keepLines w:val="0"/>
              <w:suppressLineNumbers w:val="0"/>
              <w:tabs>
                <w:tab w:val="left" w:pos="105"/>
                <w:tab w:val="left" w:pos="5565"/>
              </w:tabs>
              <w:spacing w:before="0" w:beforeAutospacing="0" w:after="0" w:afterAutospacing="0" w:line="440" w:lineRule="exact"/>
              <w:ind w:left="0" w:right="0" w:firstLine="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300元/人</w:t>
            </w:r>
          </w:p>
        </w:tc>
      </w:tr>
      <w:tr w14:paraId="1DA7F7F0">
        <w:tblPrEx>
          <w:tblCellMar>
            <w:top w:w="0" w:type="dxa"/>
            <w:left w:w="108" w:type="dxa"/>
            <w:bottom w:w="0" w:type="dxa"/>
            <w:right w:w="108" w:type="dxa"/>
          </w:tblCellMar>
        </w:tblPrEx>
        <w:trPr>
          <w:trHeight w:val="499" w:hRule="atLeast"/>
          <w:jc w:val="center"/>
        </w:trPr>
        <w:tc>
          <w:tcPr>
            <w:tcW w:w="690" w:type="dxa"/>
            <w:tcBorders>
              <w:top w:val="nil"/>
              <w:left w:val="single" w:color="auto" w:sz="4" w:space="0"/>
              <w:bottom w:val="single" w:color="auto" w:sz="4" w:space="0"/>
              <w:right w:val="single" w:color="auto" w:sz="4" w:space="0"/>
            </w:tcBorders>
            <w:noWrap/>
            <w:vAlign w:val="center"/>
          </w:tcPr>
          <w:p w14:paraId="3AF6D9CC">
            <w:pPr>
              <w:keepNext w:val="0"/>
              <w:keepLines w:val="0"/>
              <w:suppressLineNumbers w:val="0"/>
              <w:tabs>
                <w:tab w:val="left" w:pos="105"/>
                <w:tab w:val="left" w:pos="5565"/>
              </w:tabs>
              <w:spacing w:before="0" w:beforeAutospacing="0" w:after="0" w:afterAutospacing="0" w:line="440" w:lineRule="exact"/>
              <w:ind w:left="0" w:right="0" w:firstLine="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3</w:t>
            </w:r>
          </w:p>
        </w:tc>
        <w:tc>
          <w:tcPr>
            <w:tcW w:w="6127" w:type="dxa"/>
            <w:tcBorders>
              <w:top w:val="nil"/>
              <w:left w:val="nil"/>
              <w:bottom w:val="single" w:color="auto" w:sz="4" w:space="0"/>
              <w:right w:val="single" w:color="auto" w:sz="4" w:space="0"/>
            </w:tcBorders>
            <w:noWrap/>
            <w:vAlign w:val="center"/>
          </w:tcPr>
          <w:p w14:paraId="7A09D5B4">
            <w:pPr>
              <w:keepNext w:val="0"/>
              <w:keepLines w:val="0"/>
              <w:suppressLineNumbers w:val="0"/>
              <w:tabs>
                <w:tab w:val="left" w:pos="105"/>
                <w:tab w:val="left" w:pos="5565"/>
              </w:tabs>
              <w:spacing w:before="0" w:beforeAutospacing="0" w:after="0" w:afterAutospacing="0" w:line="440" w:lineRule="exact"/>
              <w:ind w:left="0" w:right="0" w:firstLine="0"/>
              <w:rPr>
                <w:rFonts w:hint="default" w:ascii="宋体" w:hAnsi="宋体" w:eastAsia="宋体" w:cs="宋体"/>
                <w:color w:val="auto"/>
                <w:szCs w:val="21"/>
                <w:highlight w:val="none"/>
              </w:rPr>
            </w:pPr>
            <w:r>
              <w:rPr>
                <w:rFonts w:hint="eastAsia" w:ascii="宋体" w:hAnsi="宋体" w:eastAsia="宋体" w:cs="宋体"/>
                <w:color w:val="auto"/>
                <w:szCs w:val="21"/>
                <w:highlight w:val="none"/>
              </w:rPr>
              <w:t>高空作业人员不系安全带、不穿防滑鞋</w:t>
            </w:r>
          </w:p>
        </w:tc>
        <w:tc>
          <w:tcPr>
            <w:tcW w:w="1938" w:type="dxa"/>
            <w:tcBorders>
              <w:top w:val="nil"/>
              <w:left w:val="nil"/>
              <w:bottom w:val="single" w:color="auto" w:sz="4" w:space="0"/>
              <w:right w:val="single" w:color="auto" w:sz="4" w:space="0"/>
            </w:tcBorders>
            <w:noWrap/>
            <w:vAlign w:val="center"/>
          </w:tcPr>
          <w:p w14:paraId="538A6524">
            <w:pPr>
              <w:keepNext w:val="0"/>
              <w:keepLines w:val="0"/>
              <w:suppressLineNumbers w:val="0"/>
              <w:tabs>
                <w:tab w:val="left" w:pos="105"/>
                <w:tab w:val="left" w:pos="5565"/>
              </w:tabs>
              <w:spacing w:before="0" w:beforeAutospacing="0" w:after="0" w:afterAutospacing="0" w:line="440" w:lineRule="exact"/>
              <w:ind w:left="0" w:right="0" w:firstLine="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300元/人</w:t>
            </w:r>
          </w:p>
        </w:tc>
      </w:tr>
      <w:tr w14:paraId="0EFF07F0">
        <w:tblPrEx>
          <w:tblCellMar>
            <w:top w:w="0" w:type="dxa"/>
            <w:left w:w="108" w:type="dxa"/>
            <w:bottom w:w="0" w:type="dxa"/>
            <w:right w:w="108" w:type="dxa"/>
          </w:tblCellMar>
        </w:tblPrEx>
        <w:trPr>
          <w:trHeight w:val="499" w:hRule="atLeast"/>
          <w:jc w:val="center"/>
        </w:trPr>
        <w:tc>
          <w:tcPr>
            <w:tcW w:w="690" w:type="dxa"/>
            <w:tcBorders>
              <w:top w:val="nil"/>
              <w:left w:val="single" w:color="auto" w:sz="4" w:space="0"/>
              <w:bottom w:val="single" w:color="auto" w:sz="4" w:space="0"/>
              <w:right w:val="single" w:color="auto" w:sz="4" w:space="0"/>
            </w:tcBorders>
            <w:noWrap/>
            <w:vAlign w:val="center"/>
          </w:tcPr>
          <w:p w14:paraId="5C93DD3B">
            <w:pPr>
              <w:keepNext w:val="0"/>
              <w:keepLines w:val="0"/>
              <w:suppressLineNumbers w:val="0"/>
              <w:tabs>
                <w:tab w:val="left" w:pos="105"/>
                <w:tab w:val="left" w:pos="5565"/>
              </w:tabs>
              <w:spacing w:before="0" w:beforeAutospacing="0" w:after="0" w:afterAutospacing="0" w:line="440" w:lineRule="exact"/>
              <w:ind w:left="0" w:right="0" w:firstLine="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4</w:t>
            </w:r>
          </w:p>
        </w:tc>
        <w:tc>
          <w:tcPr>
            <w:tcW w:w="6127" w:type="dxa"/>
            <w:tcBorders>
              <w:top w:val="nil"/>
              <w:left w:val="nil"/>
              <w:bottom w:val="single" w:color="auto" w:sz="4" w:space="0"/>
              <w:right w:val="single" w:color="auto" w:sz="4" w:space="0"/>
            </w:tcBorders>
            <w:noWrap/>
            <w:vAlign w:val="center"/>
          </w:tcPr>
          <w:p w14:paraId="440EE24E">
            <w:pPr>
              <w:keepNext w:val="0"/>
              <w:keepLines w:val="0"/>
              <w:suppressLineNumbers w:val="0"/>
              <w:tabs>
                <w:tab w:val="left" w:pos="105"/>
                <w:tab w:val="left" w:pos="5565"/>
              </w:tabs>
              <w:spacing w:before="0" w:beforeAutospacing="0" w:after="0" w:afterAutospacing="0" w:line="440" w:lineRule="exact"/>
              <w:ind w:left="0" w:right="0" w:firstLine="0"/>
              <w:rPr>
                <w:rFonts w:hint="default" w:ascii="宋体" w:hAnsi="宋体" w:eastAsia="宋体" w:cs="宋体"/>
                <w:color w:val="auto"/>
                <w:szCs w:val="21"/>
                <w:highlight w:val="none"/>
              </w:rPr>
            </w:pPr>
            <w:r>
              <w:rPr>
                <w:rFonts w:hint="eastAsia" w:ascii="宋体" w:hAnsi="宋体" w:eastAsia="宋体" w:cs="宋体"/>
                <w:color w:val="auto"/>
                <w:szCs w:val="21"/>
                <w:highlight w:val="none"/>
              </w:rPr>
              <w:t>在禁烟施工区域现场吸烟或施工现场发现烟头</w:t>
            </w:r>
          </w:p>
        </w:tc>
        <w:tc>
          <w:tcPr>
            <w:tcW w:w="1938" w:type="dxa"/>
            <w:tcBorders>
              <w:top w:val="nil"/>
              <w:left w:val="nil"/>
              <w:bottom w:val="single" w:color="auto" w:sz="4" w:space="0"/>
              <w:right w:val="single" w:color="auto" w:sz="4" w:space="0"/>
            </w:tcBorders>
            <w:noWrap/>
            <w:vAlign w:val="center"/>
          </w:tcPr>
          <w:p w14:paraId="2AF2336A">
            <w:pPr>
              <w:keepNext w:val="0"/>
              <w:keepLines w:val="0"/>
              <w:suppressLineNumbers w:val="0"/>
              <w:tabs>
                <w:tab w:val="left" w:pos="105"/>
                <w:tab w:val="left" w:pos="5565"/>
              </w:tabs>
              <w:spacing w:before="0" w:beforeAutospacing="0" w:after="0" w:afterAutospacing="0" w:line="440" w:lineRule="exact"/>
              <w:ind w:left="0" w:right="0" w:firstLine="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300元/人（个）</w:t>
            </w:r>
          </w:p>
        </w:tc>
      </w:tr>
      <w:tr w14:paraId="08B196BD">
        <w:tblPrEx>
          <w:tblCellMar>
            <w:top w:w="0" w:type="dxa"/>
            <w:left w:w="108" w:type="dxa"/>
            <w:bottom w:w="0" w:type="dxa"/>
            <w:right w:w="108" w:type="dxa"/>
          </w:tblCellMar>
        </w:tblPrEx>
        <w:trPr>
          <w:trHeight w:val="720" w:hRule="atLeast"/>
          <w:jc w:val="center"/>
        </w:trPr>
        <w:tc>
          <w:tcPr>
            <w:tcW w:w="690" w:type="dxa"/>
            <w:tcBorders>
              <w:top w:val="nil"/>
              <w:left w:val="single" w:color="auto" w:sz="4" w:space="0"/>
              <w:bottom w:val="single" w:color="auto" w:sz="4" w:space="0"/>
              <w:right w:val="single" w:color="auto" w:sz="4" w:space="0"/>
            </w:tcBorders>
            <w:noWrap/>
            <w:vAlign w:val="center"/>
          </w:tcPr>
          <w:p w14:paraId="01A42AB5">
            <w:pPr>
              <w:keepNext w:val="0"/>
              <w:keepLines w:val="0"/>
              <w:suppressLineNumbers w:val="0"/>
              <w:tabs>
                <w:tab w:val="left" w:pos="105"/>
                <w:tab w:val="left" w:pos="5565"/>
              </w:tabs>
              <w:spacing w:before="0" w:beforeAutospacing="0" w:after="0" w:afterAutospacing="0" w:line="440" w:lineRule="exact"/>
              <w:ind w:left="0" w:right="0" w:firstLine="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5</w:t>
            </w:r>
          </w:p>
        </w:tc>
        <w:tc>
          <w:tcPr>
            <w:tcW w:w="6127" w:type="dxa"/>
            <w:tcBorders>
              <w:top w:val="nil"/>
              <w:left w:val="nil"/>
              <w:bottom w:val="single" w:color="auto" w:sz="4" w:space="0"/>
              <w:right w:val="single" w:color="auto" w:sz="4" w:space="0"/>
            </w:tcBorders>
            <w:noWrap/>
            <w:vAlign w:val="center"/>
          </w:tcPr>
          <w:p w14:paraId="4928C3CA">
            <w:pPr>
              <w:keepNext w:val="0"/>
              <w:keepLines w:val="0"/>
              <w:suppressLineNumbers w:val="0"/>
              <w:tabs>
                <w:tab w:val="left" w:pos="105"/>
                <w:tab w:val="left" w:pos="5565"/>
              </w:tabs>
              <w:spacing w:before="0" w:beforeAutospacing="0" w:after="0" w:afterAutospacing="0" w:line="440" w:lineRule="exact"/>
              <w:ind w:left="0" w:right="0" w:firstLine="0"/>
              <w:rPr>
                <w:rFonts w:hint="default" w:ascii="宋体" w:hAnsi="宋体" w:eastAsia="宋体" w:cs="宋体"/>
                <w:color w:val="auto"/>
                <w:szCs w:val="21"/>
                <w:highlight w:val="none"/>
              </w:rPr>
            </w:pPr>
            <w:r>
              <w:rPr>
                <w:rFonts w:hint="eastAsia" w:ascii="宋体" w:hAnsi="宋体" w:eastAsia="宋体" w:cs="宋体"/>
                <w:color w:val="auto"/>
                <w:szCs w:val="21"/>
                <w:highlight w:val="none"/>
              </w:rPr>
              <w:t>高空作业向上、下抛掷或在无安全措施情况下施工或传递任何零件、工具、材料、废杂物品、嬉戏、打闹</w:t>
            </w:r>
          </w:p>
        </w:tc>
        <w:tc>
          <w:tcPr>
            <w:tcW w:w="1938" w:type="dxa"/>
            <w:tcBorders>
              <w:top w:val="nil"/>
              <w:left w:val="nil"/>
              <w:bottom w:val="single" w:color="auto" w:sz="4" w:space="0"/>
              <w:right w:val="single" w:color="auto" w:sz="4" w:space="0"/>
            </w:tcBorders>
            <w:noWrap/>
            <w:vAlign w:val="center"/>
          </w:tcPr>
          <w:p w14:paraId="22A914A0">
            <w:pPr>
              <w:keepNext w:val="0"/>
              <w:keepLines w:val="0"/>
              <w:suppressLineNumbers w:val="0"/>
              <w:tabs>
                <w:tab w:val="left" w:pos="105"/>
                <w:tab w:val="left" w:pos="5565"/>
              </w:tabs>
              <w:spacing w:before="0" w:beforeAutospacing="0" w:after="0" w:afterAutospacing="0" w:line="440" w:lineRule="exact"/>
              <w:ind w:left="0" w:right="0" w:firstLine="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300元/人</w:t>
            </w:r>
          </w:p>
        </w:tc>
      </w:tr>
      <w:tr w14:paraId="31D54825">
        <w:tblPrEx>
          <w:tblCellMar>
            <w:top w:w="0" w:type="dxa"/>
            <w:left w:w="108" w:type="dxa"/>
            <w:bottom w:w="0" w:type="dxa"/>
            <w:right w:w="108" w:type="dxa"/>
          </w:tblCellMar>
        </w:tblPrEx>
        <w:trPr>
          <w:trHeight w:val="499" w:hRule="atLeast"/>
          <w:jc w:val="center"/>
        </w:trPr>
        <w:tc>
          <w:tcPr>
            <w:tcW w:w="690" w:type="dxa"/>
            <w:tcBorders>
              <w:top w:val="nil"/>
              <w:left w:val="single" w:color="auto" w:sz="4" w:space="0"/>
              <w:bottom w:val="single" w:color="auto" w:sz="4" w:space="0"/>
              <w:right w:val="single" w:color="auto" w:sz="4" w:space="0"/>
            </w:tcBorders>
            <w:noWrap/>
            <w:vAlign w:val="center"/>
          </w:tcPr>
          <w:p w14:paraId="4C11502F">
            <w:pPr>
              <w:keepNext w:val="0"/>
              <w:keepLines w:val="0"/>
              <w:suppressLineNumbers w:val="0"/>
              <w:tabs>
                <w:tab w:val="left" w:pos="105"/>
                <w:tab w:val="left" w:pos="5565"/>
              </w:tabs>
              <w:spacing w:before="0" w:beforeAutospacing="0" w:after="0" w:afterAutospacing="0" w:line="440" w:lineRule="exact"/>
              <w:ind w:left="0" w:right="0" w:firstLine="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6</w:t>
            </w:r>
          </w:p>
        </w:tc>
        <w:tc>
          <w:tcPr>
            <w:tcW w:w="6127" w:type="dxa"/>
            <w:tcBorders>
              <w:top w:val="nil"/>
              <w:left w:val="nil"/>
              <w:bottom w:val="single" w:color="auto" w:sz="4" w:space="0"/>
              <w:right w:val="single" w:color="auto" w:sz="4" w:space="0"/>
            </w:tcBorders>
            <w:noWrap/>
            <w:vAlign w:val="center"/>
          </w:tcPr>
          <w:p w14:paraId="19A82EB0">
            <w:pPr>
              <w:keepNext w:val="0"/>
              <w:keepLines w:val="0"/>
              <w:suppressLineNumbers w:val="0"/>
              <w:tabs>
                <w:tab w:val="left" w:pos="105"/>
                <w:tab w:val="left" w:pos="5565"/>
              </w:tabs>
              <w:spacing w:before="0" w:beforeAutospacing="0" w:after="0" w:afterAutospacing="0" w:line="440" w:lineRule="exact"/>
              <w:ind w:left="0" w:right="0" w:firstLine="0"/>
              <w:rPr>
                <w:rFonts w:hint="default" w:ascii="宋体" w:hAnsi="宋体" w:eastAsia="宋体" w:cs="宋体"/>
                <w:color w:val="auto"/>
                <w:szCs w:val="21"/>
                <w:highlight w:val="none"/>
              </w:rPr>
            </w:pPr>
            <w:r>
              <w:rPr>
                <w:rFonts w:hint="eastAsia" w:ascii="宋体" w:hAnsi="宋体" w:eastAsia="宋体" w:cs="宋体"/>
                <w:color w:val="auto"/>
                <w:szCs w:val="21"/>
                <w:highlight w:val="none"/>
              </w:rPr>
              <w:t>擅自拆除安全防护</w:t>
            </w:r>
          </w:p>
        </w:tc>
        <w:tc>
          <w:tcPr>
            <w:tcW w:w="1938" w:type="dxa"/>
            <w:tcBorders>
              <w:top w:val="nil"/>
              <w:left w:val="nil"/>
              <w:bottom w:val="single" w:color="auto" w:sz="4" w:space="0"/>
              <w:right w:val="single" w:color="auto" w:sz="4" w:space="0"/>
            </w:tcBorders>
            <w:noWrap/>
            <w:vAlign w:val="center"/>
          </w:tcPr>
          <w:p w14:paraId="793C254F">
            <w:pPr>
              <w:keepNext w:val="0"/>
              <w:keepLines w:val="0"/>
              <w:suppressLineNumbers w:val="0"/>
              <w:tabs>
                <w:tab w:val="left" w:pos="105"/>
                <w:tab w:val="left" w:pos="5565"/>
              </w:tabs>
              <w:spacing w:before="0" w:beforeAutospacing="0" w:after="0" w:afterAutospacing="0" w:line="440" w:lineRule="exact"/>
              <w:ind w:left="0" w:right="0" w:firstLine="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300元/次</w:t>
            </w:r>
          </w:p>
        </w:tc>
      </w:tr>
      <w:tr w14:paraId="483A995D">
        <w:tblPrEx>
          <w:tblCellMar>
            <w:top w:w="0" w:type="dxa"/>
            <w:left w:w="108" w:type="dxa"/>
            <w:bottom w:w="0" w:type="dxa"/>
            <w:right w:w="108" w:type="dxa"/>
          </w:tblCellMar>
        </w:tblPrEx>
        <w:trPr>
          <w:trHeight w:val="499" w:hRule="atLeast"/>
          <w:jc w:val="center"/>
        </w:trPr>
        <w:tc>
          <w:tcPr>
            <w:tcW w:w="690" w:type="dxa"/>
            <w:tcBorders>
              <w:top w:val="nil"/>
              <w:left w:val="single" w:color="auto" w:sz="4" w:space="0"/>
              <w:bottom w:val="single" w:color="auto" w:sz="4" w:space="0"/>
              <w:right w:val="single" w:color="auto" w:sz="4" w:space="0"/>
            </w:tcBorders>
            <w:noWrap/>
            <w:vAlign w:val="center"/>
          </w:tcPr>
          <w:p w14:paraId="06FBEDF2">
            <w:pPr>
              <w:keepNext w:val="0"/>
              <w:keepLines w:val="0"/>
              <w:suppressLineNumbers w:val="0"/>
              <w:tabs>
                <w:tab w:val="left" w:pos="105"/>
                <w:tab w:val="left" w:pos="5565"/>
              </w:tabs>
              <w:spacing w:before="0" w:beforeAutospacing="0" w:after="0" w:afterAutospacing="0" w:line="440" w:lineRule="exact"/>
              <w:ind w:left="0" w:right="0" w:firstLine="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7</w:t>
            </w:r>
          </w:p>
        </w:tc>
        <w:tc>
          <w:tcPr>
            <w:tcW w:w="6127" w:type="dxa"/>
            <w:tcBorders>
              <w:top w:val="nil"/>
              <w:left w:val="nil"/>
              <w:bottom w:val="single" w:color="auto" w:sz="4" w:space="0"/>
              <w:right w:val="single" w:color="auto" w:sz="4" w:space="0"/>
            </w:tcBorders>
            <w:noWrap/>
            <w:vAlign w:val="center"/>
          </w:tcPr>
          <w:p w14:paraId="3564DB21">
            <w:pPr>
              <w:keepNext w:val="0"/>
              <w:keepLines w:val="0"/>
              <w:suppressLineNumbers w:val="0"/>
              <w:tabs>
                <w:tab w:val="left" w:pos="105"/>
                <w:tab w:val="left" w:pos="5565"/>
              </w:tabs>
              <w:spacing w:before="0" w:beforeAutospacing="0" w:after="0" w:afterAutospacing="0" w:line="440" w:lineRule="exact"/>
              <w:ind w:left="0" w:right="0" w:firstLine="0"/>
              <w:rPr>
                <w:rFonts w:hint="default" w:ascii="宋体" w:hAnsi="宋体" w:eastAsia="宋体" w:cs="宋体"/>
                <w:color w:val="auto"/>
                <w:szCs w:val="21"/>
                <w:highlight w:val="none"/>
              </w:rPr>
            </w:pPr>
            <w:r>
              <w:rPr>
                <w:rFonts w:hint="eastAsia" w:ascii="宋体" w:hAnsi="宋体" w:eastAsia="宋体" w:cs="宋体"/>
                <w:color w:val="auto"/>
                <w:szCs w:val="21"/>
                <w:highlight w:val="none"/>
              </w:rPr>
              <w:t>酒后上班操作</w:t>
            </w:r>
          </w:p>
        </w:tc>
        <w:tc>
          <w:tcPr>
            <w:tcW w:w="1938" w:type="dxa"/>
            <w:tcBorders>
              <w:top w:val="nil"/>
              <w:left w:val="nil"/>
              <w:bottom w:val="single" w:color="auto" w:sz="4" w:space="0"/>
              <w:right w:val="single" w:color="auto" w:sz="4" w:space="0"/>
            </w:tcBorders>
            <w:noWrap/>
            <w:vAlign w:val="center"/>
          </w:tcPr>
          <w:p w14:paraId="25FDECF8">
            <w:pPr>
              <w:keepNext w:val="0"/>
              <w:keepLines w:val="0"/>
              <w:suppressLineNumbers w:val="0"/>
              <w:tabs>
                <w:tab w:val="left" w:pos="105"/>
                <w:tab w:val="left" w:pos="5565"/>
              </w:tabs>
              <w:spacing w:before="0" w:beforeAutospacing="0" w:after="0" w:afterAutospacing="0" w:line="440" w:lineRule="exact"/>
              <w:ind w:left="0" w:right="0" w:firstLine="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300元/人</w:t>
            </w:r>
          </w:p>
        </w:tc>
      </w:tr>
      <w:tr w14:paraId="384339E0">
        <w:tblPrEx>
          <w:tblCellMar>
            <w:top w:w="0" w:type="dxa"/>
            <w:left w:w="108" w:type="dxa"/>
            <w:bottom w:w="0" w:type="dxa"/>
            <w:right w:w="108" w:type="dxa"/>
          </w:tblCellMar>
        </w:tblPrEx>
        <w:trPr>
          <w:trHeight w:val="499" w:hRule="atLeast"/>
          <w:jc w:val="center"/>
        </w:trPr>
        <w:tc>
          <w:tcPr>
            <w:tcW w:w="690" w:type="dxa"/>
            <w:tcBorders>
              <w:top w:val="nil"/>
              <w:left w:val="single" w:color="auto" w:sz="4" w:space="0"/>
              <w:bottom w:val="single" w:color="auto" w:sz="4" w:space="0"/>
              <w:right w:val="single" w:color="auto" w:sz="4" w:space="0"/>
            </w:tcBorders>
            <w:noWrap/>
            <w:vAlign w:val="center"/>
          </w:tcPr>
          <w:p w14:paraId="3C4C3717">
            <w:pPr>
              <w:keepNext w:val="0"/>
              <w:keepLines w:val="0"/>
              <w:suppressLineNumbers w:val="0"/>
              <w:tabs>
                <w:tab w:val="left" w:pos="105"/>
                <w:tab w:val="left" w:pos="5565"/>
              </w:tabs>
              <w:spacing w:before="0" w:beforeAutospacing="0" w:after="0" w:afterAutospacing="0" w:line="440" w:lineRule="exact"/>
              <w:ind w:left="0" w:right="0" w:firstLine="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8</w:t>
            </w:r>
          </w:p>
        </w:tc>
        <w:tc>
          <w:tcPr>
            <w:tcW w:w="6127" w:type="dxa"/>
            <w:tcBorders>
              <w:top w:val="nil"/>
              <w:left w:val="nil"/>
              <w:bottom w:val="single" w:color="auto" w:sz="4" w:space="0"/>
              <w:right w:val="single" w:color="auto" w:sz="4" w:space="0"/>
            </w:tcBorders>
            <w:noWrap/>
            <w:vAlign w:val="center"/>
          </w:tcPr>
          <w:p w14:paraId="2EC4F6BC">
            <w:pPr>
              <w:keepNext w:val="0"/>
              <w:keepLines w:val="0"/>
              <w:suppressLineNumbers w:val="0"/>
              <w:tabs>
                <w:tab w:val="left" w:pos="105"/>
                <w:tab w:val="left" w:pos="5565"/>
              </w:tabs>
              <w:spacing w:before="0" w:beforeAutospacing="0" w:after="0" w:afterAutospacing="0" w:line="440" w:lineRule="exact"/>
              <w:ind w:left="0" w:right="0" w:firstLine="0"/>
              <w:rPr>
                <w:rFonts w:hint="default" w:ascii="宋体" w:hAnsi="宋体" w:eastAsia="宋体" w:cs="宋体"/>
                <w:color w:val="auto"/>
                <w:szCs w:val="21"/>
                <w:highlight w:val="none"/>
              </w:rPr>
            </w:pPr>
            <w:r>
              <w:rPr>
                <w:rFonts w:hint="eastAsia" w:ascii="宋体" w:hAnsi="宋体" w:eastAsia="宋体" w:cs="宋体"/>
                <w:color w:val="auto"/>
                <w:szCs w:val="21"/>
                <w:highlight w:val="none"/>
              </w:rPr>
              <w:t>在施工现场打架斗殴</w:t>
            </w:r>
          </w:p>
        </w:tc>
        <w:tc>
          <w:tcPr>
            <w:tcW w:w="1938" w:type="dxa"/>
            <w:tcBorders>
              <w:top w:val="nil"/>
              <w:left w:val="nil"/>
              <w:bottom w:val="single" w:color="auto" w:sz="4" w:space="0"/>
              <w:right w:val="single" w:color="auto" w:sz="4" w:space="0"/>
            </w:tcBorders>
            <w:noWrap/>
            <w:vAlign w:val="center"/>
          </w:tcPr>
          <w:p w14:paraId="3B0EE0F8">
            <w:pPr>
              <w:keepNext w:val="0"/>
              <w:keepLines w:val="0"/>
              <w:suppressLineNumbers w:val="0"/>
              <w:tabs>
                <w:tab w:val="left" w:pos="105"/>
                <w:tab w:val="left" w:pos="5565"/>
              </w:tabs>
              <w:spacing w:before="0" w:beforeAutospacing="0" w:after="0" w:afterAutospacing="0" w:line="440" w:lineRule="exact"/>
              <w:ind w:left="0" w:right="0" w:firstLine="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500元/人</w:t>
            </w:r>
          </w:p>
        </w:tc>
      </w:tr>
      <w:tr w14:paraId="74129045">
        <w:tblPrEx>
          <w:tblCellMar>
            <w:top w:w="0" w:type="dxa"/>
            <w:left w:w="108" w:type="dxa"/>
            <w:bottom w:w="0" w:type="dxa"/>
            <w:right w:w="108" w:type="dxa"/>
          </w:tblCellMar>
        </w:tblPrEx>
        <w:trPr>
          <w:trHeight w:val="499" w:hRule="atLeast"/>
          <w:jc w:val="center"/>
        </w:trPr>
        <w:tc>
          <w:tcPr>
            <w:tcW w:w="690" w:type="dxa"/>
            <w:tcBorders>
              <w:top w:val="nil"/>
              <w:left w:val="single" w:color="auto" w:sz="4" w:space="0"/>
              <w:bottom w:val="single" w:color="auto" w:sz="4" w:space="0"/>
              <w:right w:val="single" w:color="auto" w:sz="4" w:space="0"/>
            </w:tcBorders>
            <w:noWrap/>
            <w:vAlign w:val="center"/>
          </w:tcPr>
          <w:p w14:paraId="7BE3107A">
            <w:pPr>
              <w:keepNext w:val="0"/>
              <w:keepLines w:val="0"/>
              <w:suppressLineNumbers w:val="0"/>
              <w:tabs>
                <w:tab w:val="left" w:pos="105"/>
                <w:tab w:val="left" w:pos="5565"/>
              </w:tabs>
              <w:spacing w:before="0" w:beforeAutospacing="0" w:after="0" w:afterAutospacing="0" w:line="440" w:lineRule="exact"/>
              <w:ind w:left="0" w:right="0" w:firstLine="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9</w:t>
            </w:r>
          </w:p>
        </w:tc>
        <w:tc>
          <w:tcPr>
            <w:tcW w:w="6127" w:type="dxa"/>
            <w:tcBorders>
              <w:top w:val="nil"/>
              <w:left w:val="nil"/>
              <w:bottom w:val="single" w:color="auto" w:sz="4" w:space="0"/>
              <w:right w:val="single" w:color="auto" w:sz="4" w:space="0"/>
            </w:tcBorders>
            <w:noWrap/>
            <w:vAlign w:val="center"/>
          </w:tcPr>
          <w:p w14:paraId="6012FED2">
            <w:pPr>
              <w:keepNext w:val="0"/>
              <w:keepLines w:val="0"/>
              <w:suppressLineNumbers w:val="0"/>
              <w:tabs>
                <w:tab w:val="left" w:pos="105"/>
                <w:tab w:val="left" w:pos="5565"/>
              </w:tabs>
              <w:spacing w:before="0" w:beforeAutospacing="0" w:after="0" w:afterAutospacing="0" w:line="440" w:lineRule="exact"/>
              <w:ind w:left="0" w:right="0" w:firstLine="0"/>
              <w:rPr>
                <w:rFonts w:hint="default" w:ascii="宋体" w:hAnsi="宋体" w:eastAsia="宋体" w:cs="宋体"/>
                <w:color w:val="auto"/>
                <w:szCs w:val="21"/>
                <w:highlight w:val="none"/>
              </w:rPr>
            </w:pPr>
            <w:r>
              <w:rPr>
                <w:rFonts w:hint="eastAsia" w:ascii="宋体" w:hAnsi="宋体" w:eastAsia="宋体" w:cs="宋体"/>
                <w:color w:val="auto"/>
                <w:szCs w:val="21"/>
                <w:highlight w:val="none"/>
              </w:rPr>
              <w:t>野蛮装卸或未按规定路线搬运材料</w:t>
            </w:r>
          </w:p>
        </w:tc>
        <w:tc>
          <w:tcPr>
            <w:tcW w:w="1938" w:type="dxa"/>
            <w:tcBorders>
              <w:top w:val="nil"/>
              <w:left w:val="nil"/>
              <w:bottom w:val="single" w:color="auto" w:sz="4" w:space="0"/>
              <w:right w:val="single" w:color="auto" w:sz="4" w:space="0"/>
            </w:tcBorders>
            <w:noWrap/>
            <w:vAlign w:val="center"/>
          </w:tcPr>
          <w:p w14:paraId="5A0E5860">
            <w:pPr>
              <w:keepNext w:val="0"/>
              <w:keepLines w:val="0"/>
              <w:suppressLineNumbers w:val="0"/>
              <w:tabs>
                <w:tab w:val="left" w:pos="105"/>
                <w:tab w:val="left" w:pos="5565"/>
              </w:tabs>
              <w:spacing w:before="0" w:beforeAutospacing="0" w:after="0" w:afterAutospacing="0" w:line="440" w:lineRule="exact"/>
              <w:ind w:left="0" w:right="0" w:firstLine="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300元/次</w:t>
            </w:r>
          </w:p>
        </w:tc>
      </w:tr>
      <w:tr w14:paraId="4B71A6C3">
        <w:tblPrEx>
          <w:tblCellMar>
            <w:top w:w="0" w:type="dxa"/>
            <w:left w:w="108" w:type="dxa"/>
            <w:bottom w:w="0" w:type="dxa"/>
            <w:right w:w="108" w:type="dxa"/>
          </w:tblCellMar>
        </w:tblPrEx>
        <w:trPr>
          <w:trHeight w:val="499" w:hRule="atLeast"/>
          <w:jc w:val="center"/>
        </w:trPr>
        <w:tc>
          <w:tcPr>
            <w:tcW w:w="690" w:type="dxa"/>
            <w:tcBorders>
              <w:top w:val="nil"/>
              <w:left w:val="single" w:color="auto" w:sz="4" w:space="0"/>
              <w:bottom w:val="single" w:color="auto" w:sz="4" w:space="0"/>
              <w:right w:val="single" w:color="auto" w:sz="4" w:space="0"/>
            </w:tcBorders>
            <w:noWrap/>
            <w:vAlign w:val="center"/>
          </w:tcPr>
          <w:p w14:paraId="33A9F883">
            <w:pPr>
              <w:keepNext w:val="0"/>
              <w:keepLines w:val="0"/>
              <w:suppressLineNumbers w:val="0"/>
              <w:tabs>
                <w:tab w:val="left" w:pos="105"/>
                <w:tab w:val="left" w:pos="5565"/>
              </w:tabs>
              <w:spacing w:before="0" w:beforeAutospacing="0" w:after="0" w:afterAutospacing="0" w:line="440" w:lineRule="exact"/>
              <w:ind w:left="0" w:right="0" w:firstLine="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10</w:t>
            </w:r>
          </w:p>
        </w:tc>
        <w:tc>
          <w:tcPr>
            <w:tcW w:w="6127" w:type="dxa"/>
            <w:tcBorders>
              <w:top w:val="nil"/>
              <w:left w:val="nil"/>
              <w:bottom w:val="single" w:color="auto" w:sz="4" w:space="0"/>
              <w:right w:val="single" w:color="auto" w:sz="4" w:space="0"/>
            </w:tcBorders>
            <w:noWrap/>
            <w:vAlign w:val="center"/>
          </w:tcPr>
          <w:p w14:paraId="5AC52343">
            <w:pPr>
              <w:keepNext w:val="0"/>
              <w:keepLines w:val="0"/>
              <w:suppressLineNumbers w:val="0"/>
              <w:tabs>
                <w:tab w:val="left" w:pos="105"/>
                <w:tab w:val="left" w:pos="5565"/>
              </w:tabs>
              <w:spacing w:before="0" w:beforeAutospacing="0" w:after="0" w:afterAutospacing="0" w:line="440" w:lineRule="exact"/>
              <w:ind w:left="0" w:right="0" w:firstLine="0"/>
              <w:rPr>
                <w:rFonts w:hint="default" w:ascii="宋体" w:hAnsi="宋体" w:eastAsia="宋体" w:cs="宋体"/>
                <w:color w:val="auto"/>
                <w:szCs w:val="21"/>
                <w:highlight w:val="none"/>
              </w:rPr>
            </w:pPr>
            <w:r>
              <w:rPr>
                <w:rFonts w:hint="eastAsia" w:ascii="宋体" w:hAnsi="宋体" w:eastAsia="宋体" w:cs="宋体"/>
                <w:color w:val="auto"/>
                <w:szCs w:val="21"/>
                <w:highlight w:val="none"/>
              </w:rPr>
              <w:t>建筑垃圾堆放不归堆、未按指定区域堆放、未做到工完场清建筑垃圾、因该项问题被投诉的。</w:t>
            </w:r>
          </w:p>
        </w:tc>
        <w:tc>
          <w:tcPr>
            <w:tcW w:w="1938" w:type="dxa"/>
            <w:tcBorders>
              <w:top w:val="nil"/>
              <w:left w:val="nil"/>
              <w:bottom w:val="single" w:color="auto" w:sz="4" w:space="0"/>
              <w:right w:val="single" w:color="auto" w:sz="4" w:space="0"/>
            </w:tcBorders>
            <w:noWrap/>
            <w:vAlign w:val="center"/>
          </w:tcPr>
          <w:p w14:paraId="3E1B4F25">
            <w:pPr>
              <w:keepNext w:val="0"/>
              <w:keepLines w:val="0"/>
              <w:suppressLineNumbers w:val="0"/>
              <w:tabs>
                <w:tab w:val="left" w:pos="105"/>
                <w:tab w:val="left" w:pos="5565"/>
              </w:tabs>
              <w:spacing w:before="0" w:beforeAutospacing="0" w:after="0" w:afterAutospacing="0" w:line="440" w:lineRule="exact"/>
              <w:ind w:left="0" w:right="0" w:firstLine="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500元/次</w:t>
            </w:r>
          </w:p>
        </w:tc>
      </w:tr>
      <w:tr w14:paraId="14D88DAC">
        <w:tblPrEx>
          <w:tblCellMar>
            <w:top w:w="0" w:type="dxa"/>
            <w:left w:w="108" w:type="dxa"/>
            <w:bottom w:w="0" w:type="dxa"/>
            <w:right w:w="108" w:type="dxa"/>
          </w:tblCellMar>
        </w:tblPrEx>
        <w:trPr>
          <w:trHeight w:val="662" w:hRule="atLeast"/>
          <w:jc w:val="center"/>
        </w:trPr>
        <w:tc>
          <w:tcPr>
            <w:tcW w:w="690" w:type="dxa"/>
            <w:tcBorders>
              <w:top w:val="nil"/>
              <w:left w:val="single" w:color="auto" w:sz="4" w:space="0"/>
              <w:bottom w:val="single" w:color="auto" w:sz="4" w:space="0"/>
              <w:right w:val="single" w:color="auto" w:sz="4" w:space="0"/>
            </w:tcBorders>
            <w:noWrap/>
            <w:vAlign w:val="center"/>
          </w:tcPr>
          <w:p w14:paraId="2D4D0362">
            <w:pPr>
              <w:keepNext w:val="0"/>
              <w:keepLines w:val="0"/>
              <w:suppressLineNumbers w:val="0"/>
              <w:tabs>
                <w:tab w:val="left" w:pos="105"/>
                <w:tab w:val="left" w:pos="5565"/>
              </w:tabs>
              <w:spacing w:before="0" w:beforeAutospacing="0" w:after="0" w:afterAutospacing="0" w:line="440" w:lineRule="exact"/>
              <w:ind w:left="0" w:right="0" w:firstLine="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11</w:t>
            </w:r>
          </w:p>
        </w:tc>
        <w:tc>
          <w:tcPr>
            <w:tcW w:w="6127" w:type="dxa"/>
            <w:tcBorders>
              <w:top w:val="nil"/>
              <w:left w:val="nil"/>
              <w:bottom w:val="single" w:color="auto" w:sz="4" w:space="0"/>
              <w:right w:val="single" w:color="auto" w:sz="4" w:space="0"/>
            </w:tcBorders>
            <w:noWrap/>
            <w:vAlign w:val="center"/>
          </w:tcPr>
          <w:p w14:paraId="2C2F50C6">
            <w:pPr>
              <w:keepNext w:val="0"/>
              <w:keepLines w:val="0"/>
              <w:suppressLineNumbers w:val="0"/>
              <w:tabs>
                <w:tab w:val="left" w:pos="105"/>
                <w:tab w:val="left" w:pos="5565"/>
              </w:tabs>
              <w:spacing w:before="0" w:beforeAutospacing="0" w:after="0" w:afterAutospacing="0" w:line="440" w:lineRule="exact"/>
              <w:ind w:left="0" w:right="0" w:firstLine="0"/>
              <w:rPr>
                <w:rFonts w:hint="default" w:ascii="宋体" w:hAnsi="宋体" w:eastAsia="宋体" w:cs="宋体"/>
                <w:color w:val="auto"/>
                <w:szCs w:val="21"/>
                <w:highlight w:val="none"/>
              </w:rPr>
            </w:pPr>
            <w:r>
              <w:rPr>
                <w:rFonts w:hint="eastAsia" w:ascii="宋体" w:hAnsi="宋体" w:eastAsia="宋体" w:cs="宋体"/>
                <w:color w:val="auto"/>
                <w:szCs w:val="21"/>
                <w:highlight w:val="none"/>
              </w:rPr>
              <w:t>建筑材料或垃圾洒落非施工区域未即刻清理的、因该项问题被投诉的。</w:t>
            </w:r>
          </w:p>
        </w:tc>
        <w:tc>
          <w:tcPr>
            <w:tcW w:w="1938" w:type="dxa"/>
            <w:tcBorders>
              <w:top w:val="nil"/>
              <w:left w:val="nil"/>
              <w:bottom w:val="single" w:color="auto" w:sz="4" w:space="0"/>
              <w:right w:val="single" w:color="auto" w:sz="4" w:space="0"/>
            </w:tcBorders>
            <w:noWrap/>
            <w:vAlign w:val="center"/>
          </w:tcPr>
          <w:p w14:paraId="0028B472">
            <w:pPr>
              <w:keepNext w:val="0"/>
              <w:keepLines w:val="0"/>
              <w:suppressLineNumbers w:val="0"/>
              <w:tabs>
                <w:tab w:val="left" w:pos="105"/>
                <w:tab w:val="left" w:pos="5565"/>
              </w:tabs>
              <w:spacing w:before="0" w:beforeAutospacing="0" w:after="0" w:afterAutospacing="0" w:line="440" w:lineRule="exact"/>
              <w:ind w:left="0" w:right="0" w:firstLine="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500元/次</w:t>
            </w:r>
          </w:p>
        </w:tc>
      </w:tr>
      <w:tr w14:paraId="23E0D8CE">
        <w:tblPrEx>
          <w:tblCellMar>
            <w:top w:w="0" w:type="dxa"/>
            <w:left w:w="108" w:type="dxa"/>
            <w:bottom w:w="0" w:type="dxa"/>
            <w:right w:w="108" w:type="dxa"/>
          </w:tblCellMar>
        </w:tblPrEx>
        <w:trPr>
          <w:trHeight w:val="662" w:hRule="atLeast"/>
          <w:jc w:val="center"/>
        </w:trPr>
        <w:tc>
          <w:tcPr>
            <w:tcW w:w="690" w:type="dxa"/>
            <w:tcBorders>
              <w:top w:val="nil"/>
              <w:left w:val="single" w:color="auto" w:sz="4" w:space="0"/>
              <w:bottom w:val="single" w:color="auto" w:sz="4" w:space="0"/>
              <w:right w:val="single" w:color="auto" w:sz="4" w:space="0"/>
            </w:tcBorders>
            <w:noWrap/>
            <w:vAlign w:val="center"/>
          </w:tcPr>
          <w:p w14:paraId="2567FD99">
            <w:pPr>
              <w:keepNext w:val="0"/>
              <w:keepLines w:val="0"/>
              <w:suppressLineNumbers w:val="0"/>
              <w:tabs>
                <w:tab w:val="left" w:pos="105"/>
                <w:tab w:val="left" w:pos="5565"/>
              </w:tabs>
              <w:spacing w:before="0" w:beforeAutospacing="0" w:after="0" w:afterAutospacing="0" w:line="440" w:lineRule="exact"/>
              <w:ind w:left="0" w:right="0" w:firstLine="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12</w:t>
            </w:r>
          </w:p>
        </w:tc>
        <w:tc>
          <w:tcPr>
            <w:tcW w:w="6127" w:type="dxa"/>
            <w:tcBorders>
              <w:top w:val="nil"/>
              <w:left w:val="nil"/>
              <w:bottom w:val="single" w:color="auto" w:sz="4" w:space="0"/>
              <w:right w:val="single" w:color="auto" w:sz="4" w:space="0"/>
            </w:tcBorders>
            <w:noWrap/>
            <w:vAlign w:val="center"/>
          </w:tcPr>
          <w:p w14:paraId="1FA7BB75">
            <w:pPr>
              <w:keepNext w:val="0"/>
              <w:keepLines w:val="0"/>
              <w:suppressLineNumbers w:val="0"/>
              <w:tabs>
                <w:tab w:val="left" w:pos="105"/>
                <w:tab w:val="left" w:pos="5565"/>
              </w:tabs>
              <w:spacing w:before="0" w:beforeAutospacing="0" w:after="0" w:afterAutospacing="0" w:line="440" w:lineRule="exact"/>
              <w:ind w:left="0" w:right="0" w:firstLine="0"/>
              <w:rPr>
                <w:rFonts w:hint="default" w:ascii="宋体" w:hAnsi="宋体" w:eastAsia="宋体" w:cs="宋体"/>
                <w:b/>
                <w:color w:val="auto"/>
                <w:szCs w:val="21"/>
                <w:highlight w:val="none"/>
              </w:rPr>
            </w:pPr>
            <w:r>
              <w:rPr>
                <w:rFonts w:hint="eastAsia" w:ascii="宋体" w:hAnsi="宋体" w:eastAsia="宋体" w:cs="宋体"/>
                <w:b/>
                <w:color w:val="auto"/>
                <w:szCs w:val="21"/>
                <w:highlight w:val="none"/>
              </w:rPr>
              <w:t>处置建筑垃圾未遵守《城市建筑垃圾管理规定》的</w:t>
            </w:r>
          </w:p>
        </w:tc>
        <w:tc>
          <w:tcPr>
            <w:tcW w:w="1938" w:type="dxa"/>
            <w:tcBorders>
              <w:top w:val="nil"/>
              <w:left w:val="nil"/>
              <w:bottom w:val="single" w:color="auto" w:sz="4" w:space="0"/>
              <w:right w:val="single" w:color="auto" w:sz="4" w:space="0"/>
            </w:tcBorders>
            <w:noWrap/>
            <w:vAlign w:val="center"/>
          </w:tcPr>
          <w:p w14:paraId="282F6EC8">
            <w:pPr>
              <w:keepNext w:val="0"/>
              <w:keepLines w:val="0"/>
              <w:suppressLineNumbers w:val="0"/>
              <w:tabs>
                <w:tab w:val="left" w:pos="105"/>
                <w:tab w:val="left" w:pos="5565"/>
              </w:tabs>
              <w:spacing w:before="0" w:beforeAutospacing="0" w:after="0" w:afterAutospacing="0" w:line="440" w:lineRule="exact"/>
              <w:ind w:left="0" w:right="0" w:firstLine="0"/>
              <w:jc w:val="center"/>
              <w:rPr>
                <w:rFonts w:hint="default" w:ascii="宋体" w:hAnsi="宋体" w:eastAsia="宋体" w:cs="宋体"/>
                <w:b/>
                <w:color w:val="auto"/>
                <w:szCs w:val="21"/>
                <w:highlight w:val="none"/>
              </w:rPr>
            </w:pPr>
            <w:r>
              <w:rPr>
                <w:rFonts w:hint="eastAsia" w:ascii="宋体" w:hAnsi="宋体" w:eastAsia="宋体" w:cs="宋体"/>
                <w:b/>
                <w:color w:val="auto"/>
                <w:szCs w:val="21"/>
                <w:highlight w:val="none"/>
              </w:rPr>
              <w:t>按政府部门开具的违规处罚金额执行</w:t>
            </w:r>
          </w:p>
        </w:tc>
      </w:tr>
      <w:tr w14:paraId="41FB5AD3">
        <w:tblPrEx>
          <w:tblCellMar>
            <w:top w:w="0" w:type="dxa"/>
            <w:left w:w="108" w:type="dxa"/>
            <w:bottom w:w="0" w:type="dxa"/>
            <w:right w:w="108" w:type="dxa"/>
          </w:tblCellMar>
        </w:tblPrEx>
        <w:trPr>
          <w:trHeight w:val="660" w:hRule="atLeast"/>
          <w:jc w:val="center"/>
        </w:trPr>
        <w:tc>
          <w:tcPr>
            <w:tcW w:w="690" w:type="dxa"/>
            <w:tcBorders>
              <w:top w:val="nil"/>
              <w:left w:val="single" w:color="auto" w:sz="4" w:space="0"/>
              <w:bottom w:val="single" w:color="auto" w:sz="4" w:space="0"/>
              <w:right w:val="single" w:color="auto" w:sz="4" w:space="0"/>
            </w:tcBorders>
            <w:noWrap/>
            <w:vAlign w:val="center"/>
          </w:tcPr>
          <w:p w14:paraId="5F205ABC">
            <w:pPr>
              <w:keepNext w:val="0"/>
              <w:keepLines w:val="0"/>
              <w:suppressLineNumbers w:val="0"/>
              <w:tabs>
                <w:tab w:val="left" w:pos="105"/>
                <w:tab w:val="left" w:pos="5565"/>
              </w:tabs>
              <w:spacing w:before="0" w:beforeAutospacing="0" w:after="0" w:afterAutospacing="0" w:line="440" w:lineRule="exact"/>
              <w:ind w:left="0" w:right="0" w:firstLine="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13</w:t>
            </w:r>
          </w:p>
        </w:tc>
        <w:tc>
          <w:tcPr>
            <w:tcW w:w="6127" w:type="dxa"/>
            <w:tcBorders>
              <w:top w:val="nil"/>
              <w:left w:val="nil"/>
              <w:bottom w:val="single" w:color="auto" w:sz="4" w:space="0"/>
              <w:right w:val="single" w:color="auto" w:sz="4" w:space="0"/>
            </w:tcBorders>
            <w:noWrap/>
            <w:vAlign w:val="center"/>
          </w:tcPr>
          <w:p w14:paraId="004F8265">
            <w:pPr>
              <w:keepNext w:val="0"/>
              <w:keepLines w:val="0"/>
              <w:suppressLineNumbers w:val="0"/>
              <w:tabs>
                <w:tab w:val="left" w:pos="105"/>
                <w:tab w:val="left" w:pos="5565"/>
              </w:tabs>
              <w:spacing w:before="0" w:beforeAutospacing="0" w:after="0" w:afterAutospacing="0" w:line="440" w:lineRule="exact"/>
              <w:ind w:left="0" w:right="0" w:firstLine="0"/>
              <w:rPr>
                <w:rFonts w:hint="default" w:ascii="宋体" w:hAnsi="宋体" w:eastAsia="宋体" w:cs="宋体"/>
                <w:color w:val="auto"/>
                <w:szCs w:val="21"/>
                <w:highlight w:val="none"/>
              </w:rPr>
            </w:pPr>
            <w:r>
              <w:rPr>
                <w:rFonts w:hint="eastAsia" w:ascii="宋体" w:hAnsi="宋体" w:eastAsia="宋体" w:cs="宋体"/>
                <w:color w:val="auto"/>
                <w:szCs w:val="21"/>
                <w:highlight w:val="none"/>
              </w:rPr>
              <w:t>现场材料、机具、电缆线堆放、摆放凌乱，未按要求堆放，未做到工完场清的。</w:t>
            </w:r>
          </w:p>
        </w:tc>
        <w:tc>
          <w:tcPr>
            <w:tcW w:w="1938" w:type="dxa"/>
            <w:tcBorders>
              <w:top w:val="nil"/>
              <w:left w:val="nil"/>
              <w:bottom w:val="single" w:color="auto" w:sz="4" w:space="0"/>
              <w:right w:val="single" w:color="auto" w:sz="4" w:space="0"/>
            </w:tcBorders>
            <w:noWrap/>
            <w:vAlign w:val="center"/>
          </w:tcPr>
          <w:p w14:paraId="5E3F0DD4">
            <w:pPr>
              <w:keepNext w:val="0"/>
              <w:keepLines w:val="0"/>
              <w:suppressLineNumbers w:val="0"/>
              <w:tabs>
                <w:tab w:val="left" w:pos="105"/>
                <w:tab w:val="left" w:pos="5565"/>
              </w:tabs>
              <w:spacing w:before="0" w:beforeAutospacing="0" w:after="0" w:afterAutospacing="0" w:line="440" w:lineRule="exact"/>
              <w:ind w:left="0" w:right="0" w:firstLine="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500元/次</w:t>
            </w:r>
          </w:p>
        </w:tc>
      </w:tr>
      <w:tr w14:paraId="473972A8">
        <w:tblPrEx>
          <w:tblCellMar>
            <w:top w:w="0" w:type="dxa"/>
            <w:left w:w="108" w:type="dxa"/>
            <w:bottom w:w="0" w:type="dxa"/>
            <w:right w:w="108" w:type="dxa"/>
          </w:tblCellMar>
        </w:tblPrEx>
        <w:trPr>
          <w:trHeight w:val="660" w:hRule="atLeast"/>
          <w:jc w:val="center"/>
        </w:trPr>
        <w:tc>
          <w:tcPr>
            <w:tcW w:w="690" w:type="dxa"/>
            <w:tcBorders>
              <w:top w:val="nil"/>
              <w:left w:val="single" w:color="auto" w:sz="4" w:space="0"/>
              <w:bottom w:val="single" w:color="auto" w:sz="4" w:space="0"/>
              <w:right w:val="single" w:color="auto" w:sz="4" w:space="0"/>
            </w:tcBorders>
            <w:noWrap/>
            <w:vAlign w:val="center"/>
          </w:tcPr>
          <w:p w14:paraId="4CF551CF">
            <w:pPr>
              <w:keepNext w:val="0"/>
              <w:keepLines w:val="0"/>
              <w:suppressLineNumbers w:val="0"/>
              <w:tabs>
                <w:tab w:val="left" w:pos="105"/>
                <w:tab w:val="left" w:pos="5565"/>
              </w:tabs>
              <w:spacing w:before="0" w:beforeAutospacing="0" w:after="0" w:afterAutospacing="0" w:line="440" w:lineRule="exact"/>
              <w:ind w:left="0" w:right="0" w:firstLine="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14</w:t>
            </w:r>
          </w:p>
        </w:tc>
        <w:tc>
          <w:tcPr>
            <w:tcW w:w="6127" w:type="dxa"/>
            <w:tcBorders>
              <w:top w:val="nil"/>
              <w:left w:val="nil"/>
              <w:bottom w:val="single" w:color="auto" w:sz="4" w:space="0"/>
              <w:right w:val="single" w:color="auto" w:sz="4" w:space="0"/>
            </w:tcBorders>
            <w:noWrap/>
            <w:vAlign w:val="center"/>
          </w:tcPr>
          <w:p w14:paraId="59FAC39B">
            <w:pPr>
              <w:keepNext w:val="0"/>
              <w:keepLines w:val="0"/>
              <w:suppressLineNumbers w:val="0"/>
              <w:tabs>
                <w:tab w:val="left" w:pos="105"/>
                <w:tab w:val="left" w:pos="5565"/>
              </w:tabs>
              <w:spacing w:before="0" w:beforeAutospacing="0" w:after="0" w:afterAutospacing="0" w:line="440" w:lineRule="exact"/>
              <w:ind w:left="0" w:right="0" w:firstLine="0"/>
              <w:rPr>
                <w:rFonts w:hint="default" w:ascii="宋体" w:hAnsi="宋体" w:eastAsia="宋体" w:cs="宋体"/>
                <w:color w:val="auto"/>
                <w:szCs w:val="21"/>
                <w:highlight w:val="none"/>
              </w:rPr>
            </w:pPr>
            <w:r>
              <w:rPr>
                <w:rFonts w:hint="eastAsia" w:ascii="宋体" w:hAnsi="宋体" w:eastAsia="宋体" w:cs="宋体"/>
                <w:color w:val="auto"/>
                <w:szCs w:val="21"/>
                <w:highlight w:val="none"/>
              </w:rPr>
              <w:t>各种机具在无人操作时，未切断电源；下班离场电器未断电的。</w:t>
            </w:r>
          </w:p>
        </w:tc>
        <w:tc>
          <w:tcPr>
            <w:tcW w:w="1938" w:type="dxa"/>
            <w:tcBorders>
              <w:top w:val="nil"/>
              <w:left w:val="nil"/>
              <w:bottom w:val="single" w:color="auto" w:sz="4" w:space="0"/>
              <w:right w:val="single" w:color="auto" w:sz="4" w:space="0"/>
            </w:tcBorders>
            <w:noWrap/>
            <w:vAlign w:val="center"/>
          </w:tcPr>
          <w:p w14:paraId="6B829333">
            <w:pPr>
              <w:keepNext w:val="0"/>
              <w:keepLines w:val="0"/>
              <w:suppressLineNumbers w:val="0"/>
              <w:tabs>
                <w:tab w:val="left" w:pos="105"/>
                <w:tab w:val="left" w:pos="5565"/>
              </w:tabs>
              <w:spacing w:before="0" w:beforeAutospacing="0" w:after="0" w:afterAutospacing="0" w:line="440" w:lineRule="exact"/>
              <w:ind w:left="0" w:right="0" w:firstLine="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300元/次</w:t>
            </w:r>
          </w:p>
        </w:tc>
      </w:tr>
      <w:tr w14:paraId="5578B2A0">
        <w:tblPrEx>
          <w:tblCellMar>
            <w:top w:w="0" w:type="dxa"/>
            <w:left w:w="108" w:type="dxa"/>
            <w:bottom w:w="0" w:type="dxa"/>
            <w:right w:w="108" w:type="dxa"/>
          </w:tblCellMar>
        </w:tblPrEx>
        <w:trPr>
          <w:trHeight w:val="514" w:hRule="atLeast"/>
          <w:jc w:val="center"/>
        </w:trPr>
        <w:tc>
          <w:tcPr>
            <w:tcW w:w="690" w:type="dxa"/>
            <w:tcBorders>
              <w:top w:val="single" w:color="auto" w:sz="4" w:space="0"/>
              <w:left w:val="single" w:color="auto" w:sz="4" w:space="0"/>
              <w:bottom w:val="single" w:color="auto" w:sz="4" w:space="0"/>
              <w:right w:val="single" w:color="auto" w:sz="4" w:space="0"/>
            </w:tcBorders>
            <w:noWrap/>
            <w:vAlign w:val="center"/>
          </w:tcPr>
          <w:p w14:paraId="7DD90899">
            <w:pPr>
              <w:keepNext w:val="0"/>
              <w:keepLines w:val="0"/>
              <w:suppressLineNumbers w:val="0"/>
              <w:tabs>
                <w:tab w:val="left" w:pos="105"/>
                <w:tab w:val="left" w:pos="5565"/>
              </w:tabs>
              <w:spacing w:before="0" w:beforeAutospacing="0" w:after="0" w:afterAutospacing="0" w:line="440" w:lineRule="exact"/>
              <w:ind w:left="0" w:right="0" w:firstLine="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15</w:t>
            </w:r>
          </w:p>
        </w:tc>
        <w:tc>
          <w:tcPr>
            <w:tcW w:w="6127" w:type="dxa"/>
            <w:tcBorders>
              <w:top w:val="single" w:color="auto" w:sz="4" w:space="0"/>
              <w:left w:val="nil"/>
              <w:bottom w:val="single" w:color="auto" w:sz="4" w:space="0"/>
              <w:right w:val="single" w:color="auto" w:sz="4" w:space="0"/>
            </w:tcBorders>
            <w:noWrap/>
            <w:vAlign w:val="center"/>
          </w:tcPr>
          <w:p w14:paraId="2894CEB1">
            <w:pPr>
              <w:keepNext w:val="0"/>
              <w:keepLines w:val="0"/>
              <w:suppressLineNumbers w:val="0"/>
              <w:tabs>
                <w:tab w:val="left" w:pos="105"/>
                <w:tab w:val="left" w:pos="5565"/>
              </w:tabs>
              <w:spacing w:before="0" w:beforeAutospacing="0" w:after="0" w:afterAutospacing="0" w:line="440" w:lineRule="exact"/>
              <w:ind w:left="0" w:right="0" w:firstLine="0"/>
              <w:rPr>
                <w:rFonts w:hint="default" w:ascii="宋体" w:hAnsi="宋体" w:eastAsia="宋体" w:cs="宋体"/>
                <w:color w:val="auto"/>
                <w:szCs w:val="21"/>
                <w:highlight w:val="none"/>
              </w:rPr>
            </w:pPr>
            <w:r>
              <w:rPr>
                <w:rFonts w:hint="eastAsia" w:ascii="宋体" w:hAnsi="宋体" w:eastAsia="宋体" w:cs="宋体"/>
                <w:color w:val="auto"/>
                <w:szCs w:val="21"/>
                <w:highlight w:val="none"/>
              </w:rPr>
              <w:t>物料吊运、脚手架搭设、拆除无拉设警戒线，无专人监护。</w:t>
            </w:r>
          </w:p>
        </w:tc>
        <w:tc>
          <w:tcPr>
            <w:tcW w:w="1938" w:type="dxa"/>
            <w:tcBorders>
              <w:top w:val="single" w:color="auto" w:sz="4" w:space="0"/>
              <w:left w:val="nil"/>
              <w:bottom w:val="single" w:color="auto" w:sz="4" w:space="0"/>
              <w:right w:val="single" w:color="auto" w:sz="4" w:space="0"/>
            </w:tcBorders>
            <w:noWrap/>
            <w:vAlign w:val="center"/>
          </w:tcPr>
          <w:p w14:paraId="72BBCA9A">
            <w:pPr>
              <w:keepNext w:val="0"/>
              <w:keepLines w:val="0"/>
              <w:suppressLineNumbers w:val="0"/>
              <w:tabs>
                <w:tab w:val="left" w:pos="105"/>
                <w:tab w:val="left" w:pos="5565"/>
              </w:tabs>
              <w:spacing w:before="0" w:beforeAutospacing="0" w:after="0" w:afterAutospacing="0" w:line="440" w:lineRule="exact"/>
              <w:ind w:left="0" w:right="0" w:firstLine="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300元/次</w:t>
            </w:r>
          </w:p>
        </w:tc>
      </w:tr>
      <w:tr w14:paraId="6B2005F0">
        <w:tblPrEx>
          <w:tblCellMar>
            <w:top w:w="0" w:type="dxa"/>
            <w:left w:w="108" w:type="dxa"/>
            <w:bottom w:w="0" w:type="dxa"/>
            <w:right w:w="108" w:type="dxa"/>
          </w:tblCellMar>
        </w:tblPrEx>
        <w:trPr>
          <w:trHeight w:val="499" w:hRule="atLeast"/>
          <w:jc w:val="center"/>
        </w:trPr>
        <w:tc>
          <w:tcPr>
            <w:tcW w:w="690" w:type="dxa"/>
            <w:tcBorders>
              <w:top w:val="single" w:color="auto" w:sz="4" w:space="0"/>
              <w:left w:val="single" w:color="auto" w:sz="4" w:space="0"/>
              <w:bottom w:val="single" w:color="auto" w:sz="4" w:space="0"/>
              <w:right w:val="single" w:color="auto" w:sz="4" w:space="0"/>
            </w:tcBorders>
            <w:noWrap/>
            <w:vAlign w:val="center"/>
          </w:tcPr>
          <w:p w14:paraId="32824FDC">
            <w:pPr>
              <w:keepNext w:val="0"/>
              <w:keepLines w:val="0"/>
              <w:suppressLineNumbers w:val="0"/>
              <w:tabs>
                <w:tab w:val="left" w:pos="105"/>
                <w:tab w:val="left" w:pos="5565"/>
              </w:tabs>
              <w:spacing w:before="0" w:beforeAutospacing="0" w:after="0" w:afterAutospacing="0" w:line="440" w:lineRule="exact"/>
              <w:ind w:left="0" w:right="0" w:firstLine="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16</w:t>
            </w:r>
          </w:p>
        </w:tc>
        <w:tc>
          <w:tcPr>
            <w:tcW w:w="6127" w:type="dxa"/>
            <w:tcBorders>
              <w:top w:val="single" w:color="auto" w:sz="4" w:space="0"/>
              <w:left w:val="nil"/>
              <w:bottom w:val="single" w:color="auto" w:sz="4" w:space="0"/>
              <w:right w:val="single" w:color="auto" w:sz="4" w:space="0"/>
            </w:tcBorders>
            <w:noWrap/>
            <w:vAlign w:val="center"/>
          </w:tcPr>
          <w:p w14:paraId="5E5BE8EA">
            <w:pPr>
              <w:keepNext w:val="0"/>
              <w:keepLines w:val="0"/>
              <w:suppressLineNumbers w:val="0"/>
              <w:tabs>
                <w:tab w:val="left" w:pos="105"/>
                <w:tab w:val="left" w:pos="5565"/>
              </w:tabs>
              <w:spacing w:before="0" w:beforeAutospacing="0" w:after="0" w:afterAutospacing="0" w:line="440" w:lineRule="exact"/>
              <w:ind w:left="0" w:right="0" w:firstLine="0"/>
              <w:rPr>
                <w:rFonts w:hint="default" w:ascii="宋体" w:hAnsi="宋体" w:eastAsia="宋体" w:cs="宋体"/>
                <w:color w:val="auto"/>
                <w:szCs w:val="21"/>
                <w:highlight w:val="none"/>
              </w:rPr>
            </w:pPr>
            <w:r>
              <w:rPr>
                <w:rFonts w:hint="eastAsia" w:ascii="宋体" w:hAnsi="宋体" w:eastAsia="宋体" w:cs="宋体"/>
                <w:color w:val="auto"/>
                <w:szCs w:val="21"/>
                <w:highlight w:val="none"/>
              </w:rPr>
              <w:t>违规使用医用电梯</w:t>
            </w:r>
          </w:p>
        </w:tc>
        <w:tc>
          <w:tcPr>
            <w:tcW w:w="1938" w:type="dxa"/>
            <w:tcBorders>
              <w:top w:val="single" w:color="auto" w:sz="4" w:space="0"/>
              <w:left w:val="nil"/>
              <w:bottom w:val="single" w:color="auto" w:sz="4" w:space="0"/>
              <w:right w:val="single" w:color="auto" w:sz="4" w:space="0"/>
            </w:tcBorders>
            <w:noWrap/>
            <w:vAlign w:val="center"/>
          </w:tcPr>
          <w:p w14:paraId="4326D9EE">
            <w:pPr>
              <w:keepNext w:val="0"/>
              <w:keepLines w:val="0"/>
              <w:suppressLineNumbers w:val="0"/>
              <w:tabs>
                <w:tab w:val="left" w:pos="105"/>
                <w:tab w:val="left" w:pos="5565"/>
              </w:tabs>
              <w:spacing w:before="0" w:beforeAutospacing="0" w:after="0" w:afterAutospacing="0" w:line="440" w:lineRule="exact"/>
              <w:ind w:left="0" w:right="0" w:firstLine="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100元/人</w:t>
            </w:r>
            <w:r>
              <w:rPr>
                <w:rFonts w:hint="eastAsia" w:ascii="宋体" w:hAnsi="宋体" w:eastAsia="宋体" w:cs="宋体"/>
                <w:color w:val="auto"/>
                <w:w w:val="50"/>
                <w:szCs w:val="21"/>
                <w:highlight w:val="none"/>
              </w:rPr>
              <w:t>·</w:t>
            </w:r>
            <w:r>
              <w:rPr>
                <w:rFonts w:hint="eastAsia" w:ascii="宋体" w:hAnsi="宋体" w:eastAsia="宋体" w:cs="宋体"/>
                <w:color w:val="auto"/>
                <w:szCs w:val="21"/>
                <w:highlight w:val="none"/>
              </w:rPr>
              <w:t>次</w:t>
            </w:r>
          </w:p>
        </w:tc>
      </w:tr>
      <w:tr w14:paraId="13D90BCB">
        <w:tblPrEx>
          <w:tblCellMar>
            <w:top w:w="0" w:type="dxa"/>
            <w:left w:w="108" w:type="dxa"/>
            <w:bottom w:w="0" w:type="dxa"/>
            <w:right w:w="108" w:type="dxa"/>
          </w:tblCellMar>
        </w:tblPrEx>
        <w:trPr>
          <w:trHeight w:val="499" w:hRule="atLeast"/>
          <w:jc w:val="center"/>
        </w:trPr>
        <w:tc>
          <w:tcPr>
            <w:tcW w:w="690" w:type="dxa"/>
            <w:tcBorders>
              <w:top w:val="single" w:color="auto" w:sz="4" w:space="0"/>
              <w:left w:val="single" w:color="auto" w:sz="4" w:space="0"/>
              <w:bottom w:val="single" w:color="auto" w:sz="4" w:space="0"/>
              <w:right w:val="single" w:color="auto" w:sz="4" w:space="0"/>
            </w:tcBorders>
            <w:noWrap/>
            <w:vAlign w:val="center"/>
          </w:tcPr>
          <w:p w14:paraId="4BCD1607">
            <w:pPr>
              <w:keepNext w:val="0"/>
              <w:keepLines w:val="0"/>
              <w:suppressLineNumbers w:val="0"/>
              <w:tabs>
                <w:tab w:val="left" w:pos="105"/>
                <w:tab w:val="left" w:pos="5565"/>
              </w:tabs>
              <w:spacing w:before="0" w:beforeAutospacing="0" w:after="0" w:afterAutospacing="0" w:line="440" w:lineRule="exact"/>
              <w:ind w:left="0" w:right="0" w:firstLine="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17</w:t>
            </w:r>
          </w:p>
        </w:tc>
        <w:tc>
          <w:tcPr>
            <w:tcW w:w="6127" w:type="dxa"/>
            <w:tcBorders>
              <w:top w:val="single" w:color="auto" w:sz="4" w:space="0"/>
              <w:left w:val="nil"/>
              <w:bottom w:val="single" w:color="auto" w:sz="4" w:space="0"/>
              <w:right w:val="single" w:color="auto" w:sz="4" w:space="0"/>
            </w:tcBorders>
            <w:noWrap/>
            <w:vAlign w:val="center"/>
          </w:tcPr>
          <w:p w14:paraId="40D35BA7">
            <w:pPr>
              <w:keepNext w:val="0"/>
              <w:keepLines w:val="0"/>
              <w:suppressLineNumbers w:val="0"/>
              <w:tabs>
                <w:tab w:val="left" w:pos="105"/>
                <w:tab w:val="left" w:pos="5565"/>
              </w:tabs>
              <w:spacing w:before="0" w:beforeAutospacing="0" w:after="0" w:afterAutospacing="0" w:line="440" w:lineRule="exact"/>
              <w:ind w:left="0" w:right="0" w:firstLine="0"/>
              <w:rPr>
                <w:rFonts w:hint="default" w:ascii="宋体" w:hAnsi="宋体" w:eastAsia="宋体" w:cs="宋体"/>
                <w:color w:val="auto"/>
                <w:szCs w:val="21"/>
                <w:highlight w:val="none"/>
              </w:rPr>
            </w:pPr>
            <w:r>
              <w:rPr>
                <w:rFonts w:hint="eastAsia" w:ascii="宋体" w:hAnsi="宋体" w:eastAsia="宋体" w:cs="宋体"/>
                <w:color w:val="auto"/>
                <w:szCs w:val="21"/>
                <w:highlight w:val="none"/>
              </w:rPr>
              <w:t>现场灰浆、废水、泥浆排放污染非施工区域。</w:t>
            </w:r>
          </w:p>
        </w:tc>
        <w:tc>
          <w:tcPr>
            <w:tcW w:w="1938" w:type="dxa"/>
            <w:tcBorders>
              <w:top w:val="single" w:color="auto" w:sz="4" w:space="0"/>
              <w:left w:val="nil"/>
              <w:bottom w:val="single" w:color="auto" w:sz="4" w:space="0"/>
              <w:right w:val="single" w:color="auto" w:sz="4" w:space="0"/>
            </w:tcBorders>
            <w:noWrap/>
            <w:vAlign w:val="center"/>
          </w:tcPr>
          <w:p w14:paraId="08778680">
            <w:pPr>
              <w:keepNext w:val="0"/>
              <w:keepLines w:val="0"/>
              <w:suppressLineNumbers w:val="0"/>
              <w:tabs>
                <w:tab w:val="left" w:pos="105"/>
                <w:tab w:val="left" w:pos="5565"/>
              </w:tabs>
              <w:spacing w:before="0" w:beforeAutospacing="0" w:after="0" w:afterAutospacing="0" w:line="440" w:lineRule="exact"/>
              <w:ind w:left="0" w:right="0" w:firstLine="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300元/次</w:t>
            </w:r>
          </w:p>
        </w:tc>
      </w:tr>
      <w:tr w14:paraId="1C5D06A3">
        <w:tblPrEx>
          <w:tblCellMar>
            <w:top w:w="0" w:type="dxa"/>
            <w:left w:w="108" w:type="dxa"/>
            <w:bottom w:w="0" w:type="dxa"/>
            <w:right w:w="108" w:type="dxa"/>
          </w:tblCellMar>
        </w:tblPrEx>
        <w:trPr>
          <w:trHeight w:val="499" w:hRule="atLeast"/>
          <w:jc w:val="center"/>
        </w:trPr>
        <w:tc>
          <w:tcPr>
            <w:tcW w:w="690" w:type="dxa"/>
            <w:tcBorders>
              <w:top w:val="single" w:color="auto" w:sz="4" w:space="0"/>
              <w:left w:val="single" w:color="auto" w:sz="4" w:space="0"/>
              <w:bottom w:val="single" w:color="auto" w:sz="4" w:space="0"/>
              <w:right w:val="single" w:color="auto" w:sz="4" w:space="0"/>
            </w:tcBorders>
            <w:noWrap/>
            <w:vAlign w:val="center"/>
          </w:tcPr>
          <w:p w14:paraId="6984B61B">
            <w:pPr>
              <w:keepNext w:val="0"/>
              <w:keepLines w:val="0"/>
              <w:suppressLineNumbers w:val="0"/>
              <w:tabs>
                <w:tab w:val="left" w:pos="105"/>
                <w:tab w:val="left" w:pos="5565"/>
              </w:tabs>
              <w:spacing w:before="0" w:beforeAutospacing="0" w:after="0" w:afterAutospacing="0" w:line="440" w:lineRule="exact"/>
              <w:ind w:left="0" w:right="0" w:firstLine="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18</w:t>
            </w:r>
          </w:p>
        </w:tc>
        <w:tc>
          <w:tcPr>
            <w:tcW w:w="6127" w:type="dxa"/>
            <w:tcBorders>
              <w:top w:val="single" w:color="auto" w:sz="4" w:space="0"/>
              <w:left w:val="nil"/>
              <w:bottom w:val="single" w:color="auto" w:sz="4" w:space="0"/>
              <w:right w:val="single" w:color="auto" w:sz="4" w:space="0"/>
            </w:tcBorders>
            <w:noWrap/>
            <w:vAlign w:val="center"/>
          </w:tcPr>
          <w:p w14:paraId="31D023FB">
            <w:pPr>
              <w:keepNext w:val="0"/>
              <w:keepLines w:val="0"/>
              <w:suppressLineNumbers w:val="0"/>
              <w:tabs>
                <w:tab w:val="left" w:pos="105"/>
                <w:tab w:val="left" w:pos="5565"/>
              </w:tabs>
              <w:spacing w:before="0" w:beforeAutospacing="0" w:after="0" w:afterAutospacing="0" w:line="440" w:lineRule="exact"/>
              <w:ind w:left="0" w:right="0" w:firstLine="0"/>
              <w:rPr>
                <w:rFonts w:hint="default" w:ascii="宋体" w:hAnsi="宋体" w:eastAsia="宋体" w:cs="宋体"/>
                <w:color w:val="auto"/>
                <w:szCs w:val="21"/>
                <w:highlight w:val="none"/>
              </w:rPr>
            </w:pPr>
            <w:r>
              <w:rPr>
                <w:rFonts w:hint="eastAsia" w:ascii="宋体" w:hAnsi="宋体" w:eastAsia="宋体" w:cs="宋体"/>
                <w:color w:val="auto"/>
                <w:szCs w:val="21"/>
                <w:highlight w:val="none"/>
              </w:rPr>
              <w:t>非施工时间段施工及非施工时间段施工产生噪音遭投诉的。</w:t>
            </w:r>
          </w:p>
        </w:tc>
        <w:tc>
          <w:tcPr>
            <w:tcW w:w="1938" w:type="dxa"/>
            <w:tcBorders>
              <w:top w:val="single" w:color="auto" w:sz="4" w:space="0"/>
              <w:left w:val="nil"/>
              <w:bottom w:val="single" w:color="auto" w:sz="4" w:space="0"/>
              <w:right w:val="single" w:color="auto" w:sz="4" w:space="0"/>
            </w:tcBorders>
            <w:noWrap/>
            <w:vAlign w:val="center"/>
          </w:tcPr>
          <w:p w14:paraId="7514CBB5">
            <w:pPr>
              <w:keepNext w:val="0"/>
              <w:keepLines w:val="0"/>
              <w:suppressLineNumbers w:val="0"/>
              <w:tabs>
                <w:tab w:val="left" w:pos="105"/>
                <w:tab w:val="left" w:pos="5565"/>
              </w:tabs>
              <w:spacing w:before="0" w:beforeAutospacing="0" w:after="0" w:afterAutospacing="0" w:line="440" w:lineRule="exact"/>
              <w:ind w:left="0" w:right="0" w:firstLine="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500元/次</w:t>
            </w:r>
          </w:p>
        </w:tc>
      </w:tr>
      <w:tr w14:paraId="44D82F38">
        <w:tblPrEx>
          <w:tblCellMar>
            <w:top w:w="0" w:type="dxa"/>
            <w:left w:w="108" w:type="dxa"/>
            <w:bottom w:w="0" w:type="dxa"/>
            <w:right w:w="108" w:type="dxa"/>
          </w:tblCellMar>
        </w:tblPrEx>
        <w:trPr>
          <w:trHeight w:val="499" w:hRule="atLeast"/>
          <w:jc w:val="center"/>
        </w:trPr>
        <w:tc>
          <w:tcPr>
            <w:tcW w:w="690" w:type="dxa"/>
            <w:tcBorders>
              <w:top w:val="nil"/>
              <w:left w:val="single" w:color="auto" w:sz="4" w:space="0"/>
              <w:bottom w:val="single" w:color="auto" w:sz="4" w:space="0"/>
              <w:right w:val="single" w:color="auto" w:sz="4" w:space="0"/>
            </w:tcBorders>
            <w:noWrap/>
            <w:vAlign w:val="center"/>
          </w:tcPr>
          <w:p w14:paraId="0F0761CA">
            <w:pPr>
              <w:keepNext w:val="0"/>
              <w:keepLines w:val="0"/>
              <w:suppressLineNumbers w:val="0"/>
              <w:tabs>
                <w:tab w:val="left" w:pos="105"/>
                <w:tab w:val="left" w:pos="5565"/>
              </w:tabs>
              <w:spacing w:before="0" w:beforeAutospacing="0" w:after="0" w:afterAutospacing="0" w:line="440" w:lineRule="exact"/>
              <w:ind w:left="0" w:right="0" w:firstLine="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19</w:t>
            </w:r>
          </w:p>
        </w:tc>
        <w:tc>
          <w:tcPr>
            <w:tcW w:w="6127" w:type="dxa"/>
            <w:tcBorders>
              <w:top w:val="nil"/>
              <w:left w:val="nil"/>
              <w:bottom w:val="single" w:color="auto" w:sz="4" w:space="0"/>
              <w:right w:val="single" w:color="auto" w:sz="4" w:space="0"/>
            </w:tcBorders>
            <w:noWrap/>
            <w:vAlign w:val="center"/>
          </w:tcPr>
          <w:p w14:paraId="2E63A98B">
            <w:pPr>
              <w:keepNext w:val="0"/>
              <w:keepLines w:val="0"/>
              <w:suppressLineNumbers w:val="0"/>
              <w:tabs>
                <w:tab w:val="left" w:pos="105"/>
                <w:tab w:val="left" w:pos="5565"/>
              </w:tabs>
              <w:spacing w:before="0" w:beforeAutospacing="0" w:after="0" w:afterAutospacing="0" w:line="440" w:lineRule="exact"/>
              <w:ind w:left="0" w:right="0" w:firstLine="0"/>
              <w:rPr>
                <w:rFonts w:hint="default" w:ascii="宋体" w:hAnsi="宋体" w:eastAsia="宋体" w:cs="宋体"/>
                <w:color w:val="auto"/>
                <w:szCs w:val="21"/>
                <w:highlight w:val="none"/>
              </w:rPr>
            </w:pPr>
            <w:r>
              <w:rPr>
                <w:rFonts w:hint="eastAsia" w:ascii="宋体" w:hAnsi="宋体" w:eastAsia="宋体" w:cs="宋体"/>
                <w:color w:val="auto"/>
                <w:szCs w:val="21"/>
                <w:highlight w:val="none"/>
              </w:rPr>
              <w:t>施工现场擅自使用明火焚烧物质或动火作业周边未按规定放置灭火装置</w:t>
            </w:r>
          </w:p>
        </w:tc>
        <w:tc>
          <w:tcPr>
            <w:tcW w:w="1938" w:type="dxa"/>
            <w:tcBorders>
              <w:top w:val="nil"/>
              <w:left w:val="nil"/>
              <w:bottom w:val="single" w:color="auto" w:sz="4" w:space="0"/>
              <w:right w:val="single" w:color="auto" w:sz="4" w:space="0"/>
            </w:tcBorders>
            <w:noWrap/>
            <w:vAlign w:val="center"/>
          </w:tcPr>
          <w:p w14:paraId="4EE44C32">
            <w:pPr>
              <w:keepNext w:val="0"/>
              <w:keepLines w:val="0"/>
              <w:suppressLineNumbers w:val="0"/>
              <w:tabs>
                <w:tab w:val="left" w:pos="105"/>
                <w:tab w:val="left" w:pos="5565"/>
              </w:tabs>
              <w:spacing w:before="0" w:beforeAutospacing="0" w:after="0" w:afterAutospacing="0" w:line="440" w:lineRule="exact"/>
              <w:ind w:left="0" w:right="0" w:firstLine="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500元/次</w:t>
            </w:r>
          </w:p>
        </w:tc>
      </w:tr>
      <w:tr w14:paraId="10C40579">
        <w:tblPrEx>
          <w:tblCellMar>
            <w:top w:w="0" w:type="dxa"/>
            <w:left w:w="108" w:type="dxa"/>
            <w:bottom w:w="0" w:type="dxa"/>
            <w:right w:w="108" w:type="dxa"/>
          </w:tblCellMar>
        </w:tblPrEx>
        <w:trPr>
          <w:trHeight w:val="499" w:hRule="atLeast"/>
          <w:jc w:val="center"/>
        </w:trPr>
        <w:tc>
          <w:tcPr>
            <w:tcW w:w="690" w:type="dxa"/>
            <w:tcBorders>
              <w:top w:val="nil"/>
              <w:left w:val="single" w:color="auto" w:sz="4" w:space="0"/>
              <w:bottom w:val="single" w:color="auto" w:sz="4" w:space="0"/>
              <w:right w:val="single" w:color="auto" w:sz="4" w:space="0"/>
            </w:tcBorders>
            <w:noWrap/>
            <w:vAlign w:val="center"/>
          </w:tcPr>
          <w:p w14:paraId="270B2549">
            <w:pPr>
              <w:keepNext w:val="0"/>
              <w:keepLines w:val="0"/>
              <w:suppressLineNumbers w:val="0"/>
              <w:tabs>
                <w:tab w:val="left" w:pos="105"/>
                <w:tab w:val="left" w:pos="5565"/>
              </w:tabs>
              <w:spacing w:before="0" w:beforeAutospacing="0" w:after="0" w:afterAutospacing="0" w:line="440" w:lineRule="exact"/>
              <w:ind w:left="0" w:right="0" w:firstLine="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20</w:t>
            </w:r>
          </w:p>
        </w:tc>
        <w:tc>
          <w:tcPr>
            <w:tcW w:w="6127" w:type="dxa"/>
            <w:tcBorders>
              <w:top w:val="nil"/>
              <w:left w:val="nil"/>
              <w:bottom w:val="single" w:color="auto" w:sz="4" w:space="0"/>
              <w:right w:val="single" w:color="auto" w:sz="4" w:space="0"/>
            </w:tcBorders>
            <w:noWrap/>
            <w:vAlign w:val="center"/>
          </w:tcPr>
          <w:p w14:paraId="5AEAF007">
            <w:pPr>
              <w:keepNext w:val="0"/>
              <w:keepLines w:val="0"/>
              <w:suppressLineNumbers w:val="0"/>
              <w:tabs>
                <w:tab w:val="left" w:pos="105"/>
                <w:tab w:val="left" w:pos="5565"/>
              </w:tabs>
              <w:spacing w:before="0" w:beforeAutospacing="0" w:after="0" w:afterAutospacing="0" w:line="440" w:lineRule="exact"/>
              <w:ind w:left="0" w:right="0" w:firstLine="0"/>
              <w:rPr>
                <w:rFonts w:hint="default" w:ascii="宋体" w:hAnsi="宋体" w:eastAsia="宋体" w:cs="宋体"/>
                <w:color w:val="auto"/>
                <w:szCs w:val="21"/>
                <w:highlight w:val="none"/>
              </w:rPr>
            </w:pPr>
            <w:r>
              <w:rPr>
                <w:rFonts w:hint="eastAsia" w:ascii="宋体" w:hAnsi="宋体" w:eastAsia="宋体" w:cs="宋体"/>
                <w:color w:val="auto"/>
                <w:szCs w:val="21"/>
                <w:highlight w:val="none"/>
              </w:rPr>
              <w:t>临边洞口无围护，危险场地或设备警示标志不齐的。</w:t>
            </w:r>
          </w:p>
        </w:tc>
        <w:tc>
          <w:tcPr>
            <w:tcW w:w="1938" w:type="dxa"/>
            <w:tcBorders>
              <w:top w:val="nil"/>
              <w:left w:val="nil"/>
              <w:bottom w:val="single" w:color="auto" w:sz="4" w:space="0"/>
              <w:right w:val="single" w:color="auto" w:sz="4" w:space="0"/>
            </w:tcBorders>
            <w:noWrap/>
            <w:vAlign w:val="center"/>
          </w:tcPr>
          <w:p w14:paraId="0C203BE5">
            <w:pPr>
              <w:keepNext w:val="0"/>
              <w:keepLines w:val="0"/>
              <w:suppressLineNumbers w:val="0"/>
              <w:tabs>
                <w:tab w:val="left" w:pos="105"/>
                <w:tab w:val="left" w:pos="5565"/>
              </w:tabs>
              <w:spacing w:before="0" w:beforeAutospacing="0" w:after="0" w:afterAutospacing="0" w:line="440" w:lineRule="exact"/>
              <w:ind w:left="0" w:right="0" w:firstLine="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500元/次</w:t>
            </w:r>
          </w:p>
        </w:tc>
      </w:tr>
      <w:tr w14:paraId="33165B15">
        <w:tblPrEx>
          <w:tblCellMar>
            <w:top w:w="0" w:type="dxa"/>
            <w:left w:w="108" w:type="dxa"/>
            <w:bottom w:w="0" w:type="dxa"/>
            <w:right w:w="108" w:type="dxa"/>
          </w:tblCellMar>
        </w:tblPrEx>
        <w:trPr>
          <w:trHeight w:val="499" w:hRule="atLeast"/>
          <w:jc w:val="center"/>
        </w:trPr>
        <w:tc>
          <w:tcPr>
            <w:tcW w:w="690" w:type="dxa"/>
            <w:tcBorders>
              <w:top w:val="single" w:color="auto" w:sz="4" w:space="0"/>
              <w:left w:val="single" w:color="auto" w:sz="4" w:space="0"/>
              <w:bottom w:val="single" w:color="auto" w:sz="4" w:space="0"/>
              <w:right w:val="single" w:color="auto" w:sz="4" w:space="0"/>
            </w:tcBorders>
            <w:noWrap/>
            <w:vAlign w:val="center"/>
          </w:tcPr>
          <w:p w14:paraId="5DC3F866">
            <w:pPr>
              <w:keepNext w:val="0"/>
              <w:keepLines w:val="0"/>
              <w:suppressLineNumbers w:val="0"/>
              <w:tabs>
                <w:tab w:val="left" w:pos="105"/>
                <w:tab w:val="left" w:pos="5565"/>
              </w:tabs>
              <w:spacing w:before="0" w:beforeAutospacing="0" w:after="0" w:afterAutospacing="0" w:line="440" w:lineRule="exact"/>
              <w:ind w:left="0" w:right="0" w:firstLine="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21</w:t>
            </w:r>
          </w:p>
        </w:tc>
        <w:tc>
          <w:tcPr>
            <w:tcW w:w="6127" w:type="dxa"/>
            <w:tcBorders>
              <w:top w:val="single" w:color="auto" w:sz="4" w:space="0"/>
              <w:left w:val="single" w:color="auto" w:sz="4" w:space="0"/>
              <w:bottom w:val="single" w:color="auto" w:sz="4" w:space="0"/>
              <w:right w:val="single" w:color="auto" w:sz="4" w:space="0"/>
            </w:tcBorders>
            <w:noWrap/>
            <w:vAlign w:val="center"/>
          </w:tcPr>
          <w:p w14:paraId="2B724B7C">
            <w:pPr>
              <w:keepNext w:val="0"/>
              <w:keepLines w:val="0"/>
              <w:suppressLineNumbers w:val="0"/>
              <w:tabs>
                <w:tab w:val="left" w:pos="105"/>
                <w:tab w:val="left" w:pos="5565"/>
              </w:tabs>
              <w:spacing w:before="0" w:beforeAutospacing="0" w:after="0" w:afterAutospacing="0" w:line="440" w:lineRule="exact"/>
              <w:ind w:left="0" w:right="0" w:firstLine="0"/>
              <w:rPr>
                <w:rFonts w:hint="default" w:ascii="宋体" w:hAnsi="宋体" w:eastAsia="宋体" w:cs="宋体"/>
                <w:color w:val="auto"/>
                <w:szCs w:val="21"/>
                <w:highlight w:val="none"/>
              </w:rPr>
            </w:pPr>
            <w:r>
              <w:rPr>
                <w:rFonts w:hint="eastAsia" w:ascii="宋体" w:hAnsi="宋体" w:eastAsia="宋体" w:cs="宋体"/>
                <w:color w:val="auto"/>
                <w:szCs w:val="21"/>
                <w:highlight w:val="none"/>
              </w:rPr>
              <w:t>施工现场未采用封闭围挡或拉设警戒线。</w:t>
            </w:r>
          </w:p>
        </w:tc>
        <w:tc>
          <w:tcPr>
            <w:tcW w:w="1938" w:type="dxa"/>
            <w:tcBorders>
              <w:top w:val="single" w:color="auto" w:sz="4" w:space="0"/>
              <w:left w:val="single" w:color="auto" w:sz="4" w:space="0"/>
              <w:bottom w:val="single" w:color="auto" w:sz="4" w:space="0"/>
              <w:right w:val="single" w:color="auto" w:sz="4" w:space="0"/>
            </w:tcBorders>
            <w:noWrap/>
            <w:vAlign w:val="center"/>
          </w:tcPr>
          <w:p w14:paraId="6EEDDB02">
            <w:pPr>
              <w:keepNext w:val="0"/>
              <w:keepLines w:val="0"/>
              <w:suppressLineNumbers w:val="0"/>
              <w:tabs>
                <w:tab w:val="left" w:pos="105"/>
                <w:tab w:val="left" w:pos="5565"/>
              </w:tabs>
              <w:spacing w:before="0" w:beforeAutospacing="0" w:after="0" w:afterAutospacing="0" w:line="440" w:lineRule="exact"/>
              <w:ind w:left="0" w:right="0" w:firstLine="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300元/次</w:t>
            </w:r>
          </w:p>
        </w:tc>
      </w:tr>
      <w:tr w14:paraId="5DBA9A22">
        <w:tblPrEx>
          <w:tblCellMar>
            <w:top w:w="0" w:type="dxa"/>
            <w:left w:w="108" w:type="dxa"/>
            <w:bottom w:w="0" w:type="dxa"/>
            <w:right w:w="108" w:type="dxa"/>
          </w:tblCellMar>
        </w:tblPrEx>
        <w:trPr>
          <w:trHeight w:val="499" w:hRule="atLeast"/>
          <w:jc w:val="center"/>
        </w:trPr>
        <w:tc>
          <w:tcPr>
            <w:tcW w:w="690" w:type="dxa"/>
            <w:tcBorders>
              <w:top w:val="single" w:color="auto" w:sz="4" w:space="0"/>
              <w:left w:val="single" w:color="auto" w:sz="4" w:space="0"/>
              <w:bottom w:val="single" w:color="auto" w:sz="4" w:space="0"/>
              <w:right w:val="single" w:color="auto" w:sz="4" w:space="0"/>
            </w:tcBorders>
            <w:noWrap/>
            <w:vAlign w:val="center"/>
          </w:tcPr>
          <w:p w14:paraId="18C11D22">
            <w:pPr>
              <w:keepNext w:val="0"/>
              <w:keepLines w:val="0"/>
              <w:suppressLineNumbers w:val="0"/>
              <w:tabs>
                <w:tab w:val="left" w:pos="105"/>
                <w:tab w:val="left" w:pos="5565"/>
              </w:tabs>
              <w:spacing w:before="0" w:beforeAutospacing="0" w:after="0" w:afterAutospacing="0" w:line="440" w:lineRule="exact"/>
              <w:ind w:left="0" w:right="0" w:firstLine="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22</w:t>
            </w:r>
          </w:p>
        </w:tc>
        <w:tc>
          <w:tcPr>
            <w:tcW w:w="6127" w:type="dxa"/>
            <w:tcBorders>
              <w:top w:val="single" w:color="auto" w:sz="4" w:space="0"/>
              <w:left w:val="single" w:color="auto" w:sz="4" w:space="0"/>
              <w:bottom w:val="single" w:color="auto" w:sz="4" w:space="0"/>
              <w:right w:val="single" w:color="auto" w:sz="4" w:space="0"/>
            </w:tcBorders>
            <w:noWrap/>
            <w:vAlign w:val="center"/>
          </w:tcPr>
          <w:p w14:paraId="322DA74D">
            <w:pPr>
              <w:keepNext w:val="0"/>
              <w:keepLines w:val="0"/>
              <w:suppressLineNumbers w:val="0"/>
              <w:tabs>
                <w:tab w:val="left" w:pos="105"/>
                <w:tab w:val="left" w:pos="5565"/>
              </w:tabs>
              <w:spacing w:before="0" w:beforeAutospacing="0" w:after="0" w:afterAutospacing="0" w:line="440" w:lineRule="exact"/>
              <w:ind w:left="0" w:right="0" w:firstLine="0"/>
              <w:rPr>
                <w:rFonts w:hint="default" w:ascii="宋体" w:hAnsi="宋体" w:eastAsia="宋体" w:cs="宋体"/>
                <w:color w:val="auto"/>
                <w:szCs w:val="21"/>
                <w:highlight w:val="none"/>
              </w:rPr>
            </w:pPr>
            <w:r>
              <w:rPr>
                <w:rFonts w:hint="eastAsia" w:ascii="宋体" w:hAnsi="宋体" w:eastAsia="宋体" w:cs="宋体"/>
                <w:color w:val="auto"/>
                <w:szCs w:val="21"/>
                <w:highlight w:val="none"/>
              </w:rPr>
              <w:t>违规拉电或不使用单独电箱的；操作不当，引起跳闸的。</w:t>
            </w:r>
          </w:p>
        </w:tc>
        <w:tc>
          <w:tcPr>
            <w:tcW w:w="1938" w:type="dxa"/>
            <w:tcBorders>
              <w:top w:val="single" w:color="auto" w:sz="4" w:space="0"/>
              <w:left w:val="single" w:color="auto" w:sz="4" w:space="0"/>
              <w:bottom w:val="single" w:color="auto" w:sz="4" w:space="0"/>
              <w:right w:val="single" w:color="auto" w:sz="4" w:space="0"/>
            </w:tcBorders>
            <w:noWrap/>
            <w:vAlign w:val="center"/>
          </w:tcPr>
          <w:p w14:paraId="4E836B3D">
            <w:pPr>
              <w:keepNext w:val="0"/>
              <w:keepLines w:val="0"/>
              <w:suppressLineNumbers w:val="0"/>
              <w:tabs>
                <w:tab w:val="left" w:pos="105"/>
                <w:tab w:val="left" w:pos="5565"/>
              </w:tabs>
              <w:spacing w:before="0" w:beforeAutospacing="0" w:after="0" w:afterAutospacing="0" w:line="440" w:lineRule="exact"/>
              <w:ind w:left="0" w:right="0" w:firstLine="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500-1000元/次</w:t>
            </w:r>
          </w:p>
        </w:tc>
      </w:tr>
      <w:tr w14:paraId="6AAE5612">
        <w:tblPrEx>
          <w:tblCellMar>
            <w:top w:w="0" w:type="dxa"/>
            <w:left w:w="108" w:type="dxa"/>
            <w:bottom w:w="0" w:type="dxa"/>
            <w:right w:w="108" w:type="dxa"/>
          </w:tblCellMar>
        </w:tblPrEx>
        <w:trPr>
          <w:trHeight w:val="499" w:hRule="atLeast"/>
          <w:jc w:val="center"/>
        </w:trPr>
        <w:tc>
          <w:tcPr>
            <w:tcW w:w="690" w:type="dxa"/>
            <w:tcBorders>
              <w:top w:val="single" w:color="auto" w:sz="4" w:space="0"/>
              <w:left w:val="single" w:color="auto" w:sz="4" w:space="0"/>
              <w:bottom w:val="single" w:color="auto" w:sz="4" w:space="0"/>
              <w:right w:val="single" w:color="auto" w:sz="4" w:space="0"/>
            </w:tcBorders>
            <w:noWrap/>
            <w:vAlign w:val="center"/>
          </w:tcPr>
          <w:p w14:paraId="552CC3C9">
            <w:pPr>
              <w:keepNext w:val="0"/>
              <w:keepLines w:val="0"/>
              <w:suppressLineNumbers w:val="0"/>
              <w:tabs>
                <w:tab w:val="left" w:pos="105"/>
                <w:tab w:val="left" w:pos="5565"/>
              </w:tabs>
              <w:spacing w:before="0" w:beforeAutospacing="0" w:after="0" w:afterAutospacing="0" w:line="440" w:lineRule="exact"/>
              <w:ind w:left="0" w:right="0" w:firstLine="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23</w:t>
            </w:r>
          </w:p>
        </w:tc>
        <w:tc>
          <w:tcPr>
            <w:tcW w:w="6127" w:type="dxa"/>
            <w:tcBorders>
              <w:top w:val="single" w:color="auto" w:sz="4" w:space="0"/>
              <w:left w:val="single" w:color="auto" w:sz="4" w:space="0"/>
              <w:bottom w:val="single" w:color="auto" w:sz="4" w:space="0"/>
              <w:right w:val="single" w:color="auto" w:sz="4" w:space="0"/>
            </w:tcBorders>
            <w:noWrap/>
            <w:vAlign w:val="center"/>
          </w:tcPr>
          <w:p w14:paraId="5CAF17B3">
            <w:pPr>
              <w:keepNext w:val="0"/>
              <w:keepLines w:val="0"/>
              <w:suppressLineNumbers w:val="0"/>
              <w:tabs>
                <w:tab w:val="left" w:pos="105"/>
                <w:tab w:val="left" w:pos="5565"/>
              </w:tabs>
              <w:spacing w:before="0" w:beforeAutospacing="0" w:after="0" w:afterAutospacing="0" w:line="440" w:lineRule="exact"/>
              <w:ind w:left="0" w:right="0" w:firstLine="0"/>
              <w:jc w:val="left"/>
              <w:rPr>
                <w:rFonts w:hint="default" w:ascii="宋体" w:hAnsi="宋体" w:eastAsia="宋体" w:cs="宋体"/>
                <w:color w:val="auto"/>
                <w:szCs w:val="21"/>
                <w:highlight w:val="none"/>
              </w:rPr>
            </w:pPr>
            <w:r>
              <w:rPr>
                <w:rFonts w:hint="eastAsia" w:ascii="宋体" w:hAnsi="宋体" w:eastAsia="宋体" w:cs="宋体"/>
                <w:color w:val="auto"/>
                <w:szCs w:val="21"/>
                <w:highlight w:val="none"/>
              </w:rPr>
              <w:t>违规接水电气等管道或未向发包人报备私自关阀；因施工操作不规范造成管道破裂及其它系统设施损坏或不良影响的。</w:t>
            </w:r>
          </w:p>
        </w:tc>
        <w:tc>
          <w:tcPr>
            <w:tcW w:w="1938" w:type="dxa"/>
            <w:tcBorders>
              <w:top w:val="single" w:color="auto" w:sz="4" w:space="0"/>
              <w:left w:val="single" w:color="auto" w:sz="4" w:space="0"/>
              <w:bottom w:val="single" w:color="auto" w:sz="4" w:space="0"/>
              <w:right w:val="single" w:color="auto" w:sz="4" w:space="0"/>
            </w:tcBorders>
            <w:noWrap/>
            <w:vAlign w:val="center"/>
          </w:tcPr>
          <w:p w14:paraId="7BD1130E">
            <w:pPr>
              <w:keepNext w:val="0"/>
              <w:keepLines w:val="0"/>
              <w:suppressLineNumbers w:val="0"/>
              <w:tabs>
                <w:tab w:val="left" w:pos="105"/>
                <w:tab w:val="left" w:pos="5565"/>
              </w:tabs>
              <w:spacing w:before="0" w:beforeAutospacing="0" w:after="0" w:afterAutospacing="0" w:line="440" w:lineRule="exact"/>
              <w:ind w:left="0" w:right="0" w:firstLine="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300-1000元/次</w:t>
            </w:r>
          </w:p>
        </w:tc>
      </w:tr>
      <w:tr w14:paraId="04DB55B5">
        <w:tblPrEx>
          <w:tblCellMar>
            <w:top w:w="0" w:type="dxa"/>
            <w:left w:w="108" w:type="dxa"/>
            <w:bottom w:w="0" w:type="dxa"/>
            <w:right w:w="108" w:type="dxa"/>
          </w:tblCellMar>
        </w:tblPrEx>
        <w:trPr>
          <w:trHeight w:val="499" w:hRule="atLeast"/>
          <w:jc w:val="center"/>
        </w:trPr>
        <w:tc>
          <w:tcPr>
            <w:tcW w:w="690" w:type="dxa"/>
            <w:tcBorders>
              <w:top w:val="single" w:color="auto" w:sz="4" w:space="0"/>
              <w:left w:val="single" w:color="auto" w:sz="4" w:space="0"/>
              <w:bottom w:val="single" w:color="auto" w:sz="4" w:space="0"/>
              <w:right w:val="single" w:color="auto" w:sz="4" w:space="0"/>
            </w:tcBorders>
            <w:noWrap/>
            <w:vAlign w:val="center"/>
          </w:tcPr>
          <w:p w14:paraId="1EE204E4">
            <w:pPr>
              <w:keepNext w:val="0"/>
              <w:keepLines w:val="0"/>
              <w:suppressLineNumbers w:val="0"/>
              <w:tabs>
                <w:tab w:val="left" w:pos="105"/>
                <w:tab w:val="left" w:pos="5565"/>
              </w:tabs>
              <w:spacing w:before="0" w:beforeAutospacing="0" w:after="0" w:afterAutospacing="0" w:line="440" w:lineRule="exact"/>
              <w:ind w:left="0" w:right="0" w:firstLine="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24</w:t>
            </w:r>
          </w:p>
        </w:tc>
        <w:tc>
          <w:tcPr>
            <w:tcW w:w="6127" w:type="dxa"/>
            <w:tcBorders>
              <w:top w:val="single" w:color="auto" w:sz="4" w:space="0"/>
              <w:left w:val="single" w:color="auto" w:sz="4" w:space="0"/>
              <w:bottom w:val="single" w:color="auto" w:sz="4" w:space="0"/>
              <w:right w:val="single" w:color="auto" w:sz="4" w:space="0"/>
            </w:tcBorders>
            <w:noWrap/>
            <w:vAlign w:val="center"/>
          </w:tcPr>
          <w:p w14:paraId="6775E273">
            <w:pPr>
              <w:keepNext w:val="0"/>
              <w:keepLines w:val="0"/>
              <w:suppressLineNumbers w:val="0"/>
              <w:tabs>
                <w:tab w:val="left" w:pos="105"/>
                <w:tab w:val="left" w:pos="5565"/>
              </w:tabs>
              <w:spacing w:before="0" w:beforeAutospacing="0" w:after="0" w:afterAutospacing="0" w:line="440" w:lineRule="exact"/>
              <w:ind w:left="0" w:right="0" w:firstLine="0"/>
              <w:rPr>
                <w:rFonts w:hint="default" w:ascii="宋体" w:hAnsi="宋体" w:eastAsia="宋体" w:cs="宋体"/>
                <w:color w:val="auto"/>
                <w:szCs w:val="21"/>
                <w:highlight w:val="none"/>
              </w:rPr>
            </w:pPr>
            <w:r>
              <w:rPr>
                <w:rFonts w:hint="eastAsia" w:ascii="宋体" w:hAnsi="宋体" w:eastAsia="宋体" w:cs="宋体"/>
                <w:color w:val="auto"/>
                <w:szCs w:val="21"/>
                <w:highlight w:val="none"/>
              </w:rPr>
              <w:t>进入医院医疗场所施工未戴工作牌或未穿反光背心的</w:t>
            </w:r>
          </w:p>
        </w:tc>
        <w:tc>
          <w:tcPr>
            <w:tcW w:w="1938" w:type="dxa"/>
            <w:tcBorders>
              <w:top w:val="single" w:color="auto" w:sz="4" w:space="0"/>
              <w:left w:val="single" w:color="auto" w:sz="4" w:space="0"/>
              <w:bottom w:val="single" w:color="auto" w:sz="4" w:space="0"/>
              <w:right w:val="single" w:color="auto" w:sz="4" w:space="0"/>
            </w:tcBorders>
            <w:noWrap/>
            <w:vAlign w:val="center"/>
          </w:tcPr>
          <w:p w14:paraId="17F58E9E">
            <w:pPr>
              <w:keepNext w:val="0"/>
              <w:keepLines w:val="0"/>
              <w:suppressLineNumbers w:val="0"/>
              <w:tabs>
                <w:tab w:val="left" w:pos="105"/>
                <w:tab w:val="left" w:pos="5565"/>
              </w:tabs>
              <w:spacing w:before="0" w:beforeAutospacing="0" w:after="0" w:afterAutospacing="0" w:line="440" w:lineRule="exact"/>
              <w:ind w:left="0" w:right="0" w:firstLine="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100元/人/次</w:t>
            </w:r>
          </w:p>
        </w:tc>
      </w:tr>
      <w:tr w14:paraId="1CE33547">
        <w:tblPrEx>
          <w:tblCellMar>
            <w:top w:w="0" w:type="dxa"/>
            <w:left w:w="108" w:type="dxa"/>
            <w:bottom w:w="0" w:type="dxa"/>
            <w:right w:w="108" w:type="dxa"/>
          </w:tblCellMar>
        </w:tblPrEx>
        <w:trPr>
          <w:trHeight w:val="499" w:hRule="atLeast"/>
          <w:jc w:val="center"/>
        </w:trPr>
        <w:tc>
          <w:tcPr>
            <w:tcW w:w="690" w:type="dxa"/>
            <w:tcBorders>
              <w:top w:val="single" w:color="auto" w:sz="4" w:space="0"/>
              <w:left w:val="single" w:color="auto" w:sz="4" w:space="0"/>
              <w:bottom w:val="single" w:color="auto" w:sz="4" w:space="0"/>
              <w:right w:val="single" w:color="auto" w:sz="4" w:space="0"/>
            </w:tcBorders>
            <w:noWrap/>
            <w:vAlign w:val="center"/>
          </w:tcPr>
          <w:p w14:paraId="38398CA8">
            <w:pPr>
              <w:keepNext w:val="0"/>
              <w:keepLines w:val="0"/>
              <w:suppressLineNumbers w:val="0"/>
              <w:tabs>
                <w:tab w:val="left" w:pos="105"/>
                <w:tab w:val="left" w:pos="5565"/>
              </w:tabs>
              <w:spacing w:before="0" w:beforeAutospacing="0" w:after="0" w:afterAutospacing="0" w:line="440" w:lineRule="exact"/>
              <w:ind w:left="0" w:right="0" w:firstLine="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25</w:t>
            </w:r>
          </w:p>
        </w:tc>
        <w:tc>
          <w:tcPr>
            <w:tcW w:w="6127" w:type="dxa"/>
            <w:tcBorders>
              <w:top w:val="single" w:color="auto" w:sz="4" w:space="0"/>
              <w:left w:val="single" w:color="auto" w:sz="4" w:space="0"/>
              <w:bottom w:val="single" w:color="auto" w:sz="4" w:space="0"/>
              <w:right w:val="single" w:color="auto" w:sz="4" w:space="0"/>
            </w:tcBorders>
            <w:noWrap/>
            <w:vAlign w:val="center"/>
          </w:tcPr>
          <w:p w14:paraId="45D9B4E1">
            <w:pPr>
              <w:keepNext w:val="0"/>
              <w:keepLines w:val="0"/>
              <w:suppressLineNumbers w:val="0"/>
              <w:tabs>
                <w:tab w:val="left" w:pos="105"/>
                <w:tab w:val="left" w:pos="5565"/>
              </w:tabs>
              <w:spacing w:before="0" w:beforeAutospacing="0" w:after="0" w:afterAutospacing="0" w:line="440" w:lineRule="exact"/>
              <w:ind w:left="0" w:right="0" w:firstLine="0"/>
              <w:rPr>
                <w:rFonts w:hint="default" w:ascii="宋体" w:hAnsi="宋体" w:eastAsia="宋体" w:cs="宋体"/>
                <w:color w:val="auto"/>
                <w:szCs w:val="21"/>
                <w:highlight w:val="none"/>
              </w:rPr>
            </w:pPr>
            <w:r>
              <w:rPr>
                <w:rFonts w:hint="eastAsia" w:ascii="宋体" w:hAnsi="宋体" w:eastAsia="宋体" w:cs="宋体"/>
                <w:color w:val="auto"/>
                <w:szCs w:val="21"/>
                <w:highlight w:val="none"/>
              </w:rPr>
              <w:t>未按施工计划安排现场施工人数到场施工，虚报人数</w:t>
            </w:r>
          </w:p>
        </w:tc>
        <w:tc>
          <w:tcPr>
            <w:tcW w:w="1938" w:type="dxa"/>
            <w:tcBorders>
              <w:top w:val="single" w:color="auto" w:sz="4" w:space="0"/>
              <w:left w:val="single" w:color="auto" w:sz="4" w:space="0"/>
              <w:bottom w:val="single" w:color="auto" w:sz="4" w:space="0"/>
              <w:right w:val="single" w:color="auto" w:sz="4" w:space="0"/>
            </w:tcBorders>
            <w:noWrap/>
            <w:vAlign w:val="center"/>
          </w:tcPr>
          <w:p w14:paraId="10DFE21D">
            <w:pPr>
              <w:keepNext w:val="0"/>
              <w:keepLines w:val="0"/>
              <w:suppressLineNumbers w:val="0"/>
              <w:tabs>
                <w:tab w:val="left" w:pos="105"/>
                <w:tab w:val="left" w:pos="5565"/>
              </w:tabs>
              <w:spacing w:before="0" w:beforeAutospacing="0" w:after="0" w:afterAutospacing="0" w:line="440" w:lineRule="exact"/>
              <w:ind w:left="0" w:right="0" w:firstLine="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100元/人</w:t>
            </w:r>
          </w:p>
        </w:tc>
      </w:tr>
      <w:tr w14:paraId="07748718">
        <w:tblPrEx>
          <w:tblCellMar>
            <w:top w:w="0" w:type="dxa"/>
            <w:left w:w="108" w:type="dxa"/>
            <w:bottom w:w="0" w:type="dxa"/>
            <w:right w:w="108" w:type="dxa"/>
          </w:tblCellMar>
        </w:tblPrEx>
        <w:trPr>
          <w:trHeight w:val="499" w:hRule="atLeast"/>
          <w:jc w:val="center"/>
        </w:trPr>
        <w:tc>
          <w:tcPr>
            <w:tcW w:w="690" w:type="dxa"/>
            <w:tcBorders>
              <w:top w:val="single" w:color="auto" w:sz="4" w:space="0"/>
              <w:left w:val="single" w:color="auto" w:sz="4" w:space="0"/>
              <w:bottom w:val="single" w:color="auto" w:sz="4" w:space="0"/>
              <w:right w:val="single" w:color="auto" w:sz="4" w:space="0"/>
            </w:tcBorders>
            <w:noWrap/>
            <w:vAlign w:val="center"/>
          </w:tcPr>
          <w:p w14:paraId="3F75119D">
            <w:pPr>
              <w:keepNext w:val="0"/>
              <w:keepLines w:val="0"/>
              <w:suppressLineNumbers w:val="0"/>
              <w:tabs>
                <w:tab w:val="left" w:pos="105"/>
                <w:tab w:val="left" w:pos="5565"/>
              </w:tabs>
              <w:spacing w:before="0" w:beforeAutospacing="0" w:after="0" w:afterAutospacing="0" w:line="440" w:lineRule="exact"/>
              <w:ind w:left="0" w:right="0" w:firstLine="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26</w:t>
            </w:r>
          </w:p>
        </w:tc>
        <w:tc>
          <w:tcPr>
            <w:tcW w:w="6127" w:type="dxa"/>
            <w:tcBorders>
              <w:top w:val="single" w:color="auto" w:sz="4" w:space="0"/>
              <w:left w:val="single" w:color="auto" w:sz="4" w:space="0"/>
              <w:bottom w:val="single" w:color="auto" w:sz="4" w:space="0"/>
              <w:right w:val="single" w:color="auto" w:sz="4" w:space="0"/>
            </w:tcBorders>
            <w:noWrap/>
            <w:vAlign w:val="center"/>
          </w:tcPr>
          <w:p w14:paraId="7A067602">
            <w:pPr>
              <w:keepNext w:val="0"/>
              <w:keepLines w:val="0"/>
              <w:suppressLineNumbers w:val="0"/>
              <w:tabs>
                <w:tab w:val="left" w:pos="105"/>
                <w:tab w:val="left" w:pos="5565"/>
              </w:tabs>
              <w:spacing w:before="0" w:beforeAutospacing="0" w:after="0" w:afterAutospacing="0" w:line="440" w:lineRule="exact"/>
              <w:ind w:left="0" w:right="0" w:firstLine="0"/>
              <w:rPr>
                <w:rFonts w:hint="default" w:ascii="宋体" w:hAnsi="宋体" w:eastAsia="宋体" w:cs="宋体"/>
                <w:color w:val="auto"/>
                <w:szCs w:val="21"/>
                <w:highlight w:val="none"/>
              </w:rPr>
            </w:pPr>
            <w:r>
              <w:rPr>
                <w:rFonts w:hint="eastAsia" w:ascii="宋体" w:hAnsi="宋体" w:eastAsia="宋体" w:cs="宋体"/>
                <w:color w:val="auto"/>
                <w:szCs w:val="21"/>
                <w:highlight w:val="none"/>
              </w:rPr>
              <w:t>其他影响医院环境及安全文明的不良行为。</w:t>
            </w:r>
          </w:p>
        </w:tc>
        <w:tc>
          <w:tcPr>
            <w:tcW w:w="1938" w:type="dxa"/>
            <w:tcBorders>
              <w:top w:val="single" w:color="auto" w:sz="4" w:space="0"/>
              <w:left w:val="single" w:color="auto" w:sz="4" w:space="0"/>
              <w:bottom w:val="single" w:color="auto" w:sz="4" w:space="0"/>
              <w:right w:val="single" w:color="auto" w:sz="4" w:space="0"/>
            </w:tcBorders>
            <w:noWrap/>
            <w:vAlign w:val="center"/>
          </w:tcPr>
          <w:p w14:paraId="2B21A067">
            <w:pPr>
              <w:keepNext w:val="0"/>
              <w:keepLines w:val="0"/>
              <w:suppressLineNumbers w:val="0"/>
              <w:tabs>
                <w:tab w:val="left" w:pos="105"/>
                <w:tab w:val="left" w:pos="5565"/>
              </w:tabs>
              <w:spacing w:before="0" w:beforeAutospacing="0" w:after="0" w:afterAutospacing="0" w:line="440" w:lineRule="exact"/>
              <w:ind w:left="0" w:right="0" w:firstLine="0"/>
              <w:jc w:val="left"/>
              <w:rPr>
                <w:rFonts w:hint="default" w:ascii="宋体" w:hAnsi="宋体" w:eastAsia="宋体" w:cs="宋体"/>
                <w:color w:val="auto"/>
                <w:szCs w:val="21"/>
                <w:highlight w:val="none"/>
              </w:rPr>
            </w:pPr>
            <w:r>
              <w:rPr>
                <w:rFonts w:hint="eastAsia" w:ascii="宋体" w:hAnsi="宋体" w:eastAsia="宋体" w:cs="宋体"/>
                <w:color w:val="auto"/>
                <w:szCs w:val="21"/>
                <w:highlight w:val="none"/>
              </w:rPr>
              <w:t>视影响后果承担相应违约金</w:t>
            </w:r>
          </w:p>
        </w:tc>
      </w:tr>
    </w:tbl>
    <w:p w14:paraId="72268E05">
      <w:pPr>
        <w:tabs>
          <w:tab w:val="left" w:pos="105"/>
          <w:tab w:val="left" w:pos="5565"/>
        </w:tabs>
        <w:spacing w:line="440" w:lineRule="exact"/>
        <w:ind w:left="0" w:firstLine="472" w:firstLineChars="225"/>
        <w:jc w:val="left"/>
        <w:rPr>
          <w:rFonts w:ascii="宋体" w:hAnsi="宋体" w:eastAsia="宋体" w:cs="宋体"/>
          <w:color w:val="auto"/>
          <w:szCs w:val="21"/>
          <w:highlight w:val="none"/>
        </w:rPr>
      </w:pPr>
      <w:r>
        <w:rPr>
          <w:rFonts w:hint="eastAsia" w:ascii="宋体" w:hAnsi="宋体" w:eastAsia="宋体" w:cs="宋体"/>
          <w:color w:val="auto"/>
          <w:szCs w:val="21"/>
          <w:highlight w:val="none"/>
        </w:rPr>
        <w:t>本安全文明施工违章约定作为</w:t>
      </w:r>
      <w:r>
        <w:rPr>
          <w:rFonts w:hint="eastAsia" w:ascii="宋体" w:hAnsi="宋体" w:cs="宋体"/>
          <w:b/>
          <w:color w:val="auto"/>
          <w:szCs w:val="21"/>
          <w:highlight w:val="none"/>
          <w:u w:val="single"/>
          <w:lang w:eastAsia="zh-CN"/>
        </w:rPr>
        <w:t>柳州市人民医院眼科手术室装修改造工程</w:t>
      </w:r>
      <w:r>
        <w:rPr>
          <w:rFonts w:hint="eastAsia" w:ascii="宋体" w:hAnsi="宋体" w:eastAsia="宋体" w:cs="宋体"/>
          <w:color w:val="auto"/>
          <w:szCs w:val="21"/>
          <w:highlight w:val="none"/>
        </w:rPr>
        <w:t>合同附件，由施工合同发包人承包人双方共同签署。</w:t>
      </w:r>
    </w:p>
    <w:p w14:paraId="330F2691">
      <w:pPr>
        <w:tabs>
          <w:tab w:val="left" w:pos="105"/>
          <w:tab w:val="left" w:pos="5565"/>
        </w:tabs>
        <w:spacing w:line="440" w:lineRule="exact"/>
        <w:ind w:left="0" w:firstLine="472" w:firstLineChars="225"/>
        <w:jc w:val="left"/>
        <w:rPr>
          <w:rFonts w:ascii="宋体" w:hAnsi="宋体" w:eastAsia="宋体" w:cs="宋体"/>
          <w:color w:val="auto"/>
          <w:szCs w:val="21"/>
          <w:highlight w:val="none"/>
        </w:rPr>
      </w:pPr>
    </w:p>
    <w:p w14:paraId="22C44C5E">
      <w:pPr>
        <w:tabs>
          <w:tab w:val="left" w:pos="105"/>
          <w:tab w:val="left" w:pos="5565"/>
        </w:tabs>
        <w:spacing w:line="440" w:lineRule="exact"/>
        <w:ind w:left="0" w:firstLine="472" w:firstLineChars="225"/>
        <w:jc w:val="left"/>
        <w:rPr>
          <w:rFonts w:ascii="宋体" w:hAnsi="宋体" w:eastAsia="宋体" w:cs="宋体"/>
          <w:color w:val="auto"/>
          <w:szCs w:val="21"/>
          <w:highlight w:val="none"/>
        </w:rPr>
      </w:pPr>
    </w:p>
    <w:p w14:paraId="049E13BD">
      <w:pPr>
        <w:tabs>
          <w:tab w:val="left" w:pos="105"/>
          <w:tab w:val="left" w:pos="5565"/>
        </w:tabs>
        <w:spacing w:line="400" w:lineRule="exact"/>
        <w:ind w:left="0" w:firstLine="0"/>
        <w:jc w:val="left"/>
        <w:rPr>
          <w:rFonts w:ascii="宋体" w:hAnsi="宋体" w:eastAsia="宋体"/>
          <w:color w:val="auto"/>
          <w:szCs w:val="21"/>
          <w:highlight w:val="none"/>
        </w:rPr>
      </w:pPr>
      <w:r>
        <w:rPr>
          <w:rFonts w:hint="eastAsia" w:ascii="宋体" w:hAnsi="宋体" w:eastAsia="宋体"/>
          <w:color w:val="auto"/>
          <w:szCs w:val="21"/>
          <w:highlight w:val="none"/>
        </w:rPr>
        <w:t>发 包 人(公章) ：柳州市人民医院            承包人(公章)：</w:t>
      </w:r>
    </w:p>
    <w:p w14:paraId="00C96A31">
      <w:pPr>
        <w:tabs>
          <w:tab w:val="left" w:pos="105"/>
          <w:tab w:val="left" w:pos="5565"/>
        </w:tabs>
        <w:spacing w:line="440" w:lineRule="exact"/>
        <w:ind w:left="0" w:firstLine="0"/>
        <w:jc w:val="left"/>
        <w:rPr>
          <w:rFonts w:ascii="宋体" w:hAnsi="宋体" w:eastAsia="宋体" w:cs="宋体"/>
          <w:color w:val="auto"/>
          <w:sz w:val="22"/>
          <w:szCs w:val="22"/>
          <w:highlight w:val="none"/>
        </w:rPr>
      </w:pPr>
    </w:p>
    <w:p w14:paraId="24050538">
      <w:pPr>
        <w:tabs>
          <w:tab w:val="left" w:pos="105"/>
          <w:tab w:val="left" w:pos="5565"/>
        </w:tabs>
        <w:spacing w:line="440" w:lineRule="exact"/>
        <w:ind w:left="0" w:firstLine="495" w:firstLineChars="225"/>
        <w:jc w:val="left"/>
        <w:rPr>
          <w:rFonts w:ascii="宋体" w:hAnsi="宋体" w:eastAsia="宋体" w:cs="宋体"/>
          <w:color w:val="auto"/>
          <w:sz w:val="22"/>
          <w:szCs w:val="22"/>
          <w:highlight w:val="none"/>
        </w:rPr>
      </w:pPr>
    </w:p>
    <w:p w14:paraId="6055FD04">
      <w:pPr>
        <w:snapToGrid w:val="0"/>
        <w:spacing w:line="340" w:lineRule="exact"/>
        <w:ind w:left="0" w:firstLine="0"/>
        <w:rPr>
          <w:rFonts w:ascii="宋体" w:hAnsi="宋体" w:eastAsia="宋体" w:cs="宋体"/>
          <w:color w:val="auto"/>
          <w:sz w:val="22"/>
          <w:szCs w:val="22"/>
          <w:highlight w:val="none"/>
        </w:rPr>
      </w:pPr>
      <w:r>
        <w:rPr>
          <w:rFonts w:hint="eastAsia" w:ascii="宋体" w:hAnsi="宋体" w:eastAsia="宋体" w:cs="宋体"/>
          <w:color w:val="auto"/>
          <w:sz w:val="22"/>
          <w:szCs w:val="22"/>
          <w:highlight w:val="none"/>
        </w:rPr>
        <w:t>法定代表人：（签字或盖章）               法定代表人：（签字或盖章）</w:t>
      </w:r>
    </w:p>
    <w:p w14:paraId="79781A56">
      <w:pPr>
        <w:tabs>
          <w:tab w:val="left" w:pos="3969"/>
        </w:tabs>
        <w:snapToGrid w:val="0"/>
        <w:spacing w:line="340" w:lineRule="exact"/>
        <w:ind w:left="0" w:firstLine="0"/>
        <w:rPr>
          <w:rFonts w:ascii="宋体" w:hAnsi="宋体" w:eastAsia="宋体" w:cs="宋体"/>
          <w:color w:val="auto"/>
          <w:sz w:val="22"/>
          <w:szCs w:val="22"/>
          <w:highlight w:val="none"/>
        </w:rPr>
      </w:pPr>
      <w:r>
        <w:rPr>
          <w:rFonts w:hint="eastAsia" w:ascii="宋体" w:hAnsi="宋体" w:eastAsia="宋体" w:cs="宋体"/>
          <w:color w:val="auto"/>
          <w:sz w:val="22"/>
          <w:szCs w:val="22"/>
          <w:highlight w:val="none"/>
        </w:rPr>
        <w:t>或委托代理人：（签字或盖章）              或委托代理人：（签字或盖章）</w:t>
      </w:r>
    </w:p>
    <w:p w14:paraId="3EA94E5F">
      <w:pPr>
        <w:spacing w:line="240" w:lineRule="auto"/>
        <w:ind w:left="0" w:firstLine="0"/>
        <w:rPr>
          <w:rFonts w:ascii="宋体" w:hAnsi="宋体" w:eastAsia="宋体" w:cs="宋体"/>
          <w:color w:val="auto"/>
          <w:sz w:val="22"/>
          <w:szCs w:val="22"/>
          <w:highlight w:val="none"/>
        </w:rPr>
      </w:pPr>
    </w:p>
    <w:p w14:paraId="627C9300">
      <w:pPr>
        <w:spacing w:line="240" w:lineRule="auto"/>
        <w:ind w:left="0" w:firstLine="0"/>
        <w:rPr>
          <w:rFonts w:ascii="宋体" w:hAnsi="宋体" w:eastAsia="宋体" w:cs="宋体"/>
          <w:color w:val="auto"/>
          <w:sz w:val="22"/>
          <w:szCs w:val="22"/>
          <w:highlight w:val="none"/>
        </w:rPr>
      </w:pPr>
    </w:p>
    <w:p w14:paraId="44E70362">
      <w:pPr>
        <w:spacing w:line="240" w:lineRule="auto"/>
        <w:ind w:left="0" w:firstLine="880" w:firstLineChars="400"/>
        <w:rPr>
          <w:rFonts w:ascii="宋体" w:hAnsi="宋体" w:eastAsia="宋体" w:cs="宋体"/>
          <w:b/>
          <w:color w:val="auto"/>
          <w:szCs w:val="21"/>
          <w:highlight w:val="none"/>
        </w:rPr>
      </w:pPr>
      <w:r>
        <w:rPr>
          <w:rFonts w:hint="eastAsia" w:ascii="宋体" w:hAnsi="宋体" w:eastAsia="宋体" w:cs="宋体"/>
          <w:color w:val="auto"/>
          <w:sz w:val="22"/>
          <w:szCs w:val="22"/>
          <w:highlight w:val="none"/>
        </w:rPr>
        <w:t xml:space="preserve">   2026年   月   日                          2026年   月   日</w:t>
      </w:r>
    </w:p>
    <w:p w14:paraId="1FBCD8DD">
      <w:pPr>
        <w:spacing w:line="440" w:lineRule="exact"/>
        <w:ind w:left="0" w:firstLine="0"/>
        <w:outlineLvl w:val="0"/>
        <w:rPr>
          <w:rFonts w:ascii="宋体" w:hAnsi="宋体" w:eastAsia="宋体" w:cs="宋体"/>
          <w:b/>
          <w:color w:val="auto"/>
          <w:szCs w:val="21"/>
          <w:highlight w:val="none"/>
        </w:rPr>
      </w:pPr>
    </w:p>
    <w:p w14:paraId="51E95AFC">
      <w:pPr>
        <w:spacing w:line="440" w:lineRule="exact"/>
        <w:ind w:left="0" w:firstLine="0"/>
        <w:outlineLvl w:val="0"/>
        <w:rPr>
          <w:rFonts w:hint="eastAsia" w:ascii="宋体" w:hAnsi="宋体" w:eastAsia="宋体" w:cs="宋体"/>
          <w:b/>
          <w:color w:val="auto"/>
          <w:sz w:val="24"/>
          <w:highlight w:val="none"/>
        </w:rPr>
      </w:pPr>
      <w:bookmarkStart w:id="538" w:name="_Toc4406"/>
      <w:bookmarkStart w:id="539" w:name="_Toc5469"/>
      <w:bookmarkStart w:id="540" w:name="_Toc30825"/>
    </w:p>
    <w:p w14:paraId="74BBAFFA">
      <w:pPr>
        <w:spacing w:line="440" w:lineRule="exact"/>
        <w:ind w:left="0" w:firstLine="0"/>
        <w:outlineLvl w:val="0"/>
        <w:rPr>
          <w:rFonts w:hint="eastAsia" w:ascii="宋体" w:hAnsi="宋体" w:eastAsia="宋体" w:cs="宋体"/>
          <w:b/>
          <w:color w:val="auto"/>
          <w:sz w:val="24"/>
          <w:highlight w:val="none"/>
        </w:rPr>
      </w:pPr>
    </w:p>
    <w:p w14:paraId="2497804C">
      <w:pPr>
        <w:spacing w:line="440" w:lineRule="exact"/>
        <w:ind w:left="0" w:firstLine="0"/>
        <w:outlineLvl w:val="0"/>
        <w:rPr>
          <w:rFonts w:hint="eastAsia" w:ascii="宋体" w:hAnsi="宋体" w:eastAsia="宋体" w:cs="宋体"/>
          <w:b/>
          <w:color w:val="auto"/>
          <w:sz w:val="24"/>
          <w:highlight w:val="none"/>
        </w:rPr>
      </w:pPr>
    </w:p>
    <w:p w14:paraId="666AC21A">
      <w:pPr>
        <w:spacing w:line="440" w:lineRule="exact"/>
        <w:ind w:left="0" w:firstLine="0"/>
        <w:outlineLvl w:val="0"/>
        <w:rPr>
          <w:rFonts w:hint="eastAsia" w:ascii="宋体" w:hAnsi="宋体" w:eastAsia="宋体" w:cs="宋体"/>
          <w:b/>
          <w:color w:val="auto"/>
          <w:sz w:val="24"/>
          <w:highlight w:val="none"/>
        </w:rPr>
      </w:pPr>
    </w:p>
    <w:p w14:paraId="3C1D4226">
      <w:pPr>
        <w:spacing w:line="440" w:lineRule="exact"/>
        <w:ind w:left="0" w:firstLine="0"/>
        <w:outlineLvl w:val="0"/>
        <w:rPr>
          <w:rFonts w:hint="eastAsia" w:ascii="宋体" w:hAnsi="宋体" w:eastAsia="宋体" w:cs="宋体"/>
          <w:b/>
          <w:color w:val="auto"/>
          <w:sz w:val="24"/>
          <w:highlight w:val="none"/>
        </w:rPr>
      </w:pPr>
    </w:p>
    <w:p w14:paraId="67AB497D">
      <w:pPr>
        <w:spacing w:line="440" w:lineRule="exact"/>
        <w:ind w:left="0" w:firstLine="0"/>
        <w:outlineLvl w:val="0"/>
        <w:rPr>
          <w:rFonts w:ascii="宋体" w:hAnsi="宋体" w:eastAsia="宋体" w:cs="宋体"/>
          <w:b/>
          <w:color w:val="auto"/>
          <w:sz w:val="24"/>
          <w:highlight w:val="none"/>
        </w:rPr>
      </w:pPr>
      <w:r>
        <w:rPr>
          <w:rFonts w:hint="eastAsia" w:ascii="宋体" w:hAnsi="宋体" w:eastAsia="宋体" w:cs="宋体"/>
          <w:b/>
          <w:color w:val="auto"/>
          <w:sz w:val="24"/>
          <w:highlight w:val="none"/>
        </w:rPr>
        <w:t>附件4：</w:t>
      </w:r>
      <w:bookmarkEnd w:id="537"/>
      <w:bookmarkEnd w:id="538"/>
      <w:bookmarkEnd w:id="539"/>
      <w:bookmarkEnd w:id="540"/>
    </w:p>
    <w:p w14:paraId="3C5C126D">
      <w:pPr>
        <w:spacing w:line="420" w:lineRule="exact"/>
        <w:ind w:left="0" w:firstLine="0"/>
        <w:jc w:val="center"/>
        <w:rPr>
          <w:rFonts w:ascii="宋体" w:hAnsi="宋体" w:eastAsia="宋体" w:cs="宋体"/>
          <w:b/>
          <w:color w:val="auto"/>
          <w:sz w:val="28"/>
          <w:szCs w:val="28"/>
          <w:highlight w:val="none"/>
        </w:rPr>
      </w:pPr>
      <w:r>
        <w:rPr>
          <w:rFonts w:hint="eastAsia" w:ascii="宋体" w:hAnsi="宋体" w:eastAsia="宋体" w:cs="宋体"/>
          <w:b/>
          <w:color w:val="auto"/>
          <w:sz w:val="28"/>
          <w:szCs w:val="28"/>
          <w:highlight w:val="none"/>
        </w:rPr>
        <w:t>安 全 协 议</w:t>
      </w:r>
    </w:p>
    <w:p w14:paraId="5974DC70">
      <w:pPr>
        <w:spacing w:line="240" w:lineRule="auto"/>
        <w:ind w:left="0" w:firstLine="0"/>
        <w:rPr>
          <w:rFonts w:eastAsia="宋体"/>
          <w:color w:val="auto"/>
          <w:highlight w:val="none"/>
        </w:rPr>
      </w:pPr>
    </w:p>
    <w:p w14:paraId="24C700BD">
      <w:pPr>
        <w:tabs>
          <w:tab w:val="left" w:pos="105"/>
          <w:tab w:val="left" w:pos="5565"/>
        </w:tabs>
        <w:spacing w:line="312" w:lineRule="auto"/>
        <w:ind w:left="0" w:firstLine="495" w:firstLineChars="225"/>
        <w:jc w:val="left"/>
        <w:rPr>
          <w:rFonts w:ascii="宋体" w:hAnsi="宋体" w:eastAsia="宋体"/>
          <w:color w:val="auto"/>
          <w:sz w:val="22"/>
          <w:szCs w:val="22"/>
          <w:highlight w:val="none"/>
        </w:rPr>
      </w:pPr>
      <w:r>
        <w:rPr>
          <w:rFonts w:hint="eastAsia" w:ascii="宋体" w:hAnsi="宋体" w:eastAsia="宋体"/>
          <w:color w:val="auto"/>
          <w:sz w:val="22"/>
          <w:szCs w:val="22"/>
          <w:highlight w:val="none"/>
        </w:rPr>
        <w:t>发包人(全称)：</w:t>
      </w:r>
      <w:r>
        <w:rPr>
          <w:rFonts w:hint="eastAsia" w:ascii="宋体" w:hAnsi="宋体" w:eastAsia="宋体"/>
          <w:color w:val="auto"/>
          <w:sz w:val="22"/>
          <w:szCs w:val="22"/>
          <w:highlight w:val="none"/>
          <w:u w:val="single"/>
        </w:rPr>
        <w:t>柳州市人民医院</w:t>
      </w:r>
    </w:p>
    <w:p w14:paraId="43B91831">
      <w:pPr>
        <w:spacing w:line="312" w:lineRule="auto"/>
        <w:ind w:left="7020" w:leftChars="200" w:hanging="6600" w:hangingChars="3000"/>
        <w:rPr>
          <w:rFonts w:hAnsi="宋体" w:eastAsia="宋体" w:cs="宋体"/>
          <w:color w:val="auto"/>
          <w:sz w:val="22"/>
          <w:szCs w:val="22"/>
          <w:highlight w:val="none"/>
          <w:u w:val="single"/>
        </w:rPr>
      </w:pPr>
      <w:r>
        <w:rPr>
          <w:rFonts w:hint="eastAsia" w:ascii="宋体" w:hAnsi="宋体" w:eastAsia="宋体"/>
          <w:color w:val="auto"/>
          <w:sz w:val="22"/>
          <w:szCs w:val="22"/>
          <w:highlight w:val="none"/>
        </w:rPr>
        <w:t>承包人(全称)：</w:t>
      </w:r>
      <w:r>
        <w:rPr>
          <w:rFonts w:hint="eastAsia" w:ascii="宋体" w:hAnsi="宋体" w:eastAsia="宋体"/>
          <w:color w:val="auto"/>
          <w:sz w:val="22"/>
          <w:szCs w:val="22"/>
          <w:highlight w:val="none"/>
          <w:u w:val="single"/>
        </w:rPr>
        <w:t xml:space="preserve">               </w:t>
      </w:r>
    </w:p>
    <w:p w14:paraId="031ECBC3">
      <w:pPr>
        <w:widowControl/>
        <w:spacing w:line="360" w:lineRule="auto"/>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根据《中华人民共和国安全生产法》、《中华人民共和国建筑法》和《建设工程安全生产管理条例》的相关约定，承包人必须对工程中的安全生产实施全过程全方位的管理，加大检查力度，增加安全投入，消除各类安全隐患，认真履行安全生产管理责任。遵循平等、自愿、公平和诚实信用的原则，双方就</w:t>
      </w:r>
      <w:r>
        <w:rPr>
          <w:rFonts w:hint="eastAsia" w:ascii="宋体" w:hAnsi="宋体" w:cs="宋体"/>
          <w:b/>
          <w:color w:val="auto"/>
          <w:szCs w:val="21"/>
          <w:highlight w:val="none"/>
          <w:u w:val="single"/>
          <w:lang w:eastAsia="zh-CN"/>
        </w:rPr>
        <w:t>柳州市人民医院眼科手术室装修改造工程</w:t>
      </w:r>
      <w:r>
        <w:rPr>
          <w:rFonts w:hint="eastAsia" w:ascii="宋体" w:hAnsi="宋体" w:eastAsia="宋体" w:cs="宋体"/>
          <w:color w:val="auto"/>
          <w:szCs w:val="21"/>
          <w:highlight w:val="none"/>
        </w:rPr>
        <w:t>安全及有关事项协商一致，共同达成如下协议：</w:t>
      </w:r>
    </w:p>
    <w:p w14:paraId="7ED6ED8B">
      <w:pPr>
        <w:tabs>
          <w:tab w:val="left" w:pos="735"/>
        </w:tabs>
        <w:spacing w:line="420" w:lineRule="exact"/>
        <w:ind w:left="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承包人应遵守工程建设安全生产有关管理规定，严格按照安全标准组织施工，切实做好安全教育和防范工作，采取必要的安全防护措施，消除事故隐患。由于承包人安全措施不力造成经济损失和伤亡事故责任的，全部责任由承包人承担。</w:t>
      </w:r>
    </w:p>
    <w:p w14:paraId="46FD5A5D">
      <w:pPr>
        <w:tabs>
          <w:tab w:val="left" w:pos="735"/>
        </w:tabs>
        <w:spacing w:line="420" w:lineRule="exact"/>
        <w:ind w:left="105"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承包人必须对其在施工场地的人员进行安全教育，并报发包人备案，不得要求其施工人员违反安全管理规定进行施工，施工人员必须经过安全教育和培训方能上岗。施工作业期间工地现场必须有安全人员进行实时巡查。</w:t>
      </w:r>
    </w:p>
    <w:p w14:paraId="7EE1E3BC">
      <w:pPr>
        <w:tabs>
          <w:tab w:val="left" w:pos="735"/>
        </w:tabs>
        <w:spacing w:line="420" w:lineRule="exact"/>
        <w:ind w:left="105"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承包人在开工前，应当检查施工现场的情况，落实相应安全措施，排除安全隐患后才可以施工。施工时如发现不明管线的，承包人应当暂停施工，采取必要的应急措施，并及时向发包人报告，经有关部门处置完毕后方可恢复施工。</w:t>
      </w:r>
    </w:p>
    <w:p w14:paraId="54EBBE21">
      <w:pPr>
        <w:tabs>
          <w:tab w:val="left" w:pos="735"/>
        </w:tabs>
        <w:spacing w:line="420" w:lineRule="exact"/>
        <w:ind w:left="105"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4.承包人应当为作业人员提供符合国家标准或者行业标准的劳动安全防护用品，并监督、教育作业人员按照使用规则佩戴、使用。</w:t>
      </w:r>
    </w:p>
    <w:p w14:paraId="1CAB366A">
      <w:pPr>
        <w:tabs>
          <w:tab w:val="left" w:pos="735"/>
        </w:tabs>
        <w:spacing w:line="420" w:lineRule="exact"/>
        <w:ind w:left="105"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5.承包人保险责任：承包人应对其为本合同工程派遣或雇佣的任何人员购买意外伤亡和人身事故保险，保险费用包含在工程报价中。发包人因此不承担由承包人责任造成的一切伤害赔偿，也不补偿与此有关的一切索赔、诉讼、损害赔偿、诉讼费及其他开支。</w:t>
      </w:r>
    </w:p>
    <w:p w14:paraId="1490F933">
      <w:pPr>
        <w:tabs>
          <w:tab w:val="left" w:pos="105"/>
          <w:tab w:val="left" w:pos="5565"/>
        </w:tabs>
        <w:spacing w:line="440" w:lineRule="exact"/>
        <w:ind w:left="5880" w:hanging="5880" w:hangingChars="2800"/>
        <w:jc w:val="left"/>
        <w:rPr>
          <w:rFonts w:ascii="宋体" w:hAnsi="宋体" w:eastAsia="宋体"/>
          <w:color w:val="auto"/>
          <w:szCs w:val="21"/>
          <w:highlight w:val="none"/>
        </w:rPr>
      </w:pPr>
    </w:p>
    <w:p w14:paraId="7BBE3B81">
      <w:pPr>
        <w:tabs>
          <w:tab w:val="left" w:pos="105"/>
          <w:tab w:val="left" w:pos="5565"/>
        </w:tabs>
        <w:spacing w:line="440" w:lineRule="exact"/>
        <w:ind w:left="5880" w:hanging="5880" w:hangingChars="2800"/>
        <w:jc w:val="left"/>
        <w:rPr>
          <w:rFonts w:ascii="宋体" w:hAnsi="宋体" w:eastAsia="宋体"/>
          <w:color w:val="auto"/>
          <w:sz w:val="22"/>
          <w:szCs w:val="22"/>
          <w:highlight w:val="none"/>
        </w:rPr>
      </w:pPr>
      <w:r>
        <w:rPr>
          <w:rFonts w:hint="eastAsia" w:ascii="宋体" w:hAnsi="宋体" w:eastAsia="宋体"/>
          <w:color w:val="auto"/>
          <w:szCs w:val="21"/>
          <w:highlight w:val="none"/>
        </w:rPr>
        <w:t>发包人： (公章) 柳州市人民医院                  承包人：(公章)</w:t>
      </w:r>
    </w:p>
    <w:p w14:paraId="2E2F2DF3">
      <w:pPr>
        <w:tabs>
          <w:tab w:val="left" w:pos="105"/>
          <w:tab w:val="left" w:pos="5565"/>
        </w:tabs>
        <w:spacing w:line="400" w:lineRule="exact"/>
        <w:ind w:left="5880" w:hanging="5880" w:hangingChars="2800"/>
        <w:jc w:val="left"/>
        <w:rPr>
          <w:rFonts w:ascii="宋体" w:hAnsi="宋体" w:eastAsia="宋体"/>
          <w:color w:val="auto"/>
          <w:szCs w:val="21"/>
          <w:highlight w:val="none"/>
        </w:rPr>
      </w:pPr>
      <w:r>
        <w:rPr>
          <w:rFonts w:hint="eastAsia" w:ascii="宋体" w:hAnsi="宋体" w:eastAsia="宋体"/>
          <w:color w:val="auto"/>
          <w:szCs w:val="21"/>
          <w:highlight w:val="none"/>
        </w:rPr>
        <w:t>法定代表人：（签字或盖章）                      法定代表人：（签字或盖章）</w:t>
      </w:r>
    </w:p>
    <w:p w14:paraId="539F82FB">
      <w:pPr>
        <w:tabs>
          <w:tab w:val="left" w:pos="105"/>
          <w:tab w:val="left" w:pos="5565"/>
        </w:tabs>
        <w:spacing w:line="500" w:lineRule="exact"/>
        <w:ind w:left="5880" w:hanging="5880" w:hangingChars="2800"/>
        <w:jc w:val="left"/>
        <w:rPr>
          <w:rFonts w:ascii="宋体" w:hAnsi="宋体" w:eastAsia="宋体"/>
          <w:color w:val="auto"/>
          <w:szCs w:val="21"/>
          <w:highlight w:val="none"/>
        </w:rPr>
      </w:pPr>
      <w:r>
        <w:rPr>
          <w:rFonts w:hint="eastAsia" w:ascii="宋体" w:hAnsi="宋体" w:eastAsia="宋体"/>
          <w:color w:val="auto"/>
          <w:szCs w:val="21"/>
          <w:highlight w:val="none"/>
        </w:rPr>
        <w:t>或委托代理人：（签字或盖章）                    或委托代理人：（签字或盖章）</w:t>
      </w:r>
    </w:p>
    <w:p w14:paraId="795A3F9A">
      <w:pPr>
        <w:tabs>
          <w:tab w:val="left" w:pos="105"/>
          <w:tab w:val="left" w:pos="5565"/>
        </w:tabs>
        <w:spacing w:line="360" w:lineRule="exact"/>
        <w:ind w:left="0" w:firstLine="0"/>
        <w:jc w:val="left"/>
        <w:rPr>
          <w:rFonts w:ascii="宋体" w:hAnsi="宋体" w:eastAsia="宋体"/>
          <w:color w:val="auto"/>
          <w:szCs w:val="21"/>
          <w:highlight w:val="none"/>
        </w:rPr>
      </w:pPr>
      <w:r>
        <w:rPr>
          <w:rFonts w:hint="eastAsia" w:ascii="宋体" w:hAnsi="宋体" w:eastAsia="宋体"/>
          <w:color w:val="auto"/>
          <w:szCs w:val="21"/>
          <w:highlight w:val="none"/>
        </w:rPr>
        <w:t>地  址：柳州市文昌路8号                        地  址：</w:t>
      </w:r>
    </w:p>
    <w:p w14:paraId="2052100A">
      <w:pPr>
        <w:tabs>
          <w:tab w:val="left" w:pos="105"/>
          <w:tab w:val="left" w:pos="5565"/>
        </w:tabs>
        <w:spacing w:line="360" w:lineRule="exact"/>
        <w:ind w:left="5880" w:hanging="5880" w:hangingChars="2800"/>
        <w:jc w:val="left"/>
        <w:rPr>
          <w:rFonts w:ascii="宋体" w:hAnsi="宋体" w:eastAsia="宋体" w:cs="宋体"/>
          <w:color w:val="auto"/>
          <w:szCs w:val="21"/>
          <w:highlight w:val="none"/>
        </w:rPr>
      </w:pPr>
      <w:r>
        <w:rPr>
          <w:rFonts w:hint="eastAsia" w:ascii="宋体" w:hAnsi="宋体" w:eastAsia="宋体"/>
          <w:color w:val="auto"/>
          <w:szCs w:val="21"/>
          <w:highlight w:val="none"/>
        </w:rPr>
        <w:t>电  话：0772-26620</w:t>
      </w:r>
      <w:r>
        <w:rPr>
          <w:rFonts w:hint="eastAsia" w:ascii="宋体" w:hAnsi="宋体"/>
          <w:color w:val="auto"/>
          <w:szCs w:val="21"/>
          <w:highlight w:val="none"/>
          <w:lang w:val="en-US" w:eastAsia="zh-CN"/>
        </w:rPr>
        <w:t>78</w:t>
      </w:r>
      <w:r>
        <w:rPr>
          <w:rFonts w:hint="eastAsia" w:ascii="宋体" w:hAnsi="宋体" w:eastAsia="宋体"/>
          <w:color w:val="auto"/>
          <w:szCs w:val="21"/>
          <w:highlight w:val="none"/>
        </w:rPr>
        <w:t xml:space="preserve">                            电  话： </w:t>
      </w:r>
    </w:p>
    <w:p w14:paraId="52E62897">
      <w:pPr>
        <w:tabs>
          <w:tab w:val="left" w:pos="105"/>
          <w:tab w:val="left" w:pos="5565"/>
        </w:tabs>
        <w:spacing w:line="440" w:lineRule="exact"/>
        <w:ind w:left="0" w:firstLine="840" w:firstLineChars="400"/>
        <w:jc w:val="left"/>
        <w:rPr>
          <w:rFonts w:hint="default" w:ascii="仿宋_GB2312" w:hAnsi="Calibri" w:eastAsia="仿宋_GB2312" w:cs="Times New Roman"/>
          <w:b/>
          <w:bCs/>
          <w:color w:val="auto"/>
          <w:kern w:val="2"/>
          <w:sz w:val="36"/>
          <w:szCs w:val="36"/>
          <w:highlight w:val="none"/>
          <w:lang w:val="en-US" w:eastAsia="zh-CN" w:bidi="ar-SA"/>
        </w:rPr>
      </w:pPr>
      <w:r>
        <w:rPr>
          <w:rFonts w:hint="eastAsia" w:ascii="宋体" w:hAnsi="宋体" w:eastAsia="宋体" w:cs="宋体"/>
          <w:color w:val="auto"/>
          <w:szCs w:val="21"/>
          <w:highlight w:val="none"/>
        </w:rPr>
        <w:t xml:space="preserve">   2026年  月  日                         2026年  月  日</w:t>
      </w:r>
      <w:bookmarkEnd w:id="93"/>
    </w:p>
    <w:p w14:paraId="47882370">
      <w:pPr>
        <w:spacing w:line="360" w:lineRule="auto"/>
        <w:rPr>
          <w:rFonts w:hint="eastAsia" w:ascii="宋体" w:hAnsi="宋体" w:eastAsia="宋体" w:cs="宋体"/>
        </w:rPr>
      </w:pPr>
    </w:p>
    <w:p w14:paraId="43F836B4">
      <w:pPr>
        <w:spacing w:line="360" w:lineRule="auto"/>
        <w:rPr>
          <w:rFonts w:hint="eastAsia" w:ascii="宋体" w:hAnsi="宋体" w:eastAsia="宋体" w:cs="宋体"/>
        </w:rPr>
      </w:pPr>
    </w:p>
    <w:p w14:paraId="20923166">
      <w:pPr>
        <w:spacing w:line="360" w:lineRule="auto"/>
        <w:rPr>
          <w:rFonts w:hint="eastAsia" w:ascii="宋体" w:hAnsi="宋体" w:eastAsia="宋体" w:cs="宋体"/>
        </w:rPr>
      </w:pPr>
    </w:p>
    <w:p w14:paraId="5B405163">
      <w:pPr>
        <w:spacing w:line="360" w:lineRule="auto"/>
        <w:rPr>
          <w:rFonts w:hint="eastAsia" w:ascii="宋体" w:hAnsi="宋体" w:eastAsia="宋体" w:cs="宋体"/>
        </w:rPr>
      </w:pPr>
    </w:p>
    <w:p w14:paraId="1C1BD45D">
      <w:pPr>
        <w:spacing w:line="360" w:lineRule="auto"/>
        <w:rPr>
          <w:rFonts w:hint="eastAsia" w:ascii="宋体" w:hAnsi="宋体" w:eastAsia="宋体" w:cs="宋体"/>
        </w:rPr>
      </w:pPr>
    </w:p>
    <w:p w14:paraId="23AAB6BD">
      <w:pPr>
        <w:spacing w:line="360" w:lineRule="auto"/>
        <w:rPr>
          <w:rFonts w:hint="eastAsia" w:ascii="宋体" w:hAnsi="宋体" w:eastAsia="宋体" w:cs="宋体"/>
        </w:rPr>
      </w:pPr>
    </w:p>
    <w:p w14:paraId="169D776A">
      <w:pPr>
        <w:spacing w:line="360" w:lineRule="auto"/>
        <w:rPr>
          <w:rFonts w:hint="eastAsia" w:ascii="宋体" w:hAnsi="宋体" w:eastAsia="宋体" w:cs="宋体"/>
        </w:rPr>
      </w:pPr>
    </w:p>
    <w:p w14:paraId="2D1F3BF7">
      <w:pPr>
        <w:spacing w:line="360" w:lineRule="auto"/>
        <w:rPr>
          <w:rFonts w:hint="eastAsia" w:ascii="宋体" w:hAnsi="宋体" w:eastAsia="宋体" w:cs="宋体"/>
        </w:rPr>
      </w:pPr>
    </w:p>
    <w:p w14:paraId="791ED0CA">
      <w:pPr>
        <w:pStyle w:val="11"/>
        <w:snapToGrid w:val="0"/>
        <w:spacing w:before="120" w:after="120" w:line="320" w:lineRule="exact"/>
        <w:jc w:val="center"/>
        <w:outlineLvl w:val="0"/>
        <w:rPr>
          <w:rFonts w:hint="eastAsia" w:ascii="宋体" w:hAnsi="宋体" w:eastAsia="宋体" w:cs="宋体"/>
        </w:rPr>
      </w:pPr>
      <w:bookmarkStart w:id="541" w:name="_Toc7099"/>
      <w:r>
        <w:rPr>
          <w:rFonts w:hint="eastAsia" w:ascii="宋体" w:hAnsi="宋体" w:eastAsia="宋体" w:cs="宋体"/>
          <w:b/>
          <w:bCs/>
          <w:sz w:val="32"/>
          <w:szCs w:val="32"/>
        </w:rPr>
        <w:t>第</w:t>
      </w:r>
      <w:r>
        <w:rPr>
          <w:rFonts w:hint="eastAsia" w:hAnsi="宋体" w:cs="宋体"/>
          <w:b/>
          <w:bCs/>
          <w:sz w:val="32"/>
          <w:szCs w:val="32"/>
          <w:lang w:val="en-US" w:eastAsia="zh-CN"/>
        </w:rPr>
        <w:t>七</w:t>
      </w:r>
      <w:r>
        <w:rPr>
          <w:rFonts w:hint="eastAsia" w:ascii="宋体" w:hAnsi="宋体" w:eastAsia="宋体" w:cs="宋体"/>
          <w:b/>
          <w:bCs/>
          <w:sz w:val="32"/>
          <w:szCs w:val="32"/>
        </w:rPr>
        <w:t>章  响应文件格式</w:t>
      </w:r>
      <w:bookmarkEnd w:id="541"/>
    </w:p>
    <w:p w14:paraId="6E5C8214">
      <w:pPr>
        <w:rPr>
          <w:rFonts w:hint="eastAsia" w:ascii="宋体" w:hAnsi="宋体" w:eastAsia="宋体" w:cs="宋体"/>
          <w:sz w:val="28"/>
          <w:szCs w:val="28"/>
        </w:rPr>
      </w:pPr>
      <w:bookmarkStart w:id="542" w:name="_Toc254970556"/>
      <w:bookmarkStart w:id="543" w:name="_Toc254970697"/>
    </w:p>
    <w:p w14:paraId="1E2BA54B">
      <w:pPr>
        <w:rPr>
          <w:rFonts w:hint="eastAsia" w:ascii="宋体" w:hAnsi="宋体" w:eastAsia="宋体" w:cs="宋体"/>
          <w:sz w:val="28"/>
          <w:szCs w:val="28"/>
        </w:rPr>
      </w:pPr>
    </w:p>
    <w:p w14:paraId="75BFDA79">
      <w:pPr>
        <w:snapToGrid w:val="0"/>
        <w:spacing w:before="120" w:beforeLines="50" w:after="50" w:line="440" w:lineRule="exact"/>
        <w:rPr>
          <w:rFonts w:hint="eastAsia" w:ascii="宋体" w:hAnsi="宋体" w:eastAsia="宋体" w:cs="宋体"/>
          <w:bCs/>
          <w:sz w:val="24"/>
        </w:rPr>
      </w:pPr>
      <w:bookmarkStart w:id="544" w:name="_Hlk89190642"/>
      <w:r>
        <w:rPr>
          <w:rFonts w:hint="eastAsia" w:ascii="宋体" w:hAnsi="宋体" w:eastAsia="宋体" w:cs="宋体"/>
          <w:sz w:val="28"/>
          <w:szCs w:val="28"/>
        </w:rPr>
        <w:t>注：有签字、盖章要求的应按</w:t>
      </w:r>
      <w:r>
        <w:rPr>
          <w:rFonts w:hint="eastAsia" w:ascii="宋体" w:hAnsi="宋体" w:eastAsia="宋体" w:cs="宋体"/>
          <w:color w:val="auto"/>
          <w:sz w:val="28"/>
          <w:szCs w:val="28"/>
        </w:rPr>
        <w:t>要求签字（签章）、盖章（签章）。</w:t>
      </w:r>
      <w:bookmarkEnd w:id="542"/>
      <w:bookmarkEnd w:id="543"/>
      <w:r>
        <w:rPr>
          <w:rFonts w:hint="eastAsia" w:ascii="宋体" w:hAnsi="宋体" w:eastAsia="宋体" w:cs="宋体"/>
          <w:bCs/>
          <w:color w:val="auto"/>
          <w:sz w:val="24"/>
        </w:rPr>
        <w:t xml:space="preserve"> </w:t>
      </w:r>
    </w:p>
    <w:bookmarkEnd w:id="544"/>
    <w:p w14:paraId="2BCD4DE1">
      <w:pPr>
        <w:snapToGrid w:val="0"/>
        <w:spacing w:before="120" w:beforeLines="50" w:after="50" w:line="440" w:lineRule="exact"/>
        <w:jc w:val="left"/>
        <w:outlineLvl w:val="1"/>
        <w:rPr>
          <w:rFonts w:hint="eastAsia" w:ascii="宋体" w:hAnsi="宋体" w:eastAsia="宋体" w:cs="宋体"/>
          <w:b/>
          <w:sz w:val="24"/>
        </w:rPr>
      </w:pPr>
      <w:r>
        <w:rPr>
          <w:rFonts w:hint="eastAsia" w:ascii="宋体" w:hAnsi="宋体" w:eastAsia="宋体" w:cs="宋体"/>
          <w:sz w:val="24"/>
        </w:rPr>
        <w:br w:type="page"/>
      </w:r>
      <w:bookmarkStart w:id="545" w:name="_Hlk89190719"/>
      <w:r>
        <w:rPr>
          <w:rFonts w:hint="eastAsia" w:ascii="宋体" w:hAnsi="宋体" w:eastAsia="宋体" w:cs="宋体"/>
          <w:b/>
          <w:sz w:val="24"/>
        </w:rPr>
        <w:t xml:space="preserve">1.响应文件封面格式： </w:t>
      </w:r>
    </w:p>
    <w:p w14:paraId="34AA122E">
      <w:pPr>
        <w:snapToGrid w:val="0"/>
        <w:spacing w:before="120" w:beforeLines="50" w:after="50" w:line="360" w:lineRule="exact"/>
        <w:rPr>
          <w:rFonts w:hint="eastAsia" w:ascii="宋体" w:hAnsi="宋体" w:eastAsia="宋体" w:cs="宋体"/>
          <w:sz w:val="24"/>
        </w:rPr>
      </w:pPr>
    </w:p>
    <w:p w14:paraId="7AA39C5F">
      <w:pPr>
        <w:snapToGrid w:val="0"/>
        <w:spacing w:before="120" w:beforeLines="50" w:after="50" w:line="360" w:lineRule="exact"/>
        <w:jc w:val="center"/>
        <w:rPr>
          <w:rFonts w:hint="eastAsia" w:ascii="宋体" w:hAnsi="宋体" w:eastAsia="宋体" w:cs="宋体"/>
          <w:bCs/>
          <w:sz w:val="24"/>
        </w:rPr>
      </w:pPr>
    </w:p>
    <w:p w14:paraId="60402C45">
      <w:pPr>
        <w:snapToGrid w:val="0"/>
        <w:spacing w:before="120" w:beforeLines="50" w:after="50" w:line="360" w:lineRule="exact"/>
        <w:jc w:val="center"/>
        <w:rPr>
          <w:rFonts w:hint="eastAsia" w:ascii="宋体" w:hAnsi="宋体" w:eastAsia="宋体" w:cs="宋体"/>
          <w:b/>
          <w:bCs/>
          <w:sz w:val="44"/>
          <w:szCs w:val="44"/>
        </w:rPr>
      </w:pPr>
    </w:p>
    <w:p w14:paraId="3991F114">
      <w:pPr>
        <w:snapToGrid w:val="0"/>
        <w:spacing w:before="120" w:beforeLines="50" w:after="50" w:line="360" w:lineRule="exact"/>
        <w:jc w:val="center"/>
        <w:rPr>
          <w:rFonts w:hint="eastAsia" w:ascii="宋体" w:hAnsi="宋体" w:eastAsia="宋体" w:cs="宋体"/>
          <w:b/>
          <w:bCs/>
          <w:sz w:val="44"/>
          <w:szCs w:val="44"/>
        </w:rPr>
      </w:pPr>
      <w:r>
        <w:rPr>
          <w:rFonts w:hint="eastAsia" w:ascii="宋体" w:hAnsi="宋体" w:eastAsia="宋体" w:cs="宋体"/>
          <w:b/>
          <w:bCs/>
          <w:sz w:val="44"/>
          <w:szCs w:val="44"/>
        </w:rPr>
        <w:t>电子响应文件</w:t>
      </w:r>
    </w:p>
    <w:p w14:paraId="6D2BACC1">
      <w:pPr>
        <w:snapToGrid w:val="0"/>
        <w:spacing w:before="120" w:beforeLines="50" w:after="50" w:line="360" w:lineRule="exact"/>
        <w:rPr>
          <w:rFonts w:hint="eastAsia" w:ascii="宋体" w:hAnsi="宋体" w:eastAsia="宋体" w:cs="宋体"/>
          <w:bCs/>
          <w:sz w:val="24"/>
        </w:rPr>
      </w:pPr>
    </w:p>
    <w:p w14:paraId="0702E663">
      <w:pPr>
        <w:snapToGrid w:val="0"/>
        <w:spacing w:before="120" w:beforeLines="50" w:after="50" w:line="360" w:lineRule="exact"/>
        <w:ind w:firstLine="720" w:firstLineChars="300"/>
        <w:rPr>
          <w:rFonts w:hint="eastAsia" w:ascii="宋体" w:hAnsi="宋体" w:eastAsia="宋体" w:cs="宋体"/>
          <w:bCs/>
          <w:sz w:val="24"/>
        </w:rPr>
      </w:pPr>
      <w:r>
        <w:rPr>
          <w:rFonts w:hint="eastAsia" w:ascii="宋体" w:hAnsi="宋体" w:eastAsia="宋体" w:cs="宋体"/>
          <w:bCs/>
          <w:sz w:val="24"/>
        </w:rPr>
        <w:t xml:space="preserve">项目名称： </w:t>
      </w:r>
    </w:p>
    <w:p w14:paraId="106927D3">
      <w:pPr>
        <w:snapToGrid w:val="0"/>
        <w:spacing w:before="120" w:beforeLines="50" w:after="50" w:line="360" w:lineRule="exact"/>
        <w:ind w:firstLine="720" w:firstLineChars="300"/>
        <w:rPr>
          <w:rFonts w:hint="eastAsia" w:ascii="宋体" w:hAnsi="宋体" w:eastAsia="宋体" w:cs="宋体"/>
          <w:bCs/>
          <w:sz w:val="24"/>
        </w:rPr>
      </w:pPr>
      <w:r>
        <w:rPr>
          <w:rFonts w:hint="eastAsia" w:ascii="宋体" w:hAnsi="宋体" w:eastAsia="宋体" w:cs="宋体"/>
          <w:bCs/>
          <w:sz w:val="24"/>
        </w:rPr>
        <w:t>项目编号：</w:t>
      </w:r>
    </w:p>
    <w:p w14:paraId="440FC0B8">
      <w:pPr>
        <w:snapToGrid w:val="0"/>
        <w:spacing w:before="120" w:beforeLines="50" w:after="50" w:line="360" w:lineRule="exact"/>
        <w:ind w:firstLine="720" w:firstLineChars="300"/>
        <w:rPr>
          <w:rFonts w:hint="eastAsia" w:ascii="宋体" w:hAnsi="宋体" w:eastAsia="宋体" w:cs="宋体"/>
          <w:bCs/>
          <w:sz w:val="24"/>
        </w:rPr>
      </w:pPr>
      <w:r>
        <w:rPr>
          <w:rFonts w:hint="eastAsia" w:ascii="宋体" w:hAnsi="宋体" w:eastAsia="宋体" w:cs="宋体"/>
          <w:bCs/>
          <w:sz w:val="24"/>
        </w:rPr>
        <w:t>分标号： （若无留空或写“/”）</w:t>
      </w:r>
    </w:p>
    <w:p w14:paraId="04EDC719">
      <w:pPr>
        <w:snapToGrid w:val="0"/>
        <w:spacing w:before="120" w:beforeLines="50" w:after="50" w:line="360" w:lineRule="exact"/>
        <w:ind w:firstLine="720" w:firstLineChars="300"/>
        <w:rPr>
          <w:rFonts w:hint="eastAsia" w:ascii="宋体" w:hAnsi="宋体" w:eastAsia="宋体" w:cs="宋体"/>
          <w:bCs/>
          <w:sz w:val="24"/>
        </w:rPr>
      </w:pPr>
      <w:r>
        <w:rPr>
          <w:rFonts w:hint="eastAsia" w:ascii="宋体" w:hAnsi="宋体" w:eastAsia="宋体" w:cs="宋体"/>
          <w:bCs/>
          <w:sz w:val="24"/>
        </w:rPr>
        <w:t>响应文件名称：资格证明文件、商务技术文件、报价文件</w:t>
      </w:r>
    </w:p>
    <w:bookmarkEnd w:id="545"/>
    <w:p w14:paraId="007A6A15">
      <w:pPr>
        <w:snapToGrid w:val="0"/>
        <w:spacing w:before="120" w:beforeLines="50" w:after="50" w:line="360" w:lineRule="exact"/>
        <w:ind w:firstLine="720" w:firstLineChars="300"/>
        <w:rPr>
          <w:rFonts w:hint="eastAsia" w:ascii="宋体" w:hAnsi="宋体" w:eastAsia="宋体" w:cs="宋体"/>
          <w:bCs/>
          <w:sz w:val="24"/>
        </w:rPr>
      </w:pPr>
      <w:r>
        <w:rPr>
          <w:rFonts w:hint="eastAsia" w:ascii="宋体" w:hAnsi="宋体" w:eastAsia="宋体" w:cs="宋体"/>
          <w:bCs/>
          <w:sz w:val="24"/>
        </w:rPr>
        <w:t>供应商名称：</w:t>
      </w:r>
    </w:p>
    <w:p w14:paraId="4A5BBAB3">
      <w:pPr>
        <w:snapToGrid w:val="0"/>
        <w:spacing w:before="120" w:beforeLines="50" w:after="50" w:line="360" w:lineRule="exact"/>
        <w:ind w:firstLine="720" w:firstLineChars="300"/>
        <w:rPr>
          <w:rFonts w:hint="eastAsia" w:ascii="宋体" w:hAnsi="宋体" w:eastAsia="宋体" w:cs="宋体"/>
          <w:bCs/>
          <w:sz w:val="24"/>
        </w:rPr>
      </w:pPr>
      <w:r>
        <w:rPr>
          <w:rFonts w:hint="eastAsia" w:ascii="宋体" w:hAnsi="宋体" w:eastAsia="宋体" w:cs="宋体"/>
          <w:bCs/>
          <w:sz w:val="24"/>
        </w:rPr>
        <w:t>供应商地址：</w:t>
      </w:r>
    </w:p>
    <w:p w14:paraId="2A791C35">
      <w:pPr>
        <w:pStyle w:val="6"/>
        <w:snapToGrid w:val="0"/>
        <w:spacing w:before="50" w:after="50" w:line="360" w:lineRule="exact"/>
        <w:ind w:firstLine="960" w:firstLineChars="400"/>
        <w:rPr>
          <w:rFonts w:hint="eastAsia" w:ascii="宋体" w:hAnsi="宋体" w:eastAsia="宋体" w:cs="宋体"/>
          <w:bCs/>
          <w:sz w:val="24"/>
          <w:szCs w:val="24"/>
        </w:rPr>
      </w:pPr>
    </w:p>
    <w:p w14:paraId="2ADC9648">
      <w:pPr>
        <w:snapToGrid w:val="0"/>
        <w:spacing w:before="120" w:beforeLines="50" w:after="50" w:line="360" w:lineRule="exact"/>
        <w:jc w:val="center"/>
        <w:rPr>
          <w:rFonts w:hint="eastAsia" w:ascii="宋体" w:hAnsi="宋体" w:eastAsia="宋体" w:cs="宋体"/>
          <w:sz w:val="24"/>
        </w:rPr>
      </w:pPr>
      <w:r>
        <w:rPr>
          <w:rFonts w:hint="eastAsia" w:ascii="宋体" w:hAnsi="宋体" w:eastAsia="宋体" w:cs="宋体"/>
          <w:sz w:val="24"/>
        </w:rPr>
        <w:t xml:space="preserve">                        年  月  日</w:t>
      </w:r>
    </w:p>
    <w:p w14:paraId="328592D7">
      <w:pPr>
        <w:snapToGrid w:val="0"/>
        <w:spacing w:before="120" w:beforeLines="50" w:after="50" w:line="440" w:lineRule="exact"/>
        <w:jc w:val="center"/>
        <w:outlineLvl w:val="1"/>
        <w:rPr>
          <w:rFonts w:hint="eastAsia" w:ascii="宋体" w:hAnsi="宋体" w:eastAsia="宋体" w:cs="宋体"/>
          <w:b/>
          <w:bCs/>
          <w:sz w:val="24"/>
        </w:rPr>
      </w:pPr>
      <w:bookmarkStart w:id="546" w:name="_Toc254970557"/>
      <w:bookmarkStart w:id="547" w:name="_Toc254970698"/>
      <w:r>
        <w:rPr>
          <w:rFonts w:hint="eastAsia" w:ascii="宋体" w:hAnsi="宋体" w:eastAsia="宋体" w:cs="宋体"/>
          <w:sz w:val="24"/>
        </w:rPr>
        <w:br w:type="page"/>
      </w:r>
      <w:bookmarkEnd w:id="546"/>
      <w:bookmarkEnd w:id="547"/>
    </w:p>
    <w:p w14:paraId="589C4878">
      <w:pPr>
        <w:snapToGrid w:val="0"/>
        <w:spacing w:before="120" w:beforeLines="50" w:after="50" w:line="440" w:lineRule="exact"/>
        <w:jc w:val="center"/>
        <w:rPr>
          <w:rFonts w:hint="eastAsia" w:ascii="宋体" w:hAnsi="宋体" w:eastAsia="宋体" w:cs="宋体"/>
          <w:sz w:val="24"/>
        </w:rPr>
      </w:pPr>
    </w:p>
    <w:p w14:paraId="6898E520">
      <w:pPr>
        <w:snapToGrid w:val="0"/>
        <w:spacing w:before="50" w:after="50" w:line="440" w:lineRule="exact"/>
        <w:ind w:firstLine="138" w:firstLineChars="49"/>
        <w:jc w:val="center"/>
        <w:rPr>
          <w:rFonts w:hint="eastAsia" w:ascii="宋体" w:hAnsi="宋体" w:eastAsia="宋体" w:cs="宋体"/>
          <w:b/>
          <w:sz w:val="28"/>
          <w:szCs w:val="28"/>
        </w:rPr>
      </w:pPr>
      <w:r>
        <w:rPr>
          <w:rFonts w:hint="eastAsia" w:ascii="宋体" w:hAnsi="宋体" w:eastAsia="宋体" w:cs="宋体"/>
          <w:b/>
          <w:sz w:val="28"/>
          <w:szCs w:val="28"/>
        </w:rPr>
        <w:t>目录</w:t>
      </w:r>
    </w:p>
    <w:p w14:paraId="3987E28E">
      <w:pPr>
        <w:snapToGrid w:val="0"/>
        <w:spacing w:before="50" w:after="50" w:line="440" w:lineRule="exact"/>
        <w:ind w:firstLine="118" w:firstLineChars="49"/>
        <w:jc w:val="center"/>
        <w:rPr>
          <w:rFonts w:hint="eastAsia" w:ascii="宋体" w:hAnsi="宋体" w:eastAsia="宋体" w:cs="宋体"/>
          <w:b/>
          <w:sz w:val="24"/>
        </w:rPr>
      </w:pPr>
      <w:r>
        <w:rPr>
          <w:rFonts w:hint="eastAsia" w:ascii="宋体" w:hAnsi="宋体" w:eastAsia="宋体" w:cs="宋体"/>
          <w:b/>
          <w:sz w:val="24"/>
        </w:rPr>
        <w:t>（</w:t>
      </w:r>
      <w:bookmarkStart w:id="548" w:name="_Hlk89190735"/>
      <w:r>
        <w:rPr>
          <w:rFonts w:hint="eastAsia" w:ascii="宋体" w:hAnsi="宋体" w:eastAsia="宋体" w:cs="宋体"/>
          <w:b/>
          <w:sz w:val="24"/>
        </w:rPr>
        <w:t>需</w:t>
      </w:r>
      <w:bookmarkEnd w:id="548"/>
      <w:r>
        <w:rPr>
          <w:rFonts w:hint="eastAsia" w:ascii="宋体" w:hAnsi="宋体" w:eastAsia="宋体" w:cs="宋体"/>
          <w:b/>
          <w:sz w:val="24"/>
        </w:rPr>
        <w:t>有页码）</w:t>
      </w:r>
    </w:p>
    <w:p w14:paraId="78D88E1B">
      <w:pPr>
        <w:snapToGrid w:val="0"/>
        <w:spacing w:before="50" w:after="50" w:line="440" w:lineRule="exact"/>
        <w:ind w:firstLine="118" w:firstLineChars="49"/>
        <w:jc w:val="center"/>
        <w:rPr>
          <w:rFonts w:hint="eastAsia" w:ascii="宋体" w:hAnsi="宋体" w:eastAsia="宋体" w:cs="宋体"/>
          <w:b/>
          <w:sz w:val="24"/>
        </w:rPr>
      </w:pPr>
      <w:r>
        <w:rPr>
          <w:rFonts w:hint="eastAsia" w:ascii="宋体" w:hAnsi="宋体" w:eastAsia="宋体" w:cs="宋体"/>
          <w:b/>
          <w:sz w:val="24"/>
        </w:rPr>
        <w:br w:type="page"/>
      </w:r>
    </w:p>
    <w:p w14:paraId="30B8CB58">
      <w:pPr>
        <w:snapToGrid w:val="0"/>
        <w:spacing w:before="120" w:beforeLines="50" w:after="50" w:line="440" w:lineRule="exact"/>
        <w:jc w:val="center"/>
        <w:outlineLvl w:val="1"/>
        <w:rPr>
          <w:rFonts w:hint="eastAsia" w:ascii="宋体" w:hAnsi="宋体" w:eastAsia="宋体" w:cs="宋体"/>
          <w:bCs/>
          <w:sz w:val="24"/>
        </w:rPr>
      </w:pPr>
      <w:r>
        <w:rPr>
          <w:rFonts w:hint="eastAsia" w:ascii="宋体" w:hAnsi="宋体" w:eastAsia="宋体" w:cs="宋体"/>
          <w:bCs/>
          <w:sz w:val="24"/>
        </w:rPr>
        <w:t xml:space="preserve">第一部分 </w:t>
      </w:r>
      <w:bookmarkStart w:id="549" w:name="_Hlk89190743"/>
      <w:r>
        <w:rPr>
          <w:rFonts w:hint="eastAsia" w:ascii="宋体" w:hAnsi="宋体" w:eastAsia="宋体" w:cs="宋体"/>
          <w:bCs/>
          <w:sz w:val="24"/>
        </w:rPr>
        <w:t>资格证明文件</w:t>
      </w:r>
      <w:bookmarkEnd w:id="549"/>
    </w:p>
    <w:p w14:paraId="7BD2BC88">
      <w:pPr>
        <w:snapToGrid w:val="0"/>
        <w:spacing w:before="50" w:after="50" w:line="440" w:lineRule="exact"/>
        <w:ind w:firstLine="157" w:firstLineChars="49"/>
        <w:jc w:val="center"/>
        <w:rPr>
          <w:rStyle w:val="22"/>
          <w:rFonts w:hint="eastAsia" w:ascii="宋体" w:hAnsi="宋体" w:eastAsia="宋体" w:cs="宋体"/>
        </w:rPr>
      </w:pPr>
    </w:p>
    <w:p w14:paraId="6F973891">
      <w:pPr>
        <w:snapToGrid w:val="0"/>
        <w:spacing w:before="50" w:after="120" w:afterLines="50" w:line="400" w:lineRule="exact"/>
        <w:jc w:val="left"/>
        <w:rPr>
          <w:rFonts w:hint="eastAsia" w:ascii="宋体" w:hAnsi="宋体" w:eastAsia="宋体" w:cs="宋体"/>
          <w:b/>
          <w:szCs w:val="21"/>
        </w:rPr>
      </w:pPr>
      <w:r>
        <w:rPr>
          <w:rFonts w:hint="eastAsia" w:ascii="宋体" w:hAnsi="宋体" w:eastAsia="宋体" w:cs="宋体"/>
          <w:b/>
          <w:szCs w:val="21"/>
        </w:rPr>
        <w:t>1．响应声明书格式：</w:t>
      </w:r>
    </w:p>
    <w:p w14:paraId="3EEE89F6">
      <w:pPr>
        <w:snapToGrid w:val="0"/>
        <w:spacing w:before="120" w:beforeLines="50" w:after="50" w:line="360" w:lineRule="exact"/>
        <w:jc w:val="center"/>
        <w:rPr>
          <w:rFonts w:hint="eastAsia" w:ascii="宋体" w:hAnsi="宋体" w:eastAsia="宋体" w:cs="宋体"/>
          <w:b/>
          <w:szCs w:val="21"/>
        </w:rPr>
      </w:pPr>
      <w:r>
        <w:rPr>
          <w:rFonts w:hint="eastAsia" w:ascii="宋体" w:hAnsi="宋体" w:eastAsia="宋体" w:cs="宋体"/>
          <w:b/>
          <w:szCs w:val="21"/>
        </w:rPr>
        <w:t>响应声明书</w:t>
      </w:r>
    </w:p>
    <w:p w14:paraId="47E6B7B6">
      <w:pPr>
        <w:snapToGrid w:val="0"/>
        <w:spacing w:before="120" w:beforeLines="50" w:after="50" w:line="360" w:lineRule="exact"/>
        <w:jc w:val="center"/>
        <w:rPr>
          <w:rFonts w:hint="eastAsia" w:ascii="宋体" w:hAnsi="宋体" w:eastAsia="宋体" w:cs="宋体"/>
          <w:szCs w:val="21"/>
        </w:rPr>
      </w:pPr>
    </w:p>
    <w:p w14:paraId="11ABBFD1">
      <w:pPr>
        <w:snapToGrid w:val="0"/>
        <w:spacing w:before="120" w:beforeLines="50" w:after="50" w:line="360" w:lineRule="exact"/>
        <w:rPr>
          <w:rFonts w:hint="eastAsia" w:ascii="宋体" w:hAnsi="宋体" w:eastAsia="宋体" w:cs="宋体"/>
          <w:szCs w:val="21"/>
        </w:rPr>
      </w:pPr>
      <w:r>
        <w:rPr>
          <w:rFonts w:hint="eastAsia" w:ascii="宋体" w:hAnsi="宋体" w:eastAsia="宋体" w:cs="宋体"/>
          <w:szCs w:val="21"/>
        </w:rPr>
        <w:t>致：</w:t>
      </w:r>
      <w:r>
        <w:rPr>
          <w:rFonts w:hint="eastAsia" w:ascii="宋体" w:hAnsi="宋体" w:eastAsia="宋体" w:cs="宋体"/>
          <w:i/>
          <w:iCs/>
          <w:szCs w:val="21"/>
          <w:u w:val="single"/>
        </w:rPr>
        <w:t>（采购人名称）</w:t>
      </w:r>
      <w:r>
        <w:rPr>
          <w:rFonts w:hint="eastAsia" w:ascii="宋体" w:hAnsi="宋体" w:eastAsia="宋体" w:cs="宋体"/>
          <w:szCs w:val="21"/>
        </w:rPr>
        <w:t>：：</w:t>
      </w:r>
    </w:p>
    <w:p w14:paraId="0DEE6FEB">
      <w:pPr>
        <w:snapToGrid w:val="0"/>
        <w:spacing w:before="120" w:beforeLines="50" w:after="50" w:line="360" w:lineRule="exact"/>
        <w:ind w:firstLine="630" w:firstLineChars="300"/>
        <w:rPr>
          <w:rFonts w:hint="eastAsia" w:ascii="宋体" w:hAnsi="宋体" w:eastAsia="宋体" w:cs="宋体"/>
          <w:szCs w:val="21"/>
        </w:rPr>
      </w:pPr>
      <w:r>
        <w:rPr>
          <w:rFonts w:hint="eastAsia" w:ascii="宋体" w:hAnsi="宋体" w:eastAsia="宋体" w:cs="宋体"/>
          <w:i/>
          <w:iCs/>
          <w:szCs w:val="21"/>
          <w:u w:val="single"/>
        </w:rPr>
        <w:t>（供应商名称）</w:t>
      </w:r>
      <w:r>
        <w:rPr>
          <w:rFonts w:hint="eastAsia" w:ascii="宋体" w:hAnsi="宋体" w:eastAsia="宋体" w:cs="宋体"/>
          <w:szCs w:val="21"/>
        </w:rPr>
        <w:t>系中华人民共和国合法企业，</w:t>
      </w:r>
      <w:r>
        <w:rPr>
          <w:rFonts w:hint="eastAsia" w:ascii="宋体" w:hAnsi="宋体" w:eastAsia="宋体" w:cs="宋体"/>
          <w:szCs w:val="21"/>
          <w:u w:val="single"/>
        </w:rPr>
        <w:t xml:space="preserve"> </w:t>
      </w:r>
      <w:r>
        <w:rPr>
          <w:rFonts w:hint="eastAsia" w:ascii="宋体" w:hAnsi="宋体" w:eastAsia="宋体" w:cs="宋体"/>
          <w:i/>
          <w:iCs/>
          <w:szCs w:val="21"/>
          <w:u w:val="single"/>
        </w:rPr>
        <w:t xml:space="preserve"> （经营地址）  </w:t>
      </w:r>
      <w:r>
        <w:rPr>
          <w:rFonts w:hint="eastAsia" w:ascii="宋体" w:hAnsi="宋体" w:eastAsia="宋体" w:cs="宋体"/>
          <w:szCs w:val="21"/>
          <w:u w:val="single"/>
        </w:rPr>
        <w:t xml:space="preserve"> </w:t>
      </w:r>
      <w:r>
        <w:rPr>
          <w:rFonts w:hint="eastAsia" w:ascii="宋体" w:hAnsi="宋体" w:eastAsia="宋体" w:cs="宋体"/>
          <w:szCs w:val="21"/>
        </w:rPr>
        <w:t>。</w:t>
      </w:r>
    </w:p>
    <w:p w14:paraId="6897B183">
      <w:pPr>
        <w:snapToGrid w:val="0"/>
        <w:spacing w:before="120" w:beforeLines="50" w:after="50" w:line="360" w:lineRule="exact"/>
        <w:ind w:firstLine="645"/>
        <w:rPr>
          <w:rFonts w:hint="eastAsia" w:ascii="宋体" w:hAnsi="宋体" w:eastAsia="宋体" w:cs="宋体"/>
          <w:szCs w:val="21"/>
        </w:rPr>
      </w:pPr>
      <w:r>
        <w:rPr>
          <w:rFonts w:hint="eastAsia" w:ascii="宋体" w:hAnsi="宋体" w:eastAsia="宋体" w:cs="宋体"/>
          <w:szCs w:val="21"/>
        </w:rPr>
        <w:t>我</w:t>
      </w:r>
      <w:r>
        <w:rPr>
          <w:rFonts w:hint="eastAsia" w:ascii="宋体" w:hAnsi="宋体" w:eastAsia="宋体" w:cs="宋体"/>
          <w:i/>
          <w:iCs/>
          <w:szCs w:val="21"/>
          <w:u w:val="single"/>
        </w:rPr>
        <w:t xml:space="preserve">（姓名） </w:t>
      </w:r>
      <w:r>
        <w:rPr>
          <w:rFonts w:hint="eastAsia" w:ascii="宋体" w:hAnsi="宋体" w:eastAsia="宋体" w:cs="宋体"/>
          <w:szCs w:val="21"/>
        </w:rPr>
        <w:t>系</w:t>
      </w:r>
      <w:r>
        <w:rPr>
          <w:rFonts w:hint="eastAsia" w:ascii="宋体" w:hAnsi="宋体" w:eastAsia="宋体" w:cs="宋体"/>
          <w:i/>
          <w:iCs/>
          <w:szCs w:val="21"/>
          <w:u w:val="single"/>
        </w:rPr>
        <w:t>（供应商名称）</w:t>
      </w:r>
      <w:r>
        <w:rPr>
          <w:rFonts w:hint="eastAsia" w:ascii="宋体" w:hAnsi="宋体" w:eastAsia="宋体" w:cs="宋体"/>
          <w:szCs w:val="21"/>
        </w:rPr>
        <w:t>的法定代表人，我方愿意参加贵方组织的</w:t>
      </w:r>
      <w:r>
        <w:rPr>
          <w:rFonts w:hint="eastAsia" w:ascii="宋体" w:hAnsi="宋体" w:eastAsia="宋体" w:cs="宋体"/>
          <w:i/>
          <w:iCs/>
          <w:szCs w:val="21"/>
          <w:u w:val="single"/>
        </w:rPr>
        <w:t xml:space="preserve">（项目名称） </w:t>
      </w:r>
      <w:r>
        <w:rPr>
          <w:rFonts w:hint="eastAsia" w:ascii="宋体" w:hAnsi="宋体" w:eastAsia="宋体" w:cs="宋体"/>
          <w:szCs w:val="21"/>
        </w:rPr>
        <w:t>项目的磋商，为便于贵方公正、择优地确定成交供应商及其响应内容，我方就本次磋商有关事项郑重声明如下：</w:t>
      </w:r>
    </w:p>
    <w:p w14:paraId="5158BE4B">
      <w:pPr>
        <w:snapToGrid w:val="0"/>
        <w:spacing w:before="120" w:beforeLines="50" w:line="360" w:lineRule="exact"/>
        <w:ind w:firstLine="420" w:firstLineChars="200"/>
        <w:rPr>
          <w:rFonts w:hint="eastAsia" w:ascii="宋体" w:hAnsi="宋体" w:eastAsia="宋体" w:cs="宋体"/>
          <w:szCs w:val="21"/>
        </w:rPr>
      </w:pPr>
      <w:r>
        <w:rPr>
          <w:rFonts w:hint="eastAsia" w:ascii="宋体" w:hAnsi="宋体" w:eastAsia="宋体" w:cs="宋体"/>
          <w:szCs w:val="21"/>
        </w:rPr>
        <w:t>（1）我方向贵方提交的所有响应文件、资料都是准确的和真实的。</w:t>
      </w:r>
    </w:p>
    <w:p w14:paraId="373E6AD2">
      <w:pPr>
        <w:snapToGrid w:val="0"/>
        <w:spacing w:before="120" w:beforeLines="50" w:line="360" w:lineRule="exact"/>
        <w:ind w:firstLine="420" w:firstLineChars="200"/>
        <w:rPr>
          <w:rFonts w:hint="eastAsia" w:ascii="宋体" w:hAnsi="宋体" w:eastAsia="宋体" w:cs="宋体"/>
          <w:szCs w:val="21"/>
        </w:rPr>
      </w:pPr>
      <w:r>
        <w:rPr>
          <w:rFonts w:hint="eastAsia" w:ascii="宋体" w:hAnsi="宋体" w:eastAsia="宋体" w:cs="宋体"/>
          <w:szCs w:val="21"/>
        </w:rPr>
        <w:t>（2）我方不是采购人的附属机构；也不是为本项目提供整体设计、规范编制或者项目管理、监理、检测等服务的供应商或其附属机构。</w:t>
      </w:r>
    </w:p>
    <w:p w14:paraId="62913B75">
      <w:pPr>
        <w:snapToGrid w:val="0"/>
        <w:spacing w:before="120" w:beforeLines="50" w:line="360" w:lineRule="exact"/>
        <w:ind w:firstLine="420" w:firstLineChars="200"/>
        <w:rPr>
          <w:rFonts w:hint="eastAsia" w:ascii="宋体" w:hAnsi="宋体" w:eastAsia="宋体" w:cs="宋体"/>
          <w:szCs w:val="21"/>
        </w:rPr>
      </w:pPr>
      <w:r>
        <w:rPr>
          <w:rFonts w:hint="eastAsia" w:ascii="宋体" w:hAnsi="宋体" w:eastAsia="宋体" w:cs="宋体"/>
          <w:szCs w:val="21"/>
        </w:rPr>
        <w:t>（3） 我方承诺在参加本政府采购项目活动前，没有被纳入政府部门或银行认定的失信名单，我方具有良好的商业信誉。</w:t>
      </w:r>
    </w:p>
    <w:p w14:paraId="3FF7E0FC">
      <w:pPr>
        <w:spacing w:line="300" w:lineRule="exact"/>
        <w:ind w:firstLine="420" w:firstLineChars="200"/>
        <w:jc w:val="left"/>
        <w:rPr>
          <w:rFonts w:hint="eastAsia" w:ascii="宋体" w:hAnsi="宋体" w:eastAsia="宋体" w:cs="宋体"/>
          <w:szCs w:val="21"/>
        </w:rPr>
      </w:pPr>
      <w:r>
        <w:rPr>
          <w:rFonts w:hint="eastAsia" w:ascii="宋体" w:hAnsi="宋体" w:eastAsia="宋体" w:cs="宋体"/>
          <w:szCs w:val="21"/>
        </w:rPr>
        <w:t>（4）我方及本人承诺在参加本政府采购项目活动前三年内，在经营活动中没有重大违法记录。重大违法记录是指供应商因违法经营受到刑事处罚或者责令停产停业、吊销许可证或者执照、较大数额罚款等行政处罚。如我方提供的声明不实，则自愿承担《政府采购法》有关提供虚假材料的规定给予的处罚。</w:t>
      </w:r>
    </w:p>
    <w:p w14:paraId="4BD943F9">
      <w:pPr>
        <w:snapToGrid w:val="0"/>
        <w:spacing w:before="120" w:beforeLines="50" w:line="360" w:lineRule="exact"/>
        <w:ind w:firstLine="420" w:firstLineChars="200"/>
        <w:rPr>
          <w:rFonts w:hint="eastAsia" w:ascii="宋体" w:hAnsi="宋体" w:eastAsia="宋体" w:cs="宋体"/>
          <w:szCs w:val="21"/>
          <w:lang w:val="zh-CN"/>
        </w:rPr>
      </w:pPr>
      <w:r>
        <w:rPr>
          <w:rFonts w:hint="eastAsia" w:ascii="宋体" w:hAnsi="宋体" w:eastAsia="宋体" w:cs="宋体"/>
          <w:szCs w:val="21"/>
        </w:rPr>
        <w:t>（5）</w:t>
      </w:r>
      <w:r>
        <w:rPr>
          <w:rFonts w:hint="eastAsia" w:ascii="宋体" w:hAnsi="宋体" w:eastAsia="宋体" w:cs="宋体"/>
          <w:szCs w:val="21"/>
          <w:lang w:val="zh-CN"/>
        </w:rPr>
        <w:t>我方</w:t>
      </w:r>
      <w:r>
        <w:rPr>
          <w:rFonts w:hint="eastAsia" w:ascii="宋体" w:hAnsi="宋体" w:eastAsia="宋体" w:cs="宋体"/>
          <w:szCs w:val="21"/>
        </w:rPr>
        <w:t>承诺</w:t>
      </w:r>
      <w:r>
        <w:rPr>
          <w:rFonts w:hint="eastAsia" w:ascii="宋体" w:hAnsi="宋体" w:eastAsia="宋体" w:cs="宋体"/>
          <w:szCs w:val="21"/>
          <w:lang w:val="zh-CN"/>
        </w:rPr>
        <w:t>具有履行本项目合同所必需的设备和专业技术能力。</w:t>
      </w:r>
    </w:p>
    <w:p w14:paraId="06F9A40C">
      <w:pPr>
        <w:snapToGrid w:val="0"/>
        <w:spacing w:before="120" w:beforeLines="50" w:line="360" w:lineRule="exact"/>
        <w:ind w:firstLine="420" w:firstLineChars="200"/>
        <w:rPr>
          <w:rFonts w:hint="eastAsia" w:ascii="宋体" w:hAnsi="宋体" w:eastAsia="宋体" w:cs="宋体"/>
          <w:szCs w:val="21"/>
        </w:rPr>
      </w:pPr>
      <w:r>
        <w:rPr>
          <w:rFonts w:hint="eastAsia" w:ascii="宋体" w:hAnsi="宋体" w:eastAsia="宋体" w:cs="宋体"/>
          <w:szCs w:val="21"/>
        </w:rPr>
        <w:t>（6）我方承诺未被列入失信被执行人、</w:t>
      </w:r>
      <w:r>
        <w:rPr>
          <w:rFonts w:hint="eastAsia" w:ascii="宋体" w:hAnsi="宋体" w:eastAsia="宋体" w:cs="宋体"/>
          <w:kern w:val="0"/>
          <w:szCs w:val="21"/>
        </w:rPr>
        <w:t>重大税收违法失信主体</w:t>
      </w:r>
      <w:r>
        <w:rPr>
          <w:rFonts w:hint="eastAsia" w:ascii="宋体" w:hAnsi="宋体" w:eastAsia="宋体" w:cs="宋体"/>
          <w:szCs w:val="21"/>
        </w:rPr>
        <w:t>、政府采购严重违法失信行为记录名单，如我方提供的声明不实，则接受本次响应作为响应无效的处理，并根据财库〔2016〕125号《财政部关于在政府采购活动中查询及使用信用记录有关问题的通知》规定接受失信联合惩戒。</w:t>
      </w:r>
    </w:p>
    <w:p w14:paraId="4DB60B07">
      <w:pPr>
        <w:snapToGrid w:val="0"/>
        <w:spacing w:before="120" w:beforeLines="50" w:line="360" w:lineRule="exact"/>
        <w:ind w:firstLine="420" w:firstLineChars="200"/>
        <w:rPr>
          <w:rFonts w:hint="eastAsia" w:ascii="宋体" w:hAnsi="宋体" w:eastAsia="宋体" w:cs="宋体"/>
          <w:szCs w:val="21"/>
        </w:rPr>
      </w:pPr>
      <w:r>
        <w:rPr>
          <w:rFonts w:hint="eastAsia" w:ascii="宋体" w:hAnsi="宋体" w:eastAsia="宋体" w:cs="宋体"/>
          <w:szCs w:val="21"/>
        </w:rPr>
        <w:t>（7）我方承诺成交后按规定缴纳代理服务费。如未按时缴纳，贵方可不退还我方提交的磋商保证金，并从中扣除代理服务费。</w:t>
      </w:r>
    </w:p>
    <w:p w14:paraId="2B3F2138">
      <w:pPr>
        <w:snapToGrid w:val="0"/>
        <w:spacing w:before="120" w:beforeLines="50" w:line="360" w:lineRule="exact"/>
        <w:ind w:firstLine="420" w:firstLineChars="200"/>
        <w:rPr>
          <w:rFonts w:hint="eastAsia" w:ascii="宋体" w:hAnsi="宋体" w:eastAsia="宋体" w:cs="宋体"/>
          <w:szCs w:val="21"/>
        </w:rPr>
      </w:pPr>
      <w:r>
        <w:rPr>
          <w:rFonts w:hint="eastAsia" w:ascii="宋体" w:hAnsi="宋体" w:eastAsia="宋体" w:cs="宋体"/>
          <w:szCs w:val="21"/>
        </w:rPr>
        <w:t>我方对以上声明负全部法律责任。如有虚假或隐瞒，我方愿意承担一切后果，并不再寻求任何旨在减轻或免除法律责任的辩解。</w:t>
      </w:r>
    </w:p>
    <w:p w14:paraId="2790E2B1">
      <w:pPr>
        <w:snapToGrid w:val="0"/>
        <w:spacing w:before="120" w:beforeLines="50" w:line="360" w:lineRule="exact"/>
        <w:ind w:firstLine="420" w:firstLineChars="200"/>
        <w:rPr>
          <w:rFonts w:hint="eastAsia" w:ascii="宋体" w:hAnsi="宋体" w:eastAsia="宋体" w:cs="宋体"/>
          <w:szCs w:val="21"/>
        </w:rPr>
      </w:pPr>
    </w:p>
    <w:p w14:paraId="624EC7C6">
      <w:pPr>
        <w:snapToGrid w:val="0"/>
        <w:spacing w:before="120" w:beforeLines="50" w:after="50" w:line="360" w:lineRule="exact"/>
        <w:ind w:firstLine="3570" w:firstLineChars="1700"/>
        <w:rPr>
          <w:rFonts w:hint="eastAsia" w:ascii="宋体" w:hAnsi="宋体" w:eastAsia="宋体" w:cs="宋体"/>
          <w:szCs w:val="21"/>
        </w:rPr>
      </w:pPr>
      <w:bookmarkStart w:id="550" w:name="_Hlk89190765"/>
      <w:r>
        <w:rPr>
          <w:rFonts w:hint="eastAsia" w:ascii="宋体" w:hAnsi="宋体" w:eastAsia="宋体" w:cs="宋体"/>
          <w:szCs w:val="21"/>
        </w:rPr>
        <w:t>供应商名称（电子签章）</w:t>
      </w:r>
      <w:bookmarkEnd w:id="550"/>
      <w:r>
        <w:rPr>
          <w:rFonts w:hint="eastAsia" w:ascii="宋体" w:hAnsi="宋体" w:eastAsia="宋体" w:cs="宋体"/>
          <w:szCs w:val="21"/>
        </w:rPr>
        <w:t>：</w:t>
      </w:r>
      <w:r>
        <w:rPr>
          <w:rFonts w:hint="eastAsia" w:ascii="宋体" w:hAnsi="宋体" w:eastAsia="宋体" w:cs="宋体"/>
          <w:szCs w:val="21"/>
          <w:u w:val="single"/>
        </w:rPr>
        <w:t xml:space="preserve">                </w:t>
      </w:r>
    </w:p>
    <w:p w14:paraId="2069ED86">
      <w:pPr>
        <w:snapToGrid w:val="0"/>
        <w:spacing w:before="120" w:beforeLines="50" w:after="50" w:line="360" w:lineRule="exact"/>
        <w:ind w:firstLine="210" w:firstLineChars="100"/>
        <w:rPr>
          <w:rFonts w:hint="eastAsia" w:ascii="宋体" w:hAnsi="宋体" w:eastAsia="宋体" w:cs="宋体"/>
          <w:szCs w:val="21"/>
        </w:rPr>
      </w:pPr>
      <w:r>
        <w:rPr>
          <w:rFonts w:hint="eastAsia" w:ascii="宋体" w:hAnsi="宋体" w:eastAsia="宋体" w:cs="宋体"/>
          <w:szCs w:val="21"/>
        </w:rPr>
        <w:t xml:space="preserve">                                          年    月    日</w:t>
      </w:r>
    </w:p>
    <w:p w14:paraId="695A0487">
      <w:pPr>
        <w:spacing w:line="360" w:lineRule="auto"/>
        <w:rPr>
          <w:rFonts w:hint="eastAsia" w:ascii="宋体" w:hAnsi="宋体" w:eastAsia="宋体" w:cs="宋体"/>
          <w:szCs w:val="21"/>
        </w:rPr>
      </w:pPr>
      <w:r>
        <w:rPr>
          <w:rFonts w:hint="eastAsia" w:ascii="宋体" w:hAnsi="宋体" w:eastAsia="宋体" w:cs="宋体"/>
          <w:szCs w:val="21"/>
        </w:rPr>
        <w:br w:type="page"/>
      </w:r>
      <w:r>
        <w:rPr>
          <w:rFonts w:hint="eastAsia" w:ascii="宋体" w:hAnsi="宋体" w:eastAsia="宋体" w:cs="宋体"/>
          <w:szCs w:val="21"/>
          <w:lang w:val="en-US" w:eastAsia="zh-CN"/>
        </w:rPr>
        <w:t>2</w:t>
      </w:r>
      <w:r>
        <w:rPr>
          <w:rFonts w:hint="eastAsia" w:ascii="宋体" w:hAnsi="宋体" w:eastAsia="宋体" w:cs="宋体"/>
          <w:szCs w:val="21"/>
        </w:rPr>
        <w:t>．法人或者其他组织的营业执照等证明文件。即供应商是企业则提供营业执照（副本）扫描件；供应商是事业单位，则提供事业单位法人证书（副本）扫描件；供应商是非企业专业服务机构的，则提供执业许可证等证明文件扫描件；如供应商不是以上所列的法人、组织的，则提供国家规定的相关证明材料。</w:t>
      </w:r>
      <w:bookmarkStart w:id="551" w:name="_Hlk89190828"/>
      <w:r>
        <w:rPr>
          <w:rFonts w:hint="eastAsia" w:ascii="宋体" w:hAnsi="宋体" w:eastAsia="宋体" w:cs="宋体"/>
          <w:szCs w:val="21"/>
        </w:rPr>
        <w:t>（加盖供应商电子签章）</w:t>
      </w:r>
      <w:bookmarkEnd w:id="551"/>
    </w:p>
    <w:p w14:paraId="21992DC0">
      <w:pPr>
        <w:snapToGrid w:val="0"/>
        <w:spacing w:before="120" w:beforeLines="50" w:after="50" w:line="440" w:lineRule="exact"/>
        <w:rPr>
          <w:rFonts w:hint="eastAsia" w:ascii="宋体" w:hAnsi="宋体" w:eastAsia="宋体" w:cs="宋体"/>
          <w:szCs w:val="21"/>
        </w:rPr>
      </w:pPr>
    </w:p>
    <w:p w14:paraId="202A479F">
      <w:pPr>
        <w:numPr>
          <w:ilvl w:val="0"/>
          <w:numId w:val="0"/>
        </w:numPr>
        <w:snapToGrid w:val="0"/>
        <w:spacing w:before="120" w:beforeLines="50" w:after="50" w:line="440" w:lineRule="exact"/>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lang w:val="en-US" w:eastAsia="zh-CN"/>
        </w:rPr>
        <w:t>3.</w:t>
      </w:r>
      <w:r>
        <w:rPr>
          <w:rFonts w:hint="eastAsia" w:ascii="宋体" w:hAnsi="宋体" w:eastAsia="宋体" w:cs="宋体"/>
          <w:bCs/>
          <w:color w:val="auto"/>
          <w:szCs w:val="21"/>
          <w:highlight w:val="none"/>
        </w:rPr>
        <w:t>政府采购供应商资格信用承诺函格式</w:t>
      </w:r>
      <w:r>
        <w:rPr>
          <w:rFonts w:hint="eastAsia" w:ascii="宋体" w:hAnsi="宋体" w:eastAsia="宋体" w:cs="宋体"/>
          <w:bCs/>
          <w:color w:val="auto"/>
          <w:szCs w:val="21"/>
          <w:highlight w:val="none"/>
          <w:lang w:eastAsia="zh-CN"/>
        </w:rPr>
        <w:t>：</w:t>
      </w:r>
    </w:p>
    <w:p w14:paraId="01BBBCFB">
      <w:pPr>
        <w:widowControl w:val="0"/>
        <w:numPr>
          <w:ilvl w:val="0"/>
          <w:numId w:val="0"/>
        </w:numPr>
        <w:snapToGrid w:val="0"/>
        <w:spacing w:before="120" w:beforeLines="50" w:after="50" w:line="440" w:lineRule="exact"/>
        <w:jc w:val="both"/>
        <w:rPr>
          <w:rFonts w:hint="eastAsia" w:ascii="宋体" w:hAnsi="宋体" w:eastAsia="宋体" w:cs="宋体"/>
          <w:bCs/>
          <w:color w:val="auto"/>
          <w:szCs w:val="21"/>
          <w:highlight w:val="none"/>
          <w:lang w:eastAsia="zh-CN"/>
        </w:rPr>
      </w:pPr>
    </w:p>
    <w:p w14:paraId="38153D81">
      <w:pPr>
        <w:snapToGrid w:val="0"/>
        <w:spacing w:before="120" w:beforeLines="50" w:after="50" w:line="360" w:lineRule="exact"/>
        <w:jc w:val="center"/>
        <w:rPr>
          <w:rFonts w:ascii="Arial" w:hAnsi="Arial" w:cs="Arial"/>
          <w:b/>
          <w:color w:val="auto"/>
          <w:szCs w:val="21"/>
          <w:highlight w:val="none"/>
        </w:rPr>
      </w:pPr>
      <w:r>
        <w:rPr>
          <w:rFonts w:ascii="Arial" w:hAnsi="Arial" w:cs="Arial"/>
          <w:b/>
          <w:color w:val="auto"/>
          <w:szCs w:val="21"/>
          <w:highlight w:val="none"/>
        </w:rPr>
        <w:t>政府采购供应商资格信用承诺函</w:t>
      </w:r>
    </w:p>
    <w:p w14:paraId="5C334BF1">
      <w:pPr>
        <w:pStyle w:val="10"/>
        <w:rPr>
          <w:rFonts w:ascii="Arial" w:hAnsi="Arial" w:cs="Arial"/>
          <w:color w:val="auto"/>
          <w:sz w:val="32"/>
          <w:szCs w:val="32"/>
          <w:highlight w:val="none"/>
        </w:rPr>
      </w:pPr>
    </w:p>
    <w:p w14:paraId="4057199F">
      <w:pPr>
        <w:autoSpaceDE w:val="0"/>
        <w:autoSpaceDN w:val="0"/>
        <w:adjustRightInd w:val="0"/>
        <w:spacing w:line="400" w:lineRule="exact"/>
        <w:rPr>
          <w:rFonts w:ascii="Arial" w:hAnsi="Arial" w:cs="Arial"/>
          <w:color w:val="auto"/>
          <w:spacing w:val="6"/>
          <w:szCs w:val="21"/>
          <w:highlight w:val="none"/>
        </w:rPr>
      </w:pPr>
      <w:r>
        <w:rPr>
          <w:rFonts w:ascii="Arial" w:hAnsi="Arial" w:cs="Arial"/>
          <w:color w:val="auto"/>
          <w:spacing w:val="6"/>
          <w:szCs w:val="21"/>
          <w:highlight w:val="none"/>
        </w:rPr>
        <w:t>致：</w:t>
      </w:r>
      <w:r>
        <w:rPr>
          <w:rFonts w:ascii="Arial" w:hAnsi="Arial" w:cs="Arial"/>
          <w:color w:val="auto"/>
          <w:spacing w:val="6"/>
          <w:szCs w:val="21"/>
          <w:highlight w:val="none"/>
          <w:u w:val="single"/>
        </w:rPr>
        <w:t>（采购人名称）、（代理机构名称）</w:t>
      </w:r>
      <w:r>
        <w:rPr>
          <w:rFonts w:ascii="Arial" w:hAnsi="Arial" w:cs="Arial"/>
          <w:color w:val="auto"/>
          <w:spacing w:val="6"/>
          <w:szCs w:val="21"/>
          <w:highlight w:val="none"/>
        </w:rPr>
        <w:t>：</w:t>
      </w:r>
    </w:p>
    <w:p w14:paraId="211B243B">
      <w:pPr>
        <w:autoSpaceDE w:val="0"/>
        <w:autoSpaceDN w:val="0"/>
        <w:adjustRightInd w:val="0"/>
        <w:spacing w:line="400" w:lineRule="exact"/>
        <w:ind w:firstLine="640"/>
        <w:rPr>
          <w:rFonts w:ascii="Arial" w:hAnsi="Arial" w:cs="Arial"/>
          <w:color w:val="auto"/>
          <w:spacing w:val="6"/>
          <w:szCs w:val="21"/>
          <w:highlight w:val="none"/>
        </w:rPr>
      </w:pPr>
      <w:r>
        <w:rPr>
          <w:rFonts w:ascii="Arial" w:hAnsi="Arial" w:cs="Arial"/>
          <w:color w:val="auto"/>
          <w:spacing w:val="6"/>
          <w:szCs w:val="21"/>
          <w:highlight w:val="none"/>
        </w:rPr>
        <w:t>我方自愿参加</w:t>
      </w:r>
      <w:r>
        <w:rPr>
          <w:rFonts w:ascii="Arial" w:hAnsi="Arial" w:cs="Arial"/>
          <w:color w:val="auto"/>
          <w:spacing w:val="6"/>
          <w:szCs w:val="21"/>
          <w:highlight w:val="none"/>
          <w:u w:val="single"/>
        </w:rPr>
        <w:t xml:space="preserve">                       </w:t>
      </w:r>
      <w:r>
        <w:rPr>
          <w:rFonts w:ascii="Arial" w:hAnsi="Arial" w:cs="Arial"/>
          <w:color w:val="auto"/>
          <w:spacing w:val="6"/>
          <w:szCs w:val="21"/>
          <w:highlight w:val="none"/>
        </w:rPr>
        <w:t>项目（项目编号：</w:t>
      </w:r>
      <w:r>
        <w:rPr>
          <w:rFonts w:ascii="Arial" w:hAnsi="Arial" w:cs="Arial"/>
          <w:color w:val="auto"/>
          <w:spacing w:val="6"/>
          <w:szCs w:val="21"/>
          <w:highlight w:val="none"/>
          <w:u w:val="single"/>
        </w:rPr>
        <w:t xml:space="preserve">                      </w:t>
      </w:r>
      <w:r>
        <w:rPr>
          <w:rFonts w:ascii="Arial" w:hAnsi="Arial" w:cs="Arial"/>
          <w:color w:val="auto"/>
          <w:spacing w:val="6"/>
          <w:szCs w:val="21"/>
          <w:highlight w:val="none"/>
        </w:rPr>
        <w:t xml:space="preserve">）的政府采购活动，并郑重承诺我方符合《中华人民共和国政府采购法》第二十二条规定的条件： </w:t>
      </w:r>
    </w:p>
    <w:p w14:paraId="631F15EE">
      <w:pPr>
        <w:autoSpaceDE w:val="0"/>
        <w:autoSpaceDN w:val="0"/>
        <w:adjustRightInd w:val="0"/>
        <w:spacing w:line="400" w:lineRule="exact"/>
        <w:ind w:firstLine="640"/>
        <w:rPr>
          <w:rFonts w:ascii="Arial" w:hAnsi="Arial" w:cs="Arial"/>
          <w:color w:val="auto"/>
          <w:spacing w:val="6"/>
          <w:szCs w:val="21"/>
          <w:highlight w:val="none"/>
        </w:rPr>
      </w:pPr>
      <w:r>
        <w:rPr>
          <w:rFonts w:ascii="Arial" w:hAnsi="Arial" w:cs="Arial"/>
          <w:color w:val="auto"/>
          <w:spacing w:val="6"/>
          <w:szCs w:val="21"/>
          <w:highlight w:val="none"/>
        </w:rPr>
        <w:t xml:space="preserve">（一）具有独立承担民事责任的能力； </w:t>
      </w:r>
    </w:p>
    <w:p w14:paraId="496646CA">
      <w:pPr>
        <w:autoSpaceDE w:val="0"/>
        <w:autoSpaceDN w:val="0"/>
        <w:adjustRightInd w:val="0"/>
        <w:spacing w:line="400" w:lineRule="exact"/>
        <w:ind w:firstLine="640"/>
        <w:rPr>
          <w:rFonts w:ascii="Arial" w:hAnsi="Arial" w:cs="Arial"/>
          <w:color w:val="auto"/>
          <w:spacing w:val="6"/>
          <w:szCs w:val="21"/>
          <w:highlight w:val="none"/>
        </w:rPr>
      </w:pPr>
      <w:r>
        <w:rPr>
          <w:rFonts w:ascii="Arial" w:hAnsi="Arial" w:cs="Arial"/>
          <w:color w:val="auto"/>
          <w:spacing w:val="6"/>
          <w:szCs w:val="21"/>
          <w:highlight w:val="none"/>
        </w:rPr>
        <w:t xml:space="preserve">（二）具有良好的商业信誉和健全的财务会计制度； </w:t>
      </w:r>
    </w:p>
    <w:p w14:paraId="44CC706E">
      <w:pPr>
        <w:autoSpaceDE w:val="0"/>
        <w:autoSpaceDN w:val="0"/>
        <w:adjustRightInd w:val="0"/>
        <w:spacing w:line="400" w:lineRule="exact"/>
        <w:ind w:firstLine="640"/>
        <w:rPr>
          <w:rFonts w:ascii="Arial" w:hAnsi="Arial" w:cs="Arial"/>
          <w:color w:val="auto"/>
          <w:spacing w:val="6"/>
          <w:szCs w:val="21"/>
          <w:highlight w:val="none"/>
        </w:rPr>
      </w:pPr>
      <w:r>
        <w:rPr>
          <w:rFonts w:ascii="Arial" w:hAnsi="Arial" w:cs="Arial"/>
          <w:color w:val="auto"/>
          <w:spacing w:val="6"/>
          <w:szCs w:val="21"/>
          <w:highlight w:val="none"/>
        </w:rPr>
        <w:t xml:space="preserve">（三）具有履行合同所必需的设备和专业技术能力； </w:t>
      </w:r>
    </w:p>
    <w:p w14:paraId="69F12417">
      <w:pPr>
        <w:autoSpaceDE w:val="0"/>
        <w:autoSpaceDN w:val="0"/>
        <w:adjustRightInd w:val="0"/>
        <w:spacing w:line="400" w:lineRule="exact"/>
        <w:ind w:firstLine="640"/>
        <w:rPr>
          <w:rFonts w:ascii="Arial" w:hAnsi="Arial" w:cs="Arial"/>
          <w:color w:val="auto"/>
          <w:spacing w:val="6"/>
          <w:szCs w:val="21"/>
          <w:highlight w:val="none"/>
        </w:rPr>
      </w:pPr>
      <w:r>
        <w:rPr>
          <w:rFonts w:ascii="Arial" w:hAnsi="Arial" w:cs="Arial"/>
          <w:color w:val="auto"/>
          <w:spacing w:val="6"/>
          <w:szCs w:val="21"/>
          <w:highlight w:val="none"/>
        </w:rPr>
        <w:t xml:space="preserve">（四）有依法缴纳税收和社会保障资金的良好记录； </w:t>
      </w:r>
    </w:p>
    <w:p w14:paraId="55255553">
      <w:pPr>
        <w:autoSpaceDE w:val="0"/>
        <w:autoSpaceDN w:val="0"/>
        <w:adjustRightInd w:val="0"/>
        <w:spacing w:line="400" w:lineRule="exact"/>
        <w:ind w:firstLine="640"/>
        <w:rPr>
          <w:rFonts w:ascii="Arial" w:hAnsi="Arial" w:cs="Arial"/>
          <w:color w:val="auto"/>
          <w:spacing w:val="6"/>
          <w:szCs w:val="21"/>
          <w:highlight w:val="none"/>
        </w:rPr>
      </w:pPr>
      <w:r>
        <w:rPr>
          <w:rFonts w:ascii="Arial" w:hAnsi="Arial" w:cs="Arial"/>
          <w:color w:val="auto"/>
          <w:spacing w:val="6"/>
          <w:szCs w:val="21"/>
          <w:highlight w:val="none"/>
        </w:rPr>
        <w:t xml:space="preserve">（五）参加政府采购活动前三年内，在经营活动中没有重大违法记录； </w:t>
      </w:r>
    </w:p>
    <w:p w14:paraId="389416D5">
      <w:pPr>
        <w:autoSpaceDE w:val="0"/>
        <w:autoSpaceDN w:val="0"/>
        <w:adjustRightInd w:val="0"/>
        <w:spacing w:line="400" w:lineRule="exact"/>
        <w:ind w:firstLine="640"/>
        <w:rPr>
          <w:rFonts w:ascii="Arial" w:hAnsi="Arial" w:cs="Arial"/>
          <w:color w:val="auto"/>
          <w:spacing w:val="6"/>
          <w:szCs w:val="21"/>
          <w:highlight w:val="none"/>
        </w:rPr>
      </w:pPr>
      <w:r>
        <w:rPr>
          <w:rFonts w:ascii="Arial" w:hAnsi="Arial" w:cs="Arial"/>
          <w:color w:val="auto"/>
          <w:spacing w:val="6"/>
          <w:szCs w:val="21"/>
          <w:highlight w:val="none"/>
        </w:rPr>
        <w:t xml:space="preserve">（六）法律、行政法规规定的其他条件。 </w:t>
      </w:r>
    </w:p>
    <w:p w14:paraId="6FED6A08">
      <w:pPr>
        <w:autoSpaceDE w:val="0"/>
        <w:autoSpaceDN w:val="0"/>
        <w:adjustRightInd w:val="0"/>
        <w:spacing w:line="400" w:lineRule="exact"/>
        <w:ind w:firstLine="640"/>
        <w:rPr>
          <w:rFonts w:ascii="Arial" w:hAnsi="Arial" w:cs="Arial"/>
          <w:color w:val="auto"/>
          <w:spacing w:val="6"/>
          <w:szCs w:val="21"/>
          <w:highlight w:val="none"/>
        </w:rPr>
      </w:pPr>
      <w:r>
        <w:rPr>
          <w:rFonts w:ascii="Arial" w:hAnsi="Arial" w:cs="Arial"/>
          <w:color w:val="auto"/>
          <w:spacing w:val="6"/>
          <w:szCs w:val="21"/>
          <w:highlight w:val="none"/>
        </w:rPr>
        <w:t xml:space="preserve">我方保证上述承诺事项的真实性，如有弄虚作假或其他违法违规行为，愿意承担一切法律责任，并承担因此所造成的一切损失。 </w:t>
      </w:r>
    </w:p>
    <w:p w14:paraId="3526D02A">
      <w:pPr>
        <w:autoSpaceDE w:val="0"/>
        <w:autoSpaceDN w:val="0"/>
        <w:adjustRightInd w:val="0"/>
        <w:spacing w:line="400" w:lineRule="exact"/>
        <w:ind w:firstLine="640"/>
        <w:rPr>
          <w:rFonts w:ascii="Arial" w:hAnsi="Arial" w:cs="Arial"/>
          <w:color w:val="auto"/>
          <w:spacing w:val="6"/>
          <w:szCs w:val="21"/>
          <w:highlight w:val="none"/>
        </w:rPr>
      </w:pPr>
      <w:r>
        <w:rPr>
          <w:rFonts w:ascii="Arial" w:hAnsi="Arial" w:cs="Arial"/>
          <w:b/>
          <w:bCs/>
          <w:color w:val="auto"/>
          <w:spacing w:val="6"/>
          <w:szCs w:val="21"/>
          <w:highlight w:val="none"/>
        </w:rPr>
        <w:t>特此声明！</w:t>
      </w:r>
      <w:r>
        <w:rPr>
          <w:rFonts w:ascii="Arial" w:hAnsi="Arial" w:cs="Arial"/>
          <w:color w:val="auto"/>
          <w:spacing w:val="6"/>
          <w:szCs w:val="21"/>
          <w:highlight w:val="none"/>
        </w:rPr>
        <w:t xml:space="preserve"> </w:t>
      </w:r>
    </w:p>
    <w:p w14:paraId="64B1715E">
      <w:pPr>
        <w:tabs>
          <w:tab w:val="left" w:pos="0"/>
        </w:tabs>
        <w:spacing w:line="400" w:lineRule="exact"/>
        <w:ind w:firstLine="432"/>
        <w:rPr>
          <w:rFonts w:ascii="Arial" w:hAnsi="Arial" w:cs="Arial"/>
          <w:color w:val="auto"/>
          <w:spacing w:val="6"/>
          <w:szCs w:val="21"/>
          <w:highlight w:val="none"/>
        </w:rPr>
      </w:pPr>
    </w:p>
    <w:p w14:paraId="49405D4E">
      <w:pPr>
        <w:spacing w:line="400" w:lineRule="exact"/>
        <w:rPr>
          <w:rFonts w:ascii="Arial" w:hAnsi="Arial" w:cs="Arial"/>
          <w:color w:val="auto"/>
          <w:szCs w:val="21"/>
          <w:highlight w:val="none"/>
        </w:rPr>
      </w:pPr>
    </w:p>
    <w:p w14:paraId="374CF7C8">
      <w:pPr>
        <w:spacing w:line="400" w:lineRule="exact"/>
        <w:jc w:val="center"/>
        <w:rPr>
          <w:rFonts w:ascii="Arial" w:hAnsi="Arial" w:cs="Arial"/>
          <w:color w:val="auto"/>
          <w:szCs w:val="21"/>
          <w:highlight w:val="none"/>
          <w:u w:val="single"/>
        </w:rPr>
      </w:pPr>
      <w:r>
        <w:rPr>
          <w:rFonts w:ascii="Arial" w:hAnsi="Arial" w:cs="Arial"/>
          <w:color w:val="auto"/>
          <w:szCs w:val="21"/>
          <w:highlight w:val="none"/>
        </w:rPr>
        <w:t xml:space="preserve">          </w:t>
      </w:r>
      <w:r>
        <w:rPr>
          <w:rFonts w:hint="eastAsia" w:ascii="Arial" w:hAnsi="Arial" w:cs="Arial"/>
          <w:color w:val="auto"/>
          <w:szCs w:val="21"/>
          <w:highlight w:val="none"/>
          <w:lang w:val="en-US" w:eastAsia="zh-CN"/>
        </w:rPr>
        <w:t xml:space="preserve">                 </w:t>
      </w:r>
      <w:r>
        <w:rPr>
          <w:rFonts w:ascii="Arial" w:hAnsi="Arial" w:cs="Arial"/>
          <w:color w:val="auto"/>
          <w:szCs w:val="21"/>
          <w:highlight w:val="none"/>
        </w:rPr>
        <w:t xml:space="preserve"> 法定代表人或委托代理人（签字</w:t>
      </w:r>
      <w:r>
        <w:rPr>
          <w:rFonts w:hint="eastAsia" w:ascii="Arial" w:hAnsi="Arial" w:cs="Arial"/>
          <w:color w:val="auto"/>
          <w:szCs w:val="21"/>
          <w:highlight w:val="none"/>
          <w:lang w:val="en-US" w:eastAsia="zh-CN"/>
        </w:rPr>
        <w:t>或签章</w:t>
      </w:r>
      <w:r>
        <w:rPr>
          <w:rFonts w:ascii="Arial" w:hAnsi="Arial" w:cs="Arial"/>
          <w:color w:val="auto"/>
          <w:szCs w:val="21"/>
          <w:highlight w:val="none"/>
        </w:rPr>
        <w:t>）：</w:t>
      </w:r>
      <w:r>
        <w:rPr>
          <w:rFonts w:ascii="Arial" w:hAnsi="Arial" w:cs="Arial"/>
          <w:color w:val="auto"/>
          <w:szCs w:val="21"/>
          <w:highlight w:val="none"/>
          <w:u w:val="single"/>
        </w:rPr>
        <w:t xml:space="preserve">         </w:t>
      </w:r>
    </w:p>
    <w:p w14:paraId="17085BB2">
      <w:pPr>
        <w:pStyle w:val="7"/>
        <w:spacing w:line="400" w:lineRule="exact"/>
        <w:ind w:firstLine="3570" w:firstLineChars="1700"/>
        <w:rPr>
          <w:rFonts w:hint="eastAsia" w:eastAsia="宋体" w:cs="Arial"/>
          <w:color w:val="auto"/>
          <w:highlight w:val="none"/>
          <w:lang w:eastAsia="zh-CN"/>
        </w:rPr>
      </w:pPr>
      <w:r>
        <w:rPr>
          <w:rFonts w:cs="Arial"/>
          <w:b w:val="0"/>
          <w:color w:val="auto"/>
          <w:sz w:val="21"/>
          <w:szCs w:val="21"/>
          <w:highlight w:val="none"/>
        </w:rPr>
        <w:t>政府采购供应商（加盖供应商电子签章）</w:t>
      </w:r>
      <w:r>
        <w:rPr>
          <w:rFonts w:hint="eastAsia" w:cs="Arial"/>
          <w:b w:val="0"/>
          <w:color w:val="auto"/>
          <w:sz w:val="21"/>
          <w:szCs w:val="21"/>
          <w:highlight w:val="none"/>
          <w:lang w:eastAsia="zh-CN"/>
        </w:rPr>
        <w:t>：</w:t>
      </w:r>
    </w:p>
    <w:p w14:paraId="68EA185F">
      <w:pPr>
        <w:pStyle w:val="7"/>
        <w:spacing w:line="400" w:lineRule="exact"/>
        <w:jc w:val="center"/>
        <w:rPr>
          <w:rFonts w:cs="Arial"/>
          <w:b w:val="0"/>
          <w:bCs/>
          <w:color w:val="auto"/>
          <w:sz w:val="21"/>
          <w:szCs w:val="21"/>
          <w:highlight w:val="none"/>
        </w:rPr>
      </w:pPr>
      <w:r>
        <w:rPr>
          <w:rFonts w:hint="eastAsia" w:cs="Arial"/>
          <w:b w:val="0"/>
          <w:bCs/>
          <w:color w:val="auto"/>
          <w:sz w:val="21"/>
          <w:szCs w:val="21"/>
          <w:highlight w:val="none"/>
          <w:lang w:val="en-US" w:eastAsia="zh-CN"/>
        </w:rPr>
        <w:t xml:space="preserve">                    </w:t>
      </w:r>
      <w:r>
        <w:rPr>
          <w:rFonts w:cs="Arial"/>
          <w:b w:val="0"/>
          <w:bCs/>
          <w:color w:val="auto"/>
          <w:sz w:val="21"/>
          <w:szCs w:val="21"/>
          <w:highlight w:val="none"/>
        </w:rPr>
        <w:t>日期：</w:t>
      </w:r>
      <w:r>
        <w:rPr>
          <w:rFonts w:cs="Arial"/>
          <w:b w:val="0"/>
          <w:bCs/>
          <w:color w:val="auto"/>
          <w:sz w:val="21"/>
          <w:szCs w:val="21"/>
          <w:highlight w:val="none"/>
          <w:u w:val="single"/>
        </w:rPr>
        <w:t xml:space="preserve">       </w:t>
      </w:r>
      <w:r>
        <w:rPr>
          <w:rFonts w:cs="Arial"/>
          <w:b w:val="0"/>
          <w:bCs/>
          <w:color w:val="auto"/>
          <w:sz w:val="21"/>
          <w:szCs w:val="21"/>
          <w:highlight w:val="none"/>
        </w:rPr>
        <w:t>年</w:t>
      </w:r>
      <w:r>
        <w:rPr>
          <w:rFonts w:cs="Arial"/>
          <w:b w:val="0"/>
          <w:bCs/>
          <w:color w:val="auto"/>
          <w:sz w:val="21"/>
          <w:szCs w:val="21"/>
          <w:highlight w:val="none"/>
          <w:u w:val="single"/>
        </w:rPr>
        <w:t xml:space="preserve">   </w:t>
      </w:r>
      <w:r>
        <w:rPr>
          <w:rFonts w:cs="Arial"/>
          <w:b w:val="0"/>
          <w:bCs/>
          <w:color w:val="auto"/>
          <w:sz w:val="21"/>
          <w:szCs w:val="21"/>
          <w:highlight w:val="none"/>
        </w:rPr>
        <w:t>月</w:t>
      </w:r>
      <w:r>
        <w:rPr>
          <w:rFonts w:cs="Arial"/>
          <w:b w:val="0"/>
          <w:bCs/>
          <w:color w:val="auto"/>
          <w:sz w:val="21"/>
          <w:szCs w:val="21"/>
          <w:highlight w:val="none"/>
          <w:u w:val="single"/>
        </w:rPr>
        <w:t xml:space="preserve">   </w:t>
      </w:r>
      <w:r>
        <w:rPr>
          <w:rFonts w:cs="Arial"/>
          <w:b w:val="0"/>
          <w:bCs/>
          <w:color w:val="auto"/>
          <w:sz w:val="21"/>
          <w:szCs w:val="21"/>
          <w:highlight w:val="none"/>
        </w:rPr>
        <w:t>日</w:t>
      </w:r>
    </w:p>
    <w:p w14:paraId="7FF35021">
      <w:pPr>
        <w:snapToGrid w:val="0"/>
        <w:spacing w:before="120" w:beforeLines="50" w:after="50" w:line="440" w:lineRule="exact"/>
        <w:rPr>
          <w:rFonts w:hint="eastAsia" w:ascii="宋体" w:hAnsi="宋体" w:eastAsia="宋体" w:cs="宋体"/>
          <w:szCs w:val="21"/>
        </w:rPr>
      </w:pPr>
    </w:p>
    <w:p w14:paraId="4AF54DFE">
      <w:pPr>
        <w:snapToGrid w:val="0"/>
        <w:spacing w:before="120" w:beforeLines="50" w:after="50" w:line="440" w:lineRule="exact"/>
        <w:rPr>
          <w:rFonts w:hint="eastAsia" w:ascii="宋体" w:hAnsi="宋体" w:eastAsia="宋体" w:cs="宋体"/>
          <w:szCs w:val="21"/>
        </w:rPr>
      </w:pPr>
    </w:p>
    <w:p w14:paraId="3E2F6D93">
      <w:pPr>
        <w:snapToGrid w:val="0"/>
        <w:spacing w:before="50" w:after="120" w:afterLines="50" w:line="440" w:lineRule="exact"/>
        <w:jc w:val="left"/>
        <w:rPr>
          <w:rFonts w:hint="eastAsia" w:ascii="宋体" w:hAnsi="宋体" w:eastAsia="宋体" w:cs="宋体"/>
        </w:rPr>
      </w:pPr>
    </w:p>
    <w:p w14:paraId="649E4FC8">
      <w:pPr>
        <w:snapToGrid w:val="0"/>
        <w:spacing w:before="50" w:after="120" w:afterLines="50" w:line="440" w:lineRule="exact"/>
        <w:jc w:val="left"/>
        <w:rPr>
          <w:rFonts w:hint="eastAsia" w:ascii="宋体" w:hAnsi="宋体" w:cs="宋体"/>
          <w:lang w:val="en-US" w:eastAsia="zh-CN"/>
        </w:rPr>
      </w:pPr>
    </w:p>
    <w:p w14:paraId="411B8336">
      <w:pPr>
        <w:snapToGrid w:val="0"/>
        <w:spacing w:before="50" w:after="120" w:afterLines="50" w:line="440" w:lineRule="exact"/>
        <w:jc w:val="left"/>
        <w:rPr>
          <w:rFonts w:hint="eastAsia" w:ascii="宋体" w:hAnsi="宋体" w:cs="宋体"/>
          <w:lang w:val="en-US" w:eastAsia="zh-CN"/>
        </w:rPr>
      </w:pPr>
    </w:p>
    <w:p w14:paraId="45DF3F57">
      <w:pPr>
        <w:snapToGrid w:val="0"/>
        <w:spacing w:before="50" w:after="120" w:afterLines="50" w:line="440" w:lineRule="exact"/>
        <w:jc w:val="left"/>
        <w:rPr>
          <w:rFonts w:hint="eastAsia" w:ascii="宋体" w:hAnsi="宋体" w:eastAsia="宋体" w:cs="宋体"/>
        </w:rPr>
      </w:pPr>
      <w:r>
        <w:rPr>
          <w:rFonts w:hint="eastAsia" w:ascii="宋体" w:hAnsi="宋体" w:cs="宋体"/>
          <w:lang w:val="en-US" w:eastAsia="zh-CN"/>
        </w:rPr>
        <w:t>4</w:t>
      </w:r>
      <w:r>
        <w:rPr>
          <w:rFonts w:hint="eastAsia" w:ascii="宋体" w:hAnsi="宋体" w:eastAsia="宋体" w:cs="宋体"/>
        </w:rPr>
        <w:t>．具备法律、行政法规规定的其他要求的证明材料（按“评审方法及标准” “</w:t>
      </w:r>
      <w:r>
        <w:rPr>
          <w:rFonts w:hint="eastAsia" w:ascii="宋体" w:hAnsi="宋体" w:eastAsia="宋体" w:cs="宋体"/>
          <w:szCs w:val="21"/>
        </w:rPr>
        <w:t>资格审查表</w:t>
      </w:r>
      <w:r>
        <w:rPr>
          <w:rFonts w:hint="eastAsia" w:ascii="宋体" w:hAnsi="宋体" w:eastAsia="宋体" w:cs="宋体"/>
        </w:rPr>
        <w:t>”规定提供）。</w:t>
      </w:r>
      <w:r>
        <w:rPr>
          <w:rFonts w:hint="eastAsia" w:ascii="宋体" w:hAnsi="宋体" w:eastAsia="宋体" w:cs="宋体"/>
          <w:b/>
        </w:rPr>
        <w:t>（如采购文件有要求时提供）</w:t>
      </w:r>
    </w:p>
    <w:p w14:paraId="12398AAE">
      <w:pPr>
        <w:snapToGrid w:val="0"/>
        <w:spacing w:before="50" w:after="120" w:afterLines="50" w:line="440" w:lineRule="exact"/>
        <w:jc w:val="left"/>
        <w:rPr>
          <w:rFonts w:hint="eastAsia" w:ascii="宋体" w:hAnsi="宋体" w:eastAsia="宋体" w:cs="宋体"/>
        </w:rPr>
      </w:pPr>
      <w:r>
        <w:rPr>
          <w:rFonts w:hint="eastAsia" w:ascii="宋体" w:hAnsi="宋体" w:cs="宋体"/>
          <w:lang w:val="en-US" w:eastAsia="zh-CN"/>
        </w:rPr>
        <w:t>4</w:t>
      </w:r>
      <w:r>
        <w:rPr>
          <w:rFonts w:hint="eastAsia" w:ascii="宋体" w:hAnsi="宋体" w:eastAsia="宋体" w:cs="宋体"/>
        </w:rPr>
        <w:t>.1供应商基本情况表</w:t>
      </w:r>
    </w:p>
    <w:tbl>
      <w:tblPr>
        <w:tblStyle w:val="15"/>
        <w:tblW w:w="89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6"/>
        <w:gridCol w:w="897"/>
        <w:gridCol w:w="1021"/>
        <w:gridCol w:w="1160"/>
        <w:gridCol w:w="311"/>
        <w:gridCol w:w="1246"/>
        <w:gridCol w:w="63"/>
        <w:gridCol w:w="720"/>
        <w:gridCol w:w="1923"/>
      </w:tblGrid>
      <w:tr w14:paraId="7090F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10DA6413">
            <w:pPr>
              <w:jc w:val="center"/>
              <w:rPr>
                <w:rFonts w:hint="eastAsia" w:ascii="宋体" w:hAnsi="宋体" w:eastAsia="宋体" w:cs="宋体"/>
                <w:szCs w:val="21"/>
              </w:rPr>
            </w:pPr>
            <w:r>
              <w:rPr>
                <w:rFonts w:hint="eastAsia" w:ascii="宋体" w:hAnsi="宋体" w:eastAsia="宋体" w:cs="宋体"/>
                <w:szCs w:val="21"/>
              </w:rPr>
              <w:t>供应商名称</w:t>
            </w:r>
          </w:p>
        </w:tc>
        <w:tc>
          <w:tcPr>
            <w:tcW w:w="7341" w:type="dxa"/>
            <w:gridSpan w:val="8"/>
            <w:noWrap w:val="0"/>
            <w:vAlign w:val="center"/>
          </w:tcPr>
          <w:p w14:paraId="5325CF72">
            <w:pPr>
              <w:jc w:val="center"/>
              <w:rPr>
                <w:rFonts w:hint="eastAsia" w:ascii="宋体" w:hAnsi="宋体" w:eastAsia="宋体" w:cs="宋体"/>
                <w:szCs w:val="21"/>
              </w:rPr>
            </w:pPr>
          </w:p>
        </w:tc>
      </w:tr>
      <w:tr w14:paraId="7A59C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5CF48782">
            <w:pPr>
              <w:jc w:val="center"/>
              <w:rPr>
                <w:rFonts w:hint="eastAsia" w:ascii="宋体" w:hAnsi="宋体" w:eastAsia="宋体" w:cs="宋体"/>
                <w:szCs w:val="21"/>
              </w:rPr>
            </w:pPr>
            <w:r>
              <w:rPr>
                <w:rFonts w:hint="eastAsia" w:ascii="宋体" w:hAnsi="宋体" w:eastAsia="宋体" w:cs="宋体"/>
                <w:szCs w:val="21"/>
              </w:rPr>
              <w:t>注册地址</w:t>
            </w:r>
          </w:p>
        </w:tc>
        <w:tc>
          <w:tcPr>
            <w:tcW w:w="3389" w:type="dxa"/>
            <w:gridSpan w:val="4"/>
            <w:noWrap w:val="0"/>
            <w:vAlign w:val="center"/>
          </w:tcPr>
          <w:p w14:paraId="2F52EBF9">
            <w:pPr>
              <w:jc w:val="center"/>
              <w:rPr>
                <w:rFonts w:hint="eastAsia" w:ascii="宋体" w:hAnsi="宋体" w:eastAsia="宋体" w:cs="宋体"/>
                <w:szCs w:val="21"/>
              </w:rPr>
            </w:pPr>
          </w:p>
        </w:tc>
        <w:tc>
          <w:tcPr>
            <w:tcW w:w="1246" w:type="dxa"/>
            <w:noWrap w:val="0"/>
            <w:vAlign w:val="center"/>
          </w:tcPr>
          <w:p w14:paraId="0B4C50BC">
            <w:pPr>
              <w:jc w:val="center"/>
              <w:rPr>
                <w:rFonts w:hint="eastAsia" w:ascii="宋体" w:hAnsi="宋体" w:eastAsia="宋体" w:cs="宋体"/>
                <w:szCs w:val="21"/>
              </w:rPr>
            </w:pPr>
            <w:r>
              <w:rPr>
                <w:rFonts w:hint="eastAsia" w:ascii="宋体" w:hAnsi="宋体" w:eastAsia="宋体" w:cs="宋体"/>
                <w:szCs w:val="21"/>
              </w:rPr>
              <w:t>邮政编码</w:t>
            </w:r>
          </w:p>
        </w:tc>
        <w:tc>
          <w:tcPr>
            <w:tcW w:w="2706" w:type="dxa"/>
            <w:gridSpan w:val="3"/>
            <w:noWrap w:val="0"/>
            <w:vAlign w:val="center"/>
          </w:tcPr>
          <w:p w14:paraId="03C18B73">
            <w:pPr>
              <w:jc w:val="center"/>
              <w:rPr>
                <w:rFonts w:hint="eastAsia" w:ascii="宋体" w:hAnsi="宋体" w:eastAsia="宋体" w:cs="宋体"/>
                <w:szCs w:val="21"/>
              </w:rPr>
            </w:pPr>
          </w:p>
        </w:tc>
      </w:tr>
      <w:tr w14:paraId="39A7E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vMerge w:val="restart"/>
            <w:noWrap w:val="0"/>
            <w:vAlign w:val="center"/>
          </w:tcPr>
          <w:p w14:paraId="06637CD4">
            <w:pPr>
              <w:jc w:val="center"/>
              <w:rPr>
                <w:rFonts w:hint="eastAsia" w:ascii="宋体" w:hAnsi="宋体" w:eastAsia="宋体" w:cs="宋体"/>
                <w:szCs w:val="21"/>
              </w:rPr>
            </w:pPr>
            <w:r>
              <w:rPr>
                <w:rFonts w:hint="eastAsia" w:ascii="宋体" w:hAnsi="宋体" w:eastAsia="宋体" w:cs="宋体"/>
                <w:szCs w:val="21"/>
              </w:rPr>
              <w:t>联系方式</w:t>
            </w:r>
          </w:p>
        </w:tc>
        <w:tc>
          <w:tcPr>
            <w:tcW w:w="897" w:type="dxa"/>
            <w:noWrap w:val="0"/>
            <w:vAlign w:val="center"/>
          </w:tcPr>
          <w:p w14:paraId="3F3EC3A4">
            <w:pPr>
              <w:jc w:val="center"/>
              <w:rPr>
                <w:rFonts w:hint="eastAsia" w:ascii="宋体" w:hAnsi="宋体" w:eastAsia="宋体" w:cs="宋体"/>
                <w:szCs w:val="21"/>
              </w:rPr>
            </w:pPr>
            <w:r>
              <w:rPr>
                <w:rFonts w:hint="eastAsia" w:ascii="宋体" w:hAnsi="宋体" w:eastAsia="宋体" w:cs="宋体"/>
                <w:szCs w:val="21"/>
              </w:rPr>
              <w:t>联系人</w:t>
            </w:r>
          </w:p>
        </w:tc>
        <w:tc>
          <w:tcPr>
            <w:tcW w:w="2492" w:type="dxa"/>
            <w:gridSpan w:val="3"/>
            <w:noWrap w:val="0"/>
            <w:vAlign w:val="center"/>
          </w:tcPr>
          <w:p w14:paraId="62CBD35E">
            <w:pPr>
              <w:jc w:val="center"/>
              <w:rPr>
                <w:rFonts w:hint="eastAsia" w:ascii="宋体" w:hAnsi="宋体" w:eastAsia="宋体" w:cs="宋体"/>
                <w:szCs w:val="21"/>
              </w:rPr>
            </w:pPr>
          </w:p>
        </w:tc>
        <w:tc>
          <w:tcPr>
            <w:tcW w:w="1246" w:type="dxa"/>
            <w:noWrap w:val="0"/>
            <w:vAlign w:val="center"/>
          </w:tcPr>
          <w:p w14:paraId="545BFF5A">
            <w:pPr>
              <w:jc w:val="center"/>
              <w:rPr>
                <w:rFonts w:hint="eastAsia" w:ascii="宋体" w:hAnsi="宋体" w:eastAsia="宋体" w:cs="宋体"/>
                <w:szCs w:val="21"/>
              </w:rPr>
            </w:pPr>
            <w:r>
              <w:rPr>
                <w:rFonts w:hint="eastAsia" w:ascii="宋体" w:hAnsi="宋体" w:eastAsia="宋体" w:cs="宋体"/>
                <w:szCs w:val="21"/>
              </w:rPr>
              <w:t>电  话</w:t>
            </w:r>
          </w:p>
        </w:tc>
        <w:tc>
          <w:tcPr>
            <w:tcW w:w="2706" w:type="dxa"/>
            <w:gridSpan w:val="3"/>
            <w:noWrap w:val="0"/>
            <w:vAlign w:val="center"/>
          </w:tcPr>
          <w:p w14:paraId="4B4B9658">
            <w:pPr>
              <w:jc w:val="center"/>
              <w:rPr>
                <w:rFonts w:hint="eastAsia" w:ascii="宋体" w:hAnsi="宋体" w:eastAsia="宋体" w:cs="宋体"/>
                <w:szCs w:val="21"/>
              </w:rPr>
            </w:pPr>
          </w:p>
        </w:tc>
      </w:tr>
      <w:tr w14:paraId="63EB7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vMerge w:val="continue"/>
            <w:noWrap w:val="0"/>
            <w:vAlign w:val="center"/>
          </w:tcPr>
          <w:p w14:paraId="2AD17740">
            <w:pPr>
              <w:jc w:val="center"/>
              <w:rPr>
                <w:rFonts w:hint="eastAsia" w:ascii="宋体" w:hAnsi="宋体" w:eastAsia="宋体" w:cs="宋体"/>
                <w:szCs w:val="21"/>
              </w:rPr>
            </w:pPr>
          </w:p>
        </w:tc>
        <w:tc>
          <w:tcPr>
            <w:tcW w:w="897" w:type="dxa"/>
            <w:noWrap w:val="0"/>
            <w:vAlign w:val="center"/>
          </w:tcPr>
          <w:p w14:paraId="13781F10">
            <w:pPr>
              <w:jc w:val="center"/>
              <w:rPr>
                <w:rFonts w:hint="eastAsia" w:ascii="宋体" w:hAnsi="宋体" w:eastAsia="宋体" w:cs="宋体"/>
                <w:szCs w:val="21"/>
              </w:rPr>
            </w:pPr>
            <w:r>
              <w:rPr>
                <w:rFonts w:hint="eastAsia" w:ascii="宋体" w:hAnsi="宋体" w:eastAsia="宋体" w:cs="宋体"/>
                <w:szCs w:val="21"/>
              </w:rPr>
              <w:t>传  真</w:t>
            </w:r>
          </w:p>
        </w:tc>
        <w:tc>
          <w:tcPr>
            <w:tcW w:w="2492" w:type="dxa"/>
            <w:gridSpan w:val="3"/>
            <w:noWrap w:val="0"/>
            <w:vAlign w:val="center"/>
          </w:tcPr>
          <w:p w14:paraId="3E5526AF">
            <w:pPr>
              <w:jc w:val="center"/>
              <w:rPr>
                <w:rFonts w:hint="eastAsia" w:ascii="宋体" w:hAnsi="宋体" w:eastAsia="宋体" w:cs="宋体"/>
                <w:szCs w:val="21"/>
              </w:rPr>
            </w:pPr>
          </w:p>
        </w:tc>
        <w:tc>
          <w:tcPr>
            <w:tcW w:w="1246" w:type="dxa"/>
            <w:noWrap w:val="0"/>
            <w:vAlign w:val="center"/>
          </w:tcPr>
          <w:p w14:paraId="54099585">
            <w:pPr>
              <w:jc w:val="center"/>
              <w:rPr>
                <w:rFonts w:hint="eastAsia" w:ascii="宋体" w:hAnsi="宋体" w:eastAsia="宋体" w:cs="宋体"/>
                <w:szCs w:val="21"/>
              </w:rPr>
            </w:pPr>
            <w:r>
              <w:rPr>
                <w:rFonts w:hint="eastAsia" w:ascii="宋体" w:hAnsi="宋体" w:eastAsia="宋体" w:cs="宋体"/>
                <w:szCs w:val="21"/>
              </w:rPr>
              <w:t>网  址</w:t>
            </w:r>
          </w:p>
        </w:tc>
        <w:tc>
          <w:tcPr>
            <w:tcW w:w="2706" w:type="dxa"/>
            <w:gridSpan w:val="3"/>
            <w:noWrap w:val="0"/>
            <w:vAlign w:val="center"/>
          </w:tcPr>
          <w:p w14:paraId="04BE58F7">
            <w:pPr>
              <w:jc w:val="center"/>
              <w:rPr>
                <w:rFonts w:hint="eastAsia" w:ascii="宋体" w:hAnsi="宋体" w:eastAsia="宋体" w:cs="宋体"/>
                <w:szCs w:val="21"/>
              </w:rPr>
            </w:pPr>
          </w:p>
        </w:tc>
      </w:tr>
      <w:tr w14:paraId="798E0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4BC2622E">
            <w:pPr>
              <w:jc w:val="center"/>
              <w:rPr>
                <w:rFonts w:hint="eastAsia" w:ascii="宋体" w:hAnsi="宋体" w:eastAsia="宋体" w:cs="宋体"/>
                <w:szCs w:val="21"/>
              </w:rPr>
            </w:pPr>
            <w:r>
              <w:rPr>
                <w:rFonts w:hint="eastAsia" w:ascii="宋体" w:hAnsi="宋体" w:eastAsia="宋体" w:cs="宋体"/>
                <w:szCs w:val="21"/>
              </w:rPr>
              <w:t>统一社会信用代码</w:t>
            </w:r>
          </w:p>
        </w:tc>
        <w:tc>
          <w:tcPr>
            <w:tcW w:w="7341" w:type="dxa"/>
            <w:gridSpan w:val="8"/>
            <w:noWrap w:val="0"/>
            <w:vAlign w:val="center"/>
          </w:tcPr>
          <w:p w14:paraId="64060892">
            <w:pPr>
              <w:jc w:val="center"/>
              <w:rPr>
                <w:rFonts w:hint="eastAsia" w:ascii="宋体" w:hAnsi="宋体" w:eastAsia="宋体" w:cs="宋体"/>
                <w:szCs w:val="21"/>
              </w:rPr>
            </w:pPr>
          </w:p>
        </w:tc>
      </w:tr>
      <w:tr w14:paraId="22618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38ADFC4A">
            <w:pPr>
              <w:jc w:val="center"/>
              <w:rPr>
                <w:rFonts w:hint="eastAsia" w:ascii="宋体" w:hAnsi="宋体" w:eastAsia="宋体" w:cs="宋体"/>
                <w:szCs w:val="21"/>
              </w:rPr>
            </w:pPr>
            <w:r>
              <w:rPr>
                <w:rFonts w:hint="eastAsia" w:ascii="宋体" w:hAnsi="宋体" w:eastAsia="宋体" w:cs="宋体"/>
                <w:szCs w:val="21"/>
              </w:rPr>
              <w:t>法定代表人</w:t>
            </w:r>
          </w:p>
        </w:tc>
        <w:tc>
          <w:tcPr>
            <w:tcW w:w="897" w:type="dxa"/>
            <w:noWrap w:val="0"/>
            <w:vAlign w:val="center"/>
          </w:tcPr>
          <w:p w14:paraId="51DB165A">
            <w:pPr>
              <w:jc w:val="center"/>
              <w:rPr>
                <w:rFonts w:hint="eastAsia" w:ascii="宋体" w:hAnsi="宋体" w:eastAsia="宋体" w:cs="宋体"/>
                <w:szCs w:val="21"/>
              </w:rPr>
            </w:pPr>
            <w:r>
              <w:rPr>
                <w:rFonts w:hint="eastAsia" w:ascii="宋体" w:hAnsi="宋体" w:eastAsia="宋体" w:cs="宋体"/>
                <w:szCs w:val="21"/>
              </w:rPr>
              <w:t>姓名</w:t>
            </w:r>
          </w:p>
        </w:tc>
        <w:tc>
          <w:tcPr>
            <w:tcW w:w="1021" w:type="dxa"/>
            <w:noWrap w:val="0"/>
            <w:vAlign w:val="center"/>
          </w:tcPr>
          <w:p w14:paraId="0D0289B4">
            <w:pPr>
              <w:jc w:val="center"/>
              <w:rPr>
                <w:rFonts w:hint="eastAsia" w:ascii="宋体" w:hAnsi="宋体" w:eastAsia="宋体" w:cs="宋体"/>
                <w:szCs w:val="21"/>
              </w:rPr>
            </w:pPr>
          </w:p>
        </w:tc>
        <w:tc>
          <w:tcPr>
            <w:tcW w:w="1160" w:type="dxa"/>
            <w:noWrap w:val="0"/>
            <w:vAlign w:val="center"/>
          </w:tcPr>
          <w:p w14:paraId="43AA443B">
            <w:pPr>
              <w:jc w:val="center"/>
              <w:rPr>
                <w:rFonts w:hint="eastAsia" w:ascii="宋体" w:hAnsi="宋体" w:eastAsia="宋体" w:cs="宋体"/>
                <w:szCs w:val="21"/>
              </w:rPr>
            </w:pPr>
            <w:r>
              <w:rPr>
                <w:rFonts w:hint="eastAsia" w:ascii="宋体" w:hAnsi="宋体" w:eastAsia="宋体" w:cs="宋体"/>
                <w:szCs w:val="21"/>
              </w:rPr>
              <w:t>技术职称</w:t>
            </w:r>
          </w:p>
        </w:tc>
        <w:tc>
          <w:tcPr>
            <w:tcW w:w="1620" w:type="dxa"/>
            <w:gridSpan w:val="3"/>
            <w:noWrap w:val="0"/>
            <w:vAlign w:val="center"/>
          </w:tcPr>
          <w:p w14:paraId="483E3BFD">
            <w:pPr>
              <w:jc w:val="center"/>
              <w:rPr>
                <w:rFonts w:hint="eastAsia" w:ascii="宋体" w:hAnsi="宋体" w:eastAsia="宋体" w:cs="宋体"/>
                <w:szCs w:val="21"/>
              </w:rPr>
            </w:pPr>
          </w:p>
        </w:tc>
        <w:tc>
          <w:tcPr>
            <w:tcW w:w="720" w:type="dxa"/>
            <w:noWrap w:val="0"/>
            <w:vAlign w:val="center"/>
          </w:tcPr>
          <w:p w14:paraId="7A6EB7B7">
            <w:pPr>
              <w:jc w:val="center"/>
              <w:rPr>
                <w:rFonts w:hint="eastAsia" w:ascii="宋体" w:hAnsi="宋体" w:eastAsia="宋体" w:cs="宋体"/>
                <w:szCs w:val="21"/>
              </w:rPr>
            </w:pPr>
            <w:r>
              <w:rPr>
                <w:rFonts w:hint="eastAsia" w:ascii="宋体" w:hAnsi="宋体" w:eastAsia="宋体" w:cs="宋体"/>
                <w:szCs w:val="21"/>
              </w:rPr>
              <w:t>电话</w:t>
            </w:r>
          </w:p>
        </w:tc>
        <w:tc>
          <w:tcPr>
            <w:tcW w:w="1923" w:type="dxa"/>
            <w:noWrap w:val="0"/>
            <w:vAlign w:val="center"/>
          </w:tcPr>
          <w:p w14:paraId="1C7A990D">
            <w:pPr>
              <w:jc w:val="center"/>
              <w:rPr>
                <w:rFonts w:hint="eastAsia" w:ascii="宋体" w:hAnsi="宋体" w:eastAsia="宋体" w:cs="宋体"/>
                <w:szCs w:val="21"/>
              </w:rPr>
            </w:pPr>
          </w:p>
        </w:tc>
      </w:tr>
      <w:tr w14:paraId="6181D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0AD2F16F">
            <w:pPr>
              <w:jc w:val="center"/>
              <w:rPr>
                <w:rFonts w:hint="eastAsia" w:ascii="宋体" w:hAnsi="宋体" w:eastAsia="宋体" w:cs="宋体"/>
                <w:szCs w:val="21"/>
              </w:rPr>
            </w:pPr>
            <w:r>
              <w:rPr>
                <w:rFonts w:hint="eastAsia" w:ascii="宋体" w:hAnsi="宋体" w:eastAsia="宋体" w:cs="宋体"/>
                <w:szCs w:val="21"/>
              </w:rPr>
              <w:t>技术负责人</w:t>
            </w:r>
          </w:p>
        </w:tc>
        <w:tc>
          <w:tcPr>
            <w:tcW w:w="897" w:type="dxa"/>
            <w:noWrap w:val="0"/>
            <w:vAlign w:val="center"/>
          </w:tcPr>
          <w:p w14:paraId="67A61649">
            <w:pPr>
              <w:jc w:val="center"/>
              <w:rPr>
                <w:rFonts w:hint="eastAsia" w:ascii="宋体" w:hAnsi="宋体" w:eastAsia="宋体" w:cs="宋体"/>
                <w:szCs w:val="21"/>
              </w:rPr>
            </w:pPr>
            <w:r>
              <w:rPr>
                <w:rFonts w:hint="eastAsia" w:ascii="宋体" w:hAnsi="宋体" w:eastAsia="宋体" w:cs="宋体"/>
                <w:szCs w:val="21"/>
              </w:rPr>
              <w:t>姓名</w:t>
            </w:r>
          </w:p>
        </w:tc>
        <w:tc>
          <w:tcPr>
            <w:tcW w:w="1021" w:type="dxa"/>
            <w:noWrap w:val="0"/>
            <w:vAlign w:val="center"/>
          </w:tcPr>
          <w:p w14:paraId="173110E5">
            <w:pPr>
              <w:jc w:val="center"/>
              <w:rPr>
                <w:rFonts w:hint="eastAsia" w:ascii="宋体" w:hAnsi="宋体" w:eastAsia="宋体" w:cs="宋体"/>
                <w:szCs w:val="21"/>
              </w:rPr>
            </w:pPr>
          </w:p>
        </w:tc>
        <w:tc>
          <w:tcPr>
            <w:tcW w:w="1160" w:type="dxa"/>
            <w:noWrap w:val="0"/>
            <w:vAlign w:val="center"/>
          </w:tcPr>
          <w:p w14:paraId="5F102C7F">
            <w:pPr>
              <w:jc w:val="center"/>
              <w:rPr>
                <w:rFonts w:hint="eastAsia" w:ascii="宋体" w:hAnsi="宋体" w:eastAsia="宋体" w:cs="宋体"/>
                <w:szCs w:val="21"/>
              </w:rPr>
            </w:pPr>
            <w:r>
              <w:rPr>
                <w:rFonts w:hint="eastAsia" w:ascii="宋体" w:hAnsi="宋体" w:eastAsia="宋体" w:cs="宋体"/>
                <w:szCs w:val="21"/>
              </w:rPr>
              <w:t>技术职称</w:t>
            </w:r>
          </w:p>
        </w:tc>
        <w:tc>
          <w:tcPr>
            <w:tcW w:w="1620" w:type="dxa"/>
            <w:gridSpan w:val="3"/>
            <w:noWrap w:val="0"/>
            <w:vAlign w:val="center"/>
          </w:tcPr>
          <w:p w14:paraId="506BD6F9">
            <w:pPr>
              <w:jc w:val="center"/>
              <w:rPr>
                <w:rFonts w:hint="eastAsia" w:ascii="宋体" w:hAnsi="宋体" w:eastAsia="宋体" w:cs="宋体"/>
                <w:szCs w:val="21"/>
              </w:rPr>
            </w:pPr>
          </w:p>
        </w:tc>
        <w:tc>
          <w:tcPr>
            <w:tcW w:w="720" w:type="dxa"/>
            <w:noWrap w:val="0"/>
            <w:vAlign w:val="center"/>
          </w:tcPr>
          <w:p w14:paraId="65076611">
            <w:pPr>
              <w:jc w:val="center"/>
              <w:rPr>
                <w:rFonts w:hint="eastAsia" w:ascii="宋体" w:hAnsi="宋体" w:eastAsia="宋体" w:cs="宋体"/>
                <w:szCs w:val="21"/>
              </w:rPr>
            </w:pPr>
            <w:r>
              <w:rPr>
                <w:rFonts w:hint="eastAsia" w:ascii="宋体" w:hAnsi="宋体" w:eastAsia="宋体" w:cs="宋体"/>
                <w:szCs w:val="21"/>
              </w:rPr>
              <w:t>电话</w:t>
            </w:r>
          </w:p>
        </w:tc>
        <w:tc>
          <w:tcPr>
            <w:tcW w:w="1923" w:type="dxa"/>
            <w:noWrap w:val="0"/>
            <w:vAlign w:val="center"/>
          </w:tcPr>
          <w:p w14:paraId="53DCED3C">
            <w:pPr>
              <w:jc w:val="center"/>
              <w:rPr>
                <w:rFonts w:hint="eastAsia" w:ascii="宋体" w:hAnsi="宋体" w:eastAsia="宋体" w:cs="宋体"/>
                <w:szCs w:val="21"/>
              </w:rPr>
            </w:pPr>
          </w:p>
        </w:tc>
      </w:tr>
      <w:tr w14:paraId="2913F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393F2193">
            <w:pPr>
              <w:jc w:val="center"/>
              <w:rPr>
                <w:rFonts w:hint="eastAsia" w:ascii="宋体" w:hAnsi="宋体" w:eastAsia="宋体" w:cs="宋体"/>
                <w:szCs w:val="21"/>
              </w:rPr>
            </w:pPr>
            <w:r>
              <w:rPr>
                <w:rFonts w:hint="eastAsia" w:ascii="宋体" w:hAnsi="宋体" w:eastAsia="宋体" w:cs="宋体"/>
                <w:szCs w:val="21"/>
              </w:rPr>
              <w:t>成立时间</w:t>
            </w:r>
          </w:p>
        </w:tc>
        <w:tc>
          <w:tcPr>
            <w:tcW w:w="1918" w:type="dxa"/>
            <w:gridSpan w:val="2"/>
            <w:noWrap w:val="0"/>
            <w:vAlign w:val="center"/>
          </w:tcPr>
          <w:p w14:paraId="389E43B0">
            <w:pPr>
              <w:jc w:val="center"/>
              <w:rPr>
                <w:rFonts w:hint="eastAsia" w:ascii="宋体" w:hAnsi="宋体" w:eastAsia="宋体" w:cs="宋体"/>
                <w:szCs w:val="21"/>
              </w:rPr>
            </w:pPr>
          </w:p>
        </w:tc>
        <w:tc>
          <w:tcPr>
            <w:tcW w:w="5423" w:type="dxa"/>
            <w:gridSpan w:val="6"/>
            <w:noWrap w:val="0"/>
            <w:vAlign w:val="center"/>
          </w:tcPr>
          <w:p w14:paraId="60311EE7">
            <w:pPr>
              <w:jc w:val="center"/>
              <w:rPr>
                <w:rFonts w:hint="eastAsia" w:ascii="宋体" w:hAnsi="宋体" w:eastAsia="宋体" w:cs="宋体"/>
                <w:szCs w:val="21"/>
              </w:rPr>
            </w:pPr>
            <w:r>
              <w:rPr>
                <w:rFonts w:hint="eastAsia" w:ascii="宋体" w:hAnsi="宋体" w:eastAsia="宋体" w:cs="宋体"/>
                <w:szCs w:val="21"/>
              </w:rPr>
              <w:t>员工总人数：</w:t>
            </w:r>
          </w:p>
        </w:tc>
      </w:tr>
      <w:tr w14:paraId="22D8F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06CE798F">
            <w:pPr>
              <w:jc w:val="center"/>
              <w:rPr>
                <w:rFonts w:hint="eastAsia" w:ascii="宋体" w:hAnsi="宋体" w:eastAsia="宋体" w:cs="宋体"/>
                <w:szCs w:val="21"/>
              </w:rPr>
            </w:pPr>
            <w:r>
              <w:rPr>
                <w:rFonts w:hint="eastAsia" w:ascii="宋体" w:hAnsi="宋体" w:eastAsia="宋体" w:cs="宋体"/>
                <w:szCs w:val="21"/>
              </w:rPr>
              <w:t>资质等级</w:t>
            </w:r>
          </w:p>
        </w:tc>
        <w:tc>
          <w:tcPr>
            <w:tcW w:w="1918" w:type="dxa"/>
            <w:gridSpan w:val="2"/>
            <w:noWrap w:val="0"/>
            <w:vAlign w:val="center"/>
          </w:tcPr>
          <w:p w14:paraId="77D2F524">
            <w:pPr>
              <w:jc w:val="center"/>
              <w:rPr>
                <w:rFonts w:hint="eastAsia" w:ascii="宋体" w:hAnsi="宋体" w:eastAsia="宋体" w:cs="宋体"/>
                <w:szCs w:val="21"/>
              </w:rPr>
            </w:pPr>
          </w:p>
        </w:tc>
        <w:tc>
          <w:tcPr>
            <w:tcW w:w="1160" w:type="dxa"/>
            <w:vMerge w:val="restart"/>
            <w:noWrap w:val="0"/>
            <w:vAlign w:val="center"/>
          </w:tcPr>
          <w:p w14:paraId="143A8122">
            <w:pPr>
              <w:jc w:val="center"/>
              <w:rPr>
                <w:rFonts w:hint="eastAsia" w:ascii="宋体" w:hAnsi="宋体" w:eastAsia="宋体" w:cs="宋体"/>
                <w:szCs w:val="21"/>
              </w:rPr>
            </w:pPr>
            <w:r>
              <w:rPr>
                <w:rFonts w:hint="eastAsia" w:ascii="宋体" w:hAnsi="宋体" w:eastAsia="宋体" w:cs="宋体"/>
                <w:szCs w:val="21"/>
              </w:rPr>
              <w:t>其中</w:t>
            </w:r>
          </w:p>
        </w:tc>
        <w:tc>
          <w:tcPr>
            <w:tcW w:w="1620" w:type="dxa"/>
            <w:gridSpan w:val="3"/>
            <w:noWrap w:val="0"/>
            <w:vAlign w:val="center"/>
          </w:tcPr>
          <w:p w14:paraId="1DD45DBC">
            <w:pPr>
              <w:jc w:val="center"/>
              <w:rPr>
                <w:rFonts w:hint="eastAsia" w:ascii="宋体" w:hAnsi="宋体" w:eastAsia="宋体" w:cs="宋体"/>
                <w:szCs w:val="21"/>
              </w:rPr>
            </w:pPr>
            <w:r>
              <w:rPr>
                <w:rFonts w:hint="eastAsia" w:ascii="宋体" w:hAnsi="宋体" w:eastAsia="宋体" w:cs="宋体"/>
                <w:szCs w:val="21"/>
              </w:rPr>
              <w:t>项目经理</w:t>
            </w:r>
          </w:p>
        </w:tc>
        <w:tc>
          <w:tcPr>
            <w:tcW w:w="2643" w:type="dxa"/>
            <w:gridSpan w:val="2"/>
            <w:noWrap w:val="0"/>
            <w:vAlign w:val="center"/>
          </w:tcPr>
          <w:p w14:paraId="1DE00F10">
            <w:pPr>
              <w:jc w:val="center"/>
              <w:rPr>
                <w:rFonts w:hint="eastAsia" w:ascii="宋体" w:hAnsi="宋体" w:eastAsia="宋体" w:cs="宋体"/>
                <w:szCs w:val="21"/>
              </w:rPr>
            </w:pPr>
          </w:p>
        </w:tc>
      </w:tr>
      <w:tr w14:paraId="1C3E5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53671D18">
            <w:pPr>
              <w:jc w:val="center"/>
              <w:rPr>
                <w:rFonts w:hint="eastAsia" w:ascii="宋体" w:hAnsi="宋体" w:eastAsia="宋体" w:cs="宋体"/>
                <w:szCs w:val="21"/>
              </w:rPr>
            </w:pPr>
            <w:r>
              <w:rPr>
                <w:rFonts w:hint="eastAsia" w:ascii="宋体" w:hAnsi="宋体" w:eastAsia="宋体" w:cs="宋体"/>
                <w:szCs w:val="21"/>
              </w:rPr>
              <w:t>安全生产许可证号</w:t>
            </w:r>
          </w:p>
        </w:tc>
        <w:tc>
          <w:tcPr>
            <w:tcW w:w="1918" w:type="dxa"/>
            <w:gridSpan w:val="2"/>
            <w:noWrap w:val="0"/>
            <w:vAlign w:val="center"/>
          </w:tcPr>
          <w:p w14:paraId="3492CBCA">
            <w:pPr>
              <w:jc w:val="center"/>
              <w:rPr>
                <w:rFonts w:hint="eastAsia" w:ascii="宋体" w:hAnsi="宋体" w:eastAsia="宋体" w:cs="宋体"/>
                <w:szCs w:val="21"/>
              </w:rPr>
            </w:pPr>
          </w:p>
        </w:tc>
        <w:tc>
          <w:tcPr>
            <w:tcW w:w="1160" w:type="dxa"/>
            <w:vMerge w:val="continue"/>
            <w:noWrap w:val="0"/>
            <w:vAlign w:val="center"/>
          </w:tcPr>
          <w:p w14:paraId="35398584">
            <w:pPr>
              <w:jc w:val="center"/>
              <w:rPr>
                <w:rFonts w:hint="eastAsia" w:ascii="宋体" w:hAnsi="宋体" w:eastAsia="宋体" w:cs="宋体"/>
                <w:szCs w:val="21"/>
              </w:rPr>
            </w:pPr>
          </w:p>
        </w:tc>
        <w:tc>
          <w:tcPr>
            <w:tcW w:w="1620" w:type="dxa"/>
            <w:gridSpan w:val="3"/>
            <w:noWrap w:val="0"/>
            <w:vAlign w:val="center"/>
          </w:tcPr>
          <w:p w14:paraId="44E46B21">
            <w:pPr>
              <w:jc w:val="center"/>
              <w:rPr>
                <w:rFonts w:hint="eastAsia" w:ascii="宋体" w:hAnsi="宋体" w:eastAsia="宋体" w:cs="宋体"/>
                <w:szCs w:val="21"/>
              </w:rPr>
            </w:pPr>
            <w:r>
              <w:rPr>
                <w:rFonts w:hint="eastAsia" w:ascii="宋体" w:hAnsi="宋体" w:eastAsia="宋体" w:cs="宋体"/>
                <w:szCs w:val="21"/>
              </w:rPr>
              <w:t>高级职称人员</w:t>
            </w:r>
          </w:p>
        </w:tc>
        <w:tc>
          <w:tcPr>
            <w:tcW w:w="2643" w:type="dxa"/>
            <w:gridSpan w:val="2"/>
            <w:noWrap w:val="0"/>
            <w:vAlign w:val="center"/>
          </w:tcPr>
          <w:p w14:paraId="0FE01C3A">
            <w:pPr>
              <w:jc w:val="center"/>
              <w:rPr>
                <w:rFonts w:hint="eastAsia" w:ascii="宋体" w:hAnsi="宋体" w:eastAsia="宋体" w:cs="宋体"/>
                <w:szCs w:val="21"/>
              </w:rPr>
            </w:pPr>
          </w:p>
        </w:tc>
      </w:tr>
      <w:tr w14:paraId="4411D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27BCA342">
            <w:pPr>
              <w:jc w:val="center"/>
              <w:rPr>
                <w:rFonts w:hint="eastAsia" w:ascii="宋体" w:hAnsi="宋体" w:eastAsia="宋体" w:cs="宋体"/>
                <w:szCs w:val="21"/>
              </w:rPr>
            </w:pPr>
            <w:r>
              <w:rPr>
                <w:rFonts w:hint="eastAsia" w:ascii="宋体" w:hAnsi="宋体" w:eastAsia="宋体" w:cs="宋体"/>
                <w:szCs w:val="21"/>
              </w:rPr>
              <w:t>注册资金</w:t>
            </w:r>
          </w:p>
        </w:tc>
        <w:tc>
          <w:tcPr>
            <w:tcW w:w="1918" w:type="dxa"/>
            <w:gridSpan w:val="2"/>
            <w:noWrap w:val="0"/>
            <w:vAlign w:val="center"/>
          </w:tcPr>
          <w:p w14:paraId="4D3E4AC8">
            <w:pPr>
              <w:jc w:val="center"/>
              <w:rPr>
                <w:rFonts w:hint="eastAsia" w:ascii="宋体" w:hAnsi="宋体" w:eastAsia="宋体" w:cs="宋体"/>
                <w:szCs w:val="21"/>
              </w:rPr>
            </w:pPr>
          </w:p>
        </w:tc>
        <w:tc>
          <w:tcPr>
            <w:tcW w:w="1160" w:type="dxa"/>
            <w:vMerge w:val="continue"/>
            <w:noWrap w:val="0"/>
            <w:vAlign w:val="center"/>
          </w:tcPr>
          <w:p w14:paraId="1CACE46A">
            <w:pPr>
              <w:jc w:val="center"/>
              <w:rPr>
                <w:rFonts w:hint="eastAsia" w:ascii="宋体" w:hAnsi="宋体" w:eastAsia="宋体" w:cs="宋体"/>
                <w:szCs w:val="21"/>
              </w:rPr>
            </w:pPr>
          </w:p>
        </w:tc>
        <w:tc>
          <w:tcPr>
            <w:tcW w:w="1620" w:type="dxa"/>
            <w:gridSpan w:val="3"/>
            <w:noWrap w:val="0"/>
            <w:vAlign w:val="center"/>
          </w:tcPr>
          <w:p w14:paraId="22809518">
            <w:pPr>
              <w:jc w:val="center"/>
              <w:rPr>
                <w:rFonts w:hint="eastAsia" w:ascii="宋体" w:hAnsi="宋体" w:eastAsia="宋体" w:cs="宋体"/>
                <w:szCs w:val="21"/>
              </w:rPr>
            </w:pPr>
            <w:r>
              <w:rPr>
                <w:rFonts w:hint="eastAsia" w:ascii="宋体" w:hAnsi="宋体" w:eastAsia="宋体" w:cs="宋体"/>
                <w:szCs w:val="21"/>
              </w:rPr>
              <w:t>中级职称人员</w:t>
            </w:r>
          </w:p>
        </w:tc>
        <w:tc>
          <w:tcPr>
            <w:tcW w:w="2643" w:type="dxa"/>
            <w:gridSpan w:val="2"/>
            <w:noWrap w:val="0"/>
            <w:vAlign w:val="center"/>
          </w:tcPr>
          <w:p w14:paraId="53592802">
            <w:pPr>
              <w:jc w:val="center"/>
              <w:rPr>
                <w:rFonts w:hint="eastAsia" w:ascii="宋体" w:hAnsi="宋体" w:eastAsia="宋体" w:cs="宋体"/>
                <w:szCs w:val="21"/>
              </w:rPr>
            </w:pPr>
          </w:p>
        </w:tc>
      </w:tr>
      <w:tr w14:paraId="44DAA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23EB656A">
            <w:pPr>
              <w:jc w:val="center"/>
              <w:rPr>
                <w:rFonts w:hint="eastAsia" w:ascii="宋体" w:hAnsi="宋体" w:eastAsia="宋体" w:cs="宋体"/>
                <w:szCs w:val="21"/>
              </w:rPr>
            </w:pPr>
            <w:r>
              <w:rPr>
                <w:rFonts w:hint="eastAsia" w:ascii="宋体" w:hAnsi="宋体" w:eastAsia="宋体" w:cs="宋体"/>
                <w:szCs w:val="21"/>
              </w:rPr>
              <w:t>开户银行</w:t>
            </w:r>
          </w:p>
        </w:tc>
        <w:tc>
          <w:tcPr>
            <w:tcW w:w="1918" w:type="dxa"/>
            <w:gridSpan w:val="2"/>
            <w:noWrap w:val="0"/>
            <w:vAlign w:val="center"/>
          </w:tcPr>
          <w:p w14:paraId="340D89C6">
            <w:pPr>
              <w:jc w:val="center"/>
              <w:rPr>
                <w:rFonts w:hint="eastAsia" w:ascii="宋体" w:hAnsi="宋体" w:eastAsia="宋体" w:cs="宋体"/>
                <w:szCs w:val="21"/>
              </w:rPr>
            </w:pPr>
          </w:p>
        </w:tc>
        <w:tc>
          <w:tcPr>
            <w:tcW w:w="1160" w:type="dxa"/>
            <w:vMerge w:val="continue"/>
            <w:noWrap w:val="0"/>
            <w:vAlign w:val="center"/>
          </w:tcPr>
          <w:p w14:paraId="0B0A4289">
            <w:pPr>
              <w:jc w:val="center"/>
              <w:rPr>
                <w:rFonts w:hint="eastAsia" w:ascii="宋体" w:hAnsi="宋体" w:eastAsia="宋体" w:cs="宋体"/>
                <w:szCs w:val="21"/>
              </w:rPr>
            </w:pPr>
          </w:p>
        </w:tc>
        <w:tc>
          <w:tcPr>
            <w:tcW w:w="1620" w:type="dxa"/>
            <w:gridSpan w:val="3"/>
            <w:noWrap w:val="0"/>
            <w:vAlign w:val="center"/>
          </w:tcPr>
          <w:p w14:paraId="375A0CBD">
            <w:pPr>
              <w:jc w:val="center"/>
              <w:rPr>
                <w:rFonts w:hint="eastAsia" w:ascii="宋体" w:hAnsi="宋体" w:eastAsia="宋体" w:cs="宋体"/>
                <w:szCs w:val="21"/>
              </w:rPr>
            </w:pPr>
            <w:r>
              <w:rPr>
                <w:rFonts w:hint="eastAsia" w:ascii="宋体" w:hAnsi="宋体" w:eastAsia="宋体" w:cs="宋体"/>
                <w:szCs w:val="21"/>
              </w:rPr>
              <w:t>初级职称人员</w:t>
            </w:r>
          </w:p>
        </w:tc>
        <w:tc>
          <w:tcPr>
            <w:tcW w:w="2643" w:type="dxa"/>
            <w:gridSpan w:val="2"/>
            <w:noWrap w:val="0"/>
            <w:vAlign w:val="center"/>
          </w:tcPr>
          <w:p w14:paraId="678D6390">
            <w:pPr>
              <w:jc w:val="center"/>
              <w:rPr>
                <w:rFonts w:hint="eastAsia" w:ascii="宋体" w:hAnsi="宋体" w:eastAsia="宋体" w:cs="宋体"/>
                <w:szCs w:val="21"/>
              </w:rPr>
            </w:pPr>
          </w:p>
        </w:tc>
      </w:tr>
      <w:tr w14:paraId="4C46A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68DDCE60">
            <w:pPr>
              <w:jc w:val="center"/>
              <w:rPr>
                <w:rFonts w:hint="eastAsia" w:ascii="宋体" w:hAnsi="宋体" w:eastAsia="宋体" w:cs="宋体"/>
                <w:szCs w:val="21"/>
              </w:rPr>
            </w:pPr>
            <w:r>
              <w:rPr>
                <w:rFonts w:hint="eastAsia" w:ascii="宋体" w:hAnsi="宋体" w:eastAsia="宋体" w:cs="宋体"/>
                <w:szCs w:val="21"/>
              </w:rPr>
              <w:t>账号</w:t>
            </w:r>
          </w:p>
        </w:tc>
        <w:tc>
          <w:tcPr>
            <w:tcW w:w="1918" w:type="dxa"/>
            <w:gridSpan w:val="2"/>
            <w:noWrap w:val="0"/>
            <w:vAlign w:val="center"/>
          </w:tcPr>
          <w:p w14:paraId="6EEBA027">
            <w:pPr>
              <w:jc w:val="center"/>
              <w:rPr>
                <w:rFonts w:hint="eastAsia" w:ascii="宋体" w:hAnsi="宋体" w:eastAsia="宋体" w:cs="宋体"/>
                <w:szCs w:val="21"/>
              </w:rPr>
            </w:pPr>
          </w:p>
        </w:tc>
        <w:tc>
          <w:tcPr>
            <w:tcW w:w="1160" w:type="dxa"/>
            <w:vMerge w:val="continue"/>
            <w:noWrap w:val="0"/>
            <w:vAlign w:val="center"/>
          </w:tcPr>
          <w:p w14:paraId="205F4C79">
            <w:pPr>
              <w:jc w:val="center"/>
              <w:rPr>
                <w:rFonts w:hint="eastAsia" w:ascii="宋体" w:hAnsi="宋体" w:eastAsia="宋体" w:cs="宋体"/>
                <w:szCs w:val="21"/>
              </w:rPr>
            </w:pPr>
          </w:p>
        </w:tc>
        <w:tc>
          <w:tcPr>
            <w:tcW w:w="1620" w:type="dxa"/>
            <w:gridSpan w:val="3"/>
            <w:noWrap w:val="0"/>
            <w:vAlign w:val="center"/>
          </w:tcPr>
          <w:p w14:paraId="52AC7FCE">
            <w:pPr>
              <w:jc w:val="center"/>
              <w:rPr>
                <w:rFonts w:hint="eastAsia" w:ascii="宋体" w:hAnsi="宋体" w:eastAsia="宋体" w:cs="宋体"/>
                <w:szCs w:val="21"/>
              </w:rPr>
            </w:pPr>
            <w:r>
              <w:rPr>
                <w:rFonts w:hint="eastAsia" w:ascii="宋体" w:hAnsi="宋体" w:eastAsia="宋体" w:cs="宋体"/>
                <w:szCs w:val="21"/>
              </w:rPr>
              <w:t>技  工</w:t>
            </w:r>
          </w:p>
        </w:tc>
        <w:tc>
          <w:tcPr>
            <w:tcW w:w="2643" w:type="dxa"/>
            <w:gridSpan w:val="2"/>
            <w:noWrap w:val="0"/>
            <w:vAlign w:val="center"/>
          </w:tcPr>
          <w:p w14:paraId="67FB0F8A">
            <w:pPr>
              <w:jc w:val="center"/>
              <w:rPr>
                <w:rFonts w:hint="eastAsia" w:ascii="宋体" w:hAnsi="宋体" w:eastAsia="宋体" w:cs="宋体"/>
                <w:szCs w:val="21"/>
              </w:rPr>
            </w:pPr>
          </w:p>
        </w:tc>
      </w:tr>
      <w:tr w14:paraId="77149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1" w:hRule="atLeast"/>
          <w:jc w:val="center"/>
        </w:trPr>
        <w:tc>
          <w:tcPr>
            <w:tcW w:w="1626" w:type="dxa"/>
            <w:noWrap w:val="0"/>
            <w:vAlign w:val="center"/>
          </w:tcPr>
          <w:p w14:paraId="4AB9DB9C">
            <w:pPr>
              <w:jc w:val="center"/>
              <w:rPr>
                <w:rFonts w:hint="eastAsia" w:ascii="宋体" w:hAnsi="宋体" w:eastAsia="宋体" w:cs="宋体"/>
                <w:szCs w:val="21"/>
              </w:rPr>
            </w:pPr>
            <w:r>
              <w:rPr>
                <w:rFonts w:hint="eastAsia" w:ascii="宋体" w:hAnsi="宋体" w:eastAsia="宋体" w:cs="宋体"/>
                <w:szCs w:val="21"/>
              </w:rPr>
              <w:t>经营范围</w:t>
            </w:r>
          </w:p>
        </w:tc>
        <w:tc>
          <w:tcPr>
            <w:tcW w:w="7341" w:type="dxa"/>
            <w:gridSpan w:val="8"/>
            <w:noWrap w:val="0"/>
            <w:vAlign w:val="center"/>
          </w:tcPr>
          <w:p w14:paraId="5ABEC352">
            <w:pPr>
              <w:jc w:val="center"/>
              <w:rPr>
                <w:rFonts w:hint="eastAsia" w:ascii="宋体" w:hAnsi="宋体" w:eastAsia="宋体" w:cs="宋体"/>
                <w:szCs w:val="21"/>
              </w:rPr>
            </w:pPr>
          </w:p>
        </w:tc>
      </w:tr>
      <w:tr w14:paraId="27083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3100D993">
            <w:pPr>
              <w:jc w:val="center"/>
              <w:rPr>
                <w:rFonts w:hint="eastAsia" w:ascii="宋体" w:hAnsi="宋体" w:eastAsia="宋体" w:cs="宋体"/>
                <w:szCs w:val="21"/>
              </w:rPr>
            </w:pPr>
            <w:r>
              <w:rPr>
                <w:rFonts w:hint="eastAsia" w:ascii="宋体" w:hAnsi="宋体" w:eastAsia="宋体" w:cs="宋体"/>
                <w:szCs w:val="21"/>
              </w:rPr>
              <w:t>备注</w:t>
            </w:r>
          </w:p>
        </w:tc>
        <w:tc>
          <w:tcPr>
            <w:tcW w:w="7341" w:type="dxa"/>
            <w:gridSpan w:val="8"/>
            <w:noWrap w:val="0"/>
            <w:vAlign w:val="center"/>
          </w:tcPr>
          <w:p w14:paraId="7F37785D">
            <w:pPr>
              <w:jc w:val="center"/>
              <w:rPr>
                <w:rFonts w:hint="eastAsia" w:ascii="宋体" w:hAnsi="宋体" w:eastAsia="宋体" w:cs="宋体"/>
                <w:szCs w:val="21"/>
              </w:rPr>
            </w:pPr>
          </w:p>
        </w:tc>
      </w:tr>
    </w:tbl>
    <w:p w14:paraId="0C89098A">
      <w:pPr>
        <w:snapToGrid w:val="0"/>
        <w:spacing w:before="50" w:after="120" w:afterLines="50" w:line="440" w:lineRule="exact"/>
        <w:jc w:val="left"/>
        <w:rPr>
          <w:rFonts w:hint="eastAsia" w:ascii="宋体" w:hAnsi="宋体" w:eastAsia="宋体" w:cs="宋体"/>
          <w:b/>
          <w:szCs w:val="21"/>
        </w:rPr>
      </w:pPr>
      <w:r>
        <w:rPr>
          <w:rFonts w:hint="eastAsia" w:ascii="宋体" w:hAnsi="宋体" w:eastAsia="宋体" w:cs="宋体"/>
          <w:szCs w:val="21"/>
        </w:rPr>
        <w:t>【备注：附有效的安全生产许可证副本扫描件加盖</w:t>
      </w:r>
      <w:bookmarkStart w:id="552" w:name="_Hlk89190857"/>
      <w:r>
        <w:rPr>
          <w:rFonts w:hint="eastAsia" w:ascii="宋体" w:hAnsi="宋体" w:eastAsia="宋体" w:cs="宋体"/>
          <w:szCs w:val="21"/>
        </w:rPr>
        <w:t>供应商电子签章</w:t>
      </w:r>
      <w:bookmarkEnd w:id="552"/>
      <w:r>
        <w:rPr>
          <w:rFonts w:hint="eastAsia" w:ascii="宋体" w:hAnsi="宋体" w:eastAsia="宋体" w:cs="宋体"/>
          <w:szCs w:val="21"/>
        </w:rPr>
        <w:t>】</w:t>
      </w:r>
      <w:r>
        <w:rPr>
          <w:rFonts w:hint="eastAsia" w:ascii="宋体" w:hAnsi="宋体" w:eastAsia="宋体" w:cs="宋体"/>
          <w:szCs w:val="21"/>
        </w:rPr>
        <w:br w:type="page"/>
      </w:r>
      <w:bookmarkStart w:id="553" w:name="_Hlk132792497"/>
      <w:r>
        <w:rPr>
          <w:rFonts w:hint="eastAsia" w:ascii="宋体" w:hAnsi="宋体" w:cs="宋体"/>
          <w:bCs/>
          <w:szCs w:val="21"/>
          <w:lang w:val="en-US" w:eastAsia="zh-CN"/>
        </w:rPr>
        <w:t>5</w:t>
      </w:r>
      <w:r>
        <w:rPr>
          <w:rFonts w:hint="eastAsia" w:ascii="宋体" w:hAnsi="宋体" w:eastAsia="宋体" w:cs="宋体"/>
          <w:bCs/>
          <w:szCs w:val="21"/>
        </w:rPr>
        <w:t>．落实政府采购政策需满足的资格要求（按“评审方法及标准” “资格审查表”规定提供）。（</w:t>
      </w:r>
      <w:r>
        <w:rPr>
          <w:rFonts w:hint="eastAsia" w:ascii="宋体" w:hAnsi="宋体" w:eastAsia="宋体" w:cs="宋体"/>
          <w:b/>
          <w:szCs w:val="21"/>
        </w:rPr>
        <w:t>如采购文件有要求时提供</w:t>
      </w:r>
      <w:r>
        <w:rPr>
          <w:rFonts w:hint="eastAsia" w:ascii="宋体" w:hAnsi="宋体" w:eastAsia="宋体" w:cs="宋体"/>
          <w:bCs/>
          <w:szCs w:val="21"/>
        </w:rPr>
        <w:t>）</w:t>
      </w:r>
    </w:p>
    <w:bookmarkEnd w:id="553"/>
    <w:p w14:paraId="4EF821F5">
      <w:pPr>
        <w:rPr>
          <w:rFonts w:hint="eastAsia" w:ascii="宋体" w:hAnsi="宋体" w:eastAsia="宋体" w:cs="宋体"/>
          <w:szCs w:val="21"/>
        </w:rPr>
      </w:pPr>
      <w:r>
        <w:rPr>
          <w:rFonts w:hint="eastAsia" w:ascii="宋体" w:hAnsi="宋体" w:cs="宋体"/>
          <w:szCs w:val="21"/>
          <w:lang w:val="en-US" w:eastAsia="zh-CN"/>
        </w:rPr>
        <w:t>5</w:t>
      </w:r>
      <w:r>
        <w:rPr>
          <w:rFonts w:hint="eastAsia" w:ascii="宋体" w:hAnsi="宋体" w:eastAsia="宋体" w:cs="宋体"/>
          <w:szCs w:val="21"/>
        </w:rPr>
        <w:t>.1</w:t>
      </w:r>
      <w:r>
        <w:rPr>
          <w:rFonts w:hint="eastAsia" w:ascii="宋体" w:hAnsi="宋体" w:eastAsia="宋体" w:cs="宋体"/>
          <w:bCs/>
          <w:szCs w:val="21"/>
        </w:rPr>
        <w:t>中小企业声明函</w:t>
      </w:r>
      <w:r>
        <w:rPr>
          <w:rFonts w:hint="eastAsia" w:ascii="宋体" w:hAnsi="宋体" w:eastAsia="宋体" w:cs="宋体"/>
          <w:szCs w:val="21"/>
        </w:rPr>
        <w:t>。</w:t>
      </w:r>
    </w:p>
    <w:p w14:paraId="1E23A551">
      <w:pPr>
        <w:spacing w:line="360" w:lineRule="auto"/>
        <w:ind w:firstLine="3584" w:firstLineChars="1700"/>
        <w:rPr>
          <w:rFonts w:hint="eastAsia" w:ascii="宋体" w:hAnsi="宋体" w:eastAsia="宋体" w:cs="宋体"/>
          <w:b/>
          <w:szCs w:val="21"/>
        </w:rPr>
      </w:pPr>
    </w:p>
    <w:p w14:paraId="6DE3B3A0">
      <w:pPr>
        <w:spacing w:line="360" w:lineRule="auto"/>
        <w:ind w:firstLine="420"/>
        <w:jc w:val="center"/>
        <w:rPr>
          <w:rFonts w:hint="eastAsia" w:ascii="宋体" w:hAnsi="宋体" w:eastAsia="宋体" w:cs="宋体"/>
          <w:b/>
          <w:szCs w:val="21"/>
        </w:rPr>
      </w:pPr>
      <w:r>
        <w:rPr>
          <w:rFonts w:hint="eastAsia" w:ascii="宋体" w:hAnsi="宋体" w:eastAsia="宋体" w:cs="宋体"/>
          <w:b/>
          <w:szCs w:val="21"/>
        </w:rPr>
        <w:t>中小企业声明函（工程）</w:t>
      </w:r>
    </w:p>
    <w:p w14:paraId="3259D8F6">
      <w:pPr>
        <w:spacing w:line="360" w:lineRule="auto"/>
        <w:ind w:firstLine="420"/>
        <w:rPr>
          <w:rFonts w:hint="eastAsia" w:ascii="宋体" w:hAnsi="宋体" w:eastAsia="宋体" w:cs="宋体"/>
          <w:bCs/>
          <w:szCs w:val="21"/>
        </w:rPr>
      </w:pPr>
      <w:r>
        <w:rPr>
          <w:rFonts w:hint="eastAsia" w:ascii="宋体" w:hAnsi="宋体" w:eastAsia="宋体" w:cs="宋体"/>
          <w:bCs/>
          <w:szCs w:val="21"/>
        </w:rPr>
        <w:t>本公司（联合体）郑重声明，根据《政府采购促进中小企业发展管理办法》（财库﹝2020﹞46 号）的规定，本公司（联合体）参加</w:t>
      </w:r>
      <w:r>
        <w:rPr>
          <w:rFonts w:hint="eastAsia" w:ascii="宋体" w:hAnsi="宋体" w:eastAsia="宋体" w:cs="宋体"/>
          <w:bCs/>
          <w:szCs w:val="21"/>
          <w:u w:val="single"/>
        </w:rPr>
        <w:t>（单位名称）</w:t>
      </w:r>
      <w:r>
        <w:rPr>
          <w:rFonts w:hint="eastAsia" w:ascii="宋体" w:hAnsi="宋体" w:eastAsia="宋体" w:cs="宋体"/>
          <w:bCs/>
          <w:szCs w:val="21"/>
        </w:rPr>
        <w:t>的</w:t>
      </w:r>
      <w:r>
        <w:rPr>
          <w:rFonts w:hint="eastAsia" w:ascii="宋体" w:hAnsi="宋体" w:eastAsia="宋体" w:cs="宋体"/>
          <w:bCs/>
          <w:szCs w:val="21"/>
          <w:u w:val="single"/>
        </w:rPr>
        <w:t>（项目名称）</w:t>
      </w:r>
      <w:r>
        <w:rPr>
          <w:rFonts w:hint="eastAsia" w:ascii="宋体" w:hAnsi="宋体" w:eastAsia="宋体" w:cs="宋体"/>
          <w:bCs/>
          <w:szCs w:val="21"/>
        </w:rPr>
        <w:t>采购活动，服务全部由符合政策要求的中小企业承接。相关企业（含联合体中的中小企业、签订分包意向协议的中小企业） 的具体情况如下：</w:t>
      </w:r>
    </w:p>
    <w:p w14:paraId="5C4351FC">
      <w:pPr>
        <w:spacing w:line="360" w:lineRule="auto"/>
        <w:ind w:firstLine="420"/>
        <w:rPr>
          <w:rFonts w:hint="eastAsia" w:ascii="宋体" w:hAnsi="宋体" w:eastAsia="宋体" w:cs="宋体"/>
          <w:bCs/>
          <w:szCs w:val="21"/>
        </w:rPr>
      </w:pPr>
      <w:r>
        <w:rPr>
          <w:rFonts w:hint="eastAsia" w:ascii="宋体" w:hAnsi="宋体" w:eastAsia="宋体" w:cs="宋体"/>
          <w:bCs/>
          <w:szCs w:val="21"/>
        </w:rPr>
        <w:t>1.</w:t>
      </w:r>
      <w:r>
        <w:rPr>
          <w:rFonts w:hint="eastAsia" w:ascii="宋体" w:hAnsi="宋体" w:eastAsia="宋体" w:cs="宋体"/>
          <w:bCs/>
          <w:szCs w:val="21"/>
          <w:u w:val="single"/>
        </w:rPr>
        <w:t>（标的名称）</w:t>
      </w:r>
      <w:r>
        <w:rPr>
          <w:rFonts w:hint="eastAsia" w:ascii="宋体" w:hAnsi="宋体" w:eastAsia="宋体" w:cs="宋体"/>
          <w:bCs/>
          <w:szCs w:val="21"/>
        </w:rPr>
        <w:t>，属于</w:t>
      </w:r>
      <w:r>
        <w:rPr>
          <w:rFonts w:hint="eastAsia" w:ascii="宋体" w:hAnsi="宋体" w:eastAsia="宋体" w:cs="宋体"/>
          <w:bCs/>
          <w:szCs w:val="21"/>
          <w:u w:val="single"/>
        </w:rPr>
        <w:t>（采购文件中明确的所属行业）</w:t>
      </w:r>
      <w:r>
        <w:rPr>
          <w:rFonts w:hint="eastAsia" w:ascii="宋体" w:hAnsi="宋体" w:eastAsia="宋体" w:cs="宋体"/>
          <w:bCs/>
          <w:szCs w:val="21"/>
        </w:rPr>
        <w:t>行业；承建（承接）企业为</w:t>
      </w:r>
      <w:r>
        <w:rPr>
          <w:rFonts w:hint="eastAsia" w:ascii="宋体" w:hAnsi="宋体" w:eastAsia="宋体" w:cs="宋体"/>
          <w:bCs/>
          <w:szCs w:val="21"/>
          <w:u w:val="single"/>
        </w:rPr>
        <w:t>（企业名称）</w:t>
      </w:r>
      <w:r>
        <w:rPr>
          <w:rFonts w:hint="eastAsia" w:ascii="宋体" w:hAnsi="宋体" w:eastAsia="宋体" w:cs="宋体"/>
          <w:bCs/>
          <w:szCs w:val="21"/>
        </w:rPr>
        <w:t>，从业人员</w:t>
      </w:r>
      <w:r>
        <w:rPr>
          <w:rFonts w:hint="eastAsia" w:ascii="宋体" w:hAnsi="宋体" w:eastAsia="宋体" w:cs="宋体"/>
          <w:bCs/>
          <w:szCs w:val="21"/>
          <w:u w:val="single"/>
        </w:rPr>
        <w:t xml:space="preserve">    </w:t>
      </w:r>
      <w:r>
        <w:rPr>
          <w:rFonts w:hint="eastAsia" w:ascii="宋体" w:hAnsi="宋体" w:eastAsia="宋体" w:cs="宋体"/>
          <w:bCs/>
          <w:szCs w:val="21"/>
        </w:rPr>
        <w:t>人，营业收入为</w:t>
      </w:r>
      <w:r>
        <w:rPr>
          <w:rFonts w:hint="eastAsia" w:ascii="宋体" w:hAnsi="宋体" w:eastAsia="宋体" w:cs="宋体"/>
          <w:bCs/>
          <w:szCs w:val="21"/>
          <w:u w:val="single"/>
        </w:rPr>
        <w:t xml:space="preserve">    </w:t>
      </w:r>
      <w:r>
        <w:rPr>
          <w:rFonts w:hint="eastAsia" w:ascii="宋体" w:hAnsi="宋体" w:eastAsia="宋体" w:cs="宋体"/>
          <w:bCs/>
          <w:szCs w:val="21"/>
        </w:rPr>
        <w:t>万元，资产总额为</w:t>
      </w:r>
      <w:r>
        <w:rPr>
          <w:rFonts w:hint="eastAsia" w:ascii="宋体" w:hAnsi="宋体" w:eastAsia="宋体" w:cs="宋体"/>
          <w:bCs/>
          <w:szCs w:val="21"/>
          <w:u w:val="single"/>
        </w:rPr>
        <w:t xml:space="preserve">    </w:t>
      </w:r>
      <w:r>
        <w:rPr>
          <w:rFonts w:hint="eastAsia" w:ascii="宋体" w:hAnsi="宋体" w:eastAsia="宋体" w:cs="宋体"/>
          <w:bCs/>
          <w:szCs w:val="21"/>
        </w:rPr>
        <w:t>万元，属于</w:t>
      </w:r>
      <w:r>
        <w:rPr>
          <w:rFonts w:hint="eastAsia" w:ascii="宋体" w:hAnsi="宋体" w:eastAsia="宋体" w:cs="宋体"/>
          <w:bCs/>
          <w:szCs w:val="21"/>
          <w:u w:val="single"/>
        </w:rPr>
        <w:t>（中型企业、小型企业、微型企业）</w:t>
      </w:r>
      <w:r>
        <w:rPr>
          <w:rFonts w:hint="eastAsia" w:ascii="宋体" w:hAnsi="宋体" w:eastAsia="宋体" w:cs="宋体"/>
          <w:bCs/>
          <w:szCs w:val="21"/>
        </w:rPr>
        <w:t>；</w:t>
      </w:r>
    </w:p>
    <w:p w14:paraId="2A82DBE4">
      <w:pPr>
        <w:spacing w:line="360" w:lineRule="auto"/>
        <w:ind w:firstLine="420"/>
        <w:rPr>
          <w:rFonts w:hint="eastAsia" w:ascii="宋体" w:hAnsi="宋体" w:eastAsia="宋体" w:cs="宋体"/>
          <w:bCs/>
          <w:szCs w:val="21"/>
        </w:rPr>
      </w:pPr>
      <w:r>
        <w:rPr>
          <w:rFonts w:hint="eastAsia" w:ascii="宋体" w:hAnsi="宋体" w:eastAsia="宋体" w:cs="宋体"/>
          <w:bCs/>
          <w:szCs w:val="21"/>
        </w:rPr>
        <w:t>2.</w:t>
      </w:r>
      <w:r>
        <w:rPr>
          <w:rFonts w:hint="eastAsia" w:ascii="宋体" w:hAnsi="宋体" w:eastAsia="宋体" w:cs="宋体"/>
          <w:bCs/>
          <w:szCs w:val="21"/>
          <w:u w:val="single"/>
        </w:rPr>
        <w:t>（标的名称）</w:t>
      </w:r>
      <w:r>
        <w:rPr>
          <w:rFonts w:hint="eastAsia" w:ascii="宋体" w:hAnsi="宋体" w:eastAsia="宋体" w:cs="宋体"/>
          <w:bCs/>
          <w:szCs w:val="21"/>
        </w:rPr>
        <w:t>，属于</w:t>
      </w:r>
      <w:r>
        <w:rPr>
          <w:rFonts w:hint="eastAsia" w:ascii="宋体" w:hAnsi="宋体" w:eastAsia="宋体" w:cs="宋体"/>
          <w:bCs/>
          <w:szCs w:val="21"/>
          <w:u w:val="single"/>
        </w:rPr>
        <w:t>（采购文件中明确的所属行业）</w:t>
      </w:r>
      <w:r>
        <w:rPr>
          <w:rFonts w:hint="eastAsia" w:ascii="宋体" w:hAnsi="宋体" w:eastAsia="宋体" w:cs="宋体"/>
          <w:bCs/>
          <w:szCs w:val="21"/>
        </w:rPr>
        <w:t>行业；承建（承接）企业为</w:t>
      </w:r>
      <w:r>
        <w:rPr>
          <w:rFonts w:hint="eastAsia" w:ascii="宋体" w:hAnsi="宋体" w:eastAsia="宋体" w:cs="宋体"/>
          <w:bCs/>
          <w:szCs w:val="21"/>
          <w:u w:val="single"/>
        </w:rPr>
        <w:t>（企业名称）</w:t>
      </w:r>
      <w:r>
        <w:rPr>
          <w:rFonts w:hint="eastAsia" w:ascii="宋体" w:hAnsi="宋体" w:eastAsia="宋体" w:cs="宋体"/>
          <w:bCs/>
          <w:szCs w:val="21"/>
        </w:rPr>
        <w:t>，从业人员</w:t>
      </w:r>
      <w:r>
        <w:rPr>
          <w:rFonts w:hint="eastAsia" w:ascii="宋体" w:hAnsi="宋体" w:eastAsia="宋体" w:cs="宋体"/>
          <w:bCs/>
          <w:szCs w:val="21"/>
          <w:u w:val="single"/>
        </w:rPr>
        <w:t xml:space="preserve">       </w:t>
      </w:r>
      <w:r>
        <w:rPr>
          <w:rFonts w:hint="eastAsia" w:ascii="宋体" w:hAnsi="宋体" w:eastAsia="宋体" w:cs="宋体"/>
          <w:bCs/>
          <w:szCs w:val="21"/>
        </w:rPr>
        <w:t>人，营业收入为</w:t>
      </w:r>
      <w:r>
        <w:rPr>
          <w:rFonts w:hint="eastAsia" w:ascii="宋体" w:hAnsi="宋体" w:eastAsia="宋体" w:cs="宋体"/>
          <w:bCs/>
          <w:szCs w:val="21"/>
          <w:u w:val="single"/>
        </w:rPr>
        <w:t xml:space="preserve">     </w:t>
      </w:r>
      <w:r>
        <w:rPr>
          <w:rFonts w:hint="eastAsia" w:ascii="宋体" w:hAnsi="宋体" w:eastAsia="宋体" w:cs="宋体"/>
          <w:bCs/>
          <w:szCs w:val="21"/>
        </w:rPr>
        <w:t>万元，资产总额为</w:t>
      </w:r>
      <w:r>
        <w:rPr>
          <w:rFonts w:hint="eastAsia" w:ascii="宋体" w:hAnsi="宋体" w:eastAsia="宋体" w:cs="宋体"/>
          <w:bCs/>
          <w:szCs w:val="21"/>
          <w:u w:val="single"/>
        </w:rPr>
        <w:t xml:space="preserve">       </w:t>
      </w:r>
      <w:r>
        <w:rPr>
          <w:rFonts w:hint="eastAsia" w:ascii="宋体" w:hAnsi="宋体" w:eastAsia="宋体" w:cs="宋体"/>
          <w:bCs/>
          <w:szCs w:val="21"/>
        </w:rPr>
        <w:t>万元，属于</w:t>
      </w:r>
      <w:r>
        <w:rPr>
          <w:rFonts w:hint="eastAsia" w:ascii="宋体" w:hAnsi="宋体" w:eastAsia="宋体" w:cs="宋体"/>
          <w:bCs/>
          <w:szCs w:val="21"/>
          <w:u w:val="single"/>
        </w:rPr>
        <w:t>（中型企业、小型企业、微型企业）</w:t>
      </w:r>
      <w:r>
        <w:rPr>
          <w:rFonts w:hint="eastAsia" w:ascii="宋体" w:hAnsi="宋体" w:eastAsia="宋体" w:cs="宋体"/>
          <w:bCs/>
          <w:szCs w:val="21"/>
        </w:rPr>
        <w:t>；</w:t>
      </w:r>
    </w:p>
    <w:p w14:paraId="11B39E25">
      <w:pPr>
        <w:spacing w:line="360" w:lineRule="auto"/>
        <w:ind w:firstLine="420"/>
        <w:rPr>
          <w:rFonts w:hint="eastAsia" w:ascii="宋体" w:hAnsi="宋体" w:eastAsia="宋体" w:cs="宋体"/>
          <w:bCs/>
          <w:szCs w:val="21"/>
        </w:rPr>
      </w:pPr>
      <w:r>
        <w:rPr>
          <w:rFonts w:hint="eastAsia" w:ascii="宋体" w:hAnsi="宋体" w:eastAsia="宋体" w:cs="宋体"/>
          <w:bCs/>
          <w:szCs w:val="21"/>
        </w:rPr>
        <w:t>……</w:t>
      </w:r>
    </w:p>
    <w:p w14:paraId="60CBAC4C">
      <w:pPr>
        <w:spacing w:line="360" w:lineRule="auto"/>
        <w:ind w:firstLine="420"/>
        <w:rPr>
          <w:rFonts w:hint="eastAsia" w:ascii="宋体" w:hAnsi="宋体" w:eastAsia="宋体" w:cs="宋体"/>
          <w:bCs/>
          <w:szCs w:val="21"/>
        </w:rPr>
      </w:pPr>
      <w:r>
        <w:rPr>
          <w:rFonts w:hint="eastAsia" w:ascii="宋体" w:hAnsi="宋体" w:eastAsia="宋体" w:cs="宋体"/>
          <w:bCs/>
          <w:szCs w:val="21"/>
        </w:rPr>
        <w:t>以上企业，不属于大企业的分支机构，不存在控股股东为大企业的情形，也不存在与大企业的负责人为同一人的情形。</w:t>
      </w:r>
    </w:p>
    <w:p w14:paraId="062BC0BE">
      <w:pPr>
        <w:spacing w:line="360" w:lineRule="auto"/>
        <w:ind w:firstLine="420"/>
        <w:rPr>
          <w:rFonts w:hint="eastAsia" w:ascii="宋体" w:hAnsi="宋体" w:eastAsia="宋体" w:cs="宋体"/>
          <w:bCs/>
          <w:szCs w:val="21"/>
        </w:rPr>
      </w:pPr>
      <w:r>
        <w:rPr>
          <w:rFonts w:hint="eastAsia" w:ascii="宋体" w:hAnsi="宋体" w:eastAsia="宋体" w:cs="宋体"/>
          <w:bCs/>
          <w:szCs w:val="21"/>
        </w:rPr>
        <w:t>本企业对上述声明内容的真实性负责。如有虚假，将依法承担相应责任。</w:t>
      </w:r>
    </w:p>
    <w:p w14:paraId="01E08090">
      <w:pPr>
        <w:spacing w:line="360" w:lineRule="auto"/>
        <w:ind w:firstLine="3150" w:firstLineChars="1500"/>
        <w:rPr>
          <w:rFonts w:hint="eastAsia" w:ascii="宋体" w:hAnsi="宋体" w:eastAsia="宋体" w:cs="宋体"/>
          <w:bCs/>
          <w:szCs w:val="21"/>
        </w:rPr>
      </w:pPr>
      <w:r>
        <w:rPr>
          <w:rFonts w:hint="eastAsia" w:ascii="宋体" w:hAnsi="宋体" w:eastAsia="宋体" w:cs="宋体"/>
          <w:bCs/>
          <w:szCs w:val="21"/>
        </w:rPr>
        <w:t>企业名称（</w:t>
      </w:r>
      <w:r>
        <w:rPr>
          <w:rFonts w:hint="eastAsia" w:ascii="宋体" w:hAnsi="宋体" w:eastAsia="宋体" w:cs="宋体"/>
          <w:szCs w:val="21"/>
        </w:rPr>
        <w:t>电子签章</w:t>
      </w:r>
      <w:r>
        <w:rPr>
          <w:rFonts w:hint="eastAsia" w:ascii="宋体" w:hAnsi="宋体" w:eastAsia="宋体" w:cs="宋体"/>
          <w:bCs/>
          <w:szCs w:val="21"/>
        </w:rPr>
        <w:t>）：日期：</w:t>
      </w:r>
    </w:p>
    <w:p w14:paraId="52A18805">
      <w:pPr>
        <w:spacing w:line="360" w:lineRule="auto"/>
        <w:jc w:val="left"/>
        <w:rPr>
          <w:rFonts w:hint="eastAsia" w:ascii="宋体" w:hAnsi="宋体" w:eastAsia="宋体" w:cs="宋体"/>
          <w:bCs/>
          <w:color w:val="0070C0"/>
          <w:szCs w:val="21"/>
        </w:rPr>
      </w:pPr>
      <w:r>
        <w:rPr>
          <w:rFonts w:hint="eastAsia" w:ascii="宋体" w:hAnsi="宋体" w:eastAsia="宋体" w:cs="宋体"/>
          <w:bCs/>
          <w:szCs w:val="21"/>
        </w:rPr>
        <w:t>注：</w:t>
      </w:r>
    </w:p>
    <w:p w14:paraId="4E053F56">
      <w:pPr>
        <w:spacing w:line="360" w:lineRule="auto"/>
        <w:jc w:val="left"/>
        <w:rPr>
          <w:rFonts w:hint="eastAsia" w:ascii="宋体" w:hAnsi="宋体" w:eastAsia="宋体" w:cs="宋体"/>
          <w:bCs/>
          <w:szCs w:val="21"/>
        </w:rPr>
      </w:pPr>
      <w:r>
        <w:rPr>
          <w:rFonts w:hint="eastAsia" w:ascii="宋体" w:hAnsi="宋体" w:eastAsia="宋体" w:cs="宋体"/>
          <w:bCs/>
          <w:szCs w:val="21"/>
        </w:rPr>
        <w:t>（1）标的名称按照第二章采购需求中的名称填写，</w:t>
      </w:r>
      <w:r>
        <w:rPr>
          <w:rFonts w:hint="eastAsia" w:ascii="宋体" w:hAnsi="宋体" w:eastAsia="宋体" w:cs="宋体"/>
          <w:szCs w:val="21"/>
        </w:rPr>
        <w:t>所属行业标明“/”的</w:t>
      </w:r>
      <w:r>
        <w:rPr>
          <w:rFonts w:hint="eastAsia" w:ascii="宋体" w:hAnsi="宋体" w:eastAsia="宋体" w:cs="宋体"/>
          <w:bCs/>
          <w:szCs w:val="21"/>
        </w:rPr>
        <w:t>，无需在上表填写。</w:t>
      </w:r>
    </w:p>
    <w:p w14:paraId="0181E661">
      <w:pPr>
        <w:spacing w:line="360" w:lineRule="auto"/>
        <w:jc w:val="left"/>
        <w:rPr>
          <w:rFonts w:hint="eastAsia" w:ascii="宋体" w:hAnsi="宋体" w:eastAsia="宋体" w:cs="宋体"/>
          <w:bCs/>
          <w:szCs w:val="21"/>
        </w:rPr>
      </w:pPr>
      <w:r>
        <w:rPr>
          <w:rFonts w:hint="eastAsia" w:ascii="宋体" w:hAnsi="宋体" w:eastAsia="宋体" w:cs="宋体"/>
          <w:bCs/>
          <w:szCs w:val="21"/>
        </w:rPr>
        <w:t>（2）如供应商为联合体或分包的，声明函中“项目名称”应填写联合体中小微企业承担的具体内容或者小微企业具体分包内容。</w:t>
      </w:r>
    </w:p>
    <w:p w14:paraId="085A12A6">
      <w:pPr>
        <w:spacing w:line="360" w:lineRule="auto"/>
        <w:jc w:val="left"/>
        <w:rPr>
          <w:rFonts w:hint="eastAsia" w:ascii="宋体" w:hAnsi="宋体" w:eastAsia="宋体" w:cs="宋体"/>
          <w:bCs/>
          <w:szCs w:val="21"/>
        </w:rPr>
      </w:pPr>
      <w:r>
        <w:rPr>
          <w:rFonts w:hint="eastAsia" w:ascii="宋体" w:hAnsi="宋体" w:eastAsia="宋体" w:cs="宋体"/>
          <w:bCs/>
          <w:szCs w:val="21"/>
        </w:rPr>
        <w:t>（3）从业人员、营业收入、资产总额填报上一年度数据，无上一年度数据的新成立企业参照国务院批准的中小企业划分标准，根据企业自身情况如实判断。</w:t>
      </w:r>
    </w:p>
    <w:p w14:paraId="53586B86">
      <w:pPr>
        <w:spacing w:line="360" w:lineRule="auto"/>
        <w:jc w:val="left"/>
        <w:rPr>
          <w:rFonts w:hint="eastAsia" w:ascii="宋体" w:hAnsi="宋体" w:eastAsia="宋体" w:cs="宋体"/>
          <w:bCs/>
          <w:szCs w:val="21"/>
        </w:rPr>
      </w:pPr>
      <w:r>
        <w:rPr>
          <w:rFonts w:hint="eastAsia" w:ascii="宋体" w:hAnsi="宋体" w:eastAsia="宋体" w:cs="宋体"/>
          <w:bCs/>
          <w:szCs w:val="21"/>
        </w:rPr>
        <w:t>（4）根据工业和信息化部对“从业人员”定义的答复，《民法典》、《公司法》等法律规定，分公司不具有法人资格，其民事责任由总公司承担。企业划型时，应将分公司的从业人员、营业收入、资产总额等指标数据纳入合并计算。</w:t>
      </w:r>
    </w:p>
    <w:p w14:paraId="33FC25B7">
      <w:pPr>
        <w:spacing w:line="360" w:lineRule="auto"/>
        <w:jc w:val="left"/>
        <w:rPr>
          <w:rFonts w:hint="eastAsia" w:ascii="宋体" w:hAnsi="宋体" w:eastAsia="宋体" w:cs="宋体"/>
          <w:bCs/>
          <w:szCs w:val="21"/>
        </w:rPr>
      </w:pPr>
      <w:r>
        <w:rPr>
          <w:rFonts w:hint="eastAsia" w:ascii="宋体" w:hAnsi="宋体" w:eastAsia="宋体" w:cs="宋体"/>
          <w:bCs/>
          <w:szCs w:val="21"/>
        </w:rPr>
        <w:t>（5）根据</w:t>
      </w:r>
      <w:r>
        <w:rPr>
          <w:rFonts w:hint="eastAsia" w:ascii="宋体" w:hAnsi="宋体" w:eastAsia="宋体" w:cs="宋体"/>
          <w:bCs/>
          <w:szCs w:val="21"/>
          <w:lang w:val="en-US" w:eastAsia="zh-CN"/>
        </w:rPr>
        <w:t>国家</w:t>
      </w:r>
      <w:r>
        <w:rPr>
          <w:rFonts w:hint="eastAsia" w:ascii="宋体" w:hAnsi="宋体" w:eastAsia="宋体" w:cs="宋体"/>
          <w:bCs/>
          <w:szCs w:val="21"/>
        </w:rPr>
        <w:t>统计局《劳动工资统计报表制度》，从业人员数是指本单位工作，并取得工资</w:t>
      </w:r>
      <w:r>
        <w:rPr>
          <w:rFonts w:hint="eastAsia" w:ascii="宋体" w:hAnsi="宋体" w:eastAsia="宋体" w:cs="宋体"/>
          <w:bCs/>
          <w:szCs w:val="21"/>
          <w:lang w:val="en-US" w:eastAsia="zh-CN"/>
        </w:rPr>
        <w:t>或</w:t>
      </w:r>
      <w:r>
        <w:rPr>
          <w:rFonts w:hint="eastAsia" w:ascii="宋体" w:hAnsi="宋体" w:eastAsia="宋体" w:cs="宋体"/>
          <w:bCs/>
          <w:szCs w:val="21"/>
        </w:rPr>
        <w:t>其他形式劳动报酬的人员数，是在岗职工、劳务派遣人员及其他从业人员之和。</w:t>
      </w:r>
    </w:p>
    <w:p w14:paraId="50ED7BBC">
      <w:pPr>
        <w:spacing w:line="360" w:lineRule="auto"/>
        <w:jc w:val="left"/>
        <w:rPr>
          <w:rFonts w:hint="eastAsia" w:ascii="宋体" w:hAnsi="宋体" w:eastAsia="宋体" w:cs="宋体"/>
          <w:bCs/>
          <w:szCs w:val="21"/>
        </w:rPr>
      </w:pPr>
      <w:r>
        <w:rPr>
          <w:rFonts w:hint="eastAsia" w:ascii="宋体" w:hAnsi="宋体" w:eastAsia="宋体" w:cs="宋体"/>
          <w:bCs/>
          <w:szCs w:val="21"/>
        </w:rPr>
        <w:t>（6）本声明函由供应商填写，供应商应按中小企业划分标准《关于印发中小企业划型标准规定的通知》（工信部联企业〔2011〕300号</w:t>
      </w:r>
      <w:r>
        <w:rPr>
          <w:rFonts w:hint="eastAsia" w:ascii="宋体" w:hAnsi="宋体" w:eastAsia="宋体" w:cs="宋体"/>
          <w:szCs w:val="21"/>
        </w:rPr>
        <w:t>以及《金融业企业划型标准规定》（银发〔2015〕309号）</w:t>
      </w:r>
      <w:r>
        <w:rPr>
          <w:rFonts w:hint="eastAsia" w:ascii="宋体" w:hAnsi="宋体" w:eastAsia="宋体" w:cs="宋体"/>
          <w:bCs/>
          <w:szCs w:val="21"/>
        </w:rPr>
        <w:t>）判断是否为中小企业。</w:t>
      </w:r>
    </w:p>
    <w:p w14:paraId="76D2EA0A">
      <w:pPr>
        <w:spacing w:line="360" w:lineRule="auto"/>
        <w:jc w:val="left"/>
        <w:rPr>
          <w:rFonts w:hint="eastAsia" w:ascii="宋体" w:hAnsi="宋体" w:eastAsia="宋体" w:cs="宋体"/>
          <w:bCs/>
          <w:szCs w:val="21"/>
        </w:rPr>
      </w:pPr>
      <w:r>
        <w:rPr>
          <w:rFonts w:hint="eastAsia" w:ascii="宋体" w:hAnsi="宋体" w:eastAsia="宋体" w:cs="宋体"/>
          <w:bCs/>
          <w:szCs w:val="21"/>
        </w:rPr>
        <w:t>（7）供应商对《中小企业声明函》的真实性负责，如有虚假则需承担不利后果。依法享受中小企业优惠政策的，采购人或采购代理机构在公告成交结果时，同时公告其《中小企业声明函》，接受社会监督。</w:t>
      </w:r>
    </w:p>
    <w:p w14:paraId="041B8087">
      <w:pPr>
        <w:spacing w:line="360" w:lineRule="auto"/>
        <w:jc w:val="left"/>
        <w:rPr>
          <w:rFonts w:hint="eastAsia" w:ascii="宋体" w:hAnsi="宋体" w:eastAsia="宋体" w:cs="宋体"/>
          <w:bCs/>
          <w:szCs w:val="21"/>
        </w:rPr>
      </w:pPr>
      <w:r>
        <w:rPr>
          <w:rFonts w:hint="eastAsia" w:ascii="宋体" w:hAnsi="宋体" w:eastAsia="宋体" w:cs="宋体"/>
          <w:bCs/>
          <w:szCs w:val="21"/>
        </w:rPr>
        <w:t>（8）上述企业属于大企业的分支机构或控股股东为大企业或与大企业的负责人为同一人的，不得享受价格扣除优惠政策。接受分包的小微企业与分包企业之间存在直接控股、管理关系的，不得享受价格扣除优惠政策。</w:t>
      </w:r>
    </w:p>
    <w:p w14:paraId="4C99403D">
      <w:pPr>
        <w:snapToGrid w:val="0"/>
        <w:spacing w:before="50" w:after="120" w:afterLines="50"/>
        <w:jc w:val="left"/>
        <w:rPr>
          <w:rFonts w:hint="eastAsia" w:ascii="宋体" w:hAnsi="宋体" w:eastAsia="宋体" w:cs="宋体"/>
          <w:szCs w:val="21"/>
        </w:rPr>
      </w:pPr>
    </w:p>
    <w:p w14:paraId="1068926C">
      <w:pPr>
        <w:snapToGrid w:val="0"/>
        <w:spacing w:before="50" w:after="120" w:afterLines="50"/>
        <w:jc w:val="left"/>
        <w:rPr>
          <w:rFonts w:hint="eastAsia" w:ascii="宋体" w:hAnsi="宋体" w:eastAsia="宋体" w:cs="宋体"/>
          <w:szCs w:val="21"/>
        </w:rPr>
      </w:pPr>
      <w:r>
        <w:rPr>
          <w:rFonts w:hint="eastAsia" w:ascii="宋体" w:hAnsi="宋体" w:cs="宋体"/>
          <w:szCs w:val="21"/>
          <w:lang w:val="en-US" w:eastAsia="zh-CN"/>
        </w:rPr>
        <w:t>5</w:t>
      </w:r>
      <w:r>
        <w:rPr>
          <w:rFonts w:hint="eastAsia" w:ascii="宋体" w:hAnsi="宋体" w:eastAsia="宋体" w:cs="宋体"/>
          <w:szCs w:val="21"/>
        </w:rPr>
        <w:t>.2监狱企业须提供最新一期《XX省监狱企业产品目录》或其他监狱企业证明材料。（非监狱企业无需提供）</w:t>
      </w:r>
    </w:p>
    <w:p w14:paraId="2EC86F60">
      <w:pPr>
        <w:snapToGrid w:val="0"/>
        <w:spacing w:before="50" w:after="120" w:afterLines="50"/>
        <w:jc w:val="left"/>
        <w:rPr>
          <w:rFonts w:hint="eastAsia" w:ascii="宋体" w:hAnsi="宋体" w:eastAsia="宋体" w:cs="宋体"/>
          <w:szCs w:val="21"/>
        </w:rPr>
      </w:pPr>
    </w:p>
    <w:p w14:paraId="652580C3">
      <w:pPr>
        <w:widowControl/>
        <w:jc w:val="left"/>
        <w:rPr>
          <w:rFonts w:hint="eastAsia" w:ascii="宋体" w:hAnsi="宋体" w:eastAsia="宋体" w:cs="宋体"/>
          <w:szCs w:val="21"/>
        </w:rPr>
      </w:pPr>
      <w:r>
        <w:rPr>
          <w:rFonts w:hint="eastAsia" w:ascii="宋体" w:hAnsi="宋体" w:cs="宋体"/>
          <w:szCs w:val="21"/>
          <w:lang w:val="en-US" w:eastAsia="zh-CN"/>
        </w:rPr>
        <w:t>5</w:t>
      </w:r>
      <w:r>
        <w:rPr>
          <w:rFonts w:hint="eastAsia" w:ascii="宋体" w:hAnsi="宋体" w:eastAsia="宋体" w:cs="宋体"/>
          <w:szCs w:val="21"/>
        </w:rPr>
        <w:t>.3</w:t>
      </w:r>
      <w:r>
        <w:rPr>
          <w:rFonts w:hint="eastAsia" w:ascii="宋体" w:hAnsi="宋体" w:eastAsia="宋体" w:cs="宋体"/>
        </w:rPr>
        <w:t>残疾人福利性单位须提供《残疾人福利性单位声明函》，格式如下。</w:t>
      </w:r>
      <w:r>
        <w:rPr>
          <w:rFonts w:hint="eastAsia" w:ascii="宋体" w:hAnsi="宋体" w:eastAsia="宋体" w:cs="宋体"/>
          <w:szCs w:val="21"/>
        </w:rPr>
        <w:t>（非残疾人福利性单位无需提供）</w:t>
      </w:r>
    </w:p>
    <w:p w14:paraId="7C2A801A">
      <w:pPr>
        <w:spacing w:line="360" w:lineRule="auto"/>
        <w:jc w:val="center"/>
        <w:rPr>
          <w:rFonts w:hint="eastAsia" w:ascii="宋体" w:hAnsi="宋体" w:eastAsia="宋体" w:cs="宋体"/>
          <w:b/>
          <w:szCs w:val="21"/>
        </w:rPr>
      </w:pPr>
    </w:p>
    <w:p w14:paraId="1F9AB8A1">
      <w:pPr>
        <w:spacing w:line="360" w:lineRule="auto"/>
        <w:jc w:val="center"/>
        <w:rPr>
          <w:rFonts w:hint="eastAsia" w:ascii="宋体" w:hAnsi="宋体" w:eastAsia="宋体" w:cs="宋体"/>
          <w:b/>
          <w:szCs w:val="21"/>
        </w:rPr>
      </w:pPr>
      <w:r>
        <w:rPr>
          <w:rFonts w:hint="eastAsia" w:ascii="宋体" w:hAnsi="宋体" w:eastAsia="宋体" w:cs="宋体"/>
          <w:b/>
          <w:szCs w:val="21"/>
        </w:rPr>
        <w:t>残疾人福利性单位声明函</w:t>
      </w:r>
    </w:p>
    <w:p w14:paraId="65145C67">
      <w:pPr>
        <w:spacing w:line="360" w:lineRule="auto"/>
        <w:ind w:firstLine="420"/>
        <w:jc w:val="left"/>
        <w:rPr>
          <w:rFonts w:hint="eastAsia" w:ascii="宋体" w:hAnsi="宋体" w:eastAsia="宋体" w:cs="宋体"/>
          <w:szCs w:val="21"/>
        </w:rPr>
      </w:pPr>
      <w:r>
        <w:rPr>
          <w:rFonts w:hint="eastAsia" w:ascii="宋体" w:hAnsi="宋体" w:eastAsia="宋体" w:cs="宋体"/>
          <w:szCs w:val="21"/>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eastAsia="宋体" w:cs="宋体"/>
          <w:szCs w:val="21"/>
          <w:u w:val="single"/>
        </w:rPr>
        <w:t xml:space="preserve">        </w:t>
      </w:r>
      <w:r>
        <w:rPr>
          <w:rFonts w:hint="eastAsia" w:ascii="宋体" w:hAnsi="宋体" w:eastAsia="宋体" w:cs="宋体"/>
          <w:szCs w:val="21"/>
        </w:rPr>
        <w:t>单位的</w:t>
      </w:r>
      <w:r>
        <w:rPr>
          <w:rFonts w:hint="eastAsia" w:ascii="宋体" w:hAnsi="宋体" w:eastAsia="宋体" w:cs="宋体"/>
          <w:szCs w:val="21"/>
          <w:u w:val="single"/>
        </w:rPr>
        <w:t xml:space="preserve">           </w:t>
      </w:r>
      <w:r>
        <w:rPr>
          <w:rFonts w:hint="eastAsia" w:ascii="宋体" w:hAnsi="宋体" w:eastAsia="宋体" w:cs="宋体"/>
          <w:szCs w:val="21"/>
        </w:rPr>
        <w:t>项目采购活动提供本单位制造的货物（由本单位承担工程/提供服务），或者提供其他残疾人福利性单位制造的货物（不包括使用非残疾人福利性单位注册商标的货物）。</w:t>
      </w:r>
    </w:p>
    <w:p w14:paraId="22C42284">
      <w:pPr>
        <w:spacing w:line="360" w:lineRule="auto"/>
        <w:ind w:firstLine="420"/>
        <w:rPr>
          <w:rFonts w:hint="eastAsia" w:ascii="宋体" w:hAnsi="宋体" w:eastAsia="宋体" w:cs="宋体"/>
          <w:szCs w:val="21"/>
        </w:rPr>
      </w:pPr>
      <w:r>
        <w:rPr>
          <w:rFonts w:hint="eastAsia" w:ascii="宋体" w:hAnsi="宋体" w:eastAsia="宋体" w:cs="宋体"/>
          <w:szCs w:val="21"/>
        </w:rPr>
        <w:t>本单位对上述声明的真实性负责。如有虚假，将依法承担相应责任。</w:t>
      </w:r>
    </w:p>
    <w:p w14:paraId="57D5C502">
      <w:pPr>
        <w:spacing w:line="360" w:lineRule="auto"/>
        <w:ind w:firstLine="420"/>
        <w:jc w:val="right"/>
        <w:rPr>
          <w:rFonts w:hint="eastAsia" w:ascii="宋体" w:hAnsi="宋体" w:eastAsia="宋体" w:cs="宋体"/>
          <w:spacing w:val="6"/>
          <w:szCs w:val="21"/>
        </w:rPr>
      </w:pPr>
      <w:r>
        <w:rPr>
          <w:rFonts w:hint="eastAsia" w:ascii="宋体" w:hAnsi="宋体" w:eastAsia="宋体" w:cs="宋体"/>
          <w:spacing w:val="6"/>
          <w:sz w:val="30"/>
          <w:szCs w:val="30"/>
        </w:rPr>
        <w:t xml:space="preserve"> </w:t>
      </w:r>
      <w:r>
        <w:rPr>
          <w:rFonts w:hint="eastAsia" w:ascii="宋体" w:hAnsi="宋体" w:eastAsia="宋体" w:cs="宋体"/>
          <w:spacing w:val="6"/>
          <w:szCs w:val="21"/>
        </w:rPr>
        <w:t xml:space="preserve">                                             单位名称</w:t>
      </w:r>
      <w:r>
        <w:rPr>
          <w:rFonts w:hint="eastAsia" w:ascii="宋体" w:hAnsi="宋体" w:eastAsia="宋体" w:cs="宋体"/>
          <w:szCs w:val="21"/>
        </w:rPr>
        <w:t>(电子签章)</w:t>
      </w:r>
      <w:r>
        <w:rPr>
          <w:rFonts w:hint="eastAsia" w:ascii="宋体" w:hAnsi="宋体" w:eastAsia="宋体" w:cs="宋体"/>
          <w:spacing w:val="6"/>
          <w:szCs w:val="21"/>
        </w:rPr>
        <w:t xml:space="preserve">：          </w:t>
      </w:r>
    </w:p>
    <w:p w14:paraId="2C4DA534">
      <w:pPr>
        <w:spacing w:line="360" w:lineRule="auto"/>
        <w:ind w:firstLine="420"/>
        <w:jc w:val="right"/>
        <w:rPr>
          <w:rFonts w:hint="eastAsia" w:ascii="宋体" w:hAnsi="宋体" w:eastAsia="宋体" w:cs="宋体"/>
          <w:spacing w:val="6"/>
          <w:szCs w:val="21"/>
        </w:rPr>
      </w:pPr>
      <w:r>
        <w:rPr>
          <w:rFonts w:hint="eastAsia" w:ascii="宋体" w:hAnsi="宋体" w:eastAsia="宋体" w:cs="宋体"/>
          <w:spacing w:val="6"/>
          <w:szCs w:val="21"/>
        </w:rPr>
        <w:t xml:space="preserve">                                                       日  期：</w:t>
      </w:r>
    </w:p>
    <w:p w14:paraId="2E99DBF7">
      <w:pPr>
        <w:spacing w:line="360" w:lineRule="auto"/>
        <w:rPr>
          <w:rFonts w:hint="eastAsia" w:ascii="宋体" w:hAnsi="宋体" w:eastAsia="宋体" w:cs="宋体"/>
          <w:szCs w:val="21"/>
        </w:rPr>
      </w:pPr>
    </w:p>
    <w:p w14:paraId="0E17F5DB">
      <w:pPr>
        <w:snapToGrid w:val="0"/>
        <w:spacing w:before="50" w:after="120" w:afterLines="50"/>
        <w:jc w:val="left"/>
        <w:rPr>
          <w:rFonts w:hint="eastAsia" w:ascii="宋体" w:hAnsi="宋体" w:eastAsia="宋体" w:cs="宋体"/>
          <w:szCs w:val="21"/>
        </w:rPr>
      </w:pPr>
    </w:p>
    <w:p w14:paraId="5FC25B76">
      <w:pPr>
        <w:snapToGrid w:val="0"/>
        <w:spacing w:before="50" w:after="120" w:afterLines="50" w:line="440" w:lineRule="exact"/>
        <w:jc w:val="left"/>
        <w:rPr>
          <w:rFonts w:hint="eastAsia" w:ascii="宋体" w:hAnsi="宋体" w:eastAsia="宋体" w:cs="宋体"/>
          <w:b/>
        </w:rPr>
      </w:pPr>
      <w:r>
        <w:rPr>
          <w:rFonts w:hint="eastAsia" w:ascii="宋体" w:hAnsi="宋体" w:eastAsia="宋体" w:cs="宋体"/>
          <w:szCs w:val="21"/>
        </w:rPr>
        <w:br w:type="page"/>
      </w:r>
      <w:r>
        <w:rPr>
          <w:rFonts w:hint="eastAsia" w:ascii="宋体" w:hAnsi="宋体" w:cs="宋体"/>
          <w:lang w:val="en-US" w:eastAsia="zh-CN"/>
        </w:rPr>
        <w:t>6</w:t>
      </w:r>
      <w:r>
        <w:rPr>
          <w:rFonts w:hint="eastAsia" w:ascii="宋体" w:hAnsi="宋体" w:eastAsia="宋体" w:cs="宋体"/>
        </w:rPr>
        <w:t>．满足供应商特定资格条件的其他证明材料加盖</w:t>
      </w:r>
      <w:r>
        <w:rPr>
          <w:rFonts w:hint="eastAsia" w:ascii="宋体" w:hAnsi="宋体" w:eastAsia="宋体" w:cs="宋体"/>
          <w:szCs w:val="21"/>
        </w:rPr>
        <w:t>供应商电子签章</w:t>
      </w:r>
      <w:r>
        <w:rPr>
          <w:rFonts w:hint="eastAsia" w:ascii="宋体" w:hAnsi="宋体" w:eastAsia="宋体" w:cs="宋体"/>
        </w:rPr>
        <w:t>（按“评审方法及标准” “</w:t>
      </w:r>
      <w:r>
        <w:rPr>
          <w:rFonts w:hint="eastAsia" w:ascii="宋体" w:hAnsi="宋体" w:eastAsia="宋体" w:cs="宋体"/>
          <w:szCs w:val="21"/>
        </w:rPr>
        <w:t>资格审查表</w:t>
      </w:r>
      <w:r>
        <w:rPr>
          <w:rFonts w:hint="eastAsia" w:ascii="宋体" w:hAnsi="宋体" w:eastAsia="宋体" w:cs="宋体"/>
        </w:rPr>
        <w:t>”规定提供）。</w:t>
      </w:r>
      <w:r>
        <w:rPr>
          <w:rFonts w:hint="eastAsia" w:ascii="宋体" w:hAnsi="宋体" w:eastAsia="宋体" w:cs="宋体"/>
          <w:b/>
        </w:rPr>
        <w:t>（如采购文件有要求时提供）</w:t>
      </w:r>
    </w:p>
    <w:p w14:paraId="7F253783">
      <w:pPr>
        <w:pStyle w:val="23"/>
        <w:jc w:val="left"/>
        <w:rPr>
          <w:rFonts w:hint="eastAsia" w:ascii="宋体" w:hAnsi="宋体" w:eastAsia="宋体" w:cs="宋体"/>
        </w:rPr>
      </w:pPr>
    </w:p>
    <w:p w14:paraId="167E1086">
      <w:pPr>
        <w:pStyle w:val="23"/>
        <w:jc w:val="left"/>
        <w:rPr>
          <w:rFonts w:hint="eastAsia" w:ascii="宋体" w:hAnsi="宋体" w:eastAsia="宋体" w:cs="宋体"/>
        </w:rPr>
      </w:pPr>
      <w:r>
        <w:rPr>
          <w:rFonts w:hint="eastAsia" w:ascii="宋体" w:hAnsi="宋体" w:cs="宋体"/>
          <w:lang w:val="en-US" w:eastAsia="zh-CN"/>
        </w:rPr>
        <w:t>6</w:t>
      </w:r>
      <w:r>
        <w:rPr>
          <w:rFonts w:hint="eastAsia" w:ascii="宋体" w:hAnsi="宋体" w:eastAsia="宋体" w:cs="宋体"/>
        </w:rPr>
        <w:t>.1有效的企业资质证书副本</w:t>
      </w:r>
      <w:r>
        <w:rPr>
          <w:rFonts w:hint="eastAsia" w:ascii="宋体" w:hAnsi="宋体" w:eastAsia="宋体" w:cs="宋体"/>
          <w:szCs w:val="21"/>
        </w:rPr>
        <w:t>扫描件</w:t>
      </w:r>
      <w:r>
        <w:rPr>
          <w:rFonts w:hint="eastAsia" w:ascii="宋体" w:hAnsi="宋体" w:eastAsia="宋体" w:cs="宋体"/>
        </w:rPr>
        <w:t>加盖</w:t>
      </w:r>
      <w:r>
        <w:rPr>
          <w:rFonts w:hint="eastAsia" w:ascii="宋体" w:hAnsi="宋体" w:eastAsia="宋体" w:cs="宋体"/>
          <w:szCs w:val="21"/>
        </w:rPr>
        <w:t>供应商</w:t>
      </w:r>
      <w:bookmarkStart w:id="554" w:name="_Hlk89190867"/>
      <w:r>
        <w:rPr>
          <w:rFonts w:hint="eastAsia" w:ascii="宋体" w:hAnsi="宋体" w:eastAsia="宋体" w:cs="宋体"/>
          <w:szCs w:val="21"/>
        </w:rPr>
        <w:t>电子签章</w:t>
      </w:r>
      <w:bookmarkEnd w:id="554"/>
    </w:p>
    <w:p w14:paraId="106CF25D">
      <w:pPr>
        <w:pStyle w:val="23"/>
        <w:jc w:val="left"/>
        <w:rPr>
          <w:rFonts w:hint="eastAsia" w:ascii="宋体" w:hAnsi="宋体" w:eastAsia="宋体" w:cs="宋体"/>
        </w:rPr>
      </w:pPr>
    </w:p>
    <w:p w14:paraId="4D71754F">
      <w:pPr>
        <w:pStyle w:val="23"/>
        <w:jc w:val="left"/>
        <w:rPr>
          <w:rFonts w:hint="eastAsia" w:ascii="宋体" w:hAnsi="宋体" w:eastAsia="宋体" w:cs="宋体"/>
        </w:rPr>
      </w:pPr>
    </w:p>
    <w:p w14:paraId="7B21A6E1">
      <w:pPr>
        <w:pStyle w:val="11"/>
        <w:tabs>
          <w:tab w:val="left" w:pos="2127"/>
        </w:tabs>
        <w:spacing w:line="340" w:lineRule="exact"/>
        <w:rPr>
          <w:rFonts w:hint="eastAsia" w:ascii="宋体" w:hAnsi="宋体" w:eastAsia="宋体" w:cs="宋体"/>
        </w:rPr>
      </w:pPr>
      <w:r>
        <w:rPr>
          <w:rFonts w:hint="eastAsia" w:hAnsi="宋体" w:cs="宋体"/>
          <w:lang w:val="en-US" w:eastAsia="zh-CN"/>
        </w:rPr>
        <w:t>6</w:t>
      </w:r>
      <w:r>
        <w:rPr>
          <w:rFonts w:hint="eastAsia" w:ascii="宋体" w:hAnsi="宋体" w:eastAsia="宋体" w:cs="宋体"/>
        </w:rPr>
        <w:t>.</w:t>
      </w:r>
      <w:bookmarkStart w:id="555" w:name="_Toc251052200"/>
      <w:bookmarkStart w:id="556" w:name="_Toc153274948"/>
      <w:bookmarkStart w:id="557" w:name="_Toc389065364"/>
      <w:bookmarkStart w:id="558" w:name="_Toc173579006"/>
      <w:bookmarkStart w:id="559" w:name="_Toc172364026"/>
      <w:r>
        <w:rPr>
          <w:rFonts w:hint="eastAsia" w:ascii="宋体" w:hAnsi="宋体" w:eastAsia="宋体" w:cs="宋体"/>
        </w:rPr>
        <w:t>2项目经理简历表</w:t>
      </w:r>
      <w:bookmarkEnd w:id="555"/>
      <w:bookmarkEnd w:id="556"/>
      <w:bookmarkEnd w:id="557"/>
      <w:bookmarkEnd w:id="558"/>
      <w:bookmarkEnd w:id="559"/>
    </w:p>
    <w:tbl>
      <w:tblPr>
        <w:tblStyle w:val="15"/>
        <w:tblW w:w="92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3"/>
        <w:gridCol w:w="464"/>
        <w:gridCol w:w="1548"/>
        <w:gridCol w:w="328"/>
        <w:gridCol w:w="1219"/>
        <w:gridCol w:w="674"/>
        <w:gridCol w:w="874"/>
        <w:gridCol w:w="711"/>
        <w:gridCol w:w="836"/>
        <w:gridCol w:w="272"/>
        <w:gridCol w:w="1276"/>
      </w:tblGrid>
      <w:tr w14:paraId="63D4A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83" w:type="dxa"/>
            <w:noWrap w:val="0"/>
            <w:vAlign w:val="center"/>
          </w:tcPr>
          <w:p w14:paraId="70181335">
            <w:pPr>
              <w:jc w:val="center"/>
              <w:rPr>
                <w:rFonts w:hint="eastAsia" w:ascii="宋体" w:hAnsi="宋体" w:eastAsia="宋体" w:cs="宋体"/>
              </w:rPr>
            </w:pPr>
            <w:r>
              <w:rPr>
                <w:rFonts w:hint="eastAsia" w:ascii="宋体" w:hAnsi="宋体" w:eastAsia="宋体" w:cs="宋体"/>
              </w:rPr>
              <w:t>姓名</w:t>
            </w:r>
          </w:p>
        </w:tc>
        <w:tc>
          <w:tcPr>
            <w:tcW w:w="2340" w:type="dxa"/>
            <w:gridSpan w:val="3"/>
            <w:noWrap w:val="0"/>
            <w:vAlign w:val="center"/>
          </w:tcPr>
          <w:p w14:paraId="0E980EC6">
            <w:pPr>
              <w:jc w:val="center"/>
              <w:rPr>
                <w:rFonts w:hint="eastAsia" w:ascii="宋体" w:hAnsi="宋体" w:eastAsia="宋体" w:cs="宋体"/>
              </w:rPr>
            </w:pPr>
          </w:p>
        </w:tc>
        <w:tc>
          <w:tcPr>
            <w:tcW w:w="1893" w:type="dxa"/>
            <w:gridSpan w:val="2"/>
            <w:noWrap w:val="0"/>
            <w:vAlign w:val="center"/>
          </w:tcPr>
          <w:p w14:paraId="0257D42D">
            <w:pPr>
              <w:jc w:val="center"/>
              <w:rPr>
                <w:rFonts w:hint="eastAsia" w:ascii="宋体" w:hAnsi="宋体" w:eastAsia="宋体" w:cs="宋体"/>
              </w:rPr>
            </w:pPr>
            <w:r>
              <w:rPr>
                <w:rFonts w:hint="eastAsia" w:ascii="宋体" w:hAnsi="宋体" w:eastAsia="宋体" w:cs="宋体"/>
              </w:rPr>
              <w:t>性别</w:t>
            </w:r>
          </w:p>
        </w:tc>
        <w:tc>
          <w:tcPr>
            <w:tcW w:w="1585" w:type="dxa"/>
            <w:gridSpan w:val="2"/>
            <w:noWrap w:val="0"/>
            <w:vAlign w:val="center"/>
          </w:tcPr>
          <w:p w14:paraId="59E4B731">
            <w:pPr>
              <w:jc w:val="center"/>
              <w:rPr>
                <w:rFonts w:hint="eastAsia" w:ascii="宋体" w:hAnsi="宋体" w:eastAsia="宋体" w:cs="宋体"/>
              </w:rPr>
            </w:pPr>
          </w:p>
        </w:tc>
        <w:tc>
          <w:tcPr>
            <w:tcW w:w="1108" w:type="dxa"/>
            <w:gridSpan w:val="2"/>
            <w:noWrap w:val="0"/>
            <w:vAlign w:val="center"/>
          </w:tcPr>
          <w:p w14:paraId="6EA237F9">
            <w:pPr>
              <w:jc w:val="center"/>
              <w:rPr>
                <w:rFonts w:hint="eastAsia" w:ascii="宋体" w:hAnsi="宋体" w:eastAsia="宋体" w:cs="宋体"/>
              </w:rPr>
            </w:pPr>
            <w:r>
              <w:rPr>
                <w:rFonts w:hint="eastAsia" w:ascii="宋体" w:hAnsi="宋体" w:eastAsia="宋体" w:cs="宋体"/>
              </w:rPr>
              <w:t>年龄</w:t>
            </w:r>
          </w:p>
        </w:tc>
        <w:tc>
          <w:tcPr>
            <w:tcW w:w="1276" w:type="dxa"/>
            <w:noWrap w:val="0"/>
            <w:vAlign w:val="center"/>
          </w:tcPr>
          <w:p w14:paraId="589C84A5">
            <w:pPr>
              <w:jc w:val="center"/>
              <w:rPr>
                <w:rFonts w:hint="eastAsia" w:ascii="宋体" w:hAnsi="宋体" w:eastAsia="宋体" w:cs="宋体"/>
              </w:rPr>
            </w:pPr>
          </w:p>
        </w:tc>
      </w:tr>
      <w:tr w14:paraId="2E0E0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83" w:type="dxa"/>
            <w:noWrap w:val="0"/>
            <w:vAlign w:val="center"/>
          </w:tcPr>
          <w:p w14:paraId="4C4E6FDE">
            <w:pPr>
              <w:jc w:val="center"/>
              <w:rPr>
                <w:rFonts w:hint="eastAsia" w:ascii="宋体" w:hAnsi="宋体" w:eastAsia="宋体" w:cs="宋体"/>
              </w:rPr>
            </w:pPr>
            <w:r>
              <w:rPr>
                <w:rFonts w:hint="eastAsia" w:ascii="宋体" w:hAnsi="宋体" w:eastAsia="宋体" w:cs="宋体"/>
              </w:rPr>
              <w:t>职务</w:t>
            </w:r>
          </w:p>
        </w:tc>
        <w:tc>
          <w:tcPr>
            <w:tcW w:w="2340" w:type="dxa"/>
            <w:gridSpan w:val="3"/>
            <w:noWrap w:val="0"/>
            <w:vAlign w:val="center"/>
          </w:tcPr>
          <w:p w14:paraId="2467D409">
            <w:pPr>
              <w:jc w:val="center"/>
              <w:rPr>
                <w:rFonts w:hint="eastAsia" w:ascii="宋体" w:hAnsi="宋体" w:eastAsia="宋体" w:cs="宋体"/>
              </w:rPr>
            </w:pPr>
          </w:p>
        </w:tc>
        <w:tc>
          <w:tcPr>
            <w:tcW w:w="1893" w:type="dxa"/>
            <w:gridSpan w:val="2"/>
            <w:noWrap w:val="0"/>
            <w:vAlign w:val="center"/>
          </w:tcPr>
          <w:p w14:paraId="03A6E861">
            <w:pPr>
              <w:jc w:val="center"/>
              <w:rPr>
                <w:rFonts w:hint="eastAsia" w:ascii="宋体" w:hAnsi="宋体" w:eastAsia="宋体" w:cs="宋体"/>
              </w:rPr>
            </w:pPr>
            <w:r>
              <w:rPr>
                <w:rFonts w:hint="eastAsia" w:ascii="宋体" w:hAnsi="宋体" w:eastAsia="宋体" w:cs="宋体"/>
              </w:rPr>
              <w:t>职称</w:t>
            </w:r>
          </w:p>
        </w:tc>
        <w:tc>
          <w:tcPr>
            <w:tcW w:w="1585" w:type="dxa"/>
            <w:gridSpan w:val="2"/>
            <w:noWrap w:val="0"/>
            <w:vAlign w:val="center"/>
          </w:tcPr>
          <w:p w14:paraId="7646BAD2">
            <w:pPr>
              <w:jc w:val="center"/>
              <w:rPr>
                <w:rFonts w:hint="eastAsia" w:ascii="宋体" w:hAnsi="宋体" w:eastAsia="宋体" w:cs="宋体"/>
              </w:rPr>
            </w:pPr>
          </w:p>
        </w:tc>
        <w:tc>
          <w:tcPr>
            <w:tcW w:w="1108" w:type="dxa"/>
            <w:gridSpan w:val="2"/>
            <w:noWrap w:val="0"/>
            <w:vAlign w:val="center"/>
          </w:tcPr>
          <w:p w14:paraId="759FA08D">
            <w:pPr>
              <w:jc w:val="center"/>
              <w:rPr>
                <w:rFonts w:hint="eastAsia" w:ascii="宋体" w:hAnsi="宋体" w:eastAsia="宋体" w:cs="宋体"/>
              </w:rPr>
            </w:pPr>
            <w:r>
              <w:rPr>
                <w:rFonts w:hint="eastAsia" w:ascii="宋体" w:hAnsi="宋体" w:eastAsia="宋体" w:cs="宋体"/>
              </w:rPr>
              <w:t>学历</w:t>
            </w:r>
          </w:p>
        </w:tc>
        <w:tc>
          <w:tcPr>
            <w:tcW w:w="1276" w:type="dxa"/>
            <w:noWrap w:val="0"/>
            <w:vAlign w:val="center"/>
          </w:tcPr>
          <w:p w14:paraId="6FD778E4">
            <w:pPr>
              <w:jc w:val="center"/>
              <w:rPr>
                <w:rFonts w:hint="eastAsia" w:ascii="宋体" w:hAnsi="宋体" w:eastAsia="宋体" w:cs="宋体"/>
              </w:rPr>
            </w:pPr>
          </w:p>
        </w:tc>
      </w:tr>
      <w:tr w14:paraId="286F7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3423" w:type="dxa"/>
            <w:gridSpan w:val="4"/>
            <w:noWrap w:val="0"/>
            <w:vAlign w:val="center"/>
          </w:tcPr>
          <w:p w14:paraId="7F4FD30A">
            <w:pPr>
              <w:jc w:val="center"/>
              <w:rPr>
                <w:rFonts w:hint="eastAsia" w:ascii="宋体" w:hAnsi="宋体" w:eastAsia="宋体" w:cs="宋体"/>
              </w:rPr>
            </w:pPr>
            <w:r>
              <w:rPr>
                <w:rFonts w:hint="eastAsia" w:ascii="宋体" w:hAnsi="宋体" w:eastAsia="宋体" w:cs="宋体"/>
              </w:rPr>
              <w:t>参加工作时间</w:t>
            </w:r>
          </w:p>
        </w:tc>
        <w:tc>
          <w:tcPr>
            <w:tcW w:w="1893" w:type="dxa"/>
            <w:gridSpan w:val="2"/>
            <w:noWrap w:val="0"/>
            <w:vAlign w:val="center"/>
          </w:tcPr>
          <w:p w14:paraId="12369818">
            <w:pPr>
              <w:jc w:val="center"/>
              <w:rPr>
                <w:rFonts w:hint="eastAsia" w:ascii="宋体" w:hAnsi="宋体" w:eastAsia="宋体" w:cs="宋体"/>
              </w:rPr>
            </w:pPr>
          </w:p>
        </w:tc>
        <w:tc>
          <w:tcPr>
            <w:tcW w:w="2693" w:type="dxa"/>
            <w:gridSpan w:val="4"/>
            <w:noWrap w:val="0"/>
            <w:vAlign w:val="center"/>
          </w:tcPr>
          <w:p w14:paraId="05B27DE4">
            <w:pPr>
              <w:jc w:val="center"/>
              <w:rPr>
                <w:rFonts w:hint="eastAsia" w:ascii="宋体" w:hAnsi="宋体" w:eastAsia="宋体" w:cs="宋体"/>
              </w:rPr>
            </w:pPr>
            <w:r>
              <w:rPr>
                <w:rFonts w:hint="eastAsia" w:ascii="宋体" w:hAnsi="宋体" w:eastAsia="宋体" w:cs="宋体"/>
              </w:rPr>
              <w:t>担任项目经理年限</w:t>
            </w:r>
          </w:p>
        </w:tc>
        <w:tc>
          <w:tcPr>
            <w:tcW w:w="1276" w:type="dxa"/>
            <w:noWrap w:val="0"/>
            <w:vAlign w:val="center"/>
          </w:tcPr>
          <w:p w14:paraId="2063F6F8">
            <w:pPr>
              <w:jc w:val="center"/>
              <w:rPr>
                <w:rFonts w:hint="eastAsia" w:ascii="宋体" w:hAnsi="宋体" w:eastAsia="宋体" w:cs="宋体"/>
              </w:rPr>
            </w:pPr>
          </w:p>
        </w:tc>
      </w:tr>
      <w:tr w14:paraId="13FC2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3423" w:type="dxa"/>
            <w:gridSpan w:val="4"/>
            <w:noWrap w:val="0"/>
            <w:vAlign w:val="center"/>
          </w:tcPr>
          <w:p w14:paraId="17949F21">
            <w:pPr>
              <w:jc w:val="center"/>
              <w:rPr>
                <w:rFonts w:hint="eastAsia" w:ascii="宋体" w:hAnsi="宋体" w:eastAsia="宋体" w:cs="宋体"/>
              </w:rPr>
            </w:pPr>
            <w:r>
              <w:rPr>
                <w:rFonts w:hint="eastAsia" w:ascii="宋体" w:hAnsi="宋体" w:eastAsia="宋体" w:cs="宋体"/>
              </w:rPr>
              <w:t>建造师注册编号</w:t>
            </w:r>
          </w:p>
        </w:tc>
        <w:tc>
          <w:tcPr>
            <w:tcW w:w="5862" w:type="dxa"/>
            <w:gridSpan w:val="7"/>
            <w:noWrap w:val="0"/>
            <w:vAlign w:val="center"/>
          </w:tcPr>
          <w:p w14:paraId="03E9B85E">
            <w:pPr>
              <w:jc w:val="center"/>
              <w:rPr>
                <w:rFonts w:hint="eastAsia" w:ascii="宋体" w:hAnsi="宋体" w:eastAsia="宋体" w:cs="宋体"/>
              </w:rPr>
            </w:pPr>
          </w:p>
        </w:tc>
      </w:tr>
      <w:tr w14:paraId="7530D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3423" w:type="dxa"/>
            <w:gridSpan w:val="4"/>
            <w:noWrap w:val="0"/>
            <w:vAlign w:val="center"/>
          </w:tcPr>
          <w:p w14:paraId="1FF0A42F">
            <w:pPr>
              <w:jc w:val="center"/>
              <w:rPr>
                <w:rFonts w:hint="eastAsia" w:ascii="宋体" w:hAnsi="宋体" w:eastAsia="宋体" w:cs="宋体"/>
              </w:rPr>
            </w:pPr>
            <w:r>
              <w:rPr>
                <w:rFonts w:hint="eastAsia" w:ascii="宋体" w:hAnsi="宋体" w:eastAsia="宋体" w:cs="宋体"/>
              </w:rPr>
              <w:t>注册专业、等级</w:t>
            </w:r>
          </w:p>
        </w:tc>
        <w:tc>
          <w:tcPr>
            <w:tcW w:w="5862" w:type="dxa"/>
            <w:gridSpan w:val="7"/>
            <w:noWrap w:val="0"/>
            <w:vAlign w:val="center"/>
          </w:tcPr>
          <w:p w14:paraId="39D5EE17">
            <w:pPr>
              <w:jc w:val="center"/>
              <w:rPr>
                <w:rFonts w:hint="eastAsia" w:ascii="宋体" w:hAnsi="宋体" w:eastAsia="宋体" w:cs="宋体"/>
              </w:rPr>
            </w:pPr>
          </w:p>
        </w:tc>
      </w:tr>
      <w:tr w14:paraId="5E044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285" w:type="dxa"/>
            <w:gridSpan w:val="11"/>
            <w:noWrap w:val="0"/>
            <w:vAlign w:val="center"/>
          </w:tcPr>
          <w:p w14:paraId="3EC21B42">
            <w:pPr>
              <w:jc w:val="center"/>
              <w:rPr>
                <w:rFonts w:hint="eastAsia" w:ascii="宋体" w:hAnsi="宋体" w:eastAsia="宋体" w:cs="宋体"/>
              </w:rPr>
            </w:pPr>
            <w:r>
              <w:rPr>
                <w:rFonts w:hint="eastAsia" w:ascii="宋体" w:hAnsi="宋体" w:eastAsia="宋体" w:cs="宋体"/>
              </w:rPr>
              <w:t>在建和已完工程项目情况</w:t>
            </w:r>
          </w:p>
        </w:tc>
      </w:tr>
      <w:tr w14:paraId="1468E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547" w:type="dxa"/>
            <w:gridSpan w:val="2"/>
            <w:noWrap w:val="0"/>
            <w:vAlign w:val="center"/>
          </w:tcPr>
          <w:p w14:paraId="105A5839">
            <w:pPr>
              <w:jc w:val="center"/>
              <w:rPr>
                <w:rFonts w:hint="eastAsia" w:ascii="宋体" w:hAnsi="宋体" w:eastAsia="宋体" w:cs="宋体"/>
              </w:rPr>
            </w:pPr>
            <w:r>
              <w:rPr>
                <w:rFonts w:hint="eastAsia" w:ascii="宋体" w:hAnsi="宋体" w:eastAsia="宋体" w:cs="宋体"/>
              </w:rPr>
              <w:t>建设单位</w:t>
            </w:r>
          </w:p>
        </w:tc>
        <w:tc>
          <w:tcPr>
            <w:tcW w:w="1548" w:type="dxa"/>
            <w:noWrap w:val="0"/>
            <w:vAlign w:val="center"/>
          </w:tcPr>
          <w:p w14:paraId="744A777C">
            <w:pPr>
              <w:jc w:val="center"/>
              <w:rPr>
                <w:rFonts w:hint="eastAsia" w:ascii="宋体" w:hAnsi="宋体" w:eastAsia="宋体" w:cs="宋体"/>
              </w:rPr>
            </w:pPr>
            <w:r>
              <w:rPr>
                <w:rFonts w:hint="eastAsia" w:ascii="宋体" w:hAnsi="宋体" w:eastAsia="宋体" w:cs="宋体"/>
              </w:rPr>
              <w:t>项目名称</w:t>
            </w:r>
          </w:p>
        </w:tc>
        <w:tc>
          <w:tcPr>
            <w:tcW w:w="1547" w:type="dxa"/>
            <w:gridSpan w:val="2"/>
            <w:noWrap w:val="0"/>
            <w:vAlign w:val="center"/>
          </w:tcPr>
          <w:p w14:paraId="1381C6D5">
            <w:pPr>
              <w:jc w:val="center"/>
              <w:rPr>
                <w:rFonts w:hint="eastAsia" w:ascii="宋体" w:hAnsi="宋体" w:eastAsia="宋体" w:cs="宋体"/>
              </w:rPr>
            </w:pPr>
            <w:r>
              <w:rPr>
                <w:rFonts w:hint="eastAsia" w:ascii="宋体" w:hAnsi="宋体" w:eastAsia="宋体" w:cs="宋体"/>
              </w:rPr>
              <w:t>建设规模</w:t>
            </w:r>
          </w:p>
        </w:tc>
        <w:tc>
          <w:tcPr>
            <w:tcW w:w="1548" w:type="dxa"/>
            <w:gridSpan w:val="2"/>
            <w:noWrap w:val="0"/>
            <w:vAlign w:val="center"/>
          </w:tcPr>
          <w:p w14:paraId="12599DB1">
            <w:pPr>
              <w:jc w:val="center"/>
              <w:rPr>
                <w:rFonts w:hint="eastAsia" w:ascii="宋体" w:hAnsi="宋体" w:eastAsia="宋体" w:cs="宋体"/>
              </w:rPr>
            </w:pPr>
            <w:r>
              <w:rPr>
                <w:rFonts w:hint="eastAsia" w:ascii="宋体" w:hAnsi="宋体" w:eastAsia="宋体" w:cs="宋体"/>
              </w:rPr>
              <w:t>开、竣工日期</w:t>
            </w:r>
          </w:p>
        </w:tc>
        <w:tc>
          <w:tcPr>
            <w:tcW w:w="1547" w:type="dxa"/>
            <w:gridSpan w:val="2"/>
            <w:noWrap w:val="0"/>
            <w:vAlign w:val="center"/>
          </w:tcPr>
          <w:p w14:paraId="3EFA82F8">
            <w:pPr>
              <w:jc w:val="center"/>
              <w:rPr>
                <w:rFonts w:hint="eastAsia" w:ascii="宋体" w:hAnsi="宋体" w:eastAsia="宋体" w:cs="宋体"/>
              </w:rPr>
            </w:pPr>
            <w:r>
              <w:rPr>
                <w:rFonts w:hint="eastAsia" w:ascii="宋体" w:hAnsi="宋体" w:eastAsia="宋体" w:cs="宋体"/>
              </w:rPr>
              <w:t>在建或已完</w:t>
            </w:r>
          </w:p>
        </w:tc>
        <w:tc>
          <w:tcPr>
            <w:tcW w:w="1548" w:type="dxa"/>
            <w:gridSpan w:val="2"/>
            <w:noWrap w:val="0"/>
            <w:vAlign w:val="center"/>
          </w:tcPr>
          <w:p w14:paraId="0AE96E76">
            <w:pPr>
              <w:jc w:val="center"/>
              <w:rPr>
                <w:rFonts w:hint="eastAsia" w:ascii="宋体" w:hAnsi="宋体" w:eastAsia="宋体" w:cs="宋体"/>
              </w:rPr>
            </w:pPr>
            <w:r>
              <w:rPr>
                <w:rFonts w:hint="eastAsia" w:ascii="宋体" w:hAnsi="宋体" w:eastAsia="宋体" w:cs="宋体"/>
              </w:rPr>
              <w:t>工程质量</w:t>
            </w:r>
          </w:p>
        </w:tc>
      </w:tr>
      <w:tr w14:paraId="2516F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354C7CF0">
            <w:pPr>
              <w:jc w:val="center"/>
              <w:rPr>
                <w:rFonts w:hint="eastAsia" w:ascii="宋体" w:hAnsi="宋体" w:eastAsia="宋体" w:cs="宋体"/>
              </w:rPr>
            </w:pPr>
          </w:p>
        </w:tc>
        <w:tc>
          <w:tcPr>
            <w:tcW w:w="1548" w:type="dxa"/>
            <w:noWrap w:val="0"/>
            <w:vAlign w:val="center"/>
          </w:tcPr>
          <w:p w14:paraId="1CED1DFD">
            <w:pPr>
              <w:jc w:val="center"/>
              <w:rPr>
                <w:rFonts w:hint="eastAsia" w:ascii="宋体" w:hAnsi="宋体" w:eastAsia="宋体" w:cs="宋体"/>
              </w:rPr>
            </w:pPr>
          </w:p>
        </w:tc>
        <w:tc>
          <w:tcPr>
            <w:tcW w:w="1547" w:type="dxa"/>
            <w:gridSpan w:val="2"/>
            <w:noWrap w:val="0"/>
            <w:vAlign w:val="center"/>
          </w:tcPr>
          <w:p w14:paraId="2AE203FF">
            <w:pPr>
              <w:jc w:val="center"/>
              <w:rPr>
                <w:rFonts w:hint="eastAsia" w:ascii="宋体" w:hAnsi="宋体" w:eastAsia="宋体" w:cs="宋体"/>
              </w:rPr>
            </w:pPr>
          </w:p>
        </w:tc>
        <w:tc>
          <w:tcPr>
            <w:tcW w:w="1548" w:type="dxa"/>
            <w:gridSpan w:val="2"/>
            <w:noWrap w:val="0"/>
            <w:vAlign w:val="center"/>
          </w:tcPr>
          <w:p w14:paraId="757D748C">
            <w:pPr>
              <w:jc w:val="center"/>
              <w:rPr>
                <w:rFonts w:hint="eastAsia" w:ascii="宋体" w:hAnsi="宋体" w:eastAsia="宋体" w:cs="宋体"/>
              </w:rPr>
            </w:pPr>
          </w:p>
        </w:tc>
        <w:tc>
          <w:tcPr>
            <w:tcW w:w="1547" w:type="dxa"/>
            <w:gridSpan w:val="2"/>
            <w:noWrap w:val="0"/>
            <w:vAlign w:val="center"/>
          </w:tcPr>
          <w:p w14:paraId="1D06BEA8">
            <w:pPr>
              <w:jc w:val="center"/>
              <w:rPr>
                <w:rFonts w:hint="eastAsia" w:ascii="宋体" w:hAnsi="宋体" w:eastAsia="宋体" w:cs="宋体"/>
              </w:rPr>
            </w:pPr>
          </w:p>
        </w:tc>
        <w:tc>
          <w:tcPr>
            <w:tcW w:w="1548" w:type="dxa"/>
            <w:gridSpan w:val="2"/>
            <w:noWrap w:val="0"/>
            <w:vAlign w:val="center"/>
          </w:tcPr>
          <w:p w14:paraId="7C6CDDE3">
            <w:pPr>
              <w:jc w:val="center"/>
              <w:rPr>
                <w:rFonts w:hint="eastAsia" w:ascii="宋体" w:hAnsi="宋体" w:eastAsia="宋体" w:cs="宋体"/>
              </w:rPr>
            </w:pPr>
          </w:p>
        </w:tc>
      </w:tr>
      <w:tr w14:paraId="683F0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433483BE">
            <w:pPr>
              <w:jc w:val="center"/>
              <w:rPr>
                <w:rFonts w:hint="eastAsia" w:ascii="宋体" w:hAnsi="宋体" w:eastAsia="宋体" w:cs="宋体"/>
              </w:rPr>
            </w:pPr>
          </w:p>
        </w:tc>
        <w:tc>
          <w:tcPr>
            <w:tcW w:w="1548" w:type="dxa"/>
            <w:noWrap w:val="0"/>
            <w:vAlign w:val="center"/>
          </w:tcPr>
          <w:p w14:paraId="3E012A01">
            <w:pPr>
              <w:jc w:val="center"/>
              <w:rPr>
                <w:rFonts w:hint="eastAsia" w:ascii="宋体" w:hAnsi="宋体" w:eastAsia="宋体" w:cs="宋体"/>
              </w:rPr>
            </w:pPr>
          </w:p>
        </w:tc>
        <w:tc>
          <w:tcPr>
            <w:tcW w:w="1547" w:type="dxa"/>
            <w:gridSpan w:val="2"/>
            <w:noWrap w:val="0"/>
            <w:vAlign w:val="center"/>
          </w:tcPr>
          <w:p w14:paraId="4C95B815">
            <w:pPr>
              <w:jc w:val="center"/>
              <w:rPr>
                <w:rFonts w:hint="eastAsia" w:ascii="宋体" w:hAnsi="宋体" w:eastAsia="宋体" w:cs="宋体"/>
              </w:rPr>
            </w:pPr>
          </w:p>
        </w:tc>
        <w:tc>
          <w:tcPr>
            <w:tcW w:w="1548" w:type="dxa"/>
            <w:gridSpan w:val="2"/>
            <w:noWrap w:val="0"/>
            <w:vAlign w:val="center"/>
          </w:tcPr>
          <w:p w14:paraId="1FE0E1D4">
            <w:pPr>
              <w:jc w:val="center"/>
              <w:rPr>
                <w:rFonts w:hint="eastAsia" w:ascii="宋体" w:hAnsi="宋体" w:eastAsia="宋体" w:cs="宋体"/>
              </w:rPr>
            </w:pPr>
          </w:p>
        </w:tc>
        <w:tc>
          <w:tcPr>
            <w:tcW w:w="1547" w:type="dxa"/>
            <w:gridSpan w:val="2"/>
            <w:noWrap w:val="0"/>
            <w:vAlign w:val="center"/>
          </w:tcPr>
          <w:p w14:paraId="363E6DEA">
            <w:pPr>
              <w:jc w:val="center"/>
              <w:rPr>
                <w:rFonts w:hint="eastAsia" w:ascii="宋体" w:hAnsi="宋体" w:eastAsia="宋体" w:cs="宋体"/>
              </w:rPr>
            </w:pPr>
          </w:p>
        </w:tc>
        <w:tc>
          <w:tcPr>
            <w:tcW w:w="1548" w:type="dxa"/>
            <w:gridSpan w:val="2"/>
            <w:noWrap w:val="0"/>
            <w:vAlign w:val="center"/>
          </w:tcPr>
          <w:p w14:paraId="25A080AF">
            <w:pPr>
              <w:jc w:val="center"/>
              <w:rPr>
                <w:rFonts w:hint="eastAsia" w:ascii="宋体" w:hAnsi="宋体" w:eastAsia="宋体" w:cs="宋体"/>
              </w:rPr>
            </w:pPr>
          </w:p>
        </w:tc>
      </w:tr>
      <w:tr w14:paraId="07F2C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4637609D">
            <w:pPr>
              <w:jc w:val="center"/>
              <w:rPr>
                <w:rFonts w:hint="eastAsia" w:ascii="宋体" w:hAnsi="宋体" w:eastAsia="宋体" w:cs="宋体"/>
              </w:rPr>
            </w:pPr>
          </w:p>
        </w:tc>
        <w:tc>
          <w:tcPr>
            <w:tcW w:w="1548" w:type="dxa"/>
            <w:noWrap w:val="0"/>
            <w:vAlign w:val="center"/>
          </w:tcPr>
          <w:p w14:paraId="51C6BD82">
            <w:pPr>
              <w:jc w:val="center"/>
              <w:rPr>
                <w:rFonts w:hint="eastAsia" w:ascii="宋体" w:hAnsi="宋体" w:eastAsia="宋体" w:cs="宋体"/>
              </w:rPr>
            </w:pPr>
          </w:p>
        </w:tc>
        <w:tc>
          <w:tcPr>
            <w:tcW w:w="1547" w:type="dxa"/>
            <w:gridSpan w:val="2"/>
            <w:noWrap w:val="0"/>
            <w:vAlign w:val="center"/>
          </w:tcPr>
          <w:p w14:paraId="7C1D5FB2">
            <w:pPr>
              <w:jc w:val="center"/>
              <w:rPr>
                <w:rFonts w:hint="eastAsia" w:ascii="宋体" w:hAnsi="宋体" w:eastAsia="宋体" w:cs="宋体"/>
              </w:rPr>
            </w:pPr>
          </w:p>
        </w:tc>
        <w:tc>
          <w:tcPr>
            <w:tcW w:w="1548" w:type="dxa"/>
            <w:gridSpan w:val="2"/>
            <w:noWrap w:val="0"/>
            <w:vAlign w:val="center"/>
          </w:tcPr>
          <w:p w14:paraId="557862C2">
            <w:pPr>
              <w:jc w:val="center"/>
              <w:rPr>
                <w:rFonts w:hint="eastAsia" w:ascii="宋体" w:hAnsi="宋体" w:eastAsia="宋体" w:cs="宋体"/>
              </w:rPr>
            </w:pPr>
          </w:p>
        </w:tc>
        <w:tc>
          <w:tcPr>
            <w:tcW w:w="1547" w:type="dxa"/>
            <w:gridSpan w:val="2"/>
            <w:noWrap w:val="0"/>
            <w:vAlign w:val="center"/>
          </w:tcPr>
          <w:p w14:paraId="45A41268">
            <w:pPr>
              <w:jc w:val="center"/>
              <w:rPr>
                <w:rFonts w:hint="eastAsia" w:ascii="宋体" w:hAnsi="宋体" w:eastAsia="宋体" w:cs="宋体"/>
              </w:rPr>
            </w:pPr>
          </w:p>
        </w:tc>
        <w:tc>
          <w:tcPr>
            <w:tcW w:w="1548" w:type="dxa"/>
            <w:gridSpan w:val="2"/>
            <w:noWrap w:val="0"/>
            <w:vAlign w:val="center"/>
          </w:tcPr>
          <w:p w14:paraId="3AF1180E">
            <w:pPr>
              <w:jc w:val="center"/>
              <w:rPr>
                <w:rFonts w:hint="eastAsia" w:ascii="宋体" w:hAnsi="宋体" w:eastAsia="宋体" w:cs="宋体"/>
              </w:rPr>
            </w:pPr>
          </w:p>
        </w:tc>
      </w:tr>
    </w:tbl>
    <w:p w14:paraId="3D77649F">
      <w:pPr>
        <w:pStyle w:val="23"/>
        <w:rPr>
          <w:rFonts w:hint="eastAsia" w:ascii="宋体" w:hAnsi="宋体" w:eastAsia="宋体" w:cs="宋体"/>
          <w:b/>
          <w:bCs/>
        </w:rPr>
      </w:pPr>
      <w:r>
        <w:rPr>
          <w:rFonts w:hint="eastAsia" w:ascii="宋体" w:hAnsi="宋体" w:eastAsia="宋体" w:cs="宋体"/>
          <w:b/>
          <w:bCs/>
        </w:rPr>
        <w:t>备注：附项目经理注册建造师注册证书、安全生产考核合格证书（B</w:t>
      </w:r>
      <w:r>
        <w:rPr>
          <w:rFonts w:hint="eastAsia" w:ascii="宋体" w:hAnsi="宋体" w:cs="宋体"/>
          <w:b/>
          <w:bCs/>
          <w:lang w:val="en-US" w:eastAsia="zh-CN"/>
        </w:rPr>
        <w:t>类</w:t>
      </w:r>
      <w:r>
        <w:rPr>
          <w:rFonts w:hint="eastAsia" w:ascii="宋体" w:hAnsi="宋体" w:eastAsia="宋体" w:cs="宋体"/>
          <w:b/>
          <w:bCs/>
        </w:rPr>
        <w:t>）</w:t>
      </w:r>
      <w:r>
        <w:rPr>
          <w:rFonts w:hint="eastAsia" w:ascii="宋体" w:hAnsi="宋体" w:cs="宋体"/>
          <w:b/>
          <w:bCs/>
          <w:lang w:eastAsia="zh-CN"/>
        </w:rPr>
        <w:t>、</w:t>
      </w:r>
      <w:r>
        <w:rPr>
          <w:rFonts w:hint="eastAsia" w:ascii="宋体" w:hAnsi="宋体" w:cs="宋体"/>
          <w:b/>
          <w:bCs/>
          <w:lang w:val="en-US" w:eastAsia="zh-CN"/>
        </w:rPr>
        <w:t>承诺函（无在建</w:t>
      </w:r>
      <w:r>
        <w:rPr>
          <w:rFonts w:hint="eastAsia" w:ascii="宋体" w:hAnsi="宋体" w:eastAsia="宋体" w:cs="宋体"/>
          <w:b/>
          <w:bCs/>
          <w:szCs w:val="21"/>
          <w:highlight w:val="none"/>
          <w:lang w:eastAsia="zh-CN"/>
        </w:rPr>
        <w:t>、已中标未开工或已列为其他项目中标（成交）候选人</w:t>
      </w:r>
      <w:r>
        <w:rPr>
          <w:rFonts w:hint="eastAsia" w:ascii="宋体" w:hAnsi="宋体" w:cs="宋体"/>
          <w:b/>
          <w:bCs/>
          <w:szCs w:val="21"/>
          <w:highlight w:val="none"/>
          <w:lang w:val="en-US" w:eastAsia="zh-CN"/>
        </w:rPr>
        <w:t>情形，格式自拟</w:t>
      </w:r>
      <w:r>
        <w:rPr>
          <w:rFonts w:hint="eastAsia" w:ascii="宋体" w:hAnsi="宋体" w:cs="宋体"/>
          <w:b/>
          <w:bCs/>
          <w:lang w:val="en-US" w:eastAsia="zh-CN"/>
        </w:rPr>
        <w:t>）</w:t>
      </w:r>
      <w:r>
        <w:rPr>
          <w:rFonts w:hint="eastAsia" w:ascii="宋体" w:hAnsi="宋体" w:cs="宋体"/>
          <w:b/>
          <w:bCs/>
          <w:lang w:eastAsia="zh-CN"/>
        </w:rPr>
        <w:t>，</w:t>
      </w:r>
      <w:r>
        <w:rPr>
          <w:rFonts w:hint="eastAsia" w:ascii="宋体" w:hAnsi="宋体" w:eastAsia="宋体" w:cs="宋体"/>
          <w:b/>
          <w:bCs/>
        </w:rPr>
        <w:t>以及供应商认为需要增加的其他证明材料</w:t>
      </w:r>
      <w:r>
        <w:rPr>
          <w:rFonts w:hint="eastAsia" w:ascii="宋体" w:hAnsi="宋体" w:eastAsia="宋体" w:cs="宋体"/>
          <w:b/>
          <w:bCs/>
          <w:szCs w:val="21"/>
        </w:rPr>
        <w:t>扫描件</w:t>
      </w:r>
      <w:r>
        <w:rPr>
          <w:rFonts w:hint="eastAsia" w:ascii="宋体" w:hAnsi="宋体" w:eastAsia="宋体" w:cs="宋体"/>
          <w:b/>
          <w:bCs/>
        </w:rPr>
        <w:t>，以上</w:t>
      </w:r>
      <w:r>
        <w:rPr>
          <w:rFonts w:hint="eastAsia" w:ascii="宋体" w:hAnsi="宋体" w:eastAsia="宋体" w:cs="宋体"/>
          <w:b/>
          <w:bCs/>
          <w:szCs w:val="21"/>
        </w:rPr>
        <w:t>扫描件</w:t>
      </w:r>
      <w:r>
        <w:rPr>
          <w:rFonts w:hint="eastAsia" w:ascii="宋体" w:hAnsi="宋体" w:eastAsia="宋体" w:cs="宋体"/>
          <w:b/>
          <w:bCs/>
        </w:rPr>
        <w:t>须加盖</w:t>
      </w:r>
      <w:r>
        <w:rPr>
          <w:rFonts w:hint="eastAsia" w:ascii="宋体" w:hAnsi="宋体" w:eastAsia="宋体" w:cs="宋体"/>
          <w:b/>
          <w:bCs/>
          <w:szCs w:val="21"/>
        </w:rPr>
        <w:t>供应商电子签章</w:t>
      </w:r>
      <w:r>
        <w:rPr>
          <w:rFonts w:hint="eastAsia" w:ascii="宋体" w:hAnsi="宋体" w:eastAsia="宋体" w:cs="宋体"/>
          <w:b/>
          <w:bCs/>
        </w:rPr>
        <w:t>。</w:t>
      </w:r>
      <w:bookmarkStart w:id="560" w:name="_Toc172364027"/>
      <w:bookmarkStart w:id="561" w:name="_Toc153274949"/>
      <w:bookmarkStart w:id="562" w:name="_Toc389065365"/>
      <w:bookmarkStart w:id="563" w:name="_Toc173579007"/>
      <w:bookmarkStart w:id="564" w:name="_Toc251052219"/>
    </w:p>
    <w:p w14:paraId="6CFCDCCC">
      <w:pPr>
        <w:pStyle w:val="23"/>
        <w:rPr>
          <w:rFonts w:hint="eastAsia" w:ascii="宋体" w:hAnsi="宋体" w:eastAsia="宋体" w:cs="宋体"/>
        </w:rPr>
      </w:pPr>
    </w:p>
    <w:p w14:paraId="06135329">
      <w:pPr>
        <w:pStyle w:val="23"/>
        <w:rPr>
          <w:rFonts w:hint="eastAsia" w:ascii="宋体" w:hAnsi="宋体" w:eastAsia="宋体" w:cs="宋体"/>
        </w:rPr>
      </w:pPr>
    </w:p>
    <w:p w14:paraId="6439540E">
      <w:pPr>
        <w:pStyle w:val="23"/>
        <w:rPr>
          <w:rFonts w:hint="eastAsia" w:ascii="宋体" w:hAnsi="宋体" w:eastAsia="宋体" w:cs="宋体"/>
        </w:rPr>
      </w:pPr>
      <w:r>
        <w:rPr>
          <w:rFonts w:hint="eastAsia" w:ascii="宋体" w:hAnsi="宋体" w:cs="宋体"/>
          <w:lang w:val="en-US" w:eastAsia="zh-CN"/>
        </w:rPr>
        <w:t>6</w:t>
      </w:r>
      <w:r>
        <w:rPr>
          <w:rFonts w:hint="eastAsia" w:ascii="宋体" w:hAnsi="宋体" w:eastAsia="宋体" w:cs="宋体"/>
        </w:rPr>
        <w:t>.3项目</w:t>
      </w:r>
      <w:r>
        <w:rPr>
          <w:rFonts w:hint="eastAsia" w:ascii="宋体" w:hAnsi="宋体" w:cs="宋体"/>
          <w:lang w:val="en-US" w:eastAsia="zh-CN"/>
        </w:rPr>
        <w:t>专职安全员</w:t>
      </w:r>
      <w:r>
        <w:rPr>
          <w:rFonts w:hint="eastAsia" w:ascii="宋体" w:hAnsi="宋体" w:eastAsia="宋体" w:cs="宋体"/>
        </w:rPr>
        <w:t>简历表</w:t>
      </w:r>
      <w:bookmarkEnd w:id="560"/>
      <w:bookmarkEnd w:id="561"/>
      <w:bookmarkEnd w:id="562"/>
      <w:bookmarkEnd w:id="563"/>
      <w:bookmarkEnd w:id="564"/>
    </w:p>
    <w:tbl>
      <w:tblPr>
        <w:tblStyle w:val="15"/>
        <w:tblW w:w="92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3"/>
        <w:gridCol w:w="464"/>
        <w:gridCol w:w="1548"/>
        <w:gridCol w:w="328"/>
        <w:gridCol w:w="1219"/>
        <w:gridCol w:w="674"/>
        <w:gridCol w:w="874"/>
        <w:gridCol w:w="711"/>
        <w:gridCol w:w="836"/>
        <w:gridCol w:w="272"/>
        <w:gridCol w:w="1276"/>
      </w:tblGrid>
      <w:tr w14:paraId="4262B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83" w:type="dxa"/>
            <w:noWrap w:val="0"/>
            <w:vAlign w:val="center"/>
          </w:tcPr>
          <w:p w14:paraId="12A94EA6">
            <w:pPr>
              <w:jc w:val="center"/>
              <w:rPr>
                <w:rFonts w:hint="eastAsia" w:ascii="宋体" w:hAnsi="宋体" w:eastAsia="宋体" w:cs="宋体"/>
              </w:rPr>
            </w:pPr>
            <w:r>
              <w:rPr>
                <w:rFonts w:hint="eastAsia" w:ascii="宋体" w:hAnsi="宋体" w:eastAsia="宋体" w:cs="宋体"/>
              </w:rPr>
              <w:t>姓名</w:t>
            </w:r>
          </w:p>
        </w:tc>
        <w:tc>
          <w:tcPr>
            <w:tcW w:w="2340" w:type="dxa"/>
            <w:gridSpan w:val="3"/>
            <w:noWrap w:val="0"/>
            <w:vAlign w:val="center"/>
          </w:tcPr>
          <w:p w14:paraId="41596FE6">
            <w:pPr>
              <w:jc w:val="center"/>
              <w:rPr>
                <w:rFonts w:hint="eastAsia" w:ascii="宋体" w:hAnsi="宋体" w:eastAsia="宋体" w:cs="宋体"/>
              </w:rPr>
            </w:pPr>
          </w:p>
        </w:tc>
        <w:tc>
          <w:tcPr>
            <w:tcW w:w="1893" w:type="dxa"/>
            <w:gridSpan w:val="2"/>
            <w:noWrap w:val="0"/>
            <w:vAlign w:val="center"/>
          </w:tcPr>
          <w:p w14:paraId="550F039A">
            <w:pPr>
              <w:jc w:val="center"/>
              <w:rPr>
                <w:rFonts w:hint="eastAsia" w:ascii="宋体" w:hAnsi="宋体" w:eastAsia="宋体" w:cs="宋体"/>
              </w:rPr>
            </w:pPr>
            <w:r>
              <w:rPr>
                <w:rFonts w:hint="eastAsia" w:ascii="宋体" w:hAnsi="宋体" w:eastAsia="宋体" w:cs="宋体"/>
              </w:rPr>
              <w:t>性别</w:t>
            </w:r>
          </w:p>
        </w:tc>
        <w:tc>
          <w:tcPr>
            <w:tcW w:w="1585" w:type="dxa"/>
            <w:gridSpan w:val="2"/>
            <w:noWrap w:val="0"/>
            <w:vAlign w:val="center"/>
          </w:tcPr>
          <w:p w14:paraId="0E3175B3">
            <w:pPr>
              <w:jc w:val="center"/>
              <w:rPr>
                <w:rFonts w:hint="eastAsia" w:ascii="宋体" w:hAnsi="宋体" w:eastAsia="宋体" w:cs="宋体"/>
              </w:rPr>
            </w:pPr>
          </w:p>
        </w:tc>
        <w:tc>
          <w:tcPr>
            <w:tcW w:w="1108" w:type="dxa"/>
            <w:gridSpan w:val="2"/>
            <w:noWrap w:val="0"/>
            <w:vAlign w:val="center"/>
          </w:tcPr>
          <w:p w14:paraId="228B43C3">
            <w:pPr>
              <w:jc w:val="center"/>
              <w:rPr>
                <w:rFonts w:hint="eastAsia" w:ascii="宋体" w:hAnsi="宋体" w:eastAsia="宋体" w:cs="宋体"/>
              </w:rPr>
            </w:pPr>
            <w:r>
              <w:rPr>
                <w:rFonts w:hint="eastAsia" w:ascii="宋体" w:hAnsi="宋体" w:eastAsia="宋体" w:cs="宋体"/>
              </w:rPr>
              <w:t>年龄</w:t>
            </w:r>
          </w:p>
        </w:tc>
        <w:tc>
          <w:tcPr>
            <w:tcW w:w="1276" w:type="dxa"/>
            <w:noWrap w:val="0"/>
            <w:vAlign w:val="center"/>
          </w:tcPr>
          <w:p w14:paraId="005D5FAB">
            <w:pPr>
              <w:jc w:val="center"/>
              <w:rPr>
                <w:rFonts w:hint="eastAsia" w:ascii="宋体" w:hAnsi="宋体" w:eastAsia="宋体" w:cs="宋体"/>
              </w:rPr>
            </w:pPr>
          </w:p>
        </w:tc>
      </w:tr>
      <w:tr w14:paraId="5EC79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83" w:type="dxa"/>
            <w:noWrap w:val="0"/>
            <w:vAlign w:val="center"/>
          </w:tcPr>
          <w:p w14:paraId="38FA4EF9">
            <w:pPr>
              <w:jc w:val="center"/>
              <w:rPr>
                <w:rFonts w:hint="eastAsia" w:ascii="宋体" w:hAnsi="宋体" w:eastAsia="宋体" w:cs="宋体"/>
              </w:rPr>
            </w:pPr>
            <w:r>
              <w:rPr>
                <w:rFonts w:hint="eastAsia" w:ascii="宋体" w:hAnsi="宋体" w:eastAsia="宋体" w:cs="宋体"/>
              </w:rPr>
              <w:t>职务</w:t>
            </w:r>
          </w:p>
        </w:tc>
        <w:tc>
          <w:tcPr>
            <w:tcW w:w="2340" w:type="dxa"/>
            <w:gridSpan w:val="3"/>
            <w:noWrap w:val="0"/>
            <w:vAlign w:val="center"/>
          </w:tcPr>
          <w:p w14:paraId="7158A388">
            <w:pPr>
              <w:jc w:val="center"/>
              <w:rPr>
                <w:rFonts w:hint="eastAsia" w:ascii="宋体" w:hAnsi="宋体" w:eastAsia="宋体" w:cs="宋体"/>
              </w:rPr>
            </w:pPr>
          </w:p>
        </w:tc>
        <w:tc>
          <w:tcPr>
            <w:tcW w:w="1893" w:type="dxa"/>
            <w:gridSpan w:val="2"/>
            <w:noWrap w:val="0"/>
            <w:vAlign w:val="center"/>
          </w:tcPr>
          <w:p w14:paraId="64DA4F5C">
            <w:pPr>
              <w:jc w:val="center"/>
              <w:rPr>
                <w:rFonts w:hint="eastAsia" w:ascii="宋体" w:hAnsi="宋体" w:eastAsia="宋体" w:cs="宋体"/>
              </w:rPr>
            </w:pPr>
            <w:r>
              <w:rPr>
                <w:rFonts w:hint="eastAsia" w:ascii="宋体" w:hAnsi="宋体" w:eastAsia="宋体" w:cs="宋体"/>
              </w:rPr>
              <w:t>职称</w:t>
            </w:r>
          </w:p>
        </w:tc>
        <w:tc>
          <w:tcPr>
            <w:tcW w:w="1585" w:type="dxa"/>
            <w:gridSpan w:val="2"/>
            <w:noWrap w:val="0"/>
            <w:vAlign w:val="center"/>
          </w:tcPr>
          <w:p w14:paraId="3FCE6526">
            <w:pPr>
              <w:jc w:val="center"/>
              <w:rPr>
                <w:rFonts w:hint="eastAsia" w:ascii="宋体" w:hAnsi="宋体" w:eastAsia="宋体" w:cs="宋体"/>
              </w:rPr>
            </w:pPr>
          </w:p>
        </w:tc>
        <w:tc>
          <w:tcPr>
            <w:tcW w:w="1108" w:type="dxa"/>
            <w:gridSpan w:val="2"/>
            <w:noWrap w:val="0"/>
            <w:vAlign w:val="center"/>
          </w:tcPr>
          <w:p w14:paraId="54DEF79D">
            <w:pPr>
              <w:jc w:val="center"/>
              <w:rPr>
                <w:rFonts w:hint="eastAsia" w:ascii="宋体" w:hAnsi="宋体" w:eastAsia="宋体" w:cs="宋体"/>
              </w:rPr>
            </w:pPr>
            <w:r>
              <w:rPr>
                <w:rFonts w:hint="eastAsia" w:ascii="宋体" w:hAnsi="宋体" w:eastAsia="宋体" w:cs="宋体"/>
              </w:rPr>
              <w:t>学历</w:t>
            </w:r>
          </w:p>
        </w:tc>
        <w:tc>
          <w:tcPr>
            <w:tcW w:w="1276" w:type="dxa"/>
            <w:noWrap w:val="0"/>
            <w:vAlign w:val="center"/>
          </w:tcPr>
          <w:p w14:paraId="26E0AEC8">
            <w:pPr>
              <w:jc w:val="center"/>
              <w:rPr>
                <w:rFonts w:hint="eastAsia" w:ascii="宋体" w:hAnsi="宋体" w:eastAsia="宋体" w:cs="宋体"/>
              </w:rPr>
            </w:pPr>
          </w:p>
        </w:tc>
      </w:tr>
      <w:tr w14:paraId="5AC23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3423" w:type="dxa"/>
            <w:gridSpan w:val="4"/>
            <w:noWrap w:val="0"/>
            <w:vAlign w:val="center"/>
          </w:tcPr>
          <w:p w14:paraId="397B1FCD">
            <w:pPr>
              <w:jc w:val="center"/>
              <w:rPr>
                <w:rFonts w:hint="eastAsia" w:ascii="宋体" w:hAnsi="宋体" w:eastAsia="宋体" w:cs="宋体"/>
              </w:rPr>
            </w:pPr>
            <w:r>
              <w:rPr>
                <w:rFonts w:hint="eastAsia" w:ascii="宋体" w:hAnsi="宋体" w:eastAsia="宋体" w:cs="宋体"/>
              </w:rPr>
              <w:t>参加工作时间</w:t>
            </w:r>
          </w:p>
        </w:tc>
        <w:tc>
          <w:tcPr>
            <w:tcW w:w="1893" w:type="dxa"/>
            <w:gridSpan w:val="2"/>
            <w:noWrap w:val="0"/>
            <w:vAlign w:val="center"/>
          </w:tcPr>
          <w:p w14:paraId="50D625AC">
            <w:pPr>
              <w:jc w:val="center"/>
              <w:rPr>
                <w:rFonts w:hint="eastAsia" w:ascii="宋体" w:hAnsi="宋体" w:eastAsia="宋体" w:cs="宋体"/>
              </w:rPr>
            </w:pPr>
          </w:p>
        </w:tc>
        <w:tc>
          <w:tcPr>
            <w:tcW w:w="2693" w:type="dxa"/>
            <w:gridSpan w:val="4"/>
            <w:noWrap w:val="0"/>
            <w:vAlign w:val="center"/>
          </w:tcPr>
          <w:p w14:paraId="0F04828C">
            <w:pPr>
              <w:jc w:val="center"/>
              <w:rPr>
                <w:rFonts w:hint="eastAsia" w:ascii="宋体" w:hAnsi="宋体" w:eastAsia="宋体" w:cs="宋体"/>
              </w:rPr>
            </w:pPr>
            <w:r>
              <w:rPr>
                <w:rFonts w:hint="eastAsia" w:ascii="宋体" w:hAnsi="宋体" w:eastAsia="宋体" w:cs="宋体"/>
              </w:rPr>
              <w:t>担任项目</w:t>
            </w:r>
            <w:r>
              <w:rPr>
                <w:rFonts w:hint="eastAsia" w:ascii="宋体" w:hAnsi="宋体" w:cs="宋体"/>
                <w:lang w:val="en-US" w:eastAsia="zh-CN"/>
              </w:rPr>
              <w:t>专职安全员</w:t>
            </w:r>
            <w:r>
              <w:rPr>
                <w:rFonts w:hint="eastAsia" w:ascii="宋体" w:hAnsi="宋体" w:eastAsia="宋体" w:cs="宋体"/>
              </w:rPr>
              <w:t>年限</w:t>
            </w:r>
          </w:p>
        </w:tc>
        <w:tc>
          <w:tcPr>
            <w:tcW w:w="1276" w:type="dxa"/>
            <w:noWrap w:val="0"/>
            <w:vAlign w:val="center"/>
          </w:tcPr>
          <w:p w14:paraId="5B7BD686">
            <w:pPr>
              <w:jc w:val="center"/>
              <w:rPr>
                <w:rFonts w:hint="eastAsia" w:ascii="宋体" w:hAnsi="宋体" w:eastAsia="宋体" w:cs="宋体"/>
              </w:rPr>
            </w:pPr>
          </w:p>
        </w:tc>
      </w:tr>
      <w:tr w14:paraId="50F97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285" w:type="dxa"/>
            <w:gridSpan w:val="11"/>
            <w:noWrap w:val="0"/>
            <w:vAlign w:val="center"/>
          </w:tcPr>
          <w:p w14:paraId="6A3E9ABB">
            <w:pPr>
              <w:jc w:val="center"/>
              <w:rPr>
                <w:rFonts w:hint="eastAsia" w:ascii="宋体" w:hAnsi="宋体" w:eastAsia="宋体" w:cs="宋体"/>
              </w:rPr>
            </w:pPr>
            <w:r>
              <w:rPr>
                <w:rFonts w:hint="eastAsia" w:ascii="宋体" w:hAnsi="宋体" w:eastAsia="宋体" w:cs="宋体"/>
              </w:rPr>
              <w:t>在建和已完工程项目情况</w:t>
            </w:r>
          </w:p>
        </w:tc>
      </w:tr>
      <w:tr w14:paraId="4AA83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547" w:type="dxa"/>
            <w:gridSpan w:val="2"/>
            <w:noWrap w:val="0"/>
            <w:vAlign w:val="center"/>
          </w:tcPr>
          <w:p w14:paraId="2E703D79">
            <w:pPr>
              <w:jc w:val="center"/>
              <w:rPr>
                <w:rFonts w:hint="eastAsia" w:ascii="宋体" w:hAnsi="宋体" w:eastAsia="宋体" w:cs="宋体"/>
              </w:rPr>
            </w:pPr>
            <w:r>
              <w:rPr>
                <w:rFonts w:hint="eastAsia" w:ascii="宋体" w:hAnsi="宋体" w:eastAsia="宋体" w:cs="宋体"/>
              </w:rPr>
              <w:t>建设单位</w:t>
            </w:r>
          </w:p>
        </w:tc>
        <w:tc>
          <w:tcPr>
            <w:tcW w:w="1548" w:type="dxa"/>
            <w:noWrap w:val="0"/>
            <w:vAlign w:val="center"/>
          </w:tcPr>
          <w:p w14:paraId="18DFF906">
            <w:pPr>
              <w:jc w:val="center"/>
              <w:rPr>
                <w:rFonts w:hint="eastAsia" w:ascii="宋体" w:hAnsi="宋体" w:eastAsia="宋体" w:cs="宋体"/>
              </w:rPr>
            </w:pPr>
            <w:r>
              <w:rPr>
                <w:rFonts w:hint="eastAsia" w:ascii="宋体" w:hAnsi="宋体" w:eastAsia="宋体" w:cs="宋体"/>
              </w:rPr>
              <w:t>项目名称</w:t>
            </w:r>
          </w:p>
        </w:tc>
        <w:tc>
          <w:tcPr>
            <w:tcW w:w="1547" w:type="dxa"/>
            <w:gridSpan w:val="2"/>
            <w:noWrap w:val="0"/>
            <w:vAlign w:val="center"/>
          </w:tcPr>
          <w:p w14:paraId="74B9B0BD">
            <w:pPr>
              <w:jc w:val="center"/>
              <w:rPr>
                <w:rFonts w:hint="eastAsia" w:ascii="宋体" w:hAnsi="宋体" w:eastAsia="宋体" w:cs="宋体"/>
              </w:rPr>
            </w:pPr>
            <w:r>
              <w:rPr>
                <w:rFonts w:hint="eastAsia" w:ascii="宋体" w:hAnsi="宋体" w:eastAsia="宋体" w:cs="宋体"/>
              </w:rPr>
              <w:t>建设规模</w:t>
            </w:r>
          </w:p>
        </w:tc>
        <w:tc>
          <w:tcPr>
            <w:tcW w:w="1548" w:type="dxa"/>
            <w:gridSpan w:val="2"/>
            <w:noWrap w:val="0"/>
            <w:vAlign w:val="center"/>
          </w:tcPr>
          <w:p w14:paraId="5836E305">
            <w:pPr>
              <w:jc w:val="center"/>
              <w:rPr>
                <w:rFonts w:hint="eastAsia" w:ascii="宋体" w:hAnsi="宋体" w:eastAsia="宋体" w:cs="宋体"/>
              </w:rPr>
            </w:pPr>
            <w:r>
              <w:rPr>
                <w:rFonts w:hint="eastAsia" w:ascii="宋体" w:hAnsi="宋体" w:eastAsia="宋体" w:cs="宋体"/>
              </w:rPr>
              <w:t>开、竣工日期</w:t>
            </w:r>
          </w:p>
        </w:tc>
        <w:tc>
          <w:tcPr>
            <w:tcW w:w="1547" w:type="dxa"/>
            <w:gridSpan w:val="2"/>
            <w:noWrap w:val="0"/>
            <w:vAlign w:val="center"/>
          </w:tcPr>
          <w:p w14:paraId="63A2AC3B">
            <w:pPr>
              <w:jc w:val="center"/>
              <w:rPr>
                <w:rFonts w:hint="eastAsia" w:ascii="宋体" w:hAnsi="宋体" w:eastAsia="宋体" w:cs="宋体"/>
              </w:rPr>
            </w:pPr>
            <w:r>
              <w:rPr>
                <w:rFonts w:hint="eastAsia" w:ascii="宋体" w:hAnsi="宋体" w:eastAsia="宋体" w:cs="宋体"/>
              </w:rPr>
              <w:t>在建或已完</w:t>
            </w:r>
          </w:p>
        </w:tc>
        <w:tc>
          <w:tcPr>
            <w:tcW w:w="1548" w:type="dxa"/>
            <w:gridSpan w:val="2"/>
            <w:noWrap w:val="0"/>
            <w:vAlign w:val="center"/>
          </w:tcPr>
          <w:p w14:paraId="5CBF16FC">
            <w:pPr>
              <w:jc w:val="center"/>
              <w:rPr>
                <w:rFonts w:hint="eastAsia" w:ascii="宋体" w:hAnsi="宋体" w:eastAsia="宋体" w:cs="宋体"/>
              </w:rPr>
            </w:pPr>
            <w:r>
              <w:rPr>
                <w:rFonts w:hint="eastAsia" w:ascii="宋体" w:hAnsi="宋体" w:eastAsia="宋体" w:cs="宋体"/>
              </w:rPr>
              <w:t>工程质量</w:t>
            </w:r>
          </w:p>
        </w:tc>
      </w:tr>
      <w:tr w14:paraId="0713B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785DC09F">
            <w:pPr>
              <w:jc w:val="center"/>
              <w:rPr>
                <w:rFonts w:hint="eastAsia" w:ascii="宋体" w:hAnsi="宋体" w:eastAsia="宋体" w:cs="宋体"/>
              </w:rPr>
            </w:pPr>
          </w:p>
        </w:tc>
        <w:tc>
          <w:tcPr>
            <w:tcW w:w="1548" w:type="dxa"/>
            <w:noWrap w:val="0"/>
            <w:vAlign w:val="center"/>
          </w:tcPr>
          <w:p w14:paraId="2A7C28CD">
            <w:pPr>
              <w:jc w:val="center"/>
              <w:rPr>
                <w:rFonts w:hint="eastAsia" w:ascii="宋体" w:hAnsi="宋体" w:eastAsia="宋体" w:cs="宋体"/>
              </w:rPr>
            </w:pPr>
          </w:p>
        </w:tc>
        <w:tc>
          <w:tcPr>
            <w:tcW w:w="1547" w:type="dxa"/>
            <w:gridSpan w:val="2"/>
            <w:noWrap w:val="0"/>
            <w:vAlign w:val="center"/>
          </w:tcPr>
          <w:p w14:paraId="2A57448B">
            <w:pPr>
              <w:jc w:val="center"/>
              <w:rPr>
                <w:rFonts w:hint="eastAsia" w:ascii="宋体" w:hAnsi="宋体" w:eastAsia="宋体" w:cs="宋体"/>
              </w:rPr>
            </w:pPr>
          </w:p>
        </w:tc>
        <w:tc>
          <w:tcPr>
            <w:tcW w:w="1548" w:type="dxa"/>
            <w:gridSpan w:val="2"/>
            <w:noWrap w:val="0"/>
            <w:vAlign w:val="center"/>
          </w:tcPr>
          <w:p w14:paraId="135AE9A4">
            <w:pPr>
              <w:jc w:val="center"/>
              <w:rPr>
                <w:rFonts w:hint="eastAsia" w:ascii="宋体" w:hAnsi="宋体" w:eastAsia="宋体" w:cs="宋体"/>
              </w:rPr>
            </w:pPr>
          </w:p>
        </w:tc>
        <w:tc>
          <w:tcPr>
            <w:tcW w:w="1547" w:type="dxa"/>
            <w:gridSpan w:val="2"/>
            <w:noWrap w:val="0"/>
            <w:vAlign w:val="center"/>
          </w:tcPr>
          <w:p w14:paraId="2D76FD40">
            <w:pPr>
              <w:jc w:val="center"/>
              <w:rPr>
                <w:rFonts w:hint="eastAsia" w:ascii="宋体" w:hAnsi="宋体" w:eastAsia="宋体" w:cs="宋体"/>
              </w:rPr>
            </w:pPr>
          </w:p>
        </w:tc>
        <w:tc>
          <w:tcPr>
            <w:tcW w:w="1548" w:type="dxa"/>
            <w:gridSpan w:val="2"/>
            <w:noWrap w:val="0"/>
            <w:vAlign w:val="center"/>
          </w:tcPr>
          <w:p w14:paraId="3191ABD6">
            <w:pPr>
              <w:jc w:val="center"/>
              <w:rPr>
                <w:rFonts w:hint="eastAsia" w:ascii="宋体" w:hAnsi="宋体" w:eastAsia="宋体" w:cs="宋体"/>
              </w:rPr>
            </w:pPr>
          </w:p>
        </w:tc>
      </w:tr>
      <w:tr w14:paraId="4A9AB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3BFBECD0">
            <w:pPr>
              <w:jc w:val="center"/>
              <w:rPr>
                <w:rFonts w:hint="eastAsia" w:ascii="宋体" w:hAnsi="宋体" w:eastAsia="宋体" w:cs="宋体"/>
              </w:rPr>
            </w:pPr>
          </w:p>
        </w:tc>
        <w:tc>
          <w:tcPr>
            <w:tcW w:w="1548" w:type="dxa"/>
            <w:noWrap w:val="0"/>
            <w:vAlign w:val="center"/>
          </w:tcPr>
          <w:p w14:paraId="30481DC8">
            <w:pPr>
              <w:jc w:val="center"/>
              <w:rPr>
                <w:rFonts w:hint="eastAsia" w:ascii="宋体" w:hAnsi="宋体" w:eastAsia="宋体" w:cs="宋体"/>
              </w:rPr>
            </w:pPr>
          </w:p>
        </w:tc>
        <w:tc>
          <w:tcPr>
            <w:tcW w:w="1547" w:type="dxa"/>
            <w:gridSpan w:val="2"/>
            <w:noWrap w:val="0"/>
            <w:vAlign w:val="center"/>
          </w:tcPr>
          <w:p w14:paraId="44372B35">
            <w:pPr>
              <w:jc w:val="center"/>
              <w:rPr>
                <w:rFonts w:hint="eastAsia" w:ascii="宋体" w:hAnsi="宋体" w:eastAsia="宋体" w:cs="宋体"/>
              </w:rPr>
            </w:pPr>
          </w:p>
        </w:tc>
        <w:tc>
          <w:tcPr>
            <w:tcW w:w="1548" w:type="dxa"/>
            <w:gridSpan w:val="2"/>
            <w:noWrap w:val="0"/>
            <w:vAlign w:val="center"/>
          </w:tcPr>
          <w:p w14:paraId="4755D12C">
            <w:pPr>
              <w:jc w:val="center"/>
              <w:rPr>
                <w:rFonts w:hint="eastAsia" w:ascii="宋体" w:hAnsi="宋体" w:eastAsia="宋体" w:cs="宋体"/>
              </w:rPr>
            </w:pPr>
          </w:p>
        </w:tc>
        <w:tc>
          <w:tcPr>
            <w:tcW w:w="1547" w:type="dxa"/>
            <w:gridSpan w:val="2"/>
            <w:noWrap w:val="0"/>
            <w:vAlign w:val="center"/>
          </w:tcPr>
          <w:p w14:paraId="0E202EB5">
            <w:pPr>
              <w:jc w:val="center"/>
              <w:rPr>
                <w:rFonts w:hint="eastAsia" w:ascii="宋体" w:hAnsi="宋体" w:eastAsia="宋体" w:cs="宋体"/>
              </w:rPr>
            </w:pPr>
          </w:p>
        </w:tc>
        <w:tc>
          <w:tcPr>
            <w:tcW w:w="1548" w:type="dxa"/>
            <w:gridSpan w:val="2"/>
            <w:noWrap w:val="0"/>
            <w:vAlign w:val="center"/>
          </w:tcPr>
          <w:p w14:paraId="1F95FC86">
            <w:pPr>
              <w:jc w:val="center"/>
              <w:rPr>
                <w:rFonts w:hint="eastAsia" w:ascii="宋体" w:hAnsi="宋体" w:eastAsia="宋体" w:cs="宋体"/>
              </w:rPr>
            </w:pPr>
          </w:p>
        </w:tc>
      </w:tr>
      <w:tr w14:paraId="365FE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361E6E46">
            <w:pPr>
              <w:jc w:val="center"/>
              <w:rPr>
                <w:rFonts w:hint="eastAsia" w:ascii="宋体" w:hAnsi="宋体" w:eastAsia="宋体" w:cs="宋体"/>
              </w:rPr>
            </w:pPr>
          </w:p>
        </w:tc>
        <w:tc>
          <w:tcPr>
            <w:tcW w:w="1548" w:type="dxa"/>
            <w:noWrap w:val="0"/>
            <w:vAlign w:val="center"/>
          </w:tcPr>
          <w:p w14:paraId="767433FB">
            <w:pPr>
              <w:jc w:val="center"/>
              <w:rPr>
                <w:rFonts w:hint="eastAsia" w:ascii="宋体" w:hAnsi="宋体" w:eastAsia="宋体" w:cs="宋体"/>
              </w:rPr>
            </w:pPr>
          </w:p>
        </w:tc>
        <w:tc>
          <w:tcPr>
            <w:tcW w:w="1547" w:type="dxa"/>
            <w:gridSpan w:val="2"/>
            <w:noWrap w:val="0"/>
            <w:vAlign w:val="center"/>
          </w:tcPr>
          <w:p w14:paraId="1DA19D96">
            <w:pPr>
              <w:jc w:val="center"/>
              <w:rPr>
                <w:rFonts w:hint="eastAsia" w:ascii="宋体" w:hAnsi="宋体" w:eastAsia="宋体" w:cs="宋体"/>
              </w:rPr>
            </w:pPr>
          </w:p>
        </w:tc>
        <w:tc>
          <w:tcPr>
            <w:tcW w:w="1548" w:type="dxa"/>
            <w:gridSpan w:val="2"/>
            <w:noWrap w:val="0"/>
            <w:vAlign w:val="center"/>
          </w:tcPr>
          <w:p w14:paraId="33F1D3DD">
            <w:pPr>
              <w:jc w:val="center"/>
              <w:rPr>
                <w:rFonts w:hint="eastAsia" w:ascii="宋体" w:hAnsi="宋体" w:eastAsia="宋体" w:cs="宋体"/>
              </w:rPr>
            </w:pPr>
          </w:p>
        </w:tc>
        <w:tc>
          <w:tcPr>
            <w:tcW w:w="1547" w:type="dxa"/>
            <w:gridSpan w:val="2"/>
            <w:noWrap w:val="0"/>
            <w:vAlign w:val="center"/>
          </w:tcPr>
          <w:p w14:paraId="15F9475E">
            <w:pPr>
              <w:jc w:val="center"/>
              <w:rPr>
                <w:rFonts w:hint="eastAsia" w:ascii="宋体" w:hAnsi="宋体" w:eastAsia="宋体" w:cs="宋体"/>
              </w:rPr>
            </w:pPr>
          </w:p>
        </w:tc>
        <w:tc>
          <w:tcPr>
            <w:tcW w:w="1548" w:type="dxa"/>
            <w:gridSpan w:val="2"/>
            <w:noWrap w:val="0"/>
            <w:vAlign w:val="center"/>
          </w:tcPr>
          <w:p w14:paraId="5AAA5F6F">
            <w:pPr>
              <w:jc w:val="center"/>
              <w:rPr>
                <w:rFonts w:hint="eastAsia" w:ascii="宋体" w:hAnsi="宋体" w:eastAsia="宋体" w:cs="宋体"/>
              </w:rPr>
            </w:pPr>
          </w:p>
        </w:tc>
      </w:tr>
      <w:tr w14:paraId="607D1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547" w:type="dxa"/>
            <w:gridSpan w:val="2"/>
            <w:noWrap w:val="0"/>
            <w:vAlign w:val="center"/>
          </w:tcPr>
          <w:p w14:paraId="36E5B931">
            <w:pPr>
              <w:jc w:val="center"/>
              <w:rPr>
                <w:rFonts w:hint="eastAsia" w:ascii="宋体" w:hAnsi="宋体" w:eastAsia="宋体" w:cs="宋体"/>
              </w:rPr>
            </w:pPr>
          </w:p>
        </w:tc>
        <w:tc>
          <w:tcPr>
            <w:tcW w:w="1548" w:type="dxa"/>
            <w:noWrap w:val="0"/>
            <w:vAlign w:val="center"/>
          </w:tcPr>
          <w:p w14:paraId="71071BAF">
            <w:pPr>
              <w:jc w:val="center"/>
              <w:rPr>
                <w:rFonts w:hint="eastAsia" w:ascii="宋体" w:hAnsi="宋体" w:eastAsia="宋体" w:cs="宋体"/>
              </w:rPr>
            </w:pPr>
          </w:p>
        </w:tc>
        <w:tc>
          <w:tcPr>
            <w:tcW w:w="1547" w:type="dxa"/>
            <w:gridSpan w:val="2"/>
            <w:noWrap w:val="0"/>
            <w:vAlign w:val="center"/>
          </w:tcPr>
          <w:p w14:paraId="7737890C">
            <w:pPr>
              <w:jc w:val="center"/>
              <w:rPr>
                <w:rFonts w:hint="eastAsia" w:ascii="宋体" w:hAnsi="宋体" w:eastAsia="宋体" w:cs="宋体"/>
              </w:rPr>
            </w:pPr>
          </w:p>
        </w:tc>
        <w:tc>
          <w:tcPr>
            <w:tcW w:w="1548" w:type="dxa"/>
            <w:gridSpan w:val="2"/>
            <w:noWrap w:val="0"/>
            <w:vAlign w:val="center"/>
          </w:tcPr>
          <w:p w14:paraId="57B72676">
            <w:pPr>
              <w:jc w:val="center"/>
              <w:rPr>
                <w:rFonts w:hint="eastAsia" w:ascii="宋体" w:hAnsi="宋体" w:eastAsia="宋体" w:cs="宋体"/>
              </w:rPr>
            </w:pPr>
          </w:p>
        </w:tc>
        <w:tc>
          <w:tcPr>
            <w:tcW w:w="1547" w:type="dxa"/>
            <w:gridSpan w:val="2"/>
            <w:noWrap w:val="0"/>
            <w:vAlign w:val="center"/>
          </w:tcPr>
          <w:p w14:paraId="4A4F6D12">
            <w:pPr>
              <w:jc w:val="center"/>
              <w:rPr>
                <w:rFonts w:hint="eastAsia" w:ascii="宋体" w:hAnsi="宋体" w:eastAsia="宋体" w:cs="宋体"/>
              </w:rPr>
            </w:pPr>
          </w:p>
        </w:tc>
        <w:tc>
          <w:tcPr>
            <w:tcW w:w="1548" w:type="dxa"/>
            <w:gridSpan w:val="2"/>
            <w:noWrap w:val="0"/>
            <w:vAlign w:val="center"/>
          </w:tcPr>
          <w:p w14:paraId="23C16664">
            <w:pPr>
              <w:jc w:val="center"/>
              <w:rPr>
                <w:rFonts w:hint="eastAsia" w:ascii="宋体" w:hAnsi="宋体" w:eastAsia="宋体" w:cs="宋体"/>
              </w:rPr>
            </w:pPr>
          </w:p>
        </w:tc>
      </w:tr>
    </w:tbl>
    <w:p w14:paraId="51D5E31F">
      <w:pPr>
        <w:pStyle w:val="23"/>
        <w:rPr>
          <w:rFonts w:hint="eastAsia" w:ascii="宋体" w:hAnsi="宋体" w:eastAsia="宋体" w:cs="宋体"/>
        </w:rPr>
      </w:pPr>
      <w:r>
        <w:rPr>
          <w:rFonts w:hint="eastAsia" w:ascii="宋体" w:hAnsi="宋体" w:eastAsia="宋体" w:cs="宋体"/>
        </w:rPr>
        <w:t>备注：安全生产考核合格证书（</w:t>
      </w:r>
      <w:r>
        <w:rPr>
          <w:rFonts w:hint="eastAsia" w:ascii="宋体" w:hAnsi="宋体" w:eastAsia="宋体" w:cs="宋体"/>
          <w:lang w:val="en-US" w:eastAsia="zh-CN"/>
        </w:rPr>
        <w:t>C类</w:t>
      </w:r>
      <w:r>
        <w:rPr>
          <w:rFonts w:hint="eastAsia" w:ascii="宋体" w:hAnsi="宋体" w:eastAsia="宋体" w:cs="宋体"/>
        </w:rPr>
        <w:t>），以及供应商认为需要增加的其他证明材料</w:t>
      </w:r>
      <w:r>
        <w:rPr>
          <w:rFonts w:hint="eastAsia" w:ascii="宋体" w:hAnsi="宋体" w:eastAsia="宋体" w:cs="宋体"/>
          <w:szCs w:val="21"/>
        </w:rPr>
        <w:t>扫描件</w:t>
      </w:r>
      <w:r>
        <w:rPr>
          <w:rFonts w:hint="eastAsia" w:ascii="宋体" w:hAnsi="宋体" w:eastAsia="宋体" w:cs="宋体"/>
        </w:rPr>
        <w:t>，以上</w:t>
      </w:r>
      <w:r>
        <w:rPr>
          <w:rFonts w:hint="eastAsia" w:ascii="宋体" w:hAnsi="宋体" w:eastAsia="宋体" w:cs="宋体"/>
          <w:szCs w:val="21"/>
        </w:rPr>
        <w:t>扫描件</w:t>
      </w:r>
      <w:r>
        <w:rPr>
          <w:rFonts w:hint="eastAsia" w:ascii="宋体" w:hAnsi="宋体" w:eastAsia="宋体" w:cs="宋体"/>
        </w:rPr>
        <w:t>均须加盖</w:t>
      </w:r>
      <w:r>
        <w:rPr>
          <w:rFonts w:hint="eastAsia" w:ascii="宋体" w:hAnsi="宋体" w:eastAsia="宋体" w:cs="宋体"/>
          <w:szCs w:val="21"/>
        </w:rPr>
        <w:t>供应商电子签章</w:t>
      </w:r>
      <w:r>
        <w:rPr>
          <w:rFonts w:hint="eastAsia" w:ascii="宋体" w:hAnsi="宋体" w:eastAsia="宋体" w:cs="宋体"/>
        </w:rPr>
        <w:t>。</w:t>
      </w:r>
    </w:p>
    <w:p w14:paraId="31F362C0">
      <w:pPr>
        <w:pStyle w:val="23"/>
        <w:rPr>
          <w:rFonts w:hint="eastAsia" w:ascii="宋体" w:hAnsi="宋体" w:eastAsia="宋体" w:cs="宋体"/>
        </w:rPr>
      </w:pPr>
    </w:p>
    <w:p w14:paraId="3E72E323">
      <w:pPr>
        <w:pStyle w:val="23"/>
        <w:rPr>
          <w:rFonts w:hint="eastAsia" w:ascii="宋体" w:hAnsi="宋体" w:eastAsia="宋体" w:cs="宋体"/>
        </w:rPr>
      </w:pPr>
    </w:p>
    <w:p w14:paraId="0B77C8C7">
      <w:pPr>
        <w:pStyle w:val="23"/>
        <w:jc w:val="left"/>
        <w:rPr>
          <w:rFonts w:hint="eastAsia" w:ascii="宋体" w:hAnsi="宋体" w:eastAsia="宋体" w:cs="宋体"/>
        </w:rPr>
      </w:pPr>
      <w:r>
        <w:rPr>
          <w:rFonts w:hint="eastAsia" w:ascii="宋体" w:hAnsi="宋体" w:cs="宋体"/>
          <w:lang w:val="en-US" w:eastAsia="zh-CN"/>
        </w:rPr>
        <w:t>6</w:t>
      </w:r>
      <w:r>
        <w:rPr>
          <w:rFonts w:hint="eastAsia" w:ascii="宋体" w:hAnsi="宋体" w:eastAsia="宋体" w:cs="宋体"/>
        </w:rPr>
        <w:t>.4项目管理机构其他人员配备情况表</w:t>
      </w:r>
    </w:p>
    <w:tbl>
      <w:tblPr>
        <w:tblStyle w:val="15"/>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829"/>
        <w:gridCol w:w="816"/>
        <w:gridCol w:w="1148"/>
        <w:gridCol w:w="1148"/>
        <w:gridCol w:w="1148"/>
        <w:gridCol w:w="1148"/>
        <w:gridCol w:w="850"/>
        <w:gridCol w:w="1276"/>
      </w:tblGrid>
      <w:tr w14:paraId="4A705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993" w:type="dxa"/>
            <w:vMerge w:val="restart"/>
            <w:noWrap w:val="0"/>
            <w:vAlign w:val="center"/>
          </w:tcPr>
          <w:p w14:paraId="439934C8">
            <w:pPr>
              <w:ind w:left="223" w:hanging="222" w:hangingChars="106"/>
              <w:jc w:val="center"/>
              <w:rPr>
                <w:rFonts w:hint="eastAsia" w:ascii="宋体" w:hAnsi="宋体" w:eastAsia="宋体" w:cs="宋体"/>
              </w:rPr>
            </w:pPr>
            <w:r>
              <w:rPr>
                <w:rFonts w:hint="eastAsia" w:ascii="宋体" w:hAnsi="宋体" w:eastAsia="宋体" w:cs="宋体"/>
              </w:rPr>
              <w:t>岗位</w:t>
            </w:r>
          </w:p>
        </w:tc>
        <w:tc>
          <w:tcPr>
            <w:tcW w:w="829" w:type="dxa"/>
            <w:vMerge w:val="restart"/>
            <w:noWrap w:val="0"/>
            <w:vAlign w:val="center"/>
          </w:tcPr>
          <w:p w14:paraId="63757F5E">
            <w:pPr>
              <w:ind w:left="223" w:hanging="222" w:hangingChars="106"/>
              <w:jc w:val="center"/>
              <w:rPr>
                <w:rFonts w:hint="eastAsia" w:ascii="宋体" w:hAnsi="宋体" w:eastAsia="宋体" w:cs="宋体"/>
              </w:rPr>
            </w:pPr>
            <w:bookmarkStart w:id="565" w:name="_Toc251052187"/>
            <w:r>
              <w:rPr>
                <w:rFonts w:hint="eastAsia" w:ascii="宋体" w:hAnsi="宋体" w:eastAsia="宋体" w:cs="宋体"/>
              </w:rPr>
              <w:t>姓名</w:t>
            </w:r>
            <w:bookmarkEnd w:id="565"/>
          </w:p>
        </w:tc>
        <w:tc>
          <w:tcPr>
            <w:tcW w:w="816" w:type="dxa"/>
            <w:vMerge w:val="restart"/>
            <w:noWrap w:val="0"/>
            <w:vAlign w:val="center"/>
          </w:tcPr>
          <w:p w14:paraId="5A8CD38A">
            <w:pPr>
              <w:ind w:left="223" w:hanging="222" w:hangingChars="106"/>
              <w:jc w:val="center"/>
              <w:rPr>
                <w:rFonts w:hint="eastAsia" w:ascii="宋体" w:hAnsi="宋体" w:eastAsia="宋体" w:cs="宋体"/>
              </w:rPr>
            </w:pPr>
            <w:bookmarkStart w:id="566" w:name="_Toc251052188"/>
            <w:r>
              <w:rPr>
                <w:rFonts w:hint="eastAsia" w:ascii="宋体" w:hAnsi="宋体" w:eastAsia="宋体" w:cs="宋体"/>
              </w:rPr>
              <w:t>职称</w:t>
            </w:r>
            <w:bookmarkEnd w:id="566"/>
          </w:p>
        </w:tc>
        <w:tc>
          <w:tcPr>
            <w:tcW w:w="4592" w:type="dxa"/>
            <w:gridSpan w:val="4"/>
            <w:noWrap w:val="0"/>
            <w:vAlign w:val="center"/>
          </w:tcPr>
          <w:p w14:paraId="33CA36CF">
            <w:pPr>
              <w:ind w:left="223" w:hanging="222" w:hangingChars="106"/>
              <w:jc w:val="center"/>
              <w:rPr>
                <w:rFonts w:hint="eastAsia" w:ascii="宋体" w:hAnsi="宋体" w:eastAsia="宋体" w:cs="宋体"/>
              </w:rPr>
            </w:pPr>
            <w:bookmarkStart w:id="567" w:name="_Toc251052189"/>
            <w:r>
              <w:rPr>
                <w:rFonts w:hint="eastAsia" w:ascii="宋体" w:hAnsi="宋体" w:eastAsia="宋体" w:cs="宋体"/>
              </w:rPr>
              <w:t>执业或职业资格证明</w:t>
            </w:r>
            <w:bookmarkEnd w:id="567"/>
          </w:p>
        </w:tc>
        <w:tc>
          <w:tcPr>
            <w:tcW w:w="2126" w:type="dxa"/>
            <w:gridSpan w:val="2"/>
            <w:noWrap w:val="0"/>
            <w:vAlign w:val="center"/>
          </w:tcPr>
          <w:p w14:paraId="791E21E5">
            <w:pPr>
              <w:ind w:left="223" w:hanging="222" w:hangingChars="106"/>
              <w:jc w:val="center"/>
              <w:rPr>
                <w:rFonts w:hint="eastAsia" w:ascii="宋体" w:hAnsi="宋体" w:eastAsia="宋体" w:cs="宋体"/>
              </w:rPr>
            </w:pPr>
            <w:bookmarkStart w:id="568" w:name="_Toc251052190"/>
            <w:r>
              <w:rPr>
                <w:rFonts w:hint="eastAsia" w:ascii="宋体" w:hAnsi="宋体" w:eastAsia="宋体" w:cs="宋体"/>
              </w:rPr>
              <w:t>承担完工</w:t>
            </w:r>
            <w:bookmarkEnd w:id="568"/>
            <w:bookmarkStart w:id="569" w:name="_Toc251052191"/>
            <w:r>
              <w:rPr>
                <w:rFonts w:hint="eastAsia" w:ascii="宋体" w:hAnsi="宋体" w:eastAsia="宋体" w:cs="宋体"/>
              </w:rPr>
              <w:t>工程情况</w:t>
            </w:r>
            <w:bookmarkEnd w:id="569"/>
          </w:p>
        </w:tc>
      </w:tr>
      <w:tr w14:paraId="5AC9B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jc w:val="center"/>
        </w:trPr>
        <w:tc>
          <w:tcPr>
            <w:tcW w:w="993" w:type="dxa"/>
            <w:vMerge w:val="continue"/>
            <w:noWrap w:val="0"/>
            <w:vAlign w:val="center"/>
          </w:tcPr>
          <w:p w14:paraId="20B32CD1">
            <w:pPr>
              <w:ind w:left="223" w:hanging="222" w:hangingChars="106"/>
              <w:jc w:val="center"/>
              <w:rPr>
                <w:rFonts w:hint="eastAsia" w:ascii="宋体" w:hAnsi="宋体" w:eastAsia="宋体" w:cs="宋体"/>
              </w:rPr>
            </w:pPr>
          </w:p>
        </w:tc>
        <w:tc>
          <w:tcPr>
            <w:tcW w:w="829" w:type="dxa"/>
            <w:vMerge w:val="continue"/>
            <w:noWrap w:val="0"/>
            <w:vAlign w:val="center"/>
          </w:tcPr>
          <w:p w14:paraId="433D9C50">
            <w:pPr>
              <w:ind w:left="223" w:hanging="222" w:hangingChars="106"/>
              <w:jc w:val="center"/>
              <w:rPr>
                <w:rFonts w:hint="eastAsia" w:ascii="宋体" w:hAnsi="宋体" w:eastAsia="宋体" w:cs="宋体"/>
              </w:rPr>
            </w:pPr>
          </w:p>
        </w:tc>
        <w:tc>
          <w:tcPr>
            <w:tcW w:w="816" w:type="dxa"/>
            <w:vMerge w:val="continue"/>
            <w:noWrap w:val="0"/>
            <w:vAlign w:val="center"/>
          </w:tcPr>
          <w:p w14:paraId="7AF115B9">
            <w:pPr>
              <w:ind w:left="223" w:hanging="222" w:hangingChars="106"/>
              <w:jc w:val="center"/>
              <w:rPr>
                <w:rFonts w:hint="eastAsia" w:ascii="宋体" w:hAnsi="宋体" w:eastAsia="宋体" w:cs="宋体"/>
              </w:rPr>
            </w:pPr>
          </w:p>
        </w:tc>
        <w:tc>
          <w:tcPr>
            <w:tcW w:w="1148" w:type="dxa"/>
            <w:noWrap w:val="0"/>
            <w:vAlign w:val="center"/>
          </w:tcPr>
          <w:p w14:paraId="409A12C8">
            <w:pPr>
              <w:ind w:left="223" w:hanging="222" w:hangingChars="106"/>
              <w:jc w:val="center"/>
              <w:rPr>
                <w:rFonts w:hint="eastAsia" w:ascii="宋体" w:hAnsi="宋体" w:eastAsia="宋体" w:cs="宋体"/>
              </w:rPr>
            </w:pPr>
            <w:bookmarkStart w:id="570" w:name="_Toc251052192"/>
            <w:r>
              <w:rPr>
                <w:rFonts w:hint="eastAsia" w:ascii="宋体" w:hAnsi="宋体" w:eastAsia="宋体" w:cs="宋体"/>
              </w:rPr>
              <w:t>证书名称</w:t>
            </w:r>
            <w:bookmarkEnd w:id="570"/>
          </w:p>
        </w:tc>
        <w:tc>
          <w:tcPr>
            <w:tcW w:w="1148" w:type="dxa"/>
            <w:noWrap w:val="0"/>
            <w:vAlign w:val="center"/>
          </w:tcPr>
          <w:p w14:paraId="3CD49834">
            <w:pPr>
              <w:ind w:left="223" w:hanging="222" w:hangingChars="106"/>
              <w:jc w:val="center"/>
              <w:rPr>
                <w:rFonts w:hint="eastAsia" w:ascii="宋体" w:hAnsi="宋体" w:eastAsia="宋体" w:cs="宋体"/>
              </w:rPr>
            </w:pPr>
            <w:bookmarkStart w:id="571" w:name="_Toc251052193"/>
            <w:r>
              <w:rPr>
                <w:rFonts w:hint="eastAsia" w:ascii="宋体" w:hAnsi="宋体" w:eastAsia="宋体" w:cs="宋体"/>
              </w:rPr>
              <w:t>级别</w:t>
            </w:r>
            <w:bookmarkEnd w:id="571"/>
          </w:p>
        </w:tc>
        <w:tc>
          <w:tcPr>
            <w:tcW w:w="1148" w:type="dxa"/>
            <w:noWrap w:val="0"/>
            <w:vAlign w:val="center"/>
          </w:tcPr>
          <w:p w14:paraId="217E3839">
            <w:pPr>
              <w:ind w:left="223" w:hanging="222" w:hangingChars="106"/>
              <w:jc w:val="center"/>
              <w:rPr>
                <w:rFonts w:hint="eastAsia" w:ascii="宋体" w:hAnsi="宋体" w:eastAsia="宋体" w:cs="宋体"/>
              </w:rPr>
            </w:pPr>
            <w:bookmarkStart w:id="572" w:name="_Toc251052194"/>
            <w:r>
              <w:rPr>
                <w:rFonts w:hint="eastAsia" w:ascii="宋体" w:hAnsi="宋体" w:eastAsia="宋体" w:cs="宋体"/>
              </w:rPr>
              <w:t>证号</w:t>
            </w:r>
            <w:bookmarkEnd w:id="572"/>
          </w:p>
        </w:tc>
        <w:tc>
          <w:tcPr>
            <w:tcW w:w="1148" w:type="dxa"/>
            <w:noWrap w:val="0"/>
            <w:vAlign w:val="center"/>
          </w:tcPr>
          <w:p w14:paraId="33341DC7">
            <w:pPr>
              <w:ind w:left="223" w:hanging="222" w:hangingChars="106"/>
              <w:jc w:val="center"/>
              <w:rPr>
                <w:rFonts w:hint="eastAsia" w:ascii="宋体" w:hAnsi="宋体" w:eastAsia="宋体" w:cs="宋体"/>
              </w:rPr>
            </w:pPr>
            <w:bookmarkStart w:id="573" w:name="_Toc251052195"/>
            <w:r>
              <w:rPr>
                <w:rFonts w:hint="eastAsia" w:ascii="宋体" w:hAnsi="宋体" w:eastAsia="宋体" w:cs="宋体"/>
              </w:rPr>
              <w:t>专业</w:t>
            </w:r>
            <w:bookmarkEnd w:id="573"/>
          </w:p>
        </w:tc>
        <w:tc>
          <w:tcPr>
            <w:tcW w:w="850" w:type="dxa"/>
            <w:noWrap w:val="0"/>
            <w:vAlign w:val="center"/>
          </w:tcPr>
          <w:p w14:paraId="2632D1D2">
            <w:pPr>
              <w:ind w:left="223" w:hanging="222" w:hangingChars="106"/>
              <w:jc w:val="center"/>
              <w:rPr>
                <w:rFonts w:hint="eastAsia" w:ascii="宋体" w:hAnsi="宋体" w:eastAsia="宋体" w:cs="宋体"/>
              </w:rPr>
            </w:pPr>
            <w:bookmarkStart w:id="574" w:name="_Toc251052197"/>
            <w:r>
              <w:rPr>
                <w:rFonts w:hint="eastAsia" w:ascii="宋体" w:hAnsi="宋体" w:eastAsia="宋体" w:cs="宋体"/>
              </w:rPr>
              <w:t>项目数</w:t>
            </w:r>
            <w:bookmarkEnd w:id="574"/>
          </w:p>
        </w:tc>
        <w:tc>
          <w:tcPr>
            <w:tcW w:w="1276" w:type="dxa"/>
            <w:noWrap w:val="0"/>
            <w:vAlign w:val="center"/>
          </w:tcPr>
          <w:p w14:paraId="3226D281">
            <w:pPr>
              <w:ind w:left="223" w:hanging="222" w:hangingChars="106"/>
              <w:jc w:val="center"/>
              <w:rPr>
                <w:rFonts w:hint="eastAsia" w:ascii="宋体" w:hAnsi="宋体" w:eastAsia="宋体" w:cs="宋体"/>
              </w:rPr>
            </w:pPr>
            <w:bookmarkStart w:id="575" w:name="_Toc251052198"/>
            <w:r>
              <w:rPr>
                <w:rFonts w:hint="eastAsia" w:ascii="宋体" w:hAnsi="宋体" w:eastAsia="宋体" w:cs="宋体"/>
              </w:rPr>
              <w:t>主要项目</w:t>
            </w:r>
          </w:p>
          <w:p w14:paraId="534D23FE">
            <w:pPr>
              <w:ind w:left="223" w:hanging="222" w:hangingChars="106"/>
              <w:jc w:val="center"/>
              <w:rPr>
                <w:rFonts w:hint="eastAsia" w:ascii="宋体" w:hAnsi="宋体" w:eastAsia="宋体" w:cs="宋体"/>
              </w:rPr>
            </w:pPr>
            <w:r>
              <w:rPr>
                <w:rFonts w:hint="eastAsia" w:ascii="宋体" w:hAnsi="宋体" w:eastAsia="宋体" w:cs="宋体"/>
              </w:rPr>
              <w:t>名称</w:t>
            </w:r>
            <w:bookmarkEnd w:id="575"/>
          </w:p>
        </w:tc>
      </w:tr>
      <w:tr w14:paraId="38C00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37384028">
            <w:pPr>
              <w:ind w:left="223" w:hanging="222" w:hangingChars="106"/>
              <w:jc w:val="center"/>
              <w:rPr>
                <w:rFonts w:hint="eastAsia" w:ascii="宋体" w:hAnsi="宋体" w:eastAsia="宋体" w:cs="宋体"/>
                <w:szCs w:val="21"/>
              </w:rPr>
            </w:pPr>
            <w:r>
              <w:rPr>
                <w:rFonts w:hint="eastAsia" w:ascii="宋体" w:hAnsi="宋体" w:eastAsia="宋体" w:cs="宋体"/>
                <w:szCs w:val="21"/>
              </w:rPr>
              <w:t>施工员</w:t>
            </w:r>
          </w:p>
        </w:tc>
        <w:tc>
          <w:tcPr>
            <w:tcW w:w="829" w:type="dxa"/>
            <w:noWrap w:val="0"/>
            <w:vAlign w:val="center"/>
          </w:tcPr>
          <w:p w14:paraId="3A562690">
            <w:pPr>
              <w:ind w:left="223" w:hanging="222" w:hangingChars="106"/>
              <w:jc w:val="center"/>
              <w:rPr>
                <w:rFonts w:hint="eastAsia" w:ascii="宋体" w:hAnsi="宋体" w:eastAsia="宋体" w:cs="宋体"/>
              </w:rPr>
            </w:pPr>
          </w:p>
        </w:tc>
        <w:tc>
          <w:tcPr>
            <w:tcW w:w="816" w:type="dxa"/>
            <w:noWrap w:val="0"/>
            <w:vAlign w:val="center"/>
          </w:tcPr>
          <w:p w14:paraId="72447B8A">
            <w:pPr>
              <w:ind w:left="223" w:hanging="222" w:hangingChars="106"/>
              <w:jc w:val="center"/>
              <w:rPr>
                <w:rFonts w:hint="eastAsia" w:ascii="宋体" w:hAnsi="宋体" w:eastAsia="宋体" w:cs="宋体"/>
              </w:rPr>
            </w:pPr>
          </w:p>
        </w:tc>
        <w:tc>
          <w:tcPr>
            <w:tcW w:w="1148" w:type="dxa"/>
            <w:noWrap w:val="0"/>
            <w:vAlign w:val="center"/>
          </w:tcPr>
          <w:p w14:paraId="6B2B756D">
            <w:pPr>
              <w:ind w:left="223" w:hanging="222" w:hangingChars="106"/>
              <w:jc w:val="center"/>
              <w:rPr>
                <w:rFonts w:hint="eastAsia" w:ascii="宋体" w:hAnsi="宋体" w:eastAsia="宋体" w:cs="宋体"/>
              </w:rPr>
            </w:pPr>
          </w:p>
        </w:tc>
        <w:tc>
          <w:tcPr>
            <w:tcW w:w="1148" w:type="dxa"/>
            <w:noWrap w:val="0"/>
            <w:vAlign w:val="center"/>
          </w:tcPr>
          <w:p w14:paraId="26FD95A7">
            <w:pPr>
              <w:ind w:left="223" w:hanging="222" w:hangingChars="106"/>
              <w:jc w:val="center"/>
              <w:rPr>
                <w:rFonts w:hint="eastAsia" w:ascii="宋体" w:hAnsi="宋体" w:eastAsia="宋体" w:cs="宋体"/>
              </w:rPr>
            </w:pPr>
          </w:p>
        </w:tc>
        <w:tc>
          <w:tcPr>
            <w:tcW w:w="1148" w:type="dxa"/>
            <w:noWrap w:val="0"/>
            <w:vAlign w:val="center"/>
          </w:tcPr>
          <w:p w14:paraId="62EE6C96">
            <w:pPr>
              <w:ind w:left="223" w:hanging="222" w:hangingChars="106"/>
              <w:jc w:val="center"/>
              <w:rPr>
                <w:rFonts w:hint="eastAsia" w:ascii="宋体" w:hAnsi="宋体" w:eastAsia="宋体" w:cs="宋体"/>
              </w:rPr>
            </w:pPr>
          </w:p>
        </w:tc>
        <w:tc>
          <w:tcPr>
            <w:tcW w:w="1148" w:type="dxa"/>
            <w:noWrap w:val="0"/>
            <w:vAlign w:val="center"/>
          </w:tcPr>
          <w:p w14:paraId="31A3680C">
            <w:pPr>
              <w:ind w:left="223" w:hanging="222" w:hangingChars="106"/>
              <w:jc w:val="center"/>
              <w:rPr>
                <w:rFonts w:hint="eastAsia" w:ascii="宋体" w:hAnsi="宋体" w:eastAsia="宋体" w:cs="宋体"/>
              </w:rPr>
            </w:pPr>
          </w:p>
        </w:tc>
        <w:tc>
          <w:tcPr>
            <w:tcW w:w="850" w:type="dxa"/>
            <w:noWrap w:val="0"/>
            <w:vAlign w:val="center"/>
          </w:tcPr>
          <w:p w14:paraId="4E68C82B">
            <w:pPr>
              <w:ind w:left="223" w:hanging="222" w:hangingChars="106"/>
              <w:jc w:val="center"/>
              <w:rPr>
                <w:rFonts w:hint="eastAsia" w:ascii="宋体" w:hAnsi="宋体" w:eastAsia="宋体" w:cs="宋体"/>
              </w:rPr>
            </w:pPr>
          </w:p>
        </w:tc>
        <w:tc>
          <w:tcPr>
            <w:tcW w:w="1276" w:type="dxa"/>
            <w:noWrap w:val="0"/>
            <w:vAlign w:val="center"/>
          </w:tcPr>
          <w:p w14:paraId="31316F39">
            <w:pPr>
              <w:ind w:left="223" w:hanging="222" w:hangingChars="106"/>
              <w:jc w:val="center"/>
              <w:rPr>
                <w:rFonts w:hint="eastAsia" w:ascii="宋体" w:hAnsi="宋体" w:eastAsia="宋体" w:cs="宋体"/>
              </w:rPr>
            </w:pPr>
          </w:p>
        </w:tc>
      </w:tr>
      <w:tr w14:paraId="326C8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68CC5F04">
            <w:pPr>
              <w:ind w:left="223" w:hanging="222" w:hangingChars="106"/>
              <w:jc w:val="center"/>
              <w:rPr>
                <w:rFonts w:hint="eastAsia" w:ascii="宋体" w:hAnsi="宋体" w:eastAsia="宋体" w:cs="宋体"/>
                <w:szCs w:val="21"/>
              </w:rPr>
            </w:pPr>
            <w:r>
              <w:rPr>
                <w:rFonts w:hint="eastAsia" w:ascii="宋体" w:hAnsi="宋体" w:eastAsia="宋体" w:cs="宋体"/>
                <w:szCs w:val="21"/>
              </w:rPr>
              <w:t>质量员</w:t>
            </w:r>
          </w:p>
        </w:tc>
        <w:tc>
          <w:tcPr>
            <w:tcW w:w="829" w:type="dxa"/>
            <w:noWrap w:val="0"/>
            <w:vAlign w:val="center"/>
          </w:tcPr>
          <w:p w14:paraId="480476B5">
            <w:pPr>
              <w:ind w:left="223" w:hanging="222" w:hangingChars="106"/>
              <w:jc w:val="center"/>
              <w:rPr>
                <w:rFonts w:hint="eastAsia" w:ascii="宋体" w:hAnsi="宋体" w:eastAsia="宋体" w:cs="宋体"/>
              </w:rPr>
            </w:pPr>
          </w:p>
        </w:tc>
        <w:tc>
          <w:tcPr>
            <w:tcW w:w="816" w:type="dxa"/>
            <w:noWrap w:val="0"/>
            <w:vAlign w:val="center"/>
          </w:tcPr>
          <w:p w14:paraId="558F7392">
            <w:pPr>
              <w:ind w:left="223" w:hanging="222" w:hangingChars="106"/>
              <w:jc w:val="center"/>
              <w:rPr>
                <w:rFonts w:hint="eastAsia" w:ascii="宋体" w:hAnsi="宋体" w:eastAsia="宋体" w:cs="宋体"/>
              </w:rPr>
            </w:pPr>
          </w:p>
        </w:tc>
        <w:tc>
          <w:tcPr>
            <w:tcW w:w="1148" w:type="dxa"/>
            <w:noWrap w:val="0"/>
            <w:vAlign w:val="center"/>
          </w:tcPr>
          <w:p w14:paraId="13B1887D">
            <w:pPr>
              <w:ind w:left="223" w:hanging="222" w:hangingChars="106"/>
              <w:jc w:val="center"/>
              <w:rPr>
                <w:rFonts w:hint="eastAsia" w:ascii="宋体" w:hAnsi="宋体" w:eastAsia="宋体" w:cs="宋体"/>
              </w:rPr>
            </w:pPr>
          </w:p>
        </w:tc>
        <w:tc>
          <w:tcPr>
            <w:tcW w:w="1148" w:type="dxa"/>
            <w:noWrap w:val="0"/>
            <w:vAlign w:val="center"/>
          </w:tcPr>
          <w:p w14:paraId="38313604">
            <w:pPr>
              <w:ind w:left="223" w:hanging="222" w:hangingChars="106"/>
              <w:jc w:val="center"/>
              <w:rPr>
                <w:rFonts w:hint="eastAsia" w:ascii="宋体" w:hAnsi="宋体" w:eastAsia="宋体" w:cs="宋体"/>
              </w:rPr>
            </w:pPr>
          </w:p>
        </w:tc>
        <w:tc>
          <w:tcPr>
            <w:tcW w:w="1148" w:type="dxa"/>
            <w:noWrap w:val="0"/>
            <w:vAlign w:val="center"/>
          </w:tcPr>
          <w:p w14:paraId="55F05F9F">
            <w:pPr>
              <w:ind w:left="223" w:hanging="222" w:hangingChars="106"/>
              <w:jc w:val="center"/>
              <w:rPr>
                <w:rFonts w:hint="eastAsia" w:ascii="宋体" w:hAnsi="宋体" w:eastAsia="宋体" w:cs="宋体"/>
              </w:rPr>
            </w:pPr>
          </w:p>
        </w:tc>
        <w:tc>
          <w:tcPr>
            <w:tcW w:w="1148" w:type="dxa"/>
            <w:noWrap w:val="0"/>
            <w:vAlign w:val="center"/>
          </w:tcPr>
          <w:p w14:paraId="6936501B">
            <w:pPr>
              <w:ind w:left="223" w:hanging="222" w:hangingChars="106"/>
              <w:jc w:val="center"/>
              <w:rPr>
                <w:rFonts w:hint="eastAsia" w:ascii="宋体" w:hAnsi="宋体" w:eastAsia="宋体" w:cs="宋体"/>
              </w:rPr>
            </w:pPr>
          </w:p>
        </w:tc>
        <w:tc>
          <w:tcPr>
            <w:tcW w:w="850" w:type="dxa"/>
            <w:noWrap w:val="0"/>
            <w:vAlign w:val="center"/>
          </w:tcPr>
          <w:p w14:paraId="76E0D4C5">
            <w:pPr>
              <w:ind w:left="223" w:hanging="222" w:hangingChars="106"/>
              <w:jc w:val="center"/>
              <w:rPr>
                <w:rFonts w:hint="eastAsia" w:ascii="宋体" w:hAnsi="宋体" w:eastAsia="宋体" w:cs="宋体"/>
              </w:rPr>
            </w:pPr>
          </w:p>
        </w:tc>
        <w:tc>
          <w:tcPr>
            <w:tcW w:w="1276" w:type="dxa"/>
            <w:noWrap w:val="0"/>
            <w:vAlign w:val="center"/>
          </w:tcPr>
          <w:p w14:paraId="6F74628E">
            <w:pPr>
              <w:ind w:left="223" w:hanging="222" w:hangingChars="106"/>
              <w:jc w:val="center"/>
              <w:rPr>
                <w:rFonts w:hint="eastAsia" w:ascii="宋体" w:hAnsi="宋体" w:eastAsia="宋体" w:cs="宋体"/>
              </w:rPr>
            </w:pPr>
          </w:p>
        </w:tc>
      </w:tr>
      <w:tr w14:paraId="50DC0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Merge w:val="restart"/>
            <w:noWrap w:val="0"/>
            <w:vAlign w:val="center"/>
          </w:tcPr>
          <w:p w14:paraId="61F9FB5F">
            <w:pPr>
              <w:ind w:left="223" w:hanging="222" w:hangingChars="106"/>
              <w:jc w:val="center"/>
              <w:rPr>
                <w:rFonts w:hint="eastAsia" w:ascii="宋体" w:hAnsi="宋体" w:eastAsia="宋体" w:cs="宋体"/>
                <w:szCs w:val="21"/>
              </w:rPr>
            </w:pPr>
            <w:r>
              <w:rPr>
                <w:rFonts w:hint="eastAsia" w:ascii="宋体" w:hAnsi="宋体" w:eastAsia="宋体" w:cs="宋体"/>
                <w:szCs w:val="21"/>
              </w:rPr>
              <w:t>安全员</w:t>
            </w:r>
          </w:p>
        </w:tc>
        <w:tc>
          <w:tcPr>
            <w:tcW w:w="829" w:type="dxa"/>
            <w:noWrap w:val="0"/>
            <w:vAlign w:val="center"/>
          </w:tcPr>
          <w:p w14:paraId="74C15227">
            <w:pPr>
              <w:ind w:left="223" w:hanging="222" w:hangingChars="106"/>
              <w:jc w:val="center"/>
              <w:rPr>
                <w:rFonts w:hint="eastAsia" w:ascii="宋体" w:hAnsi="宋体" w:eastAsia="宋体" w:cs="宋体"/>
              </w:rPr>
            </w:pPr>
          </w:p>
        </w:tc>
        <w:tc>
          <w:tcPr>
            <w:tcW w:w="816" w:type="dxa"/>
            <w:noWrap w:val="0"/>
            <w:vAlign w:val="center"/>
          </w:tcPr>
          <w:p w14:paraId="00D0124B">
            <w:pPr>
              <w:ind w:left="223" w:hanging="222" w:hangingChars="106"/>
              <w:jc w:val="center"/>
              <w:rPr>
                <w:rFonts w:hint="eastAsia" w:ascii="宋体" w:hAnsi="宋体" w:eastAsia="宋体" w:cs="宋体"/>
              </w:rPr>
            </w:pPr>
          </w:p>
        </w:tc>
        <w:tc>
          <w:tcPr>
            <w:tcW w:w="1148" w:type="dxa"/>
            <w:noWrap w:val="0"/>
            <w:vAlign w:val="center"/>
          </w:tcPr>
          <w:p w14:paraId="17D46ADD">
            <w:pPr>
              <w:ind w:left="223" w:hanging="222" w:hangingChars="106"/>
              <w:jc w:val="center"/>
              <w:rPr>
                <w:rFonts w:hint="eastAsia" w:ascii="宋体" w:hAnsi="宋体" w:eastAsia="宋体" w:cs="宋体"/>
              </w:rPr>
            </w:pPr>
          </w:p>
        </w:tc>
        <w:tc>
          <w:tcPr>
            <w:tcW w:w="1148" w:type="dxa"/>
            <w:noWrap w:val="0"/>
            <w:vAlign w:val="center"/>
          </w:tcPr>
          <w:p w14:paraId="2E23A7E6">
            <w:pPr>
              <w:ind w:left="223" w:hanging="222" w:hangingChars="106"/>
              <w:jc w:val="center"/>
              <w:rPr>
                <w:rFonts w:hint="eastAsia" w:ascii="宋体" w:hAnsi="宋体" w:eastAsia="宋体" w:cs="宋体"/>
              </w:rPr>
            </w:pPr>
          </w:p>
        </w:tc>
        <w:tc>
          <w:tcPr>
            <w:tcW w:w="1148" w:type="dxa"/>
            <w:noWrap w:val="0"/>
            <w:vAlign w:val="center"/>
          </w:tcPr>
          <w:p w14:paraId="3712D526">
            <w:pPr>
              <w:ind w:left="223" w:hanging="222" w:hangingChars="106"/>
              <w:jc w:val="center"/>
              <w:rPr>
                <w:rFonts w:hint="eastAsia" w:ascii="宋体" w:hAnsi="宋体" w:eastAsia="宋体" w:cs="宋体"/>
              </w:rPr>
            </w:pPr>
          </w:p>
        </w:tc>
        <w:tc>
          <w:tcPr>
            <w:tcW w:w="1148" w:type="dxa"/>
            <w:noWrap w:val="0"/>
            <w:vAlign w:val="center"/>
          </w:tcPr>
          <w:p w14:paraId="5B7DC729">
            <w:pPr>
              <w:ind w:left="223" w:hanging="222" w:hangingChars="106"/>
              <w:jc w:val="center"/>
              <w:rPr>
                <w:rFonts w:hint="eastAsia" w:ascii="宋体" w:hAnsi="宋体" w:eastAsia="宋体" w:cs="宋体"/>
              </w:rPr>
            </w:pPr>
          </w:p>
        </w:tc>
        <w:tc>
          <w:tcPr>
            <w:tcW w:w="850" w:type="dxa"/>
            <w:noWrap w:val="0"/>
            <w:vAlign w:val="center"/>
          </w:tcPr>
          <w:p w14:paraId="6EEE2233">
            <w:pPr>
              <w:ind w:left="223" w:hanging="222" w:hangingChars="106"/>
              <w:jc w:val="center"/>
              <w:rPr>
                <w:rFonts w:hint="eastAsia" w:ascii="宋体" w:hAnsi="宋体" w:eastAsia="宋体" w:cs="宋体"/>
              </w:rPr>
            </w:pPr>
          </w:p>
        </w:tc>
        <w:tc>
          <w:tcPr>
            <w:tcW w:w="1276" w:type="dxa"/>
            <w:noWrap w:val="0"/>
            <w:vAlign w:val="center"/>
          </w:tcPr>
          <w:p w14:paraId="271B5426">
            <w:pPr>
              <w:ind w:left="223" w:hanging="222" w:hangingChars="106"/>
              <w:jc w:val="center"/>
              <w:rPr>
                <w:rFonts w:hint="eastAsia" w:ascii="宋体" w:hAnsi="宋体" w:eastAsia="宋体" w:cs="宋体"/>
              </w:rPr>
            </w:pPr>
          </w:p>
        </w:tc>
      </w:tr>
      <w:tr w14:paraId="7679B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Merge w:val="continue"/>
            <w:noWrap w:val="0"/>
            <w:vAlign w:val="center"/>
          </w:tcPr>
          <w:p w14:paraId="2CE33B3F">
            <w:pPr>
              <w:ind w:left="223" w:hanging="222" w:hangingChars="106"/>
              <w:jc w:val="center"/>
              <w:rPr>
                <w:rFonts w:hint="eastAsia" w:ascii="宋体" w:hAnsi="宋体" w:eastAsia="宋体" w:cs="宋体"/>
                <w:szCs w:val="21"/>
              </w:rPr>
            </w:pPr>
          </w:p>
        </w:tc>
        <w:tc>
          <w:tcPr>
            <w:tcW w:w="829" w:type="dxa"/>
            <w:noWrap w:val="0"/>
            <w:vAlign w:val="center"/>
          </w:tcPr>
          <w:p w14:paraId="12C76DD1">
            <w:pPr>
              <w:ind w:left="223" w:hanging="222" w:hangingChars="106"/>
              <w:jc w:val="center"/>
              <w:rPr>
                <w:rFonts w:hint="eastAsia" w:ascii="宋体" w:hAnsi="宋体" w:eastAsia="宋体" w:cs="宋体"/>
              </w:rPr>
            </w:pPr>
          </w:p>
        </w:tc>
        <w:tc>
          <w:tcPr>
            <w:tcW w:w="816" w:type="dxa"/>
            <w:noWrap w:val="0"/>
            <w:vAlign w:val="center"/>
          </w:tcPr>
          <w:p w14:paraId="7983834F">
            <w:pPr>
              <w:ind w:left="223" w:hanging="222" w:hangingChars="106"/>
              <w:jc w:val="center"/>
              <w:rPr>
                <w:rFonts w:hint="eastAsia" w:ascii="宋体" w:hAnsi="宋体" w:eastAsia="宋体" w:cs="宋体"/>
              </w:rPr>
            </w:pPr>
          </w:p>
        </w:tc>
        <w:tc>
          <w:tcPr>
            <w:tcW w:w="1148" w:type="dxa"/>
            <w:noWrap w:val="0"/>
            <w:vAlign w:val="center"/>
          </w:tcPr>
          <w:p w14:paraId="7273E1BF">
            <w:pPr>
              <w:ind w:left="223" w:hanging="222" w:hangingChars="106"/>
              <w:jc w:val="center"/>
              <w:rPr>
                <w:rFonts w:hint="eastAsia" w:ascii="宋体" w:hAnsi="宋体" w:eastAsia="宋体" w:cs="宋体"/>
              </w:rPr>
            </w:pPr>
          </w:p>
        </w:tc>
        <w:tc>
          <w:tcPr>
            <w:tcW w:w="1148" w:type="dxa"/>
            <w:noWrap w:val="0"/>
            <w:vAlign w:val="center"/>
          </w:tcPr>
          <w:p w14:paraId="67798D2F">
            <w:pPr>
              <w:ind w:left="223" w:hanging="222" w:hangingChars="106"/>
              <w:jc w:val="center"/>
              <w:rPr>
                <w:rFonts w:hint="eastAsia" w:ascii="宋体" w:hAnsi="宋体" w:eastAsia="宋体" w:cs="宋体"/>
              </w:rPr>
            </w:pPr>
          </w:p>
        </w:tc>
        <w:tc>
          <w:tcPr>
            <w:tcW w:w="1148" w:type="dxa"/>
            <w:noWrap w:val="0"/>
            <w:vAlign w:val="center"/>
          </w:tcPr>
          <w:p w14:paraId="484CE6C0">
            <w:pPr>
              <w:ind w:left="223" w:hanging="222" w:hangingChars="106"/>
              <w:jc w:val="center"/>
              <w:rPr>
                <w:rFonts w:hint="eastAsia" w:ascii="宋体" w:hAnsi="宋体" w:eastAsia="宋体" w:cs="宋体"/>
              </w:rPr>
            </w:pPr>
          </w:p>
        </w:tc>
        <w:tc>
          <w:tcPr>
            <w:tcW w:w="1148" w:type="dxa"/>
            <w:noWrap w:val="0"/>
            <w:vAlign w:val="center"/>
          </w:tcPr>
          <w:p w14:paraId="05D21145">
            <w:pPr>
              <w:ind w:left="223" w:hanging="222" w:hangingChars="106"/>
              <w:jc w:val="center"/>
              <w:rPr>
                <w:rFonts w:hint="eastAsia" w:ascii="宋体" w:hAnsi="宋体" w:eastAsia="宋体" w:cs="宋体"/>
              </w:rPr>
            </w:pPr>
          </w:p>
        </w:tc>
        <w:tc>
          <w:tcPr>
            <w:tcW w:w="850" w:type="dxa"/>
            <w:noWrap w:val="0"/>
            <w:vAlign w:val="center"/>
          </w:tcPr>
          <w:p w14:paraId="472A37CA">
            <w:pPr>
              <w:ind w:left="223" w:hanging="222" w:hangingChars="106"/>
              <w:jc w:val="center"/>
              <w:rPr>
                <w:rFonts w:hint="eastAsia" w:ascii="宋体" w:hAnsi="宋体" w:eastAsia="宋体" w:cs="宋体"/>
              </w:rPr>
            </w:pPr>
          </w:p>
        </w:tc>
        <w:tc>
          <w:tcPr>
            <w:tcW w:w="1276" w:type="dxa"/>
            <w:noWrap w:val="0"/>
            <w:vAlign w:val="center"/>
          </w:tcPr>
          <w:p w14:paraId="20EF182C">
            <w:pPr>
              <w:ind w:left="223" w:hanging="222" w:hangingChars="106"/>
              <w:jc w:val="center"/>
              <w:rPr>
                <w:rFonts w:hint="eastAsia" w:ascii="宋体" w:hAnsi="宋体" w:eastAsia="宋体" w:cs="宋体"/>
              </w:rPr>
            </w:pPr>
          </w:p>
        </w:tc>
      </w:tr>
      <w:tr w14:paraId="56D1B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Merge w:val="continue"/>
            <w:noWrap w:val="0"/>
            <w:vAlign w:val="center"/>
          </w:tcPr>
          <w:p w14:paraId="17180895">
            <w:pPr>
              <w:ind w:left="223" w:hanging="222" w:hangingChars="106"/>
              <w:jc w:val="center"/>
              <w:rPr>
                <w:rFonts w:hint="eastAsia" w:ascii="宋体" w:hAnsi="宋体" w:eastAsia="宋体" w:cs="宋体"/>
                <w:szCs w:val="21"/>
              </w:rPr>
            </w:pPr>
          </w:p>
        </w:tc>
        <w:tc>
          <w:tcPr>
            <w:tcW w:w="829" w:type="dxa"/>
            <w:noWrap w:val="0"/>
            <w:vAlign w:val="center"/>
          </w:tcPr>
          <w:p w14:paraId="35AC9F94">
            <w:pPr>
              <w:ind w:left="223" w:hanging="222" w:hangingChars="106"/>
              <w:jc w:val="center"/>
              <w:rPr>
                <w:rFonts w:hint="eastAsia" w:ascii="宋体" w:hAnsi="宋体" w:eastAsia="宋体" w:cs="宋体"/>
              </w:rPr>
            </w:pPr>
          </w:p>
        </w:tc>
        <w:tc>
          <w:tcPr>
            <w:tcW w:w="816" w:type="dxa"/>
            <w:noWrap w:val="0"/>
            <w:vAlign w:val="center"/>
          </w:tcPr>
          <w:p w14:paraId="72916240">
            <w:pPr>
              <w:ind w:left="223" w:hanging="222" w:hangingChars="106"/>
              <w:jc w:val="center"/>
              <w:rPr>
                <w:rFonts w:hint="eastAsia" w:ascii="宋体" w:hAnsi="宋体" w:eastAsia="宋体" w:cs="宋体"/>
              </w:rPr>
            </w:pPr>
          </w:p>
        </w:tc>
        <w:tc>
          <w:tcPr>
            <w:tcW w:w="1148" w:type="dxa"/>
            <w:noWrap w:val="0"/>
            <w:vAlign w:val="center"/>
          </w:tcPr>
          <w:p w14:paraId="2F274B96">
            <w:pPr>
              <w:ind w:left="223" w:hanging="222" w:hangingChars="106"/>
              <w:jc w:val="center"/>
              <w:rPr>
                <w:rFonts w:hint="eastAsia" w:ascii="宋体" w:hAnsi="宋体" w:eastAsia="宋体" w:cs="宋体"/>
              </w:rPr>
            </w:pPr>
          </w:p>
        </w:tc>
        <w:tc>
          <w:tcPr>
            <w:tcW w:w="1148" w:type="dxa"/>
            <w:noWrap w:val="0"/>
            <w:vAlign w:val="center"/>
          </w:tcPr>
          <w:p w14:paraId="099F777D">
            <w:pPr>
              <w:ind w:left="223" w:hanging="222" w:hangingChars="106"/>
              <w:jc w:val="center"/>
              <w:rPr>
                <w:rFonts w:hint="eastAsia" w:ascii="宋体" w:hAnsi="宋体" w:eastAsia="宋体" w:cs="宋体"/>
              </w:rPr>
            </w:pPr>
          </w:p>
        </w:tc>
        <w:tc>
          <w:tcPr>
            <w:tcW w:w="1148" w:type="dxa"/>
            <w:noWrap w:val="0"/>
            <w:vAlign w:val="center"/>
          </w:tcPr>
          <w:p w14:paraId="58933EB3">
            <w:pPr>
              <w:ind w:left="223" w:hanging="222" w:hangingChars="106"/>
              <w:jc w:val="center"/>
              <w:rPr>
                <w:rFonts w:hint="eastAsia" w:ascii="宋体" w:hAnsi="宋体" w:eastAsia="宋体" w:cs="宋体"/>
              </w:rPr>
            </w:pPr>
          </w:p>
        </w:tc>
        <w:tc>
          <w:tcPr>
            <w:tcW w:w="1148" w:type="dxa"/>
            <w:noWrap w:val="0"/>
            <w:vAlign w:val="center"/>
          </w:tcPr>
          <w:p w14:paraId="0EB4E7FD">
            <w:pPr>
              <w:ind w:left="223" w:hanging="222" w:hangingChars="106"/>
              <w:jc w:val="center"/>
              <w:rPr>
                <w:rFonts w:hint="eastAsia" w:ascii="宋体" w:hAnsi="宋体" w:eastAsia="宋体" w:cs="宋体"/>
              </w:rPr>
            </w:pPr>
          </w:p>
        </w:tc>
        <w:tc>
          <w:tcPr>
            <w:tcW w:w="850" w:type="dxa"/>
            <w:noWrap w:val="0"/>
            <w:vAlign w:val="center"/>
          </w:tcPr>
          <w:p w14:paraId="3FB2C76A">
            <w:pPr>
              <w:ind w:left="223" w:hanging="222" w:hangingChars="106"/>
              <w:jc w:val="center"/>
              <w:rPr>
                <w:rFonts w:hint="eastAsia" w:ascii="宋体" w:hAnsi="宋体" w:eastAsia="宋体" w:cs="宋体"/>
              </w:rPr>
            </w:pPr>
          </w:p>
        </w:tc>
        <w:tc>
          <w:tcPr>
            <w:tcW w:w="1276" w:type="dxa"/>
            <w:noWrap w:val="0"/>
            <w:vAlign w:val="center"/>
          </w:tcPr>
          <w:p w14:paraId="2FFBA707">
            <w:pPr>
              <w:ind w:left="223" w:hanging="222" w:hangingChars="106"/>
              <w:jc w:val="center"/>
              <w:rPr>
                <w:rFonts w:hint="eastAsia" w:ascii="宋体" w:hAnsi="宋体" w:eastAsia="宋体" w:cs="宋体"/>
              </w:rPr>
            </w:pPr>
          </w:p>
        </w:tc>
      </w:tr>
      <w:tr w14:paraId="5CE85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65AF7941">
            <w:pPr>
              <w:ind w:left="223" w:hanging="222" w:hangingChars="106"/>
              <w:jc w:val="center"/>
              <w:rPr>
                <w:rFonts w:hint="eastAsia" w:ascii="宋体" w:hAnsi="宋体" w:eastAsia="宋体" w:cs="宋体"/>
                <w:szCs w:val="21"/>
              </w:rPr>
            </w:pPr>
            <w:r>
              <w:rPr>
                <w:rFonts w:hint="eastAsia" w:ascii="宋体" w:hAnsi="宋体" w:eastAsia="宋体" w:cs="宋体"/>
                <w:szCs w:val="21"/>
              </w:rPr>
              <w:t>材料员</w:t>
            </w:r>
          </w:p>
        </w:tc>
        <w:tc>
          <w:tcPr>
            <w:tcW w:w="829" w:type="dxa"/>
            <w:noWrap w:val="0"/>
            <w:vAlign w:val="center"/>
          </w:tcPr>
          <w:p w14:paraId="52861477">
            <w:pPr>
              <w:ind w:left="223" w:hanging="222" w:hangingChars="106"/>
              <w:jc w:val="center"/>
              <w:rPr>
                <w:rFonts w:hint="eastAsia" w:ascii="宋体" w:hAnsi="宋体" w:eastAsia="宋体" w:cs="宋体"/>
              </w:rPr>
            </w:pPr>
          </w:p>
        </w:tc>
        <w:tc>
          <w:tcPr>
            <w:tcW w:w="816" w:type="dxa"/>
            <w:noWrap w:val="0"/>
            <w:vAlign w:val="center"/>
          </w:tcPr>
          <w:p w14:paraId="3C9AFE1F">
            <w:pPr>
              <w:ind w:left="223" w:hanging="222" w:hangingChars="106"/>
              <w:jc w:val="center"/>
              <w:rPr>
                <w:rFonts w:hint="eastAsia" w:ascii="宋体" w:hAnsi="宋体" w:eastAsia="宋体" w:cs="宋体"/>
              </w:rPr>
            </w:pPr>
          </w:p>
        </w:tc>
        <w:tc>
          <w:tcPr>
            <w:tcW w:w="1148" w:type="dxa"/>
            <w:noWrap w:val="0"/>
            <w:vAlign w:val="center"/>
          </w:tcPr>
          <w:p w14:paraId="50DE264E">
            <w:pPr>
              <w:ind w:left="223" w:hanging="222" w:hangingChars="106"/>
              <w:jc w:val="center"/>
              <w:rPr>
                <w:rFonts w:hint="eastAsia" w:ascii="宋体" w:hAnsi="宋体" w:eastAsia="宋体" w:cs="宋体"/>
              </w:rPr>
            </w:pPr>
          </w:p>
        </w:tc>
        <w:tc>
          <w:tcPr>
            <w:tcW w:w="1148" w:type="dxa"/>
            <w:noWrap w:val="0"/>
            <w:vAlign w:val="center"/>
          </w:tcPr>
          <w:p w14:paraId="181A88CD">
            <w:pPr>
              <w:ind w:left="223" w:hanging="222" w:hangingChars="106"/>
              <w:jc w:val="center"/>
              <w:rPr>
                <w:rFonts w:hint="eastAsia" w:ascii="宋体" w:hAnsi="宋体" w:eastAsia="宋体" w:cs="宋体"/>
              </w:rPr>
            </w:pPr>
          </w:p>
        </w:tc>
        <w:tc>
          <w:tcPr>
            <w:tcW w:w="1148" w:type="dxa"/>
            <w:noWrap w:val="0"/>
            <w:vAlign w:val="center"/>
          </w:tcPr>
          <w:p w14:paraId="1E0EABED">
            <w:pPr>
              <w:ind w:left="223" w:hanging="222" w:hangingChars="106"/>
              <w:jc w:val="center"/>
              <w:rPr>
                <w:rFonts w:hint="eastAsia" w:ascii="宋体" w:hAnsi="宋体" w:eastAsia="宋体" w:cs="宋体"/>
              </w:rPr>
            </w:pPr>
          </w:p>
        </w:tc>
        <w:tc>
          <w:tcPr>
            <w:tcW w:w="1148" w:type="dxa"/>
            <w:noWrap w:val="0"/>
            <w:vAlign w:val="center"/>
          </w:tcPr>
          <w:p w14:paraId="180DC821">
            <w:pPr>
              <w:ind w:left="223" w:hanging="222" w:hangingChars="106"/>
              <w:jc w:val="center"/>
              <w:rPr>
                <w:rFonts w:hint="eastAsia" w:ascii="宋体" w:hAnsi="宋体" w:eastAsia="宋体" w:cs="宋体"/>
              </w:rPr>
            </w:pPr>
          </w:p>
        </w:tc>
        <w:tc>
          <w:tcPr>
            <w:tcW w:w="850" w:type="dxa"/>
            <w:noWrap w:val="0"/>
            <w:vAlign w:val="center"/>
          </w:tcPr>
          <w:p w14:paraId="5B71B3EA">
            <w:pPr>
              <w:ind w:left="223" w:hanging="222" w:hangingChars="106"/>
              <w:jc w:val="center"/>
              <w:rPr>
                <w:rFonts w:hint="eastAsia" w:ascii="宋体" w:hAnsi="宋体" w:eastAsia="宋体" w:cs="宋体"/>
              </w:rPr>
            </w:pPr>
          </w:p>
        </w:tc>
        <w:tc>
          <w:tcPr>
            <w:tcW w:w="1276" w:type="dxa"/>
            <w:noWrap w:val="0"/>
            <w:vAlign w:val="center"/>
          </w:tcPr>
          <w:p w14:paraId="0E7745E5">
            <w:pPr>
              <w:ind w:left="223" w:hanging="222" w:hangingChars="106"/>
              <w:jc w:val="center"/>
              <w:rPr>
                <w:rFonts w:hint="eastAsia" w:ascii="宋体" w:hAnsi="宋体" w:eastAsia="宋体" w:cs="宋体"/>
              </w:rPr>
            </w:pPr>
          </w:p>
        </w:tc>
      </w:tr>
      <w:tr w14:paraId="2757F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2E2ACD19">
            <w:pPr>
              <w:ind w:left="223" w:hanging="222" w:hangingChars="106"/>
              <w:jc w:val="center"/>
              <w:rPr>
                <w:rFonts w:hint="eastAsia" w:ascii="宋体" w:hAnsi="宋体" w:eastAsia="宋体" w:cs="宋体"/>
                <w:szCs w:val="21"/>
              </w:rPr>
            </w:pPr>
          </w:p>
        </w:tc>
        <w:tc>
          <w:tcPr>
            <w:tcW w:w="829" w:type="dxa"/>
            <w:noWrap w:val="0"/>
            <w:vAlign w:val="center"/>
          </w:tcPr>
          <w:p w14:paraId="5E2F7483">
            <w:pPr>
              <w:ind w:left="223" w:hanging="222" w:hangingChars="106"/>
              <w:jc w:val="center"/>
              <w:rPr>
                <w:rFonts w:hint="eastAsia" w:ascii="宋体" w:hAnsi="宋体" w:eastAsia="宋体" w:cs="宋体"/>
              </w:rPr>
            </w:pPr>
          </w:p>
        </w:tc>
        <w:tc>
          <w:tcPr>
            <w:tcW w:w="816" w:type="dxa"/>
            <w:noWrap w:val="0"/>
            <w:vAlign w:val="center"/>
          </w:tcPr>
          <w:p w14:paraId="5809C4FD">
            <w:pPr>
              <w:ind w:left="223" w:hanging="222" w:hangingChars="106"/>
              <w:jc w:val="center"/>
              <w:rPr>
                <w:rFonts w:hint="eastAsia" w:ascii="宋体" w:hAnsi="宋体" w:eastAsia="宋体" w:cs="宋体"/>
              </w:rPr>
            </w:pPr>
          </w:p>
        </w:tc>
        <w:tc>
          <w:tcPr>
            <w:tcW w:w="1148" w:type="dxa"/>
            <w:noWrap w:val="0"/>
            <w:vAlign w:val="center"/>
          </w:tcPr>
          <w:p w14:paraId="0592FA37">
            <w:pPr>
              <w:ind w:left="223" w:hanging="222" w:hangingChars="106"/>
              <w:jc w:val="center"/>
              <w:rPr>
                <w:rFonts w:hint="eastAsia" w:ascii="宋体" w:hAnsi="宋体" w:eastAsia="宋体" w:cs="宋体"/>
              </w:rPr>
            </w:pPr>
          </w:p>
        </w:tc>
        <w:tc>
          <w:tcPr>
            <w:tcW w:w="1148" w:type="dxa"/>
            <w:noWrap w:val="0"/>
            <w:vAlign w:val="center"/>
          </w:tcPr>
          <w:p w14:paraId="200B5B60">
            <w:pPr>
              <w:ind w:left="223" w:hanging="222" w:hangingChars="106"/>
              <w:jc w:val="center"/>
              <w:rPr>
                <w:rFonts w:hint="eastAsia" w:ascii="宋体" w:hAnsi="宋体" w:eastAsia="宋体" w:cs="宋体"/>
              </w:rPr>
            </w:pPr>
          </w:p>
        </w:tc>
        <w:tc>
          <w:tcPr>
            <w:tcW w:w="1148" w:type="dxa"/>
            <w:noWrap w:val="0"/>
            <w:vAlign w:val="center"/>
          </w:tcPr>
          <w:p w14:paraId="2B3488E0">
            <w:pPr>
              <w:ind w:left="223" w:hanging="222" w:hangingChars="106"/>
              <w:jc w:val="center"/>
              <w:rPr>
                <w:rFonts w:hint="eastAsia" w:ascii="宋体" w:hAnsi="宋体" w:eastAsia="宋体" w:cs="宋体"/>
              </w:rPr>
            </w:pPr>
          </w:p>
        </w:tc>
        <w:tc>
          <w:tcPr>
            <w:tcW w:w="1148" w:type="dxa"/>
            <w:noWrap w:val="0"/>
            <w:vAlign w:val="center"/>
          </w:tcPr>
          <w:p w14:paraId="01B1A8A0">
            <w:pPr>
              <w:ind w:left="223" w:hanging="222" w:hangingChars="106"/>
              <w:jc w:val="center"/>
              <w:rPr>
                <w:rFonts w:hint="eastAsia" w:ascii="宋体" w:hAnsi="宋体" w:eastAsia="宋体" w:cs="宋体"/>
              </w:rPr>
            </w:pPr>
          </w:p>
        </w:tc>
        <w:tc>
          <w:tcPr>
            <w:tcW w:w="850" w:type="dxa"/>
            <w:noWrap w:val="0"/>
            <w:vAlign w:val="center"/>
          </w:tcPr>
          <w:p w14:paraId="3BEBEB1E">
            <w:pPr>
              <w:ind w:left="223" w:hanging="222" w:hangingChars="106"/>
              <w:jc w:val="center"/>
              <w:rPr>
                <w:rFonts w:hint="eastAsia" w:ascii="宋体" w:hAnsi="宋体" w:eastAsia="宋体" w:cs="宋体"/>
              </w:rPr>
            </w:pPr>
          </w:p>
        </w:tc>
        <w:tc>
          <w:tcPr>
            <w:tcW w:w="1276" w:type="dxa"/>
            <w:noWrap w:val="0"/>
            <w:vAlign w:val="center"/>
          </w:tcPr>
          <w:p w14:paraId="44C0E066">
            <w:pPr>
              <w:ind w:left="223" w:hanging="222" w:hangingChars="106"/>
              <w:jc w:val="center"/>
              <w:rPr>
                <w:rFonts w:hint="eastAsia" w:ascii="宋体" w:hAnsi="宋体" w:eastAsia="宋体" w:cs="宋体"/>
              </w:rPr>
            </w:pPr>
          </w:p>
        </w:tc>
      </w:tr>
      <w:tr w14:paraId="291B3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4400582C">
            <w:pPr>
              <w:ind w:left="223" w:hanging="222" w:hangingChars="106"/>
              <w:jc w:val="center"/>
              <w:rPr>
                <w:rFonts w:hint="eastAsia" w:ascii="宋体" w:hAnsi="宋体" w:eastAsia="宋体" w:cs="宋体"/>
              </w:rPr>
            </w:pPr>
            <w:r>
              <w:rPr>
                <w:rFonts w:hint="eastAsia" w:ascii="宋体" w:hAnsi="宋体" w:eastAsia="宋体" w:cs="宋体"/>
              </w:rPr>
              <w:t>……</w:t>
            </w:r>
          </w:p>
        </w:tc>
        <w:tc>
          <w:tcPr>
            <w:tcW w:w="829" w:type="dxa"/>
            <w:noWrap w:val="0"/>
            <w:vAlign w:val="center"/>
          </w:tcPr>
          <w:p w14:paraId="75C057F9">
            <w:pPr>
              <w:ind w:left="223" w:hanging="222" w:hangingChars="106"/>
              <w:jc w:val="center"/>
              <w:rPr>
                <w:rFonts w:hint="eastAsia" w:ascii="宋体" w:hAnsi="宋体" w:eastAsia="宋体" w:cs="宋体"/>
              </w:rPr>
            </w:pPr>
          </w:p>
        </w:tc>
        <w:tc>
          <w:tcPr>
            <w:tcW w:w="816" w:type="dxa"/>
            <w:noWrap w:val="0"/>
            <w:vAlign w:val="center"/>
          </w:tcPr>
          <w:p w14:paraId="7E244402">
            <w:pPr>
              <w:ind w:left="223" w:hanging="222" w:hangingChars="106"/>
              <w:jc w:val="center"/>
              <w:rPr>
                <w:rFonts w:hint="eastAsia" w:ascii="宋体" w:hAnsi="宋体" w:eastAsia="宋体" w:cs="宋体"/>
              </w:rPr>
            </w:pPr>
          </w:p>
        </w:tc>
        <w:tc>
          <w:tcPr>
            <w:tcW w:w="1148" w:type="dxa"/>
            <w:noWrap w:val="0"/>
            <w:vAlign w:val="center"/>
          </w:tcPr>
          <w:p w14:paraId="30B08F5B">
            <w:pPr>
              <w:ind w:left="223" w:hanging="222" w:hangingChars="106"/>
              <w:jc w:val="center"/>
              <w:rPr>
                <w:rFonts w:hint="eastAsia" w:ascii="宋体" w:hAnsi="宋体" w:eastAsia="宋体" w:cs="宋体"/>
              </w:rPr>
            </w:pPr>
          </w:p>
        </w:tc>
        <w:tc>
          <w:tcPr>
            <w:tcW w:w="1148" w:type="dxa"/>
            <w:noWrap w:val="0"/>
            <w:vAlign w:val="center"/>
          </w:tcPr>
          <w:p w14:paraId="0EE13625">
            <w:pPr>
              <w:ind w:left="223" w:hanging="222" w:hangingChars="106"/>
              <w:jc w:val="center"/>
              <w:rPr>
                <w:rFonts w:hint="eastAsia" w:ascii="宋体" w:hAnsi="宋体" w:eastAsia="宋体" w:cs="宋体"/>
              </w:rPr>
            </w:pPr>
          </w:p>
        </w:tc>
        <w:tc>
          <w:tcPr>
            <w:tcW w:w="1148" w:type="dxa"/>
            <w:noWrap w:val="0"/>
            <w:vAlign w:val="center"/>
          </w:tcPr>
          <w:p w14:paraId="71DE5482">
            <w:pPr>
              <w:ind w:left="223" w:hanging="222" w:hangingChars="106"/>
              <w:jc w:val="center"/>
              <w:rPr>
                <w:rFonts w:hint="eastAsia" w:ascii="宋体" w:hAnsi="宋体" w:eastAsia="宋体" w:cs="宋体"/>
              </w:rPr>
            </w:pPr>
          </w:p>
        </w:tc>
        <w:tc>
          <w:tcPr>
            <w:tcW w:w="1148" w:type="dxa"/>
            <w:noWrap w:val="0"/>
            <w:vAlign w:val="center"/>
          </w:tcPr>
          <w:p w14:paraId="6B418B16">
            <w:pPr>
              <w:ind w:left="223" w:hanging="222" w:hangingChars="106"/>
              <w:jc w:val="center"/>
              <w:rPr>
                <w:rFonts w:hint="eastAsia" w:ascii="宋体" w:hAnsi="宋体" w:eastAsia="宋体" w:cs="宋体"/>
              </w:rPr>
            </w:pPr>
          </w:p>
        </w:tc>
        <w:tc>
          <w:tcPr>
            <w:tcW w:w="850" w:type="dxa"/>
            <w:noWrap w:val="0"/>
            <w:vAlign w:val="center"/>
          </w:tcPr>
          <w:p w14:paraId="6758F150">
            <w:pPr>
              <w:ind w:left="223" w:hanging="222" w:hangingChars="106"/>
              <w:jc w:val="center"/>
              <w:rPr>
                <w:rFonts w:hint="eastAsia" w:ascii="宋体" w:hAnsi="宋体" w:eastAsia="宋体" w:cs="宋体"/>
              </w:rPr>
            </w:pPr>
          </w:p>
        </w:tc>
        <w:tc>
          <w:tcPr>
            <w:tcW w:w="1276" w:type="dxa"/>
            <w:noWrap w:val="0"/>
            <w:vAlign w:val="center"/>
          </w:tcPr>
          <w:p w14:paraId="09DBCCBA">
            <w:pPr>
              <w:ind w:left="223" w:hanging="222" w:hangingChars="106"/>
              <w:jc w:val="center"/>
              <w:rPr>
                <w:rFonts w:hint="eastAsia" w:ascii="宋体" w:hAnsi="宋体" w:eastAsia="宋体" w:cs="宋体"/>
              </w:rPr>
            </w:pPr>
          </w:p>
        </w:tc>
      </w:tr>
      <w:tr w14:paraId="6AF7C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9" w:hRule="atLeast"/>
          <w:jc w:val="center"/>
        </w:trPr>
        <w:tc>
          <w:tcPr>
            <w:tcW w:w="9356" w:type="dxa"/>
            <w:gridSpan w:val="9"/>
            <w:noWrap w:val="0"/>
            <w:vAlign w:val="center"/>
          </w:tcPr>
          <w:p w14:paraId="579AD0F9">
            <w:pPr>
              <w:spacing w:line="360" w:lineRule="auto"/>
              <w:rPr>
                <w:rFonts w:hint="eastAsia" w:ascii="宋体" w:hAnsi="宋体" w:eastAsia="宋体" w:cs="宋体"/>
                <w:szCs w:val="21"/>
              </w:rPr>
            </w:pPr>
            <w:bookmarkStart w:id="576" w:name="_Toc251052199"/>
            <w:r>
              <w:rPr>
                <w:rFonts w:hint="eastAsia" w:ascii="宋体" w:hAnsi="宋体" w:eastAsia="宋体" w:cs="宋体"/>
                <w:szCs w:val="21"/>
              </w:rPr>
              <w:t>一旦我单位成交，将实行项目经理负责制，我方保证并配备上述项目管理机构。上述填报内容真实，若不真实，愿按有关规定接受处理。项目管理班子机构设置、职责分工等情况另附资料说明</w:t>
            </w:r>
            <w:bookmarkEnd w:id="576"/>
          </w:p>
        </w:tc>
      </w:tr>
    </w:tbl>
    <w:p w14:paraId="547A7E26">
      <w:pPr>
        <w:pStyle w:val="11"/>
        <w:tabs>
          <w:tab w:val="left" w:pos="2127"/>
        </w:tabs>
        <w:spacing w:line="340" w:lineRule="exact"/>
        <w:rPr>
          <w:rFonts w:hint="eastAsia" w:ascii="宋体" w:hAnsi="宋体" w:eastAsia="宋体" w:cs="宋体"/>
        </w:rPr>
      </w:pPr>
      <w:r>
        <w:rPr>
          <w:rFonts w:hint="eastAsia" w:ascii="宋体" w:hAnsi="宋体" w:eastAsia="宋体" w:cs="宋体"/>
        </w:rPr>
        <w:t>【备注：附</w:t>
      </w:r>
      <w:r>
        <w:rPr>
          <w:rFonts w:hint="eastAsia" w:hAnsi="宋体" w:cs="宋体"/>
          <w:lang w:val="en-US" w:eastAsia="zh-CN"/>
        </w:rPr>
        <w:t>安全员证件</w:t>
      </w:r>
      <w:r>
        <w:rPr>
          <w:rFonts w:hint="eastAsia" w:ascii="宋体" w:hAnsi="宋体" w:eastAsia="宋体" w:cs="宋体"/>
        </w:rPr>
        <w:t>，以及供应商认为需要增加的其他证明材料扫描件，以上扫描件须加盖供应商电子签章。】</w:t>
      </w:r>
    </w:p>
    <w:p w14:paraId="764657B2">
      <w:pPr>
        <w:pStyle w:val="23"/>
        <w:rPr>
          <w:rFonts w:hint="eastAsia" w:ascii="宋体" w:hAnsi="宋体" w:eastAsia="宋体" w:cs="宋体"/>
        </w:rPr>
      </w:pPr>
    </w:p>
    <w:p w14:paraId="1F4A68AE">
      <w:pPr>
        <w:snapToGrid w:val="0"/>
        <w:spacing w:before="50" w:after="120" w:afterLines="50" w:line="440" w:lineRule="exact"/>
        <w:jc w:val="left"/>
        <w:rPr>
          <w:rFonts w:hint="eastAsia" w:ascii="宋体" w:hAnsi="宋体" w:eastAsia="宋体" w:cs="宋体"/>
        </w:rPr>
      </w:pPr>
      <w:r>
        <w:rPr>
          <w:rFonts w:hint="eastAsia" w:ascii="宋体" w:hAnsi="宋体" w:eastAsia="宋体" w:cs="宋体"/>
        </w:rPr>
        <w:br w:type="page"/>
      </w:r>
      <w:r>
        <w:rPr>
          <w:rFonts w:hint="eastAsia" w:ascii="宋体" w:hAnsi="宋体" w:cs="宋体"/>
          <w:lang w:val="en-US" w:eastAsia="zh-CN"/>
        </w:rPr>
        <w:t>6</w:t>
      </w:r>
      <w:r>
        <w:rPr>
          <w:rFonts w:hint="eastAsia" w:ascii="宋体" w:hAnsi="宋体" w:eastAsia="宋体" w:cs="宋体"/>
        </w:rPr>
        <w:t>.5满足本项目特定资格条件其他要求的证明材料。</w:t>
      </w:r>
    </w:p>
    <w:p w14:paraId="401A56B8">
      <w:pPr>
        <w:snapToGrid w:val="0"/>
        <w:spacing w:before="50" w:after="120" w:afterLines="50" w:line="360" w:lineRule="auto"/>
        <w:jc w:val="left"/>
        <w:rPr>
          <w:rFonts w:hint="eastAsia" w:ascii="宋体" w:hAnsi="宋体" w:eastAsia="宋体" w:cs="宋体"/>
          <w:szCs w:val="21"/>
        </w:rPr>
      </w:pPr>
      <w:r>
        <w:rPr>
          <w:rFonts w:hint="eastAsia" w:ascii="宋体" w:hAnsi="宋体" w:cs="宋体"/>
          <w:szCs w:val="21"/>
          <w:lang w:val="en-US" w:eastAsia="zh-CN"/>
        </w:rPr>
        <w:t>6</w:t>
      </w:r>
      <w:r>
        <w:rPr>
          <w:rFonts w:hint="eastAsia" w:ascii="宋体" w:hAnsi="宋体" w:eastAsia="宋体" w:cs="宋体"/>
          <w:szCs w:val="21"/>
        </w:rPr>
        <w:t>.5.1供应商直接控股股东信息表</w:t>
      </w:r>
    </w:p>
    <w:tbl>
      <w:tblPr>
        <w:tblStyle w:val="15"/>
        <w:tblW w:w="9476" w:type="dxa"/>
        <w:tblInd w:w="125" w:type="dxa"/>
        <w:tblLayout w:type="fixed"/>
        <w:tblCellMar>
          <w:top w:w="0" w:type="dxa"/>
          <w:left w:w="0" w:type="dxa"/>
          <w:bottom w:w="0" w:type="dxa"/>
          <w:right w:w="0" w:type="dxa"/>
        </w:tblCellMar>
      </w:tblPr>
      <w:tblGrid>
        <w:gridCol w:w="828"/>
        <w:gridCol w:w="2269"/>
        <w:gridCol w:w="1239"/>
        <w:gridCol w:w="3722"/>
        <w:gridCol w:w="1418"/>
      </w:tblGrid>
      <w:tr w14:paraId="5B59C639">
        <w:tblPrEx>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3BFD10B">
            <w:pPr>
              <w:spacing w:line="360" w:lineRule="auto"/>
              <w:jc w:val="center"/>
              <w:rPr>
                <w:rFonts w:hint="eastAsia" w:ascii="宋体" w:hAnsi="宋体" w:eastAsia="宋体" w:cs="宋体"/>
                <w:szCs w:val="21"/>
              </w:rPr>
            </w:pPr>
            <w:r>
              <w:rPr>
                <w:rFonts w:hint="eastAsia" w:ascii="宋体" w:hAnsi="宋体" w:eastAsia="宋体" w:cs="宋体"/>
                <w:szCs w:val="21"/>
              </w:rPr>
              <w:t>序号</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AF0A034">
            <w:pPr>
              <w:spacing w:line="360" w:lineRule="auto"/>
              <w:jc w:val="center"/>
              <w:rPr>
                <w:rFonts w:hint="eastAsia" w:ascii="宋体" w:hAnsi="宋体" w:eastAsia="宋体" w:cs="宋体"/>
                <w:szCs w:val="21"/>
              </w:rPr>
            </w:pPr>
            <w:r>
              <w:rPr>
                <w:rFonts w:hint="eastAsia" w:ascii="宋体" w:hAnsi="宋体" w:eastAsia="宋体" w:cs="宋体"/>
                <w:szCs w:val="21"/>
              </w:rPr>
              <w:t>直接控股股东名称</w:t>
            </w: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8FF826B">
            <w:pPr>
              <w:spacing w:line="360" w:lineRule="auto"/>
              <w:jc w:val="center"/>
              <w:rPr>
                <w:rFonts w:hint="eastAsia" w:ascii="宋体" w:hAnsi="宋体" w:eastAsia="宋体" w:cs="宋体"/>
                <w:szCs w:val="21"/>
              </w:rPr>
            </w:pPr>
            <w:r>
              <w:rPr>
                <w:rFonts w:hint="eastAsia" w:ascii="宋体" w:hAnsi="宋体" w:eastAsia="宋体" w:cs="宋体"/>
                <w:szCs w:val="21"/>
              </w:rPr>
              <w:t>出资比例</w:t>
            </w: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A8D410C">
            <w:pPr>
              <w:spacing w:line="360" w:lineRule="auto"/>
              <w:jc w:val="center"/>
              <w:rPr>
                <w:rFonts w:hint="eastAsia" w:ascii="宋体" w:hAnsi="宋体" w:eastAsia="宋体" w:cs="宋体"/>
                <w:szCs w:val="21"/>
              </w:rPr>
            </w:pPr>
            <w:r>
              <w:rPr>
                <w:rFonts w:hint="eastAsia" w:ascii="宋体" w:hAnsi="宋体" w:eastAsia="宋体" w:cs="宋体"/>
                <w:szCs w:val="21"/>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A608817">
            <w:pPr>
              <w:spacing w:line="360" w:lineRule="auto"/>
              <w:jc w:val="center"/>
              <w:rPr>
                <w:rFonts w:hint="eastAsia" w:ascii="宋体" w:hAnsi="宋体" w:eastAsia="宋体" w:cs="宋体"/>
                <w:szCs w:val="21"/>
              </w:rPr>
            </w:pPr>
            <w:r>
              <w:rPr>
                <w:rFonts w:hint="eastAsia" w:ascii="宋体" w:hAnsi="宋体" w:eastAsia="宋体" w:cs="宋体"/>
                <w:szCs w:val="21"/>
              </w:rPr>
              <w:t>备注</w:t>
            </w:r>
          </w:p>
        </w:tc>
      </w:tr>
      <w:tr w14:paraId="60E7548A">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6013BF3">
            <w:pPr>
              <w:spacing w:line="360" w:lineRule="auto"/>
              <w:jc w:val="center"/>
              <w:rPr>
                <w:rFonts w:hint="eastAsia" w:ascii="宋体" w:hAnsi="宋体" w:eastAsia="宋体" w:cs="宋体"/>
                <w:szCs w:val="21"/>
              </w:rPr>
            </w:pPr>
            <w:r>
              <w:rPr>
                <w:rFonts w:hint="eastAsia" w:ascii="宋体" w:hAnsi="宋体" w:eastAsia="宋体" w:cs="宋体"/>
                <w:szCs w:val="21"/>
              </w:rPr>
              <w:t>1</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C3D6F02">
            <w:pPr>
              <w:spacing w:line="360" w:lineRule="auto"/>
              <w:jc w:val="center"/>
              <w:rPr>
                <w:rFonts w:hint="eastAsia" w:ascii="宋体" w:hAnsi="宋体" w:eastAsia="宋体" w:cs="宋体"/>
                <w:szCs w:val="21"/>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58E9C9B2">
            <w:pPr>
              <w:spacing w:line="360" w:lineRule="auto"/>
              <w:jc w:val="center"/>
              <w:rPr>
                <w:rFonts w:hint="eastAsia" w:ascii="宋体" w:hAnsi="宋体" w:eastAsia="宋体" w:cs="宋体"/>
                <w:szCs w:val="21"/>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4DA68A2">
            <w:pPr>
              <w:spacing w:line="360" w:lineRule="auto"/>
              <w:jc w:val="center"/>
              <w:rPr>
                <w:rFonts w:hint="eastAsia" w:ascii="宋体" w:hAnsi="宋体" w:eastAsia="宋体" w:cs="宋体"/>
                <w:szCs w:val="21"/>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3FC9E46B">
            <w:pPr>
              <w:spacing w:line="360" w:lineRule="auto"/>
              <w:jc w:val="center"/>
              <w:rPr>
                <w:rFonts w:hint="eastAsia" w:ascii="宋体" w:hAnsi="宋体" w:eastAsia="宋体" w:cs="宋体"/>
                <w:szCs w:val="21"/>
              </w:rPr>
            </w:pPr>
          </w:p>
        </w:tc>
      </w:tr>
      <w:tr w14:paraId="4A881BA2">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52FA885">
            <w:pPr>
              <w:spacing w:line="360" w:lineRule="auto"/>
              <w:jc w:val="center"/>
              <w:rPr>
                <w:rFonts w:hint="eastAsia" w:ascii="宋体" w:hAnsi="宋体" w:eastAsia="宋体" w:cs="宋体"/>
                <w:szCs w:val="21"/>
              </w:rPr>
            </w:pPr>
            <w:r>
              <w:rPr>
                <w:rFonts w:hint="eastAsia" w:ascii="宋体" w:hAnsi="宋体" w:eastAsia="宋体" w:cs="宋体"/>
                <w:szCs w:val="21"/>
              </w:rPr>
              <w:t>2</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4529E99">
            <w:pPr>
              <w:spacing w:line="360" w:lineRule="auto"/>
              <w:jc w:val="center"/>
              <w:rPr>
                <w:rFonts w:hint="eastAsia" w:ascii="宋体" w:hAnsi="宋体" w:eastAsia="宋体" w:cs="宋体"/>
                <w:szCs w:val="21"/>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5DD630DE">
            <w:pPr>
              <w:spacing w:line="360" w:lineRule="auto"/>
              <w:jc w:val="center"/>
              <w:rPr>
                <w:rFonts w:hint="eastAsia" w:ascii="宋体" w:hAnsi="宋体" w:eastAsia="宋体" w:cs="宋体"/>
                <w:szCs w:val="21"/>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56252D93">
            <w:pPr>
              <w:spacing w:line="360" w:lineRule="auto"/>
              <w:jc w:val="center"/>
              <w:rPr>
                <w:rFonts w:hint="eastAsia" w:ascii="宋体" w:hAnsi="宋体" w:eastAsia="宋体" w:cs="宋体"/>
                <w:szCs w:val="21"/>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BA5B6DB">
            <w:pPr>
              <w:spacing w:line="360" w:lineRule="auto"/>
              <w:jc w:val="center"/>
              <w:rPr>
                <w:rFonts w:hint="eastAsia" w:ascii="宋体" w:hAnsi="宋体" w:eastAsia="宋体" w:cs="宋体"/>
                <w:szCs w:val="21"/>
              </w:rPr>
            </w:pPr>
          </w:p>
        </w:tc>
      </w:tr>
      <w:tr w14:paraId="4A1ABE77">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8427069">
            <w:pPr>
              <w:spacing w:line="360" w:lineRule="auto"/>
              <w:jc w:val="center"/>
              <w:rPr>
                <w:rFonts w:hint="eastAsia" w:ascii="宋体" w:hAnsi="宋体" w:eastAsia="宋体" w:cs="宋体"/>
                <w:szCs w:val="21"/>
              </w:rPr>
            </w:pPr>
            <w:r>
              <w:rPr>
                <w:rFonts w:hint="eastAsia" w:ascii="宋体" w:hAnsi="宋体" w:eastAsia="宋体" w:cs="宋体"/>
                <w:szCs w:val="21"/>
              </w:rPr>
              <w:t>3</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63CDC9C">
            <w:pPr>
              <w:spacing w:line="360" w:lineRule="auto"/>
              <w:jc w:val="center"/>
              <w:rPr>
                <w:rFonts w:hint="eastAsia" w:ascii="宋体" w:hAnsi="宋体" w:eastAsia="宋体" w:cs="宋体"/>
                <w:szCs w:val="21"/>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00EFECE">
            <w:pPr>
              <w:spacing w:line="360" w:lineRule="auto"/>
              <w:jc w:val="center"/>
              <w:rPr>
                <w:rFonts w:hint="eastAsia" w:ascii="宋体" w:hAnsi="宋体" w:eastAsia="宋体" w:cs="宋体"/>
                <w:szCs w:val="21"/>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5850DD36">
            <w:pPr>
              <w:spacing w:line="360" w:lineRule="auto"/>
              <w:jc w:val="center"/>
              <w:rPr>
                <w:rFonts w:hint="eastAsia" w:ascii="宋体" w:hAnsi="宋体" w:eastAsia="宋体" w:cs="宋体"/>
                <w:szCs w:val="21"/>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9D3157E">
            <w:pPr>
              <w:spacing w:line="360" w:lineRule="auto"/>
              <w:jc w:val="center"/>
              <w:rPr>
                <w:rFonts w:hint="eastAsia" w:ascii="宋体" w:hAnsi="宋体" w:eastAsia="宋体" w:cs="宋体"/>
                <w:szCs w:val="21"/>
              </w:rPr>
            </w:pPr>
          </w:p>
        </w:tc>
      </w:tr>
      <w:tr w14:paraId="21CF6B2D">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82B6F10">
            <w:pPr>
              <w:spacing w:line="360" w:lineRule="auto"/>
              <w:jc w:val="center"/>
              <w:rPr>
                <w:rFonts w:hint="eastAsia" w:ascii="宋体" w:hAnsi="宋体" w:eastAsia="宋体" w:cs="宋体"/>
                <w:szCs w:val="21"/>
              </w:rPr>
            </w:pPr>
            <w:r>
              <w:rPr>
                <w:rFonts w:hint="eastAsia" w:ascii="宋体" w:hAnsi="宋体" w:eastAsia="宋体" w:cs="宋体"/>
                <w:szCs w:val="21"/>
              </w:rPr>
              <w:t>……</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C41F301">
            <w:pPr>
              <w:spacing w:line="360" w:lineRule="auto"/>
              <w:jc w:val="center"/>
              <w:rPr>
                <w:rFonts w:hint="eastAsia" w:ascii="宋体" w:hAnsi="宋体" w:eastAsia="宋体" w:cs="宋体"/>
                <w:szCs w:val="21"/>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E4CD58C">
            <w:pPr>
              <w:spacing w:line="360" w:lineRule="auto"/>
              <w:jc w:val="center"/>
              <w:rPr>
                <w:rFonts w:hint="eastAsia" w:ascii="宋体" w:hAnsi="宋体" w:eastAsia="宋体" w:cs="宋体"/>
                <w:szCs w:val="21"/>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5FD873AF">
            <w:pPr>
              <w:spacing w:line="360" w:lineRule="auto"/>
              <w:jc w:val="center"/>
              <w:rPr>
                <w:rFonts w:hint="eastAsia" w:ascii="宋体" w:hAnsi="宋体" w:eastAsia="宋体" w:cs="宋体"/>
                <w:szCs w:val="21"/>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D622FBB">
            <w:pPr>
              <w:spacing w:line="360" w:lineRule="auto"/>
              <w:jc w:val="center"/>
              <w:rPr>
                <w:rFonts w:hint="eastAsia" w:ascii="宋体" w:hAnsi="宋体" w:eastAsia="宋体" w:cs="宋体"/>
                <w:szCs w:val="21"/>
              </w:rPr>
            </w:pPr>
          </w:p>
        </w:tc>
      </w:tr>
    </w:tbl>
    <w:p w14:paraId="3ED58551">
      <w:pPr>
        <w:snapToGrid w:val="0"/>
        <w:spacing w:line="360" w:lineRule="auto"/>
        <w:jc w:val="left"/>
        <w:rPr>
          <w:rFonts w:hint="eastAsia" w:ascii="宋体" w:hAnsi="宋体" w:eastAsia="宋体" w:cs="宋体"/>
          <w:szCs w:val="21"/>
        </w:rPr>
      </w:pPr>
      <w:r>
        <w:rPr>
          <w:rFonts w:hint="eastAsia" w:ascii="宋体" w:hAnsi="宋体" w:eastAsia="宋体" w:cs="宋体"/>
          <w:szCs w:val="21"/>
        </w:rPr>
        <w:t>注：</w:t>
      </w:r>
    </w:p>
    <w:p w14:paraId="7E8884E4">
      <w:pPr>
        <w:snapToGrid w:val="0"/>
        <w:spacing w:line="360" w:lineRule="auto"/>
        <w:jc w:val="left"/>
        <w:rPr>
          <w:rFonts w:hint="eastAsia" w:ascii="宋体" w:hAnsi="宋体" w:eastAsia="宋体" w:cs="宋体"/>
          <w:szCs w:val="21"/>
        </w:rPr>
      </w:pPr>
      <w:r>
        <w:rPr>
          <w:rFonts w:hint="eastAsia" w:ascii="宋体" w:hAnsi="宋体" w:eastAsia="宋体" w:cs="宋体"/>
          <w:szCs w:val="21"/>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7FF2B62C">
      <w:pPr>
        <w:snapToGrid w:val="0"/>
        <w:spacing w:line="360" w:lineRule="auto"/>
        <w:jc w:val="left"/>
        <w:rPr>
          <w:rFonts w:hint="eastAsia" w:ascii="宋体" w:hAnsi="宋体" w:eastAsia="宋体" w:cs="宋体"/>
          <w:szCs w:val="21"/>
        </w:rPr>
      </w:pPr>
      <w:r>
        <w:rPr>
          <w:rFonts w:hint="eastAsia" w:ascii="宋体" w:hAnsi="宋体" w:eastAsia="宋体" w:cs="宋体"/>
          <w:szCs w:val="21"/>
        </w:rPr>
        <w:t>2.本表所指的控股关系仅限于直接控股关系，不包括间接的控股关系。公司实际控制人与公司之间的关系不属于本表所指的直接控股关系。</w:t>
      </w:r>
    </w:p>
    <w:p w14:paraId="1585CCD3">
      <w:pPr>
        <w:snapToGrid w:val="0"/>
        <w:spacing w:line="360" w:lineRule="auto"/>
        <w:jc w:val="left"/>
        <w:rPr>
          <w:rFonts w:hint="eastAsia" w:ascii="宋体" w:hAnsi="宋体" w:eastAsia="宋体" w:cs="宋体"/>
          <w:szCs w:val="21"/>
        </w:rPr>
      </w:pPr>
      <w:r>
        <w:rPr>
          <w:rFonts w:hint="eastAsia" w:ascii="宋体" w:hAnsi="宋体" w:eastAsia="宋体" w:cs="宋体"/>
          <w:szCs w:val="21"/>
        </w:rPr>
        <w:t>3.供应商不存在直接控股股东的，则填“无”。</w:t>
      </w:r>
    </w:p>
    <w:p w14:paraId="5B2FCC64">
      <w:pPr>
        <w:snapToGrid w:val="0"/>
        <w:spacing w:line="360" w:lineRule="auto"/>
        <w:jc w:val="left"/>
        <w:rPr>
          <w:rFonts w:hint="eastAsia" w:ascii="宋体" w:hAnsi="宋体" w:eastAsia="宋体" w:cs="宋体"/>
          <w:szCs w:val="21"/>
        </w:rPr>
      </w:pPr>
    </w:p>
    <w:p w14:paraId="4D3FED4E">
      <w:pPr>
        <w:snapToGrid w:val="0"/>
        <w:spacing w:line="360" w:lineRule="auto"/>
        <w:jc w:val="left"/>
        <w:rPr>
          <w:rFonts w:hint="eastAsia" w:ascii="宋体" w:hAnsi="宋体" w:eastAsia="宋体" w:cs="宋体"/>
          <w:szCs w:val="21"/>
        </w:rPr>
      </w:pPr>
    </w:p>
    <w:p w14:paraId="4C82E87A">
      <w:pPr>
        <w:snapToGrid w:val="0"/>
        <w:spacing w:line="360" w:lineRule="auto"/>
        <w:jc w:val="left"/>
        <w:rPr>
          <w:rFonts w:hint="eastAsia" w:ascii="宋体" w:hAnsi="宋体" w:eastAsia="宋体" w:cs="宋体"/>
          <w:szCs w:val="21"/>
        </w:rPr>
      </w:pPr>
    </w:p>
    <w:p w14:paraId="7B17909F">
      <w:pPr>
        <w:snapToGrid w:val="0"/>
        <w:spacing w:line="360" w:lineRule="auto"/>
        <w:jc w:val="left"/>
        <w:rPr>
          <w:rFonts w:hint="eastAsia" w:ascii="宋体" w:hAnsi="宋体" w:eastAsia="宋体" w:cs="宋体"/>
          <w:szCs w:val="21"/>
        </w:rPr>
      </w:pPr>
    </w:p>
    <w:p w14:paraId="73A6626B">
      <w:pPr>
        <w:snapToGrid w:val="0"/>
        <w:spacing w:line="360" w:lineRule="auto"/>
        <w:jc w:val="left"/>
        <w:rPr>
          <w:rFonts w:hint="eastAsia" w:ascii="宋体" w:hAnsi="宋体" w:eastAsia="宋体" w:cs="宋体"/>
          <w:szCs w:val="21"/>
        </w:rPr>
      </w:pPr>
    </w:p>
    <w:p w14:paraId="0CAED1E3">
      <w:pPr>
        <w:snapToGrid w:val="0"/>
        <w:spacing w:line="360" w:lineRule="auto"/>
        <w:ind w:firstLine="4410" w:firstLineChars="2100"/>
        <w:rPr>
          <w:rFonts w:hint="eastAsia" w:ascii="宋体" w:hAnsi="宋体" w:eastAsia="宋体" w:cs="宋体"/>
          <w:szCs w:val="21"/>
        </w:rPr>
      </w:pPr>
      <w:r>
        <w:rPr>
          <w:rFonts w:hint="eastAsia" w:ascii="宋体" w:hAnsi="宋体" w:eastAsia="宋体" w:cs="宋体"/>
          <w:szCs w:val="21"/>
        </w:rPr>
        <w:t>供应商名称(电子签章)：</w:t>
      </w:r>
    </w:p>
    <w:p w14:paraId="0AD55F77">
      <w:pPr>
        <w:snapToGrid w:val="0"/>
        <w:spacing w:line="360" w:lineRule="auto"/>
        <w:ind w:firstLine="4515" w:firstLineChars="2150"/>
        <w:rPr>
          <w:rFonts w:hint="eastAsia" w:ascii="宋体" w:hAnsi="宋体" w:eastAsia="宋体" w:cs="宋体"/>
          <w:szCs w:val="21"/>
        </w:rPr>
      </w:pPr>
      <w:r>
        <w:rPr>
          <w:rFonts w:hint="eastAsia" w:ascii="宋体" w:hAnsi="宋体" w:eastAsia="宋体" w:cs="宋体"/>
          <w:szCs w:val="21"/>
        </w:rPr>
        <w:t>日期：  年  月   日</w:t>
      </w:r>
    </w:p>
    <w:p w14:paraId="724F28A8">
      <w:pPr>
        <w:snapToGrid w:val="0"/>
        <w:jc w:val="center"/>
        <w:rPr>
          <w:rFonts w:hint="eastAsia" w:ascii="宋体" w:hAnsi="宋体" w:eastAsia="宋体" w:cs="宋体"/>
          <w:b/>
          <w:color w:val="000000"/>
          <w:sz w:val="28"/>
          <w:szCs w:val="28"/>
        </w:rPr>
      </w:pPr>
      <w:r>
        <w:rPr>
          <w:rFonts w:hint="eastAsia" w:ascii="宋体" w:hAnsi="宋体" w:eastAsia="宋体" w:cs="宋体"/>
          <w:b/>
          <w:color w:val="000000"/>
          <w:sz w:val="28"/>
          <w:szCs w:val="28"/>
        </w:rPr>
        <w:br w:type="page"/>
      </w:r>
    </w:p>
    <w:p w14:paraId="3C3EE491">
      <w:pPr>
        <w:snapToGrid w:val="0"/>
        <w:spacing w:line="360" w:lineRule="auto"/>
        <w:jc w:val="left"/>
        <w:rPr>
          <w:rFonts w:hint="eastAsia" w:ascii="宋体" w:hAnsi="宋体" w:eastAsia="宋体" w:cs="宋体"/>
          <w:szCs w:val="21"/>
        </w:rPr>
      </w:pPr>
      <w:r>
        <w:rPr>
          <w:rFonts w:hint="eastAsia" w:ascii="宋体" w:hAnsi="宋体" w:cs="宋体"/>
          <w:szCs w:val="21"/>
          <w:lang w:val="en-US" w:eastAsia="zh-CN"/>
        </w:rPr>
        <w:t>6</w:t>
      </w:r>
      <w:r>
        <w:rPr>
          <w:rFonts w:hint="eastAsia" w:ascii="宋体" w:hAnsi="宋体" w:eastAsia="宋体" w:cs="宋体"/>
          <w:szCs w:val="21"/>
        </w:rPr>
        <w:t>.5.2供应商直接管理关系信息表</w:t>
      </w:r>
    </w:p>
    <w:tbl>
      <w:tblPr>
        <w:tblStyle w:val="15"/>
        <w:tblW w:w="9652" w:type="dxa"/>
        <w:tblInd w:w="125" w:type="dxa"/>
        <w:shd w:val="clear" w:color="auto" w:fill="FBFBFB"/>
        <w:tblLayout w:type="fixed"/>
        <w:tblCellMar>
          <w:top w:w="0" w:type="dxa"/>
          <w:left w:w="0" w:type="dxa"/>
          <w:bottom w:w="0" w:type="dxa"/>
          <w:right w:w="0" w:type="dxa"/>
        </w:tblCellMar>
      </w:tblPr>
      <w:tblGrid>
        <w:gridCol w:w="1005"/>
        <w:gridCol w:w="2659"/>
        <w:gridCol w:w="3924"/>
        <w:gridCol w:w="2064"/>
      </w:tblGrid>
      <w:tr w14:paraId="238A3BB6">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E8F2178">
            <w:pPr>
              <w:spacing w:line="360" w:lineRule="auto"/>
              <w:jc w:val="center"/>
              <w:rPr>
                <w:rFonts w:hint="eastAsia" w:ascii="宋体" w:hAnsi="宋体" w:eastAsia="宋体" w:cs="宋体"/>
                <w:szCs w:val="21"/>
              </w:rPr>
            </w:pPr>
            <w:r>
              <w:rPr>
                <w:rFonts w:hint="eastAsia" w:ascii="宋体" w:hAnsi="宋体" w:eastAsia="宋体" w:cs="宋体"/>
                <w:szCs w:val="21"/>
              </w:rPr>
              <w:t>序号</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4B0DDC6">
            <w:pPr>
              <w:spacing w:line="360" w:lineRule="auto"/>
              <w:jc w:val="center"/>
              <w:rPr>
                <w:rFonts w:hint="eastAsia" w:ascii="宋体" w:hAnsi="宋体" w:eastAsia="宋体" w:cs="宋体"/>
                <w:szCs w:val="21"/>
              </w:rPr>
            </w:pPr>
            <w:r>
              <w:rPr>
                <w:rFonts w:hint="eastAsia" w:ascii="宋体" w:hAnsi="宋体" w:eastAsia="宋体" w:cs="宋体"/>
                <w:szCs w:val="21"/>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E2E62D6">
            <w:pPr>
              <w:spacing w:line="360" w:lineRule="auto"/>
              <w:jc w:val="center"/>
              <w:rPr>
                <w:rFonts w:hint="eastAsia" w:ascii="宋体" w:hAnsi="宋体" w:eastAsia="宋体" w:cs="宋体"/>
                <w:szCs w:val="21"/>
              </w:rPr>
            </w:pPr>
            <w:r>
              <w:rPr>
                <w:rFonts w:hint="eastAsia" w:ascii="宋体" w:hAnsi="宋体" w:eastAsia="宋体" w:cs="宋体"/>
                <w:szCs w:val="21"/>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5FAF910">
            <w:pPr>
              <w:spacing w:line="360" w:lineRule="auto"/>
              <w:jc w:val="center"/>
              <w:rPr>
                <w:rFonts w:hint="eastAsia" w:ascii="宋体" w:hAnsi="宋体" w:eastAsia="宋体" w:cs="宋体"/>
                <w:szCs w:val="21"/>
              </w:rPr>
            </w:pPr>
            <w:r>
              <w:rPr>
                <w:rFonts w:hint="eastAsia" w:ascii="宋体" w:hAnsi="宋体" w:eastAsia="宋体" w:cs="宋体"/>
                <w:szCs w:val="21"/>
              </w:rPr>
              <w:t>备注</w:t>
            </w:r>
          </w:p>
        </w:tc>
      </w:tr>
      <w:tr w14:paraId="603D5705">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B20371E">
            <w:pPr>
              <w:spacing w:line="360" w:lineRule="auto"/>
              <w:jc w:val="center"/>
              <w:rPr>
                <w:rFonts w:hint="eastAsia" w:ascii="宋体" w:hAnsi="宋体" w:eastAsia="宋体" w:cs="宋体"/>
                <w:szCs w:val="21"/>
              </w:rPr>
            </w:pPr>
            <w:r>
              <w:rPr>
                <w:rFonts w:hint="eastAsia" w:ascii="宋体" w:hAnsi="宋体" w:eastAsia="宋体" w:cs="宋体"/>
                <w:szCs w:val="21"/>
              </w:rPr>
              <w:t>1</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4676AC5">
            <w:pPr>
              <w:spacing w:line="360" w:lineRule="auto"/>
              <w:jc w:val="center"/>
              <w:rPr>
                <w:rFonts w:hint="eastAsia" w:ascii="宋体" w:hAnsi="宋体" w:eastAsia="宋体" w:cs="宋体"/>
                <w:szCs w:val="21"/>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2911152">
            <w:pPr>
              <w:spacing w:line="360" w:lineRule="auto"/>
              <w:jc w:val="center"/>
              <w:rPr>
                <w:rFonts w:hint="eastAsia" w:ascii="宋体" w:hAnsi="宋体" w:eastAsia="宋体" w:cs="宋体"/>
                <w:szCs w:val="21"/>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CD7B45C">
            <w:pPr>
              <w:spacing w:line="360" w:lineRule="auto"/>
              <w:jc w:val="center"/>
              <w:rPr>
                <w:rFonts w:hint="eastAsia" w:ascii="宋体" w:hAnsi="宋体" w:eastAsia="宋体" w:cs="宋体"/>
                <w:szCs w:val="21"/>
              </w:rPr>
            </w:pPr>
          </w:p>
        </w:tc>
      </w:tr>
      <w:tr w14:paraId="4B5879A3">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F367C89">
            <w:pPr>
              <w:spacing w:line="360" w:lineRule="auto"/>
              <w:jc w:val="center"/>
              <w:rPr>
                <w:rFonts w:hint="eastAsia" w:ascii="宋体" w:hAnsi="宋体" w:eastAsia="宋体" w:cs="宋体"/>
                <w:szCs w:val="21"/>
              </w:rPr>
            </w:pPr>
            <w:r>
              <w:rPr>
                <w:rFonts w:hint="eastAsia" w:ascii="宋体" w:hAnsi="宋体" w:eastAsia="宋体" w:cs="宋体"/>
                <w:szCs w:val="21"/>
              </w:rPr>
              <w:t>2</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BF5B838">
            <w:pPr>
              <w:spacing w:line="360" w:lineRule="auto"/>
              <w:jc w:val="center"/>
              <w:rPr>
                <w:rFonts w:hint="eastAsia" w:ascii="宋体" w:hAnsi="宋体" w:eastAsia="宋体" w:cs="宋体"/>
                <w:szCs w:val="21"/>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8197122">
            <w:pPr>
              <w:spacing w:line="360" w:lineRule="auto"/>
              <w:jc w:val="center"/>
              <w:rPr>
                <w:rFonts w:hint="eastAsia" w:ascii="宋体" w:hAnsi="宋体" w:eastAsia="宋体" w:cs="宋体"/>
                <w:szCs w:val="21"/>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45337EA">
            <w:pPr>
              <w:spacing w:line="360" w:lineRule="auto"/>
              <w:jc w:val="center"/>
              <w:rPr>
                <w:rFonts w:hint="eastAsia" w:ascii="宋体" w:hAnsi="宋体" w:eastAsia="宋体" w:cs="宋体"/>
                <w:szCs w:val="21"/>
              </w:rPr>
            </w:pPr>
          </w:p>
        </w:tc>
      </w:tr>
      <w:tr w14:paraId="27194909">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712594E">
            <w:pPr>
              <w:spacing w:line="360" w:lineRule="auto"/>
              <w:jc w:val="center"/>
              <w:rPr>
                <w:rFonts w:hint="eastAsia" w:ascii="宋体" w:hAnsi="宋体" w:eastAsia="宋体" w:cs="宋体"/>
                <w:szCs w:val="21"/>
              </w:rPr>
            </w:pPr>
            <w:r>
              <w:rPr>
                <w:rFonts w:hint="eastAsia" w:ascii="宋体" w:hAnsi="宋体" w:eastAsia="宋体" w:cs="宋体"/>
                <w:szCs w:val="21"/>
              </w:rPr>
              <w:t>3</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4F83D3C">
            <w:pPr>
              <w:spacing w:line="360" w:lineRule="auto"/>
              <w:jc w:val="center"/>
              <w:rPr>
                <w:rFonts w:hint="eastAsia" w:ascii="宋体" w:hAnsi="宋体" w:eastAsia="宋体" w:cs="宋体"/>
                <w:szCs w:val="21"/>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9CAD84E">
            <w:pPr>
              <w:spacing w:line="360" w:lineRule="auto"/>
              <w:jc w:val="center"/>
              <w:rPr>
                <w:rFonts w:hint="eastAsia" w:ascii="宋体" w:hAnsi="宋体" w:eastAsia="宋体" w:cs="宋体"/>
                <w:szCs w:val="21"/>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4AE139B">
            <w:pPr>
              <w:spacing w:line="360" w:lineRule="auto"/>
              <w:jc w:val="center"/>
              <w:rPr>
                <w:rFonts w:hint="eastAsia" w:ascii="宋体" w:hAnsi="宋体" w:eastAsia="宋体" w:cs="宋体"/>
                <w:szCs w:val="21"/>
              </w:rPr>
            </w:pPr>
          </w:p>
        </w:tc>
      </w:tr>
      <w:tr w14:paraId="21BF86C4">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65DFCB2">
            <w:pPr>
              <w:spacing w:line="360" w:lineRule="auto"/>
              <w:jc w:val="center"/>
              <w:rPr>
                <w:rFonts w:hint="eastAsia" w:ascii="宋体" w:hAnsi="宋体" w:eastAsia="宋体" w:cs="宋体"/>
                <w:szCs w:val="21"/>
              </w:rPr>
            </w:pPr>
            <w:r>
              <w:rPr>
                <w:rFonts w:hint="eastAsia" w:ascii="宋体" w:hAnsi="宋体" w:eastAsia="宋体" w:cs="宋体"/>
                <w:szCs w:val="21"/>
              </w:rPr>
              <w:t>……</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70A0FB5">
            <w:pPr>
              <w:spacing w:line="360" w:lineRule="auto"/>
              <w:jc w:val="center"/>
              <w:rPr>
                <w:rFonts w:hint="eastAsia" w:ascii="宋体" w:hAnsi="宋体" w:eastAsia="宋体" w:cs="宋体"/>
                <w:szCs w:val="21"/>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9E6314C">
            <w:pPr>
              <w:spacing w:line="360" w:lineRule="auto"/>
              <w:jc w:val="center"/>
              <w:rPr>
                <w:rFonts w:hint="eastAsia" w:ascii="宋体" w:hAnsi="宋体" w:eastAsia="宋体" w:cs="宋体"/>
                <w:szCs w:val="21"/>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397BF41">
            <w:pPr>
              <w:spacing w:line="360" w:lineRule="auto"/>
              <w:jc w:val="center"/>
              <w:rPr>
                <w:rFonts w:hint="eastAsia" w:ascii="宋体" w:hAnsi="宋体" w:eastAsia="宋体" w:cs="宋体"/>
                <w:szCs w:val="21"/>
              </w:rPr>
            </w:pPr>
          </w:p>
        </w:tc>
      </w:tr>
    </w:tbl>
    <w:p w14:paraId="43D49BAD">
      <w:pPr>
        <w:snapToGrid w:val="0"/>
        <w:spacing w:line="360" w:lineRule="auto"/>
        <w:jc w:val="left"/>
        <w:rPr>
          <w:rFonts w:hint="eastAsia" w:ascii="宋体" w:hAnsi="宋体" w:eastAsia="宋体" w:cs="宋体"/>
          <w:szCs w:val="21"/>
        </w:rPr>
      </w:pPr>
      <w:r>
        <w:rPr>
          <w:rFonts w:hint="eastAsia" w:ascii="宋体" w:hAnsi="宋体" w:eastAsia="宋体" w:cs="宋体"/>
          <w:szCs w:val="21"/>
        </w:rPr>
        <w:t>注：</w:t>
      </w:r>
    </w:p>
    <w:p w14:paraId="003F9973">
      <w:pPr>
        <w:snapToGrid w:val="0"/>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1.管理关系：是指不具有出资持股关系的其他单位之间存在的管理与被管理关系，如一些上下级关系的事业单位和团体组织。</w:t>
      </w:r>
    </w:p>
    <w:p w14:paraId="61547923">
      <w:pPr>
        <w:snapToGrid w:val="0"/>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2.本表所指的管理关系仅限于直接管理关系，不包括间接的管理关系。</w:t>
      </w:r>
    </w:p>
    <w:p w14:paraId="4233FBC5">
      <w:pPr>
        <w:snapToGrid w:val="0"/>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3.供应商不存在直接管理关系的，则填“无”。</w:t>
      </w:r>
    </w:p>
    <w:p w14:paraId="44C3CCE4">
      <w:pPr>
        <w:snapToGrid w:val="0"/>
        <w:spacing w:line="360" w:lineRule="auto"/>
        <w:jc w:val="left"/>
        <w:rPr>
          <w:rFonts w:hint="eastAsia" w:ascii="宋体" w:hAnsi="宋体" w:eastAsia="宋体" w:cs="宋体"/>
          <w:szCs w:val="21"/>
        </w:rPr>
      </w:pPr>
    </w:p>
    <w:p w14:paraId="72457A54">
      <w:pPr>
        <w:snapToGrid w:val="0"/>
        <w:spacing w:line="360" w:lineRule="auto"/>
        <w:jc w:val="left"/>
        <w:rPr>
          <w:rFonts w:hint="eastAsia" w:ascii="宋体" w:hAnsi="宋体" w:eastAsia="宋体" w:cs="宋体"/>
          <w:szCs w:val="21"/>
        </w:rPr>
      </w:pPr>
    </w:p>
    <w:p w14:paraId="0EFA7FD9">
      <w:pPr>
        <w:snapToGrid w:val="0"/>
        <w:spacing w:line="360" w:lineRule="auto"/>
        <w:jc w:val="left"/>
        <w:rPr>
          <w:rFonts w:hint="eastAsia" w:ascii="宋体" w:hAnsi="宋体" w:eastAsia="宋体" w:cs="宋体"/>
          <w:szCs w:val="21"/>
        </w:rPr>
      </w:pPr>
    </w:p>
    <w:p w14:paraId="36A87131">
      <w:pPr>
        <w:snapToGrid w:val="0"/>
        <w:spacing w:line="360" w:lineRule="auto"/>
        <w:jc w:val="left"/>
        <w:rPr>
          <w:rFonts w:hint="eastAsia" w:ascii="宋体" w:hAnsi="宋体" w:eastAsia="宋体" w:cs="宋体"/>
          <w:szCs w:val="21"/>
        </w:rPr>
      </w:pPr>
    </w:p>
    <w:p w14:paraId="5D6ABC5E">
      <w:pPr>
        <w:snapToGrid w:val="0"/>
        <w:spacing w:line="360" w:lineRule="auto"/>
        <w:jc w:val="left"/>
        <w:rPr>
          <w:rFonts w:hint="eastAsia" w:ascii="宋体" w:hAnsi="宋体" w:eastAsia="宋体" w:cs="宋体"/>
          <w:szCs w:val="21"/>
        </w:rPr>
      </w:pPr>
    </w:p>
    <w:p w14:paraId="46702645">
      <w:pPr>
        <w:snapToGrid w:val="0"/>
        <w:spacing w:line="360" w:lineRule="auto"/>
        <w:jc w:val="left"/>
        <w:rPr>
          <w:rFonts w:hint="eastAsia" w:ascii="宋体" w:hAnsi="宋体" w:eastAsia="宋体" w:cs="宋体"/>
          <w:szCs w:val="21"/>
        </w:rPr>
      </w:pPr>
    </w:p>
    <w:p w14:paraId="048AE388">
      <w:pPr>
        <w:snapToGrid w:val="0"/>
        <w:spacing w:line="360" w:lineRule="auto"/>
        <w:jc w:val="left"/>
        <w:rPr>
          <w:rFonts w:hint="eastAsia" w:ascii="宋体" w:hAnsi="宋体" w:eastAsia="宋体" w:cs="宋体"/>
          <w:szCs w:val="21"/>
        </w:rPr>
      </w:pPr>
    </w:p>
    <w:p w14:paraId="301B3A26">
      <w:pPr>
        <w:snapToGrid w:val="0"/>
        <w:spacing w:line="360" w:lineRule="auto"/>
        <w:jc w:val="left"/>
        <w:rPr>
          <w:rFonts w:hint="eastAsia" w:ascii="宋体" w:hAnsi="宋体" w:eastAsia="宋体" w:cs="宋体"/>
          <w:szCs w:val="21"/>
        </w:rPr>
      </w:pPr>
    </w:p>
    <w:p w14:paraId="78092E48">
      <w:pPr>
        <w:snapToGrid w:val="0"/>
        <w:spacing w:line="360" w:lineRule="auto"/>
        <w:ind w:firstLine="4410" w:firstLineChars="2100"/>
        <w:rPr>
          <w:rFonts w:hint="eastAsia" w:ascii="宋体" w:hAnsi="宋体" w:eastAsia="宋体" w:cs="宋体"/>
          <w:szCs w:val="21"/>
        </w:rPr>
      </w:pPr>
      <w:r>
        <w:rPr>
          <w:rFonts w:hint="eastAsia" w:ascii="宋体" w:hAnsi="宋体" w:eastAsia="宋体" w:cs="宋体"/>
          <w:szCs w:val="21"/>
        </w:rPr>
        <w:t>供应商名称(电子签章)：</w:t>
      </w:r>
    </w:p>
    <w:p w14:paraId="6F961ACA">
      <w:pPr>
        <w:snapToGrid w:val="0"/>
        <w:spacing w:line="360" w:lineRule="auto"/>
        <w:ind w:firstLine="4515" w:firstLineChars="2150"/>
        <w:rPr>
          <w:rFonts w:hint="eastAsia" w:ascii="宋体" w:hAnsi="宋体" w:eastAsia="宋体" w:cs="宋体"/>
          <w:szCs w:val="21"/>
        </w:rPr>
      </w:pPr>
      <w:r>
        <w:rPr>
          <w:rFonts w:hint="eastAsia" w:ascii="宋体" w:hAnsi="宋体" w:eastAsia="宋体" w:cs="宋体"/>
          <w:szCs w:val="21"/>
        </w:rPr>
        <w:t>日期：  年  月   日</w:t>
      </w:r>
    </w:p>
    <w:p w14:paraId="436744AB">
      <w:pPr>
        <w:pStyle w:val="11"/>
        <w:tabs>
          <w:tab w:val="left" w:pos="2127"/>
        </w:tabs>
        <w:spacing w:line="340" w:lineRule="exact"/>
        <w:rPr>
          <w:rFonts w:hint="eastAsia" w:ascii="宋体" w:hAnsi="宋体" w:eastAsia="宋体" w:cs="宋体"/>
        </w:rPr>
      </w:pPr>
    </w:p>
    <w:p w14:paraId="0AB4EC66">
      <w:pPr>
        <w:snapToGrid w:val="0"/>
        <w:spacing w:before="50" w:after="120" w:afterLines="50" w:line="440" w:lineRule="exact"/>
        <w:jc w:val="left"/>
        <w:rPr>
          <w:rFonts w:hint="eastAsia" w:ascii="宋体" w:hAnsi="宋体" w:eastAsia="宋体" w:cs="宋体"/>
          <w:szCs w:val="21"/>
        </w:rPr>
      </w:pPr>
    </w:p>
    <w:p w14:paraId="3BD07181">
      <w:pPr>
        <w:snapToGrid w:val="0"/>
        <w:spacing w:before="50" w:after="120" w:afterLines="50" w:line="400" w:lineRule="exact"/>
        <w:jc w:val="left"/>
        <w:rPr>
          <w:rFonts w:hint="eastAsia" w:ascii="宋体" w:hAnsi="宋体" w:eastAsia="宋体" w:cs="宋体"/>
          <w:bCs/>
          <w:sz w:val="24"/>
        </w:rPr>
      </w:pPr>
      <w:r>
        <w:rPr>
          <w:rFonts w:hint="eastAsia" w:ascii="宋体" w:hAnsi="宋体" w:eastAsia="宋体" w:cs="宋体"/>
          <w:szCs w:val="21"/>
        </w:rPr>
        <w:br w:type="page"/>
      </w:r>
      <w:r>
        <w:rPr>
          <w:rFonts w:hint="eastAsia" w:ascii="宋体" w:hAnsi="宋体" w:cs="宋体"/>
          <w:szCs w:val="21"/>
          <w:lang w:val="en-US" w:eastAsia="zh-CN"/>
        </w:rPr>
        <w:t>7</w:t>
      </w:r>
      <w:r>
        <w:rPr>
          <w:rFonts w:hint="eastAsia" w:ascii="宋体" w:hAnsi="宋体" w:eastAsia="宋体" w:cs="宋体"/>
          <w:szCs w:val="21"/>
        </w:rPr>
        <w:t>．建设工程项目管理承诺书</w:t>
      </w:r>
    </w:p>
    <w:p w14:paraId="272DF09D">
      <w:pPr>
        <w:pStyle w:val="23"/>
        <w:jc w:val="center"/>
        <w:rPr>
          <w:rFonts w:hint="eastAsia" w:ascii="宋体" w:hAnsi="宋体" w:eastAsia="宋体" w:cs="宋体"/>
          <w:szCs w:val="21"/>
        </w:rPr>
      </w:pPr>
      <w:r>
        <w:rPr>
          <w:rFonts w:hint="eastAsia" w:ascii="宋体" w:hAnsi="宋体" w:eastAsia="宋体" w:cs="宋体"/>
          <w:szCs w:val="21"/>
        </w:rPr>
        <w:t>建设工程项目管理承诺书</w:t>
      </w:r>
    </w:p>
    <w:p w14:paraId="38CF2C75">
      <w:pPr>
        <w:spacing w:line="360" w:lineRule="auto"/>
        <w:jc w:val="center"/>
        <w:rPr>
          <w:rFonts w:hint="eastAsia" w:ascii="宋体" w:hAnsi="宋体" w:eastAsia="宋体" w:cs="宋体"/>
          <w:b/>
          <w:bCs/>
          <w:sz w:val="24"/>
        </w:rPr>
      </w:pPr>
    </w:p>
    <w:p w14:paraId="1EB6940B">
      <w:pPr>
        <w:spacing w:line="360" w:lineRule="auto"/>
        <w:jc w:val="center"/>
        <w:rPr>
          <w:rFonts w:hint="eastAsia" w:ascii="宋体" w:hAnsi="宋体" w:eastAsia="宋体" w:cs="宋体"/>
          <w:b/>
          <w:bCs/>
          <w:sz w:val="24"/>
        </w:rPr>
      </w:pPr>
    </w:p>
    <w:p w14:paraId="75E636BD">
      <w:pPr>
        <w:pStyle w:val="11"/>
        <w:tabs>
          <w:tab w:val="left" w:pos="2127"/>
        </w:tabs>
        <w:spacing w:line="340" w:lineRule="exact"/>
        <w:rPr>
          <w:rFonts w:hint="eastAsia" w:ascii="宋体" w:hAnsi="宋体" w:eastAsia="宋体" w:cs="宋体"/>
        </w:rPr>
      </w:pPr>
      <w:r>
        <w:rPr>
          <w:rFonts w:hint="eastAsia" w:ascii="宋体" w:hAnsi="宋体" w:eastAsia="宋体" w:cs="宋体"/>
        </w:rPr>
        <w:t>致</w:t>
      </w:r>
      <w:r>
        <w:rPr>
          <w:rFonts w:hint="eastAsia" w:ascii="宋体" w:hAnsi="宋体" w:eastAsia="宋体" w:cs="宋体"/>
          <w:i/>
          <w:iCs/>
          <w:u w:val="single"/>
        </w:rPr>
        <w:t>（采购人名称）</w:t>
      </w:r>
      <w:r>
        <w:rPr>
          <w:rFonts w:hint="eastAsia" w:ascii="宋体" w:hAnsi="宋体" w:eastAsia="宋体" w:cs="宋体"/>
        </w:rPr>
        <w:t>：</w:t>
      </w:r>
    </w:p>
    <w:p w14:paraId="6D862413">
      <w:pPr>
        <w:snapToGrid w:val="0"/>
        <w:spacing w:before="120" w:beforeLines="50" w:line="360" w:lineRule="exact"/>
        <w:ind w:firstLine="420" w:firstLineChars="200"/>
        <w:rPr>
          <w:rFonts w:hint="eastAsia" w:ascii="宋体" w:hAnsi="宋体" w:eastAsia="宋体" w:cs="宋体"/>
          <w:szCs w:val="21"/>
        </w:rPr>
      </w:pPr>
      <w:r>
        <w:rPr>
          <w:rFonts w:hint="eastAsia" w:ascii="宋体" w:hAnsi="宋体" w:eastAsia="宋体" w:cs="宋体"/>
          <w:szCs w:val="21"/>
        </w:rPr>
        <w:t>作为参与</w:t>
      </w:r>
      <w:r>
        <w:rPr>
          <w:rFonts w:hint="eastAsia" w:ascii="宋体" w:hAnsi="宋体" w:eastAsia="宋体" w:cs="宋体"/>
          <w:szCs w:val="21"/>
          <w:u w:val="single"/>
        </w:rPr>
        <w:t></w:t>
      </w:r>
      <w:r>
        <w:rPr>
          <w:rFonts w:hint="eastAsia" w:ascii="宋体" w:hAnsi="宋体" w:eastAsia="宋体" w:cs="宋体"/>
          <w:i/>
          <w:iCs/>
          <w:szCs w:val="21"/>
          <w:u w:val="single"/>
        </w:rPr>
        <w:t>（工程名称）</w:t>
      </w:r>
      <w:r>
        <w:rPr>
          <w:rFonts w:hint="eastAsia" w:ascii="宋体" w:hAnsi="宋体" w:eastAsia="宋体" w:cs="宋体"/>
          <w:szCs w:val="21"/>
        </w:rPr>
        <w:t>项目的供应商，根据国家、自治区相关文件规定，我方在此承诺：</w:t>
      </w:r>
    </w:p>
    <w:p w14:paraId="6A907B12">
      <w:pPr>
        <w:spacing w:line="520" w:lineRule="exact"/>
        <w:ind w:left="-2" w:leftChars="-1" w:firstLine="449" w:firstLineChars="214"/>
        <w:jc w:val="left"/>
        <w:rPr>
          <w:rFonts w:hint="eastAsia" w:ascii="宋体" w:hAnsi="宋体" w:eastAsia="宋体" w:cs="宋体"/>
          <w:szCs w:val="21"/>
        </w:rPr>
      </w:pPr>
      <w:r>
        <w:rPr>
          <w:rFonts w:hint="eastAsia" w:ascii="宋体" w:hAnsi="宋体" w:eastAsia="宋体" w:cs="宋体"/>
          <w:szCs w:val="21"/>
        </w:rPr>
        <w:t>1、一旦成交，</w:t>
      </w:r>
      <w:r>
        <w:rPr>
          <w:rFonts w:hint="eastAsia" w:ascii="宋体" w:hAnsi="宋体" w:eastAsia="宋体" w:cs="宋体"/>
        </w:rPr>
        <w:t>我方保证按照政府相关部门的规定，在</w:t>
      </w:r>
      <w:r>
        <w:rPr>
          <w:rFonts w:hint="eastAsia" w:ascii="宋体" w:hAnsi="宋体" w:eastAsia="宋体" w:cs="宋体"/>
          <w:szCs w:val="21"/>
        </w:rPr>
        <w:t>成交</w:t>
      </w:r>
      <w:r>
        <w:rPr>
          <w:rFonts w:hint="eastAsia" w:ascii="宋体" w:hAnsi="宋体" w:eastAsia="宋体" w:cs="宋体"/>
        </w:rPr>
        <w:t>后7个工作日内，按照《保障农民工工资支付条例》规定及广西壮族自治区有关规定开设农民工工资专用账户，并按</w:t>
      </w:r>
      <w:r>
        <w:rPr>
          <w:rFonts w:hint="eastAsia" w:ascii="宋体" w:hAnsi="宋体" w:eastAsia="宋体" w:cs="宋体"/>
          <w:u w:val="single"/>
        </w:rPr>
        <w:t>要求</w:t>
      </w:r>
      <w:r>
        <w:rPr>
          <w:rFonts w:hint="eastAsia" w:ascii="宋体" w:hAnsi="宋体" w:eastAsia="宋体" w:cs="宋体"/>
        </w:rPr>
        <w:t>比例将农民工工资保证金存入帐户，专项用于支付本工程提供劳动的农民工被拖欠的工资。按照与农民工依法约定的工资支付周期和具体支付日期支付工资，保证每月至少向农民工足额支付一次工资。</w:t>
      </w:r>
    </w:p>
    <w:p w14:paraId="3F6AB1BE">
      <w:pPr>
        <w:spacing w:line="520" w:lineRule="exact"/>
        <w:ind w:left="-2" w:leftChars="-1" w:firstLine="449" w:firstLineChars="214"/>
        <w:jc w:val="left"/>
        <w:rPr>
          <w:rFonts w:hint="eastAsia" w:ascii="宋体" w:hAnsi="宋体" w:eastAsia="宋体" w:cs="宋体"/>
          <w:szCs w:val="21"/>
        </w:rPr>
      </w:pPr>
      <w:r>
        <w:rPr>
          <w:rFonts w:hint="eastAsia" w:ascii="宋体" w:hAnsi="宋体" w:eastAsia="宋体" w:cs="宋体"/>
          <w:szCs w:val="21"/>
        </w:rPr>
        <w:t>2、一旦成交，我方保证在施工过程中，严格执行《广西壮族自治区建筑工程安全文明施工费使用管理细则》（桂建质〔2015〕16号）的有关规定，确保建设工程各项安全防护、文明施工措施落实到位。如我方在该项目的承包中出现未按桂建质〔2015〕16号文附件一规定执行的情形，我方愿意按照相关规定接受建设单位及有关主管部门的处罚。</w:t>
      </w:r>
    </w:p>
    <w:p w14:paraId="1BD57674">
      <w:pPr>
        <w:spacing w:line="520" w:lineRule="exact"/>
        <w:ind w:left="-2" w:leftChars="-1" w:firstLine="449" w:firstLineChars="214"/>
        <w:jc w:val="left"/>
        <w:rPr>
          <w:rFonts w:hint="eastAsia" w:ascii="宋体" w:hAnsi="宋体" w:eastAsia="宋体" w:cs="宋体"/>
          <w:szCs w:val="21"/>
        </w:rPr>
      </w:pPr>
      <w:r>
        <w:rPr>
          <w:rFonts w:hint="eastAsia" w:ascii="宋体" w:hAnsi="宋体" w:eastAsia="宋体" w:cs="宋体"/>
          <w:szCs w:val="21"/>
        </w:rPr>
        <w:t>3、一旦成交，我方保证在施工过程中，严格执行散装水泥和预拌混凝土管理的有关规定，确保建设工程按规定使用散装水泥和预拌混凝土。如我方在该项目的承包中出现未按规定执行的情形，我方愿意按照相关规定接受建设单位及有关主管部门的处罚。</w:t>
      </w:r>
    </w:p>
    <w:p w14:paraId="7209C678">
      <w:pPr>
        <w:spacing w:line="520" w:lineRule="exact"/>
        <w:ind w:left="-2" w:leftChars="-1" w:firstLine="449" w:firstLineChars="214"/>
        <w:jc w:val="left"/>
        <w:rPr>
          <w:rFonts w:hint="eastAsia" w:ascii="宋体" w:hAnsi="宋体" w:eastAsia="宋体" w:cs="宋体"/>
          <w:szCs w:val="21"/>
        </w:rPr>
      </w:pPr>
      <w:r>
        <w:rPr>
          <w:rFonts w:hint="eastAsia" w:ascii="宋体" w:hAnsi="宋体" w:eastAsia="宋体" w:cs="宋体"/>
          <w:szCs w:val="21"/>
        </w:rPr>
        <w:t>4、一旦成交，我方保证在施工过程中，严格执行《关于禁止使用不符合规范要求的竹脚手架的通知》（桂建管字〔2003〕40号）的有关规定，不使用竹脚手架。如我方在该项目的承包中出现未按规定执行的情形，我方愿意按照相关规定接受建设单位及有关主管部门的处罚。</w:t>
      </w:r>
    </w:p>
    <w:p w14:paraId="3046B23F">
      <w:pPr>
        <w:spacing w:line="520" w:lineRule="exact"/>
        <w:ind w:left="-2" w:leftChars="-1" w:firstLine="449" w:firstLineChars="214"/>
        <w:jc w:val="left"/>
        <w:rPr>
          <w:rFonts w:hint="eastAsia" w:ascii="宋体" w:hAnsi="宋体" w:eastAsia="宋体" w:cs="宋体"/>
        </w:rPr>
      </w:pPr>
      <w:r>
        <w:rPr>
          <w:rFonts w:hint="eastAsia" w:ascii="宋体" w:hAnsi="宋体" w:eastAsia="宋体" w:cs="宋体"/>
          <w:szCs w:val="21"/>
        </w:rPr>
        <w:t>5、一旦成交，我方保证严格执行《危险性较大的分部分项工程安全管理规定》（建办质〔2018〕31号）的规定，强化对深基坑、高切坡、高大模板、人工挖孔桩、起重吊装、临时活动板房等重大危险源的专项施工方案的编制、论证、审批、实施、检测的风险管理。</w:t>
      </w:r>
    </w:p>
    <w:p w14:paraId="742DB610">
      <w:pPr>
        <w:spacing w:line="360" w:lineRule="auto"/>
        <w:jc w:val="left"/>
        <w:rPr>
          <w:rFonts w:hint="eastAsia" w:ascii="宋体" w:hAnsi="宋体" w:eastAsia="宋体" w:cs="宋体"/>
        </w:rPr>
      </w:pPr>
    </w:p>
    <w:p w14:paraId="48900547">
      <w:pPr>
        <w:spacing w:line="360" w:lineRule="auto"/>
        <w:jc w:val="left"/>
        <w:rPr>
          <w:rFonts w:hint="eastAsia" w:ascii="宋体" w:hAnsi="宋体" w:eastAsia="宋体" w:cs="宋体"/>
        </w:rPr>
      </w:pPr>
    </w:p>
    <w:p w14:paraId="2551E6A3">
      <w:pPr>
        <w:snapToGrid w:val="0"/>
        <w:spacing w:before="120" w:beforeLines="50" w:after="50" w:line="360" w:lineRule="exact"/>
        <w:ind w:firstLine="4410" w:firstLineChars="2100"/>
        <w:rPr>
          <w:rFonts w:hint="eastAsia" w:ascii="宋体" w:hAnsi="宋体" w:eastAsia="宋体" w:cs="宋体"/>
          <w:szCs w:val="21"/>
        </w:rPr>
      </w:pPr>
      <w:bookmarkStart w:id="577" w:name="_Hlk89190944"/>
      <w:r>
        <w:rPr>
          <w:rFonts w:hint="eastAsia" w:ascii="宋体" w:hAnsi="宋体" w:eastAsia="宋体" w:cs="宋体"/>
          <w:szCs w:val="21"/>
        </w:rPr>
        <w:t>供应商名称（电子签章）：</w:t>
      </w:r>
      <w:r>
        <w:rPr>
          <w:rFonts w:hint="eastAsia" w:ascii="宋体" w:hAnsi="宋体" w:eastAsia="宋体" w:cs="宋体"/>
          <w:szCs w:val="21"/>
          <w:u w:val="single"/>
        </w:rPr>
        <w:t xml:space="preserve">                </w:t>
      </w:r>
    </w:p>
    <w:bookmarkEnd w:id="577"/>
    <w:p w14:paraId="17B26EBE">
      <w:pPr>
        <w:spacing w:line="360" w:lineRule="auto"/>
        <w:ind w:firstLine="1260" w:firstLineChars="600"/>
        <w:jc w:val="left"/>
        <w:rPr>
          <w:rFonts w:hint="eastAsia" w:ascii="宋体" w:hAnsi="宋体" w:eastAsia="宋体" w:cs="宋体"/>
        </w:rPr>
      </w:pPr>
    </w:p>
    <w:p w14:paraId="14B571C7">
      <w:pPr>
        <w:spacing w:line="360" w:lineRule="auto"/>
        <w:ind w:firstLine="4515" w:firstLineChars="2150"/>
        <w:jc w:val="left"/>
        <w:rPr>
          <w:rFonts w:hint="eastAsia" w:ascii="宋体" w:hAnsi="宋体" w:eastAsia="宋体" w:cs="宋体"/>
        </w:rPr>
      </w:pPr>
      <w:r>
        <w:rPr>
          <w:rFonts w:hint="eastAsia" w:ascii="宋体" w:hAnsi="宋体" w:eastAsia="宋体" w:cs="宋体"/>
        </w:rPr>
        <w:t>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w:t>
      </w:r>
    </w:p>
    <w:p w14:paraId="1D6232CA">
      <w:pPr>
        <w:spacing w:line="360" w:lineRule="auto"/>
        <w:ind w:firstLine="525" w:firstLineChars="250"/>
        <w:jc w:val="center"/>
        <w:rPr>
          <w:rFonts w:hint="eastAsia" w:ascii="宋体" w:hAnsi="宋体" w:eastAsia="宋体" w:cs="宋体"/>
          <w:b/>
          <w:sz w:val="28"/>
          <w:szCs w:val="28"/>
        </w:rPr>
      </w:pPr>
      <w:r>
        <w:rPr>
          <w:rFonts w:hint="eastAsia" w:ascii="宋体" w:hAnsi="宋体" w:eastAsia="宋体" w:cs="宋体"/>
          <w:szCs w:val="21"/>
        </w:rPr>
        <w:br w:type="page"/>
      </w:r>
      <w:r>
        <w:rPr>
          <w:rFonts w:hint="eastAsia" w:ascii="宋体" w:hAnsi="宋体" w:eastAsia="宋体" w:cs="宋体"/>
          <w:b/>
          <w:sz w:val="28"/>
          <w:szCs w:val="28"/>
        </w:rPr>
        <w:t>广西壮族自治区建筑工程安全文明施工措施项目清单内容</w:t>
      </w:r>
    </w:p>
    <w:p w14:paraId="569CEE21">
      <w:pPr>
        <w:pStyle w:val="24"/>
        <w:spacing w:line="360" w:lineRule="auto"/>
        <w:jc w:val="center"/>
        <w:rPr>
          <w:rFonts w:hint="eastAsia" w:ascii="宋体" w:hAnsi="宋体" w:eastAsia="宋体" w:cs="宋体"/>
        </w:rPr>
      </w:pPr>
      <w:r>
        <w:rPr>
          <w:rFonts w:hint="eastAsia" w:ascii="宋体" w:hAnsi="宋体" w:eastAsia="宋体" w:cs="宋体"/>
          <w:sz w:val="24"/>
        </w:rPr>
        <w:t>（桂建质【2015】16号文附件一）</w:t>
      </w:r>
    </w:p>
    <w:p w14:paraId="63DEC46D">
      <w:pPr>
        <w:pStyle w:val="25"/>
        <w:spacing w:line="0" w:lineRule="atLeast"/>
        <w:jc w:val="center"/>
        <w:rPr>
          <w:rFonts w:hint="eastAsia" w:ascii="宋体" w:hAnsi="宋体" w:eastAsia="宋体" w:cs="宋体"/>
          <w:b/>
          <w:bCs/>
          <w:sz w:val="24"/>
        </w:rPr>
      </w:pPr>
      <w:r>
        <w:rPr>
          <w:rFonts w:hint="eastAsia" w:ascii="宋体" w:hAnsi="宋体" w:eastAsia="宋体" w:cs="宋体"/>
          <w:b/>
          <w:bCs/>
          <w:sz w:val="24"/>
        </w:rPr>
        <w:t>广西壮族自治区</w:t>
      </w:r>
    </w:p>
    <w:p w14:paraId="4827B30A">
      <w:pPr>
        <w:pStyle w:val="25"/>
        <w:spacing w:line="0" w:lineRule="atLeast"/>
        <w:jc w:val="center"/>
        <w:rPr>
          <w:rFonts w:hint="eastAsia" w:ascii="宋体" w:hAnsi="宋体" w:eastAsia="宋体" w:cs="宋体"/>
          <w:b/>
          <w:bCs/>
          <w:w w:val="90"/>
          <w:sz w:val="24"/>
        </w:rPr>
      </w:pPr>
      <w:r>
        <w:rPr>
          <w:rFonts w:hint="eastAsia" w:ascii="宋体" w:hAnsi="宋体" w:eastAsia="宋体" w:cs="宋体"/>
          <w:b/>
          <w:bCs/>
          <w:w w:val="90"/>
          <w:sz w:val="24"/>
        </w:rPr>
        <w:t>建设工程安全文明施工措施项目清单内容</w:t>
      </w:r>
    </w:p>
    <w:tbl>
      <w:tblPr>
        <w:tblStyle w:val="15"/>
        <w:tblW w:w="9453"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38"/>
        <w:gridCol w:w="525"/>
        <w:gridCol w:w="1545"/>
        <w:gridCol w:w="6645"/>
      </w:tblGrid>
      <w:tr w14:paraId="35838C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01" w:hRule="exact"/>
        </w:trPr>
        <w:tc>
          <w:tcPr>
            <w:tcW w:w="738" w:type="dxa"/>
            <w:noWrap w:val="0"/>
            <w:vAlign w:val="center"/>
          </w:tcPr>
          <w:p w14:paraId="4C724720">
            <w:pPr>
              <w:pStyle w:val="25"/>
              <w:spacing w:line="300" w:lineRule="exact"/>
              <w:jc w:val="center"/>
              <w:rPr>
                <w:rFonts w:hint="eastAsia" w:ascii="宋体" w:hAnsi="宋体" w:eastAsia="宋体" w:cs="宋体"/>
                <w:b/>
                <w:bCs/>
                <w:szCs w:val="21"/>
              </w:rPr>
            </w:pPr>
            <w:r>
              <w:rPr>
                <w:rFonts w:hint="eastAsia" w:ascii="宋体" w:hAnsi="宋体" w:eastAsia="宋体" w:cs="宋体"/>
                <w:b/>
                <w:bCs/>
                <w:szCs w:val="21"/>
              </w:rPr>
              <w:t>类别</w:t>
            </w:r>
          </w:p>
        </w:tc>
        <w:tc>
          <w:tcPr>
            <w:tcW w:w="2070" w:type="dxa"/>
            <w:gridSpan w:val="2"/>
            <w:noWrap w:val="0"/>
            <w:vAlign w:val="center"/>
          </w:tcPr>
          <w:p w14:paraId="3CE1AC56">
            <w:pPr>
              <w:pStyle w:val="25"/>
              <w:spacing w:line="300" w:lineRule="exact"/>
              <w:jc w:val="center"/>
              <w:rPr>
                <w:rFonts w:hint="eastAsia" w:ascii="宋体" w:hAnsi="宋体" w:eastAsia="宋体" w:cs="宋体"/>
                <w:b/>
                <w:bCs/>
                <w:szCs w:val="21"/>
              </w:rPr>
            </w:pPr>
            <w:r>
              <w:rPr>
                <w:rFonts w:hint="eastAsia" w:ascii="宋体" w:hAnsi="宋体" w:eastAsia="宋体" w:cs="宋体"/>
                <w:b/>
                <w:bCs/>
                <w:szCs w:val="21"/>
              </w:rPr>
              <w:t>项目名称</w:t>
            </w:r>
          </w:p>
        </w:tc>
        <w:tc>
          <w:tcPr>
            <w:tcW w:w="6645" w:type="dxa"/>
            <w:noWrap w:val="0"/>
            <w:vAlign w:val="center"/>
          </w:tcPr>
          <w:p w14:paraId="369441E8">
            <w:pPr>
              <w:pStyle w:val="25"/>
              <w:spacing w:line="300" w:lineRule="exact"/>
              <w:jc w:val="center"/>
              <w:rPr>
                <w:rFonts w:hint="eastAsia" w:ascii="宋体" w:hAnsi="宋体" w:eastAsia="宋体" w:cs="宋体"/>
                <w:b/>
                <w:bCs/>
                <w:szCs w:val="21"/>
              </w:rPr>
            </w:pPr>
            <w:r>
              <w:rPr>
                <w:rFonts w:hint="eastAsia" w:ascii="宋体" w:hAnsi="宋体" w:eastAsia="宋体" w:cs="宋体"/>
                <w:b/>
                <w:bCs/>
                <w:szCs w:val="21"/>
              </w:rPr>
              <w:t>主要内容和要求</w:t>
            </w:r>
          </w:p>
        </w:tc>
      </w:tr>
      <w:tr w14:paraId="75A5C0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noWrap w:val="0"/>
            <w:vAlign w:val="center"/>
          </w:tcPr>
          <w:p w14:paraId="0DF0A1F7">
            <w:pPr>
              <w:pStyle w:val="25"/>
              <w:spacing w:line="300" w:lineRule="exact"/>
              <w:jc w:val="center"/>
              <w:rPr>
                <w:rFonts w:hint="eastAsia" w:ascii="宋体" w:hAnsi="宋体" w:eastAsia="宋体" w:cs="宋体"/>
                <w:szCs w:val="21"/>
              </w:rPr>
            </w:pPr>
            <w:r>
              <w:rPr>
                <w:rFonts w:hint="eastAsia" w:ascii="宋体" w:hAnsi="宋体" w:eastAsia="宋体" w:cs="宋体"/>
                <w:szCs w:val="21"/>
              </w:rPr>
              <w:t>文明</w:t>
            </w:r>
          </w:p>
          <w:p w14:paraId="161F87AE">
            <w:pPr>
              <w:pStyle w:val="25"/>
              <w:spacing w:line="300" w:lineRule="exact"/>
              <w:jc w:val="center"/>
              <w:rPr>
                <w:rFonts w:hint="eastAsia" w:ascii="宋体" w:hAnsi="宋体" w:eastAsia="宋体" w:cs="宋体"/>
                <w:szCs w:val="21"/>
              </w:rPr>
            </w:pPr>
            <w:r>
              <w:rPr>
                <w:rFonts w:hint="eastAsia" w:ascii="宋体" w:hAnsi="宋体" w:eastAsia="宋体" w:cs="宋体"/>
                <w:szCs w:val="21"/>
              </w:rPr>
              <w:t>施工</w:t>
            </w:r>
          </w:p>
          <w:p w14:paraId="484E0ADA">
            <w:pPr>
              <w:pStyle w:val="25"/>
              <w:spacing w:line="300" w:lineRule="exact"/>
              <w:jc w:val="center"/>
              <w:rPr>
                <w:rFonts w:hint="eastAsia" w:ascii="宋体" w:hAnsi="宋体" w:eastAsia="宋体" w:cs="宋体"/>
                <w:szCs w:val="21"/>
              </w:rPr>
            </w:pPr>
            <w:r>
              <w:rPr>
                <w:rFonts w:hint="eastAsia" w:ascii="宋体" w:hAnsi="宋体" w:eastAsia="宋体" w:cs="宋体"/>
                <w:szCs w:val="21"/>
              </w:rPr>
              <w:t>与</w:t>
            </w:r>
          </w:p>
          <w:p w14:paraId="29822890">
            <w:pPr>
              <w:pStyle w:val="25"/>
              <w:spacing w:line="300" w:lineRule="exact"/>
              <w:jc w:val="center"/>
              <w:rPr>
                <w:rFonts w:hint="eastAsia" w:ascii="宋体" w:hAnsi="宋体" w:eastAsia="宋体" w:cs="宋体"/>
                <w:szCs w:val="21"/>
              </w:rPr>
            </w:pPr>
            <w:r>
              <w:rPr>
                <w:rFonts w:hint="eastAsia" w:ascii="宋体" w:hAnsi="宋体" w:eastAsia="宋体" w:cs="宋体"/>
                <w:szCs w:val="21"/>
              </w:rPr>
              <w:t>环境</w:t>
            </w:r>
          </w:p>
          <w:p w14:paraId="6DA01B0B">
            <w:pPr>
              <w:pStyle w:val="25"/>
              <w:spacing w:line="300" w:lineRule="exact"/>
              <w:jc w:val="center"/>
              <w:rPr>
                <w:rFonts w:hint="eastAsia" w:ascii="宋体" w:hAnsi="宋体" w:eastAsia="宋体" w:cs="宋体"/>
                <w:szCs w:val="21"/>
              </w:rPr>
            </w:pPr>
            <w:r>
              <w:rPr>
                <w:rFonts w:hint="eastAsia" w:ascii="宋体" w:hAnsi="宋体" w:eastAsia="宋体" w:cs="宋体"/>
                <w:szCs w:val="21"/>
              </w:rPr>
              <w:t>保护</w:t>
            </w:r>
          </w:p>
        </w:tc>
        <w:tc>
          <w:tcPr>
            <w:tcW w:w="2070" w:type="dxa"/>
            <w:gridSpan w:val="2"/>
            <w:noWrap w:val="0"/>
            <w:vAlign w:val="center"/>
          </w:tcPr>
          <w:p w14:paraId="5BF0CB00">
            <w:pPr>
              <w:pStyle w:val="25"/>
              <w:spacing w:line="300" w:lineRule="exact"/>
              <w:jc w:val="center"/>
              <w:rPr>
                <w:rFonts w:hint="eastAsia" w:ascii="宋体" w:hAnsi="宋体" w:eastAsia="宋体" w:cs="宋体"/>
                <w:szCs w:val="21"/>
              </w:rPr>
            </w:pPr>
            <w:r>
              <w:rPr>
                <w:rFonts w:hint="eastAsia" w:ascii="宋体" w:hAnsi="宋体" w:eastAsia="宋体" w:cs="宋体"/>
                <w:szCs w:val="21"/>
              </w:rPr>
              <w:t>安全警示</w:t>
            </w:r>
          </w:p>
          <w:p w14:paraId="29BB246C">
            <w:pPr>
              <w:pStyle w:val="25"/>
              <w:spacing w:line="300" w:lineRule="exact"/>
              <w:jc w:val="center"/>
              <w:rPr>
                <w:rFonts w:hint="eastAsia" w:ascii="宋体" w:hAnsi="宋体" w:eastAsia="宋体" w:cs="宋体"/>
                <w:szCs w:val="21"/>
              </w:rPr>
            </w:pPr>
            <w:r>
              <w:rPr>
                <w:rFonts w:hint="eastAsia" w:ascii="宋体" w:hAnsi="宋体" w:eastAsia="宋体" w:cs="宋体"/>
                <w:szCs w:val="21"/>
              </w:rPr>
              <w:t>标志牌</w:t>
            </w:r>
          </w:p>
        </w:tc>
        <w:tc>
          <w:tcPr>
            <w:tcW w:w="6645" w:type="dxa"/>
            <w:noWrap w:val="0"/>
            <w:vAlign w:val="center"/>
          </w:tcPr>
          <w:p w14:paraId="4CE9E25F">
            <w:pPr>
              <w:pStyle w:val="25"/>
              <w:spacing w:line="300" w:lineRule="exact"/>
              <w:rPr>
                <w:rFonts w:hint="eastAsia" w:ascii="宋体" w:hAnsi="宋体" w:eastAsia="宋体" w:cs="宋体"/>
                <w:szCs w:val="21"/>
              </w:rPr>
            </w:pPr>
            <w:r>
              <w:rPr>
                <w:rFonts w:hint="eastAsia" w:ascii="宋体" w:hAnsi="宋体" w:eastAsia="宋体" w:cs="宋体"/>
                <w:szCs w:val="21"/>
              </w:rPr>
              <w:t>在易发伤亡事故（或危险）处设置明显的、符合国家标准要求的安全警示标志牌。</w:t>
            </w:r>
          </w:p>
        </w:tc>
      </w:tr>
      <w:tr w14:paraId="577952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385E38B1">
            <w:pPr>
              <w:pStyle w:val="25"/>
              <w:spacing w:line="300" w:lineRule="exact"/>
              <w:jc w:val="center"/>
              <w:rPr>
                <w:rFonts w:hint="eastAsia" w:ascii="宋体" w:hAnsi="宋体" w:eastAsia="宋体" w:cs="宋体"/>
                <w:szCs w:val="21"/>
              </w:rPr>
            </w:pPr>
          </w:p>
        </w:tc>
        <w:tc>
          <w:tcPr>
            <w:tcW w:w="2070" w:type="dxa"/>
            <w:gridSpan w:val="2"/>
            <w:noWrap w:val="0"/>
            <w:vAlign w:val="center"/>
          </w:tcPr>
          <w:p w14:paraId="2AD1C117">
            <w:pPr>
              <w:pStyle w:val="25"/>
              <w:spacing w:line="300" w:lineRule="exact"/>
              <w:jc w:val="center"/>
              <w:rPr>
                <w:rFonts w:hint="eastAsia" w:ascii="宋体" w:hAnsi="宋体" w:eastAsia="宋体" w:cs="宋体"/>
                <w:szCs w:val="21"/>
              </w:rPr>
            </w:pPr>
            <w:r>
              <w:rPr>
                <w:rFonts w:hint="eastAsia" w:ascii="宋体" w:hAnsi="宋体" w:eastAsia="宋体" w:cs="宋体"/>
                <w:szCs w:val="21"/>
              </w:rPr>
              <w:t>现场围挡</w:t>
            </w:r>
          </w:p>
        </w:tc>
        <w:tc>
          <w:tcPr>
            <w:tcW w:w="6645" w:type="dxa"/>
            <w:noWrap w:val="0"/>
            <w:vAlign w:val="center"/>
          </w:tcPr>
          <w:p w14:paraId="5CFAC4B6">
            <w:pPr>
              <w:pStyle w:val="25"/>
              <w:spacing w:line="300" w:lineRule="exact"/>
              <w:rPr>
                <w:rFonts w:hint="eastAsia" w:ascii="宋体" w:hAnsi="宋体" w:eastAsia="宋体" w:cs="宋体"/>
                <w:szCs w:val="21"/>
              </w:rPr>
            </w:pPr>
            <w:r>
              <w:rPr>
                <w:rFonts w:hint="eastAsia" w:ascii="宋体" w:hAnsi="宋体" w:eastAsia="宋体" w:cs="宋体"/>
                <w:szCs w:val="21"/>
              </w:rPr>
              <w:t>1. 现场采用封闭围挡，高度不小于1.8m。</w:t>
            </w:r>
          </w:p>
          <w:p w14:paraId="6FA23BC8">
            <w:pPr>
              <w:pStyle w:val="25"/>
              <w:spacing w:line="300" w:lineRule="exact"/>
              <w:rPr>
                <w:rFonts w:hint="eastAsia" w:ascii="宋体" w:hAnsi="宋体" w:eastAsia="宋体" w:cs="宋体"/>
                <w:szCs w:val="21"/>
              </w:rPr>
            </w:pPr>
            <w:r>
              <w:rPr>
                <w:rFonts w:hint="eastAsia" w:ascii="宋体" w:hAnsi="宋体" w:eastAsia="宋体" w:cs="宋体"/>
                <w:szCs w:val="21"/>
              </w:rPr>
              <w:t>2. 围挡材料可用彩色、定型钢板，砌块等墙体。</w:t>
            </w:r>
          </w:p>
        </w:tc>
      </w:tr>
      <w:tr w14:paraId="4CAE9A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2F29B9C5">
            <w:pPr>
              <w:pStyle w:val="25"/>
              <w:spacing w:line="300" w:lineRule="exact"/>
              <w:jc w:val="center"/>
              <w:rPr>
                <w:rFonts w:hint="eastAsia" w:ascii="宋体" w:hAnsi="宋体" w:eastAsia="宋体" w:cs="宋体"/>
                <w:szCs w:val="21"/>
              </w:rPr>
            </w:pPr>
          </w:p>
        </w:tc>
        <w:tc>
          <w:tcPr>
            <w:tcW w:w="2070" w:type="dxa"/>
            <w:gridSpan w:val="2"/>
            <w:noWrap w:val="0"/>
            <w:vAlign w:val="center"/>
          </w:tcPr>
          <w:p w14:paraId="102586A6">
            <w:pPr>
              <w:pStyle w:val="25"/>
              <w:spacing w:line="300" w:lineRule="exact"/>
              <w:jc w:val="center"/>
              <w:rPr>
                <w:rFonts w:hint="eastAsia" w:ascii="宋体" w:hAnsi="宋体" w:eastAsia="宋体" w:cs="宋体"/>
                <w:szCs w:val="21"/>
              </w:rPr>
            </w:pPr>
            <w:r>
              <w:rPr>
                <w:rFonts w:hint="eastAsia" w:ascii="宋体" w:hAnsi="宋体" w:eastAsia="宋体" w:cs="宋体"/>
                <w:szCs w:val="21"/>
              </w:rPr>
              <w:t>七牌二图</w:t>
            </w:r>
          </w:p>
        </w:tc>
        <w:tc>
          <w:tcPr>
            <w:tcW w:w="6645" w:type="dxa"/>
            <w:noWrap w:val="0"/>
            <w:vAlign w:val="center"/>
          </w:tcPr>
          <w:p w14:paraId="21C0E102">
            <w:pPr>
              <w:pStyle w:val="25"/>
              <w:spacing w:line="300" w:lineRule="exact"/>
              <w:rPr>
                <w:rFonts w:hint="eastAsia" w:ascii="宋体" w:hAnsi="宋体" w:eastAsia="宋体" w:cs="宋体"/>
                <w:szCs w:val="21"/>
              </w:rPr>
            </w:pPr>
            <w:r>
              <w:rPr>
                <w:rFonts w:hint="eastAsia" w:ascii="宋体" w:hAnsi="宋体" w:eastAsia="宋体" w:cs="宋体"/>
                <w:szCs w:val="21"/>
              </w:rPr>
              <w:t>在进门处悬挂工程概况、现场出入制度、管理人员名单及监督电话、安全生产规定、文明施工、消防保卫、节能公示等七牌以及施工现场总平面图、工程效果图。</w:t>
            </w:r>
          </w:p>
        </w:tc>
      </w:tr>
      <w:tr w14:paraId="177257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738" w:type="dxa"/>
            <w:vMerge w:val="continue"/>
            <w:noWrap w:val="0"/>
            <w:vAlign w:val="center"/>
          </w:tcPr>
          <w:p w14:paraId="0A541471">
            <w:pPr>
              <w:pStyle w:val="25"/>
              <w:spacing w:line="300" w:lineRule="exact"/>
              <w:jc w:val="center"/>
              <w:rPr>
                <w:rFonts w:hint="eastAsia" w:ascii="宋体" w:hAnsi="宋体" w:eastAsia="宋体" w:cs="宋体"/>
                <w:szCs w:val="21"/>
              </w:rPr>
            </w:pPr>
          </w:p>
        </w:tc>
        <w:tc>
          <w:tcPr>
            <w:tcW w:w="2070" w:type="dxa"/>
            <w:gridSpan w:val="2"/>
            <w:noWrap w:val="0"/>
            <w:vAlign w:val="center"/>
          </w:tcPr>
          <w:p w14:paraId="52348A81">
            <w:pPr>
              <w:pStyle w:val="25"/>
              <w:spacing w:line="300" w:lineRule="exact"/>
              <w:jc w:val="center"/>
              <w:rPr>
                <w:rFonts w:hint="eastAsia" w:ascii="宋体" w:hAnsi="宋体" w:eastAsia="宋体" w:cs="宋体"/>
                <w:szCs w:val="21"/>
              </w:rPr>
            </w:pPr>
            <w:r>
              <w:rPr>
                <w:rFonts w:hint="eastAsia" w:ascii="宋体" w:hAnsi="宋体" w:eastAsia="宋体" w:cs="宋体"/>
                <w:szCs w:val="21"/>
              </w:rPr>
              <w:t>企业标志</w:t>
            </w:r>
          </w:p>
        </w:tc>
        <w:tc>
          <w:tcPr>
            <w:tcW w:w="6645" w:type="dxa"/>
            <w:noWrap w:val="0"/>
            <w:vAlign w:val="center"/>
          </w:tcPr>
          <w:p w14:paraId="2EEF13F3">
            <w:pPr>
              <w:pStyle w:val="25"/>
              <w:spacing w:line="300" w:lineRule="exact"/>
              <w:rPr>
                <w:rFonts w:hint="eastAsia" w:ascii="宋体" w:hAnsi="宋体" w:eastAsia="宋体" w:cs="宋体"/>
                <w:szCs w:val="21"/>
              </w:rPr>
            </w:pPr>
            <w:r>
              <w:rPr>
                <w:rFonts w:hint="eastAsia" w:ascii="宋体" w:hAnsi="宋体" w:eastAsia="宋体" w:cs="宋体"/>
                <w:szCs w:val="21"/>
              </w:rPr>
              <w:t>现场出入的大门应设有本企业标志或企业标识。</w:t>
            </w:r>
          </w:p>
        </w:tc>
      </w:tr>
      <w:tr w14:paraId="6EBD3E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4F4978DD">
            <w:pPr>
              <w:pStyle w:val="25"/>
              <w:spacing w:line="300" w:lineRule="exact"/>
              <w:jc w:val="center"/>
              <w:rPr>
                <w:rFonts w:hint="eastAsia" w:ascii="宋体" w:hAnsi="宋体" w:eastAsia="宋体" w:cs="宋体"/>
                <w:szCs w:val="21"/>
              </w:rPr>
            </w:pPr>
          </w:p>
        </w:tc>
        <w:tc>
          <w:tcPr>
            <w:tcW w:w="2070" w:type="dxa"/>
            <w:gridSpan w:val="2"/>
            <w:noWrap w:val="0"/>
            <w:vAlign w:val="center"/>
          </w:tcPr>
          <w:p w14:paraId="1F6388D6">
            <w:pPr>
              <w:pStyle w:val="25"/>
              <w:spacing w:line="300" w:lineRule="exact"/>
              <w:jc w:val="center"/>
              <w:rPr>
                <w:rFonts w:hint="eastAsia" w:ascii="宋体" w:hAnsi="宋体" w:eastAsia="宋体" w:cs="宋体"/>
                <w:szCs w:val="21"/>
              </w:rPr>
            </w:pPr>
            <w:r>
              <w:rPr>
                <w:rFonts w:hint="eastAsia" w:ascii="宋体" w:hAnsi="宋体" w:eastAsia="宋体" w:cs="宋体"/>
                <w:szCs w:val="21"/>
              </w:rPr>
              <w:t>场容场貌</w:t>
            </w:r>
          </w:p>
        </w:tc>
        <w:tc>
          <w:tcPr>
            <w:tcW w:w="6645" w:type="dxa"/>
            <w:noWrap w:val="0"/>
            <w:vAlign w:val="center"/>
          </w:tcPr>
          <w:p w14:paraId="0237A3B1">
            <w:pPr>
              <w:pStyle w:val="25"/>
              <w:spacing w:line="300" w:lineRule="exact"/>
              <w:rPr>
                <w:rFonts w:hint="eastAsia" w:ascii="宋体" w:hAnsi="宋体" w:eastAsia="宋体" w:cs="宋体"/>
                <w:szCs w:val="21"/>
              </w:rPr>
            </w:pPr>
            <w:r>
              <w:rPr>
                <w:rFonts w:hint="eastAsia" w:ascii="宋体" w:hAnsi="宋体" w:eastAsia="宋体" w:cs="宋体"/>
                <w:szCs w:val="21"/>
              </w:rPr>
              <w:t>1. 道路畅通。</w:t>
            </w:r>
          </w:p>
          <w:p w14:paraId="3277B712">
            <w:pPr>
              <w:pStyle w:val="25"/>
              <w:spacing w:line="300" w:lineRule="exact"/>
              <w:rPr>
                <w:rFonts w:hint="eastAsia" w:ascii="宋体" w:hAnsi="宋体" w:eastAsia="宋体" w:cs="宋体"/>
                <w:szCs w:val="21"/>
              </w:rPr>
            </w:pPr>
            <w:r>
              <w:rPr>
                <w:rFonts w:hint="eastAsia" w:ascii="宋体" w:hAnsi="宋体" w:eastAsia="宋体" w:cs="宋体"/>
                <w:szCs w:val="21"/>
              </w:rPr>
              <w:t>2. 排水设施齐全畅通。</w:t>
            </w:r>
          </w:p>
          <w:p w14:paraId="16007E32">
            <w:pPr>
              <w:pStyle w:val="25"/>
              <w:spacing w:line="300" w:lineRule="exact"/>
              <w:rPr>
                <w:rFonts w:hint="eastAsia" w:ascii="宋体" w:hAnsi="宋体" w:eastAsia="宋体" w:cs="宋体"/>
                <w:szCs w:val="21"/>
              </w:rPr>
            </w:pPr>
            <w:r>
              <w:rPr>
                <w:rFonts w:hint="eastAsia" w:ascii="宋体" w:hAnsi="宋体" w:eastAsia="宋体" w:cs="宋体"/>
                <w:szCs w:val="21"/>
              </w:rPr>
              <w:t>3. 工地地面硬化处理（办公区、生活区、现场道路、材料堆放、混凝土搅拌、砂浆搅拌、钢筋加工等场地和外脚手架基础等）。</w:t>
            </w:r>
          </w:p>
        </w:tc>
      </w:tr>
      <w:tr w14:paraId="6E22EB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10D3E21D">
            <w:pPr>
              <w:pStyle w:val="25"/>
              <w:spacing w:line="300" w:lineRule="exact"/>
              <w:jc w:val="center"/>
              <w:rPr>
                <w:rFonts w:hint="eastAsia" w:ascii="宋体" w:hAnsi="宋体" w:eastAsia="宋体" w:cs="宋体"/>
                <w:szCs w:val="21"/>
              </w:rPr>
            </w:pPr>
          </w:p>
        </w:tc>
        <w:tc>
          <w:tcPr>
            <w:tcW w:w="2070" w:type="dxa"/>
            <w:gridSpan w:val="2"/>
            <w:noWrap w:val="0"/>
            <w:vAlign w:val="center"/>
          </w:tcPr>
          <w:p w14:paraId="368A15C5">
            <w:pPr>
              <w:pStyle w:val="25"/>
              <w:spacing w:line="300" w:lineRule="exact"/>
              <w:jc w:val="center"/>
              <w:rPr>
                <w:rFonts w:hint="eastAsia" w:ascii="宋体" w:hAnsi="宋体" w:eastAsia="宋体" w:cs="宋体"/>
                <w:szCs w:val="21"/>
              </w:rPr>
            </w:pPr>
            <w:r>
              <w:rPr>
                <w:rFonts w:hint="eastAsia" w:ascii="宋体" w:hAnsi="宋体" w:eastAsia="宋体" w:cs="宋体"/>
                <w:szCs w:val="21"/>
              </w:rPr>
              <w:t>材料堆放</w:t>
            </w:r>
          </w:p>
        </w:tc>
        <w:tc>
          <w:tcPr>
            <w:tcW w:w="6645" w:type="dxa"/>
            <w:noWrap w:val="0"/>
            <w:vAlign w:val="center"/>
          </w:tcPr>
          <w:p w14:paraId="7FFDD4ED">
            <w:pPr>
              <w:pStyle w:val="25"/>
              <w:numPr>
                <w:ilvl w:val="0"/>
                <w:numId w:val="5"/>
              </w:numPr>
              <w:spacing w:line="300" w:lineRule="exact"/>
              <w:rPr>
                <w:rFonts w:hint="eastAsia" w:ascii="宋体" w:hAnsi="宋体" w:eastAsia="宋体" w:cs="宋体"/>
                <w:szCs w:val="21"/>
              </w:rPr>
            </w:pPr>
            <w:r>
              <w:rPr>
                <w:rFonts w:hint="eastAsia" w:ascii="宋体" w:hAnsi="宋体" w:eastAsia="宋体" w:cs="宋体"/>
                <w:szCs w:val="21"/>
              </w:rPr>
              <w:t>材料、构件、料具等堆放时，应有名称、品种、规格等标牌。</w:t>
            </w:r>
          </w:p>
          <w:p w14:paraId="5A9AD04D">
            <w:pPr>
              <w:pStyle w:val="25"/>
              <w:spacing w:line="300" w:lineRule="exact"/>
              <w:rPr>
                <w:rFonts w:hint="eastAsia" w:ascii="宋体" w:hAnsi="宋体" w:eastAsia="宋体" w:cs="宋体"/>
                <w:szCs w:val="21"/>
              </w:rPr>
            </w:pPr>
            <w:r>
              <w:rPr>
                <w:rFonts w:hint="eastAsia" w:ascii="宋体" w:hAnsi="宋体" w:eastAsia="宋体" w:cs="宋体"/>
                <w:szCs w:val="21"/>
              </w:rPr>
              <w:t>2. 水泥和其它易飞扬细颗粒建筑材料应封闭存放或采取覆盖等措施。</w:t>
            </w:r>
          </w:p>
          <w:p w14:paraId="1198BA71">
            <w:pPr>
              <w:pStyle w:val="25"/>
              <w:spacing w:line="300" w:lineRule="exact"/>
              <w:rPr>
                <w:rFonts w:hint="eastAsia" w:ascii="宋体" w:hAnsi="宋体" w:eastAsia="宋体" w:cs="宋体"/>
                <w:szCs w:val="21"/>
              </w:rPr>
            </w:pPr>
            <w:r>
              <w:rPr>
                <w:rFonts w:hint="eastAsia" w:ascii="宋体" w:hAnsi="宋体" w:eastAsia="宋体" w:cs="宋体"/>
                <w:szCs w:val="21"/>
              </w:rPr>
              <w:t>3. 易燃、易爆和有毒有害物品分类存放。</w:t>
            </w:r>
          </w:p>
        </w:tc>
      </w:tr>
      <w:tr w14:paraId="124534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noWrap w:val="0"/>
            <w:vAlign w:val="center"/>
          </w:tcPr>
          <w:p w14:paraId="3EC8C577">
            <w:pPr>
              <w:pStyle w:val="25"/>
              <w:spacing w:line="300" w:lineRule="exact"/>
              <w:jc w:val="center"/>
              <w:rPr>
                <w:rFonts w:hint="eastAsia" w:ascii="宋体" w:hAnsi="宋体" w:eastAsia="宋体" w:cs="宋体"/>
                <w:szCs w:val="21"/>
              </w:rPr>
            </w:pPr>
          </w:p>
        </w:tc>
        <w:tc>
          <w:tcPr>
            <w:tcW w:w="2070" w:type="dxa"/>
            <w:gridSpan w:val="2"/>
            <w:noWrap w:val="0"/>
            <w:vAlign w:val="center"/>
          </w:tcPr>
          <w:p w14:paraId="535DBC24">
            <w:pPr>
              <w:pStyle w:val="25"/>
              <w:spacing w:line="300" w:lineRule="exact"/>
              <w:jc w:val="center"/>
              <w:rPr>
                <w:rFonts w:hint="eastAsia" w:ascii="宋体" w:hAnsi="宋体" w:eastAsia="宋体" w:cs="宋体"/>
                <w:szCs w:val="21"/>
              </w:rPr>
            </w:pPr>
            <w:r>
              <w:rPr>
                <w:rFonts w:hint="eastAsia" w:ascii="宋体" w:hAnsi="宋体" w:eastAsia="宋体" w:cs="宋体"/>
                <w:szCs w:val="21"/>
              </w:rPr>
              <w:t>现场防火</w:t>
            </w:r>
          </w:p>
        </w:tc>
        <w:tc>
          <w:tcPr>
            <w:tcW w:w="6645" w:type="dxa"/>
            <w:noWrap w:val="0"/>
            <w:vAlign w:val="center"/>
          </w:tcPr>
          <w:p w14:paraId="20511229">
            <w:pPr>
              <w:pStyle w:val="25"/>
              <w:spacing w:line="300" w:lineRule="exact"/>
              <w:rPr>
                <w:rFonts w:hint="eastAsia" w:ascii="宋体" w:hAnsi="宋体" w:eastAsia="宋体" w:cs="宋体"/>
                <w:szCs w:val="21"/>
              </w:rPr>
            </w:pPr>
            <w:r>
              <w:rPr>
                <w:rFonts w:hint="eastAsia" w:ascii="宋体" w:hAnsi="宋体" w:eastAsia="宋体" w:cs="宋体"/>
                <w:szCs w:val="21"/>
              </w:rPr>
              <w:t>消防器材配置合理，符合消防要求。</w:t>
            </w:r>
          </w:p>
        </w:tc>
      </w:tr>
      <w:tr w14:paraId="4A8197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0096180F">
            <w:pPr>
              <w:pStyle w:val="25"/>
              <w:spacing w:line="300" w:lineRule="exact"/>
              <w:jc w:val="center"/>
              <w:rPr>
                <w:rFonts w:hint="eastAsia" w:ascii="宋体" w:hAnsi="宋体" w:eastAsia="宋体" w:cs="宋体"/>
                <w:szCs w:val="21"/>
              </w:rPr>
            </w:pPr>
          </w:p>
        </w:tc>
        <w:tc>
          <w:tcPr>
            <w:tcW w:w="2070" w:type="dxa"/>
            <w:gridSpan w:val="2"/>
            <w:noWrap w:val="0"/>
            <w:vAlign w:val="center"/>
          </w:tcPr>
          <w:p w14:paraId="49FBCE36">
            <w:pPr>
              <w:pStyle w:val="25"/>
              <w:spacing w:line="300" w:lineRule="exact"/>
              <w:jc w:val="center"/>
              <w:rPr>
                <w:rFonts w:hint="eastAsia" w:ascii="宋体" w:hAnsi="宋体" w:eastAsia="宋体" w:cs="宋体"/>
                <w:szCs w:val="21"/>
              </w:rPr>
            </w:pPr>
            <w:r>
              <w:rPr>
                <w:rFonts w:hint="eastAsia" w:ascii="宋体" w:hAnsi="宋体" w:eastAsia="宋体" w:cs="宋体"/>
                <w:szCs w:val="21"/>
              </w:rPr>
              <w:t>垃圾清运</w:t>
            </w:r>
          </w:p>
        </w:tc>
        <w:tc>
          <w:tcPr>
            <w:tcW w:w="6645" w:type="dxa"/>
            <w:noWrap w:val="0"/>
            <w:vAlign w:val="center"/>
          </w:tcPr>
          <w:p w14:paraId="07BA9BD3">
            <w:pPr>
              <w:pStyle w:val="25"/>
              <w:spacing w:line="300" w:lineRule="exact"/>
              <w:rPr>
                <w:rFonts w:hint="eastAsia" w:ascii="宋体" w:hAnsi="宋体" w:eastAsia="宋体" w:cs="宋体"/>
                <w:szCs w:val="21"/>
              </w:rPr>
            </w:pPr>
            <w:r>
              <w:rPr>
                <w:rFonts w:hint="eastAsia" w:ascii="宋体" w:hAnsi="宋体" w:eastAsia="宋体" w:cs="宋体"/>
                <w:szCs w:val="21"/>
              </w:rPr>
              <w:t>1. 施工现场应设置密闭式垃圾站，施工垃圾、生活垃圾应分类存放。</w:t>
            </w:r>
          </w:p>
          <w:p w14:paraId="0CAC7D16">
            <w:pPr>
              <w:pStyle w:val="25"/>
              <w:spacing w:line="300" w:lineRule="exact"/>
              <w:rPr>
                <w:rFonts w:hint="eastAsia" w:ascii="宋体" w:hAnsi="宋体" w:eastAsia="宋体" w:cs="宋体"/>
                <w:szCs w:val="21"/>
              </w:rPr>
            </w:pPr>
            <w:r>
              <w:rPr>
                <w:rFonts w:hint="eastAsia" w:ascii="宋体" w:hAnsi="宋体" w:eastAsia="宋体" w:cs="宋体"/>
                <w:szCs w:val="21"/>
              </w:rPr>
              <w:t>2. 施工垃圾必须采用相应容器或管道运输。</w:t>
            </w:r>
          </w:p>
        </w:tc>
      </w:tr>
      <w:tr w14:paraId="771D56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50E23C4D">
            <w:pPr>
              <w:pStyle w:val="25"/>
              <w:spacing w:line="300" w:lineRule="exact"/>
              <w:jc w:val="center"/>
              <w:rPr>
                <w:rFonts w:hint="eastAsia" w:ascii="宋体" w:hAnsi="宋体" w:eastAsia="宋体" w:cs="宋体"/>
                <w:szCs w:val="21"/>
              </w:rPr>
            </w:pPr>
          </w:p>
        </w:tc>
        <w:tc>
          <w:tcPr>
            <w:tcW w:w="2070" w:type="dxa"/>
            <w:gridSpan w:val="2"/>
            <w:noWrap w:val="0"/>
            <w:vAlign w:val="center"/>
          </w:tcPr>
          <w:p w14:paraId="298E24D4">
            <w:pPr>
              <w:pStyle w:val="25"/>
              <w:spacing w:line="300" w:lineRule="exact"/>
              <w:rPr>
                <w:rFonts w:hint="eastAsia" w:ascii="宋体" w:hAnsi="宋体" w:eastAsia="宋体" w:cs="宋体"/>
                <w:szCs w:val="21"/>
              </w:rPr>
            </w:pPr>
            <w:r>
              <w:rPr>
                <w:rFonts w:hint="eastAsia" w:ascii="宋体" w:hAnsi="宋体" w:eastAsia="宋体" w:cs="宋体"/>
                <w:szCs w:val="21"/>
              </w:rPr>
              <w:t>宣传栏、环保及不扰民措施</w:t>
            </w:r>
          </w:p>
        </w:tc>
        <w:tc>
          <w:tcPr>
            <w:tcW w:w="6645" w:type="dxa"/>
            <w:noWrap w:val="0"/>
            <w:vAlign w:val="center"/>
          </w:tcPr>
          <w:p w14:paraId="3B6FB11E">
            <w:pPr>
              <w:pStyle w:val="25"/>
              <w:spacing w:line="300" w:lineRule="exact"/>
              <w:rPr>
                <w:rFonts w:hint="eastAsia" w:ascii="宋体" w:hAnsi="宋体" w:eastAsia="宋体" w:cs="宋体"/>
                <w:szCs w:val="21"/>
              </w:rPr>
            </w:pPr>
            <w:r>
              <w:rPr>
                <w:rFonts w:hint="eastAsia" w:ascii="宋体" w:hAnsi="宋体" w:eastAsia="宋体" w:cs="宋体"/>
                <w:szCs w:val="21"/>
              </w:rPr>
              <w:t>宣传栏、安全宣传标语等，洗车（防止污染市区道路）、粉尘、噪声控制和排污（污水、废气）措施等。</w:t>
            </w:r>
          </w:p>
        </w:tc>
      </w:tr>
      <w:tr w14:paraId="651456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noWrap w:val="0"/>
            <w:vAlign w:val="center"/>
          </w:tcPr>
          <w:p w14:paraId="19BC2655">
            <w:pPr>
              <w:pStyle w:val="25"/>
              <w:spacing w:line="300" w:lineRule="exact"/>
              <w:jc w:val="center"/>
              <w:rPr>
                <w:rFonts w:hint="eastAsia" w:ascii="宋体" w:hAnsi="宋体" w:eastAsia="宋体" w:cs="宋体"/>
                <w:szCs w:val="21"/>
              </w:rPr>
            </w:pPr>
            <w:r>
              <w:rPr>
                <w:rFonts w:hint="eastAsia" w:ascii="宋体" w:hAnsi="宋体" w:eastAsia="宋体" w:cs="宋体"/>
                <w:szCs w:val="21"/>
              </w:rPr>
              <w:t>临时设施</w:t>
            </w:r>
          </w:p>
        </w:tc>
        <w:tc>
          <w:tcPr>
            <w:tcW w:w="2070" w:type="dxa"/>
            <w:gridSpan w:val="2"/>
            <w:noWrap w:val="0"/>
            <w:vAlign w:val="center"/>
          </w:tcPr>
          <w:p w14:paraId="6ACB6B1B">
            <w:pPr>
              <w:pStyle w:val="25"/>
              <w:spacing w:line="300" w:lineRule="exact"/>
              <w:jc w:val="center"/>
              <w:rPr>
                <w:rFonts w:hint="eastAsia" w:ascii="宋体" w:hAnsi="宋体" w:eastAsia="宋体" w:cs="宋体"/>
                <w:szCs w:val="21"/>
              </w:rPr>
            </w:pPr>
            <w:r>
              <w:rPr>
                <w:rFonts w:hint="eastAsia" w:ascii="宋体" w:hAnsi="宋体" w:eastAsia="宋体" w:cs="宋体"/>
                <w:szCs w:val="21"/>
              </w:rPr>
              <w:t>现场办公</w:t>
            </w:r>
          </w:p>
          <w:p w14:paraId="179DCDD4">
            <w:pPr>
              <w:pStyle w:val="25"/>
              <w:spacing w:line="300" w:lineRule="exact"/>
              <w:jc w:val="center"/>
              <w:rPr>
                <w:rFonts w:hint="eastAsia" w:ascii="宋体" w:hAnsi="宋体" w:eastAsia="宋体" w:cs="宋体"/>
                <w:szCs w:val="21"/>
              </w:rPr>
            </w:pPr>
            <w:r>
              <w:rPr>
                <w:rFonts w:hint="eastAsia" w:ascii="宋体" w:hAnsi="宋体" w:eastAsia="宋体" w:cs="宋体"/>
                <w:szCs w:val="21"/>
              </w:rPr>
              <w:t>生活设施</w:t>
            </w:r>
          </w:p>
        </w:tc>
        <w:tc>
          <w:tcPr>
            <w:tcW w:w="6645" w:type="dxa"/>
            <w:noWrap w:val="0"/>
            <w:vAlign w:val="center"/>
          </w:tcPr>
          <w:p w14:paraId="6D06CBBE">
            <w:pPr>
              <w:pStyle w:val="25"/>
              <w:spacing w:line="300" w:lineRule="exact"/>
              <w:rPr>
                <w:rFonts w:hint="eastAsia" w:ascii="宋体" w:hAnsi="宋体" w:eastAsia="宋体" w:cs="宋体"/>
                <w:szCs w:val="21"/>
              </w:rPr>
            </w:pPr>
            <w:r>
              <w:rPr>
                <w:rFonts w:hint="eastAsia" w:ascii="宋体" w:hAnsi="宋体" w:eastAsia="宋体" w:cs="宋体"/>
                <w:szCs w:val="21"/>
              </w:rPr>
              <w:t>1. 施工现场办公、生活区与作业区分开设置，保持安全距离。</w:t>
            </w:r>
          </w:p>
          <w:p w14:paraId="0228B7FD">
            <w:pPr>
              <w:pStyle w:val="25"/>
              <w:spacing w:line="300" w:lineRule="exact"/>
              <w:rPr>
                <w:rFonts w:hint="eastAsia" w:ascii="宋体" w:hAnsi="宋体" w:eastAsia="宋体" w:cs="宋体"/>
                <w:szCs w:val="21"/>
              </w:rPr>
            </w:pPr>
            <w:r>
              <w:rPr>
                <w:rFonts w:hint="eastAsia" w:ascii="宋体" w:hAnsi="宋体" w:eastAsia="宋体" w:cs="宋体"/>
                <w:szCs w:val="21"/>
              </w:rPr>
              <w:t>2. 工地办公室、现场宿舍、食堂、厕所、饮水、沐浴、休息场所等符合卫生、消防安全要求。</w:t>
            </w:r>
          </w:p>
        </w:tc>
      </w:tr>
      <w:tr w14:paraId="2501D7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7C35CD39">
            <w:pPr>
              <w:pStyle w:val="25"/>
              <w:spacing w:line="300" w:lineRule="exact"/>
              <w:jc w:val="center"/>
              <w:rPr>
                <w:rFonts w:hint="eastAsia" w:ascii="宋体" w:hAnsi="宋体" w:eastAsia="宋体" w:cs="宋体"/>
                <w:szCs w:val="21"/>
              </w:rPr>
            </w:pPr>
          </w:p>
        </w:tc>
        <w:tc>
          <w:tcPr>
            <w:tcW w:w="525" w:type="dxa"/>
            <w:vMerge w:val="restart"/>
            <w:noWrap w:val="0"/>
            <w:vAlign w:val="center"/>
          </w:tcPr>
          <w:p w14:paraId="594DDEF8">
            <w:pPr>
              <w:pStyle w:val="25"/>
              <w:spacing w:line="300" w:lineRule="exact"/>
              <w:jc w:val="center"/>
              <w:rPr>
                <w:rFonts w:hint="eastAsia" w:ascii="宋体" w:hAnsi="宋体" w:eastAsia="宋体" w:cs="宋体"/>
                <w:szCs w:val="21"/>
              </w:rPr>
            </w:pPr>
            <w:r>
              <w:rPr>
                <w:rFonts w:hint="eastAsia" w:ascii="宋体" w:hAnsi="宋体" w:eastAsia="宋体" w:cs="宋体"/>
                <w:szCs w:val="21"/>
              </w:rPr>
              <w:t>施工现场</w:t>
            </w:r>
          </w:p>
          <w:p w14:paraId="25251C4F">
            <w:pPr>
              <w:pStyle w:val="25"/>
              <w:spacing w:line="300" w:lineRule="exact"/>
              <w:jc w:val="center"/>
              <w:rPr>
                <w:rFonts w:hint="eastAsia" w:ascii="宋体" w:hAnsi="宋体" w:eastAsia="宋体" w:cs="宋体"/>
                <w:szCs w:val="21"/>
              </w:rPr>
            </w:pPr>
            <w:r>
              <w:rPr>
                <w:rFonts w:hint="eastAsia" w:ascii="宋体" w:hAnsi="宋体" w:eastAsia="宋体" w:cs="宋体"/>
                <w:szCs w:val="21"/>
              </w:rPr>
              <w:t>临时用电</w:t>
            </w:r>
          </w:p>
        </w:tc>
        <w:tc>
          <w:tcPr>
            <w:tcW w:w="1545" w:type="dxa"/>
            <w:noWrap w:val="0"/>
            <w:vAlign w:val="center"/>
          </w:tcPr>
          <w:p w14:paraId="79A65148">
            <w:pPr>
              <w:pStyle w:val="25"/>
              <w:spacing w:line="300" w:lineRule="exact"/>
              <w:jc w:val="center"/>
              <w:rPr>
                <w:rFonts w:hint="eastAsia" w:ascii="宋体" w:hAnsi="宋体" w:eastAsia="宋体" w:cs="宋体"/>
                <w:szCs w:val="21"/>
              </w:rPr>
            </w:pPr>
            <w:r>
              <w:rPr>
                <w:rFonts w:hint="eastAsia" w:ascii="宋体" w:hAnsi="宋体" w:eastAsia="宋体" w:cs="宋体"/>
                <w:szCs w:val="21"/>
              </w:rPr>
              <w:t>配电线路</w:t>
            </w:r>
          </w:p>
        </w:tc>
        <w:tc>
          <w:tcPr>
            <w:tcW w:w="6645" w:type="dxa"/>
            <w:noWrap w:val="0"/>
            <w:vAlign w:val="center"/>
          </w:tcPr>
          <w:p w14:paraId="22BFB12E">
            <w:pPr>
              <w:pStyle w:val="25"/>
              <w:spacing w:line="300" w:lineRule="exact"/>
              <w:rPr>
                <w:rFonts w:hint="eastAsia" w:ascii="宋体" w:hAnsi="宋体" w:eastAsia="宋体" w:cs="宋体"/>
                <w:szCs w:val="21"/>
              </w:rPr>
            </w:pPr>
            <w:r>
              <w:rPr>
                <w:rFonts w:hint="eastAsia" w:ascii="宋体" w:hAnsi="宋体" w:eastAsia="宋体" w:cs="宋体"/>
                <w:szCs w:val="21"/>
              </w:rPr>
              <w:t>1. 按照TN-S系统要求配备五芯电缆、四芯电缆和三芯电缆。</w:t>
            </w:r>
          </w:p>
          <w:p w14:paraId="66DA9222">
            <w:pPr>
              <w:pStyle w:val="25"/>
              <w:spacing w:line="300" w:lineRule="exact"/>
              <w:rPr>
                <w:rFonts w:hint="eastAsia" w:ascii="宋体" w:hAnsi="宋体" w:eastAsia="宋体" w:cs="宋体"/>
                <w:szCs w:val="21"/>
              </w:rPr>
            </w:pPr>
            <w:r>
              <w:rPr>
                <w:rFonts w:hint="eastAsia" w:ascii="宋体" w:hAnsi="宋体" w:eastAsia="宋体" w:cs="宋体"/>
                <w:szCs w:val="21"/>
              </w:rPr>
              <w:t>2. 按要求架设临时用电线路的电杆、横担、瓷夹、瓷瓶等，或电缆埋地的地沟。</w:t>
            </w:r>
          </w:p>
          <w:p w14:paraId="30757F63">
            <w:pPr>
              <w:pStyle w:val="25"/>
              <w:spacing w:line="300" w:lineRule="exact"/>
              <w:rPr>
                <w:rFonts w:hint="eastAsia" w:ascii="宋体" w:hAnsi="宋体" w:eastAsia="宋体" w:cs="宋体"/>
                <w:szCs w:val="21"/>
              </w:rPr>
            </w:pPr>
            <w:r>
              <w:rPr>
                <w:rFonts w:hint="eastAsia" w:ascii="宋体" w:hAnsi="宋体" w:eastAsia="宋体" w:cs="宋体"/>
                <w:szCs w:val="21"/>
              </w:rPr>
              <w:t>3. 对靠近施工现场的外电线路，设置木质、塑料等绝缘体的防护设施。</w:t>
            </w:r>
          </w:p>
        </w:tc>
      </w:tr>
      <w:tr w14:paraId="13346B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777A3DE9">
            <w:pPr>
              <w:pStyle w:val="25"/>
              <w:spacing w:line="300" w:lineRule="exact"/>
              <w:jc w:val="center"/>
              <w:rPr>
                <w:rFonts w:hint="eastAsia" w:ascii="宋体" w:hAnsi="宋体" w:eastAsia="宋体" w:cs="宋体"/>
                <w:szCs w:val="21"/>
              </w:rPr>
            </w:pPr>
          </w:p>
        </w:tc>
        <w:tc>
          <w:tcPr>
            <w:tcW w:w="525" w:type="dxa"/>
            <w:vMerge w:val="continue"/>
            <w:noWrap w:val="0"/>
            <w:vAlign w:val="center"/>
          </w:tcPr>
          <w:p w14:paraId="0FDED22C">
            <w:pPr>
              <w:pStyle w:val="25"/>
              <w:spacing w:line="300" w:lineRule="exact"/>
              <w:jc w:val="center"/>
              <w:rPr>
                <w:rFonts w:hint="eastAsia" w:ascii="宋体" w:hAnsi="宋体" w:eastAsia="宋体" w:cs="宋体"/>
                <w:szCs w:val="21"/>
              </w:rPr>
            </w:pPr>
          </w:p>
        </w:tc>
        <w:tc>
          <w:tcPr>
            <w:tcW w:w="1545" w:type="dxa"/>
            <w:noWrap w:val="0"/>
            <w:vAlign w:val="center"/>
          </w:tcPr>
          <w:p w14:paraId="704B6A60">
            <w:pPr>
              <w:pStyle w:val="25"/>
              <w:spacing w:line="300" w:lineRule="exact"/>
              <w:jc w:val="center"/>
              <w:rPr>
                <w:rFonts w:hint="eastAsia" w:ascii="宋体" w:hAnsi="宋体" w:eastAsia="宋体" w:cs="宋体"/>
                <w:szCs w:val="21"/>
              </w:rPr>
            </w:pPr>
            <w:r>
              <w:rPr>
                <w:rFonts w:hint="eastAsia" w:ascii="宋体" w:hAnsi="宋体" w:eastAsia="宋体" w:cs="宋体"/>
                <w:szCs w:val="21"/>
              </w:rPr>
              <w:t>配电箱</w:t>
            </w:r>
          </w:p>
          <w:p w14:paraId="27E6612A">
            <w:pPr>
              <w:pStyle w:val="25"/>
              <w:spacing w:line="300" w:lineRule="exact"/>
              <w:jc w:val="center"/>
              <w:rPr>
                <w:rFonts w:hint="eastAsia" w:ascii="宋体" w:hAnsi="宋体" w:eastAsia="宋体" w:cs="宋体"/>
                <w:szCs w:val="21"/>
              </w:rPr>
            </w:pPr>
            <w:r>
              <w:rPr>
                <w:rFonts w:hint="eastAsia" w:ascii="宋体" w:hAnsi="宋体" w:eastAsia="宋体" w:cs="宋体"/>
                <w:szCs w:val="21"/>
              </w:rPr>
              <w:t>开关箱</w:t>
            </w:r>
          </w:p>
        </w:tc>
        <w:tc>
          <w:tcPr>
            <w:tcW w:w="6645" w:type="dxa"/>
            <w:noWrap w:val="0"/>
            <w:vAlign w:val="center"/>
          </w:tcPr>
          <w:p w14:paraId="642883D9">
            <w:pPr>
              <w:pStyle w:val="25"/>
              <w:spacing w:line="300" w:lineRule="exact"/>
              <w:rPr>
                <w:rFonts w:hint="eastAsia" w:ascii="宋体" w:hAnsi="宋体" w:eastAsia="宋体" w:cs="宋体"/>
                <w:szCs w:val="21"/>
              </w:rPr>
            </w:pPr>
            <w:r>
              <w:rPr>
                <w:rFonts w:hint="eastAsia" w:ascii="宋体" w:hAnsi="宋体" w:eastAsia="宋体" w:cs="宋体"/>
                <w:szCs w:val="21"/>
              </w:rPr>
              <w:t>1. 按三级配电要求，配备总配电箱、分配电箱、开关箱三类（铁质）标准电箱，开关箱应符合“一机、一箱、一闸、一漏”，三类电箱中的各类电器应是合格品。</w:t>
            </w:r>
          </w:p>
          <w:p w14:paraId="61E9C5D2">
            <w:pPr>
              <w:pStyle w:val="25"/>
              <w:spacing w:line="300" w:lineRule="exact"/>
              <w:rPr>
                <w:rFonts w:hint="eastAsia" w:ascii="宋体" w:hAnsi="宋体" w:eastAsia="宋体" w:cs="宋体"/>
                <w:szCs w:val="21"/>
              </w:rPr>
            </w:pPr>
            <w:r>
              <w:rPr>
                <w:rFonts w:hint="eastAsia" w:ascii="宋体" w:hAnsi="宋体" w:eastAsia="宋体" w:cs="宋体"/>
                <w:szCs w:val="21"/>
              </w:rPr>
              <w:t>2. 按两级保护的要求，选取符合容量要求和质量合格的总配电箱和开关箱中的漏电保护器。</w:t>
            </w:r>
          </w:p>
          <w:p w14:paraId="48325850">
            <w:pPr>
              <w:pStyle w:val="25"/>
              <w:spacing w:line="300" w:lineRule="exact"/>
              <w:rPr>
                <w:rFonts w:hint="eastAsia" w:ascii="宋体" w:hAnsi="宋体" w:eastAsia="宋体" w:cs="宋体"/>
                <w:szCs w:val="21"/>
              </w:rPr>
            </w:pPr>
            <w:r>
              <w:rPr>
                <w:rFonts w:hint="eastAsia" w:ascii="宋体" w:hAnsi="宋体" w:eastAsia="宋体" w:cs="宋体"/>
                <w:szCs w:val="21"/>
              </w:rPr>
              <w:t>3. 对大型、落地式分配电箱、开关箱设置防护棚和通透式围挡。</w:t>
            </w:r>
          </w:p>
        </w:tc>
      </w:tr>
      <w:tr w14:paraId="600C4A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75" w:hRule="atLeast"/>
        </w:trPr>
        <w:tc>
          <w:tcPr>
            <w:tcW w:w="738" w:type="dxa"/>
            <w:vMerge w:val="continue"/>
            <w:noWrap w:val="0"/>
            <w:vAlign w:val="center"/>
          </w:tcPr>
          <w:p w14:paraId="4D77A77A">
            <w:pPr>
              <w:pStyle w:val="25"/>
              <w:spacing w:line="300" w:lineRule="exact"/>
              <w:jc w:val="center"/>
              <w:rPr>
                <w:rFonts w:hint="eastAsia" w:ascii="宋体" w:hAnsi="宋体" w:eastAsia="宋体" w:cs="宋体"/>
                <w:szCs w:val="21"/>
              </w:rPr>
            </w:pPr>
          </w:p>
        </w:tc>
        <w:tc>
          <w:tcPr>
            <w:tcW w:w="525" w:type="dxa"/>
            <w:vMerge w:val="continue"/>
            <w:noWrap w:val="0"/>
            <w:vAlign w:val="center"/>
          </w:tcPr>
          <w:p w14:paraId="47135CAD">
            <w:pPr>
              <w:pStyle w:val="25"/>
              <w:spacing w:line="300" w:lineRule="exact"/>
              <w:jc w:val="center"/>
              <w:rPr>
                <w:rFonts w:hint="eastAsia" w:ascii="宋体" w:hAnsi="宋体" w:eastAsia="宋体" w:cs="宋体"/>
                <w:szCs w:val="21"/>
              </w:rPr>
            </w:pPr>
          </w:p>
        </w:tc>
        <w:tc>
          <w:tcPr>
            <w:tcW w:w="1545" w:type="dxa"/>
            <w:noWrap w:val="0"/>
            <w:vAlign w:val="center"/>
          </w:tcPr>
          <w:p w14:paraId="6CB30215">
            <w:pPr>
              <w:pStyle w:val="25"/>
              <w:spacing w:line="300" w:lineRule="exact"/>
              <w:jc w:val="center"/>
              <w:rPr>
                <w:rFonts w:hint="eastAsia" w:ascii="宋体" w:hAnsi="宋体" w:eastAsia="宋体" w:cs="宋体"/>
                <w:szCs w:val="21"/>
              </w:rPr>
            </w:pPr>
            <w:r>
              <w:rPr>
                <w:rFonts w:hint="eastAsia" w:ascii="宋体" w:hAnsi="宋体" w:eastAsia="宋体" w:cs="宋体"/>
                <w:szCs w:val="21"/>
              </w:rPr>
              <w:t>接地装置</w:t>
            </w:r>
          </w:p>
        </w:tc>
        <w:tc>
          <w:tcPr>
            <w:tcW w:w="6645" w:type="dxa"/>
            <w:noWrap w:val="0"/>
            <w:vAlign w:val="center"/>
          </w:tcPr>
          <w:p w14:paraId="475DCA05">
            <w:pPr>
              <w:pStyle w:val="25"/>
              <w:spacing w:line="300" w:lineRule="exact"/>
              <w:rPr>
                <w:rFonts w:hint="eastAsia" w:ascii="宋体" w:hAnsi="宋体" w:eastAsia="宋体" w:cs="宋体"/>
                <w:szCs w:val="21"/>
              </w:rPr>
            </w:pPr>
            <w:r>
              <w:rPr>
                <w:rFonts w:hint="eastAsia" w:ascii="宋体" w:hAnsi="宋体" w:eastAsia="宋体" w:cs="宋体"/>
                <w:szCs w:val="21"/>
              </w:rPr>
              <w:t>施工现场应设置不少于三处的重复接地装置。</w:t>
            </w:r>
          </w:p>
        </w:tc>
      </w:tr>
      <w:tr w14:paraId="1D78C4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16" w:hRule="atLeast"/>
        </w:trPr>
        <w:tc>
          <w:tcPr>
            <w:tcW w:w="738" w:type="dxa"/>
            <w:vMerge w:val="continue"/>
            <w:noWrap w:val="0"/>
            <w:vAlign w:val="center"/>
          </w:tcPr>
          <w:p w14:paraId="40E250AC">
            <w:pPr>
              <w:pStyle w:val="25"/>
              <w:spacing w:line="300" w:lineRule="exact"/>
              <w:jc w:val="center"/>
              <w:rPr>
                <w:rFonts w:hint="eastAsia" w:ascii="宋体" w:hAnsi="宋体" w:eastAsia="宋体" w:cs="宋体"/>
                <w:szCs w:val="21"/>
              </w:rPr>
            </w:pPr>
          </w:p>
        </w:tc>
        <w:tc>
          <w:tcPr>
            <w:tcW w:w="525" w:type="dxa"/>
            <w:vMerge w:val="continue"/>
            <w:noWrap w:val="0"/>
            <w:vAlign w:val="center"/>
          </w:tcPr>
          <w:p w14:paraId="785198F9">
            <w:pPr>
              <w:pStyle w:val="25"/>
              <w:spacing w:line="300" w:lineRule="exact"/>
              <w:jc w:val="center"/>
              <w:rPr>
                <w:rFonts w:hint="eastAsia" w:ascii="宋体" w:hAnsi="宋体" w:eastAsia="宋体" w:cs="宋体"/>
                <w:szCs w:val="21"/>
              </w:rPr>
            </w:pPr>
          </w:p>
        </w:tc>
        <w:tc>
          <w:tcPr>
            <w:tcW w:w="1545" w:type="dxa"/>
            <w:noWrap w:val="0"/>
            <w:vAlign w:val="center"/>
          </w:tcPr>
          <w:p w14:paraId="473981F8">
            <w:pPr>
              <w:pStyle w:val="25"/>
              <w:spacing w:line="300" w:lineRule="exact"/>
              <w:jc w:val="center"/>
              <w:rPr>
                <w:rFonts w:hint="eastAsia" w:ascii="宋体" w:hAnsi="宋体" w:eastAsia="宋体" w:cs="宋体"/>
                <w:szCs w:val="21"/>
              </w:rPr>
            </w:pPr>
            <w:r>
              <w:rPr>
                <w:rFonts w:hint="eastAsia" w:ascii="宋体" w:hAnsi="宋体" w:eastAsia="宋体" w:cs="宋体"/>
                <w:szCs w:val="21"/>
              </w:rPr>
              <w:t>现场变配电装置</w:t>
            </w:r>
          </w:p>
        </w:tc>
        <w:tc>
          <w:tcPr>
            <w:tcW w:w="6645" w:type="dxa"/>
            <w:noWrap w:val="0"/>
            <w:vAlign w:val="center"/>
          </w:tcPr>
          <w:p w14:paraId="473CDD7C">
            <w:pPr>
              <w:pStyle w:val="25"/>
              <w:spacing w:line="300" w:lineRule="exact"/>
              <w:rPr>
                <w:rFonts w:hint="eastAsia" w:ascii="宋体" w:hAnsi="宋体" w:eastAsia="宋体" w:cs="宋体"/>
                <w:szCs w:val="21"/>
              </w:rPr>
            </w:pPr>
            <w:r>
              <w:rPr>
                <w:rFonts w:hint="eastAsia" w:ascii="宋体" w:hAnsi="宋体" w:eastAsia="宋体" w:cs="宋体"/>
                <w:szCs w:val="21"/>
              </w:rPr>
              <w:t>总配电房建筑材料必须达到消防防火要求，室内做硬地坪、电缆沟。</w:t>
            </w:r>
          </w:p>
        </w:tc>
      </w:tr>
      <w:tr w14:paraId="7B279E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66" w:hRule="atLeast"/>
        </w:trPr>
        <w:tc>
          <w:tcPr>
            <w:tcW w:w="738" w:type="dxa"/>
            <w:noWrap w:val="0"/>
            <w:vAlign w:val="center"/>
          </w:tcPr>
          <w:p w14:paraId="7E38BD90">
            <w:pPr>
              <w:pStyle w:val="25"/>
              <w:spacing w:line="300" w:lineRule="exact"/>
              <w:jc w:val="center"/>
              <w:rPr>
                <w:rFonts w:hint="eastAsia" w:ascii="宋体" w:hAnsi="宋体" w:eastAsia="宋体" w:cs="宋体"/>
                <w:b/>
                <w:bCs/>
                <w:szCs w:val="21"/>
              </w:rPr>
            </w:pPr>
            <w:r>
              <w:rPr>
                <w:rFonts w:hint="eastAsia" w:ascii="宋体" w:hAnsi="宋体" w:eastAsia="宋体" w:cs="宋体"/>
                <w:b/>
                <w:bCs/>
                <w:szCs w:val="21"/>
              </w:rPr>
              <w:t>类别</w:t>
            </w:r>
          </w:p>
        </w:tc>
        <w:tc>
          <w:tcPr>
            <w:tcW w:w="2070" w:type="dxa"/>
            <w:gridSpan w:val="2"/>
            <w:noWrap w:val="0"/>
            <w:vAlign w:val="center"/>
          </w:tcPr>
          <w:p w14:paraId="00C4ACC8">
            <w:pPr>
              <w:pStyle w:val="25"/>
              <w:spacing w:line="300" w:lineRule="exact"/>
              <w:jc w:val="center"/>
              <w:rPr>
                <w:rFonts w:hint="eastAsia" w:ascii="宋体" w:hAnsi="宋体" w:eastAsia="宋体" w:cs="宋体"/>
                <w:b/>
                <w:bCs/>
                <w:szCs w:val="21"/>
              </w:rPr>
            </w:pPr>
            <w:r>
              <w:rPr>
                <w:rFonts w:hint="eastAsia" w:ascii="宋体" w:hAnsi="宋体" w:eastAsia="宋体" w:cs="宋体"/>
                <w:b/>
                <w:bCs/>
                <w:szCs w:val="21"/>
              </w:rPr>
              <w:t>项目名称</w:t>
            </w:r>
          </w:p>
        </w:tc>
        <w:tc>
          <w:tcPr>
            <w:tcW w:w="6645" w:type="dxa"/>
            <w:noWrap w:val="0"/>
            <w:vAlign w:val="center"/>
          </w:tcPr>
          <w:p w14:paraId="02A1A897">
            <w:pPr>
              <w:pStyle w:val="25"/>
              <w:spacing w:line="300" w:lineRule="exact"/>
              <w:jc w:val="center"/>
              <w:rPr>
                <w:rFonts w:hint="eastAsia" w:ascii="宋体" w:hAnsi="宋体" w:eastAsia="宋体" w:cs="宋体"/>
                <w:b/>
                <w:bCs/>
                <w:szCs w:val="21"/>
              </w:rPr>
            </w:pPr>
            <w:r>
              <w:rPr>
                <w:rFonts w:hint="eastAsia" w:ascii="宋体" w:hAnsi="宋体" w:eastAsia="宋体" w:cs="宋体"/>
                <w:b/>
                <w:bCs/>
                <w:szCs w:val="21"/>
              </w:rPr>
              <w:t>主要内容和要求</w:t>
            </w:r>
          </w:p>
        </w:tc>
      </w:tr>
      <w:tr w14:paraId="281B79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noWrap w:val="0"/>
            <w:vAlign w:val="center"/>
          </w:tcPr>
          <w:p w14:paraId="53FF39F5">
            <w:pPr>
              <w:pStyle w:val="25"/>
              <w:spacing w:line="300" w:lineRule="exact"/>
              <w:jc w:val="center"/>
              <w:rPr>
                <w:rFonts w:hint="eastAsia" w:ascii="宋体" w:hAnsi="宋体" w:eastAsia="宋体" w:cs="宋体"/>
                <w:szCs w:val="21"/>
              </w:rPr>
            </w:pPr>
            <w:r>
              <w:rPr>
                <w:rFonts w:hint="eastAsia" w:ascii="宋体" w:hAnsi="宋体" w:eastAsia="宋体" w:cs="宋体"/>
                <w:szCs w:val="21"/>
              </w:rPr>
              <w:t>安全施工</w:t>
            </w:r>
          </w:p>
        </w:tc>
        <w:tc>
          <w:tcPr>
            <w:tcW w:w="525" w:type="dxa"/>
            <w:vMerge w:val="restart"/>
            <w:noWrap w:val="0"/>
            <w:vAlign w:val="center"/>
          </w:tcPr>
          <w:p w14:paraId="35EF16D8">
            <w:pPr>
              <w:pStyle w:val="25"/>
              <w:spacing w:line="300" w:lineRule="exact"/>
              <w:jc w:val="center"/>
              <w:rPr>
                <w:rFonts w:hint="eastAsia" w:ascii="宋体" w:hAnsi="宋体" w:eastAsia="宋体" w:cs="宋体"/>
                <w:szCs w:val="21"/>
              </w:rPr>
            </w:pPr>
            <w:r>
              <w:rPr>
                <w:rFonts w:hint="eastAsia" w:ascii="宋体" w:hAnsi="宋体" w:eastAsia="宋体" w:cs="宋体"/>
                <w:szCs w:val="21"/>
              </w:rPr>
              <w:t>高处作业防护</w:t>
            </w:r>
          </w:p>
        </w:tc>
        <w:tc>
          <w:tcPr>
            <w:tcW w:w="1545" w:type="dxa"/>
            <w:noWrap w:val="0"/>
            <w:vAlign w:val="center"/>
          </w:tcPr>
          <w:p w14:paraId="5C757B8A">
            <w:pPr>
              <w:pStyle w:val="25"/>
              <w:spacing w:line="300" w:lineRule="exact"/>
              <w:rPr>
                <w:rFonts w:hint="eastAsia" w:ascii="宋体" w:hAnsi="宋体" w:eastAsia="宋体" w:cs="宋体"/>
                <w:szCs w:val="21"/>
              </w:rPr>
            </w:pPr>
            <w:r>
              <w:rPr>
                <w:rFonts w:hint="eastAsia" w:ascii="宋体" w:hAnsi="宋体" w:eastAsia="宋体" w:cs="宋体"/>
                <w:szCs w:val="21"/>
              </w:rPr>
              <w:t>楼层、屋面、阳台等临边</w:t>
            </w:r>
          </w:p>
        </w:tc>
        <w:tc>
          <w:tcPr>
            <w:tcW w:w="6645" w:type="dxa"/>
            <w:noWrap w:val="0"/>
            <w:vAlign w:val="center"/>
          </w:tcPr>
          <w:p w14:paraId="16972801">
            <w:pPr>
              <w:pStyle w:val="25"/>
              <w:spacing w:line="300" w:lineRule="exact"/>
              <w:rPr>
                <w:rFonts w:hint="eastAsia" w:ascii="宋体" w:hAnsi="宋体" w:eastAsia="宋体" w:cs="宋体"/>
                <w:szCs w:val="21"/>
              </w:rPr>
            </w:pPr>
            <w:r>
              <w:rPr>
                <w:rFonts w:hint="eastAsia" w:ascii="宋体" w:hAnsi="宋体" w:eastAsia="宋体" w:cs="宋体"/>
                <w:szCs w:val="21"/>
              </w:rPr>
              <w:t>设两道防护栏杆和18cm高的踢脚板，用密目式安全立网全封闭。</w:t>
            </w:r>
          </w:p>
        </w:tc>
      </w:tr>
      <w:tr w14:paraId="7AA795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376B2A91">
            <w:pPr>
              <w:pStyle w:val="25"/>
              <w:spacing w:line="300" w:lineRule="exact"/>
              <w:jc w:val="center"/>
              <w:rPr>
                <w:rFonts w:hint="eastAsia" w:ascii="宋体" w:hAnsi="宋体" w:eastAsia="宋体" w:cs="宋体"/>
                <w:szCs w:val="21"/>
              </w:rPr>
            </w:pPr>
          </w:p>
        </w:tc>
        <w:tc>
          <w:tcPr>
            <w:tcW w:w="525" w:type="dxa"/>
            <w:vMerge w:val="continue"/>
            <w:noWrap w:val="0"/>
            <w:vAlign w:val="center"/>
          </w:tcPr>
          <w:p w14:paraId="37308ABC">
            <w:pPr>
              <w:pStyle w:val="25"/>
              <w:spacing w:line="300" w:lineRule="exact"/>
              <w:jc w:val="center"/>
              <w:rPr>
                <w:rFonts w:hint="eastAsia" w:ascii="宋体" w:hAnsi="宋体" w:eastAsia="宋体" w:cs="宋体"/>
                <w:szCs w:val="21"/>
              </w:rPr>
            </w:pPr>
          </w:p>
        </w:tc>
        <w:tc>
          <w:tcPr>
            <w:tcW w:w="1545" w:type="dxa"/>
            <w:noWrap w:val="0"/>
            <w:vAlign w:val="center"/>
          </w:tcPr>
          <w:p w14:paraId="22CA8F8A">
            <w:pPr>
              <w:pStyle w:val="25"/>
              <w:spacing w:line="300" w:lineRule="exact"/>
              <w:rPr>
                <w:rFonts w:hint="eastAsia" w:ascii="宋体" w:hAnsi="宋体" w:eastAsia="宋体" w:cs="宋体"/>
                <w:szCs w:val="21"/>
              </w:rPr>
            </w:pPr>
            <w:r>
              <w:rPr>
                <w:rFonts w:hint="eastAsia" w:ascii="宋体" w:hAnsi="宋体" w:eastAsia="宋体" w:cs="宋体"/>
                <w:szCs w:val="21"/>
              </w:rPr>
              <w:t>通道口</w:t>
            </w:r>
          </w:p>
        </w:tc>
        <w:tc>
          <w:tcPr>
            <w:tcW w:w="6645" w:type="dxa"/>
            <w:noWrap w:val="0"/>
            <w:vAlign w:val="center"/>
          </w:tcPr>
          <w:p w14:paraId="2580647F">
            <w:pPr>
              <w:pStyle w:val="25"/>
              <w:spacing w:line="300" w:lineRule="exact"/>
              <w:rPr>
                <w:rFonts w:hint="eastAsia" w:ascii="宋体" w:hAnsi="宋体" w:eastAsia="宋体" w:cs="宋体"/>
                <w:szCs w:val="21"/>
              </w:rPr>
            </w:pPr>
            <w:r>
              <w:rPr>
                <w:rFonts w:hint="eastAsia" w:ascii="宋体" w:hAnsi="宋体" w:eastAsia="宋体" w:cs="宋体"/>
                <w:szCs w:val="21"/>
              </w:rPr>
              <w:t>设防护棚，防护棚应为不小于5cm厚的木板或两道相距50cm的竹笆。两侧应沿栏杆架用密目式安全网封闭。</w:t>
            </w:r>
          </w:p>
        </w:tc>
      </w:tr>
      <w:tr w14:paraId="662ABE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7D74E697">
            <w:pPr>
              <w:pStyle w:val="25"/>
              <w:spacing w:line="300" w:lineRule="exact"/>
              <w:jc w:val="center"/>
              <w:rPr>
                <w:rFonts w:hint="eastAsia" w:ascii="宋体" w:hAnsi="宋体" w:eastAsia="宋体" w:cs="宋体"/>
                <w:szCs w:val="21"/>
              </w:rPr>
            </w:pPr>
          </w:p>
        </w:tc>
        <w:tc>
          <w:tcPr>
            <w:tcW w:w="525" w:type="dxa"/>
            <w:vMerge w:val="continue"/>
            <w:noWrap w:val="0"/>
            <w:vAlign w:val="center"/>
          </w:tcPr>
          <w:p w14:paraId="305CBC75">
            <w:pPr>
              <w:pStyle w:val="25"/>
              <w:spacing w:line="300" w:lineRule="exact"/>
              <w:jc w:val="center"/>
              <w:rPr>
                <w:rFonts w:hint="eastAsia" w:ascii="宋体" w:hAnsi="宋体" w:eastAsia="宋体" w:cs="宋体"/>
                <w:szCs w:val="21"/>
              </w:rPr>
            </w:pPr>
          </w:p>
        </w:tc>
        <w:tc>
          <w:tcPr>
            <w:tcW w:w="1545" w:type="dxa"/>
            <w:noWrap w:val="0"/>
            <w:vAlign w:val="center"/>
          </w:tcPr>
          <w:p w14:paraId="155BA529">
            <w:pPr>
              <w:pStyle w:val="25"/>
              <w:spacing w:line="300" w:lineRule="exact"/>
              <w:rPr>
                <w:rFonts w:hint="eastAsia" w:ascii="宋体" w:hAnsi="宋体" w:eastAsia="宋体" w:cs="宋体"/>
                <w:szCs w:val="21"/>
              </w:rPr>
            </w:pPr>
            <w:r>
              <w:rPr>
                <w:rFonts w:hint="eastAsia" w:ascii="宋体" w:hAnsi="宋体" w:eastAsia="宋体" w:cs="宋体"/>
                <w:szCs w:val="21"/>
              </w:rPr>
              <w:t>预留洞口</w:t>
            </w:r>
          </w:p>
        </w:tc>
        <w:tc>
          <w:tcPr>
            <w:tcW w:w="6645" w:type="dxa"/>
            <w:noWrap w:val="0"/>
            <w:vAlign w:val="center"/>
          </w:tcPr>
          <w:p w14:paraId="018E0628">
            <w:pPr>
              <w:pStyle w:val="25"/>
              <w:spacing w:line="300" w:lineRule="exact"/>
              <w:rPr>
                <w:rFonts w:hint="eastAsia" w:ascii="宋体" w:hAnsi="宋体" w:eastAsia="宋体" w:cs="宋体"/>
                <w:szCs w:val="21"/>
              </w:rPr>
            </w:pPr>
            <w:r>
              <w:rPr>
                <w:rFonts w:hint="eastAsia" w:ascii="宋体" w:hAnsi="宋体" w:eastAsia="宋体" w:cs="宋体"/>
                <w:szCs w:val="21"/>
              </w:rPr>
              <w:t>用硬质材料全封闭，短边超过1.5m长的洞口，除封闭外四周还应设有防护栏杆。</w:t>
            </w:r>
          </w:p>
        </w:tc>
      </w:tr>
      <w:tr w14:paraId="05EE75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05" w:hRule="atLeast"/>
        </w:trPr>
        <w:tc>
          <w:tcPr>
            <w:tcW w:w="738" w:type="dxa"/>
            <w:vMerge w:val="continue"/>
            <w:noWrap w:val="0"/>
            <w:vAlign w:val="center"/>
          </w:tcPr>
          <w:p w14:paraId="0C4359DB">
            <w:pPr>
              <w:pStyle w:val="25"/>
              <w:spacing w:line="300" w:lineRule="exact"/>
              <w:jc w:val="center"/>
              <w:rPr>
                <w:rFonts w:hint="eastAsia" w:ascii="宋体" w:hAnsi="宋体" w:eastAsia="宋体" w:cs="宋体"/>
                <w:szCs w:val="21"/>
              </w:rPr>
            </w:pPr>
          </w:p>
        </w:tc>
        <w:tc>
          <w:tcPr>
            <w:tcW w:w="525" w:type="dxa"/>
            <w:vMerge w:val="continue"/>
            <w:noWrap w:val="0"/>
            <w:vAlign w:val="center"/>
          </w:tcPr>
          <w:p w14:paraId="16C219B9">
            <w:pPr>
              <w:pStyle w:val="25"/>
              <w:spacing w:line="300" w:lineRule="exact"/>
              <w:jc w:val="center"/>
              <w:rPr>
                <w:rFonts w:hint="eastAsia" w:ascii="宋体" w:hAnsi="宋体" w:eastAsia="宋体" w:cs="宋体"/>
                <w:szCs w:val="21"/>
              </w:rPr>
            </w:pPr>
          </w:p>
        </w:tc>
        <w:tc>
          <w:tcPr>
            <w:tcW w:w="1545" w:type="dxa"/>
            <w:noWrap w:val="0"/>
            <w:vAlign w:val="center"/>
          </w:tcPr>
          <w:p w14:paraId="7E99CF85">
            <w:pPr>
              <w:pStyle w:val="25"/>
              <w:spacing w:line="300" w:lineRule="exact"/>
              <w:rPr>
                <w:rFonts w:hint="eastAsia" w:ascii="宋体" w:hAnsi="宋体" w:eastAsia="宋体" w:cs="宋体"/>
                <w:szCs w:val="21"/>
              </w:rPr>
            </w:pPr>
            <w:r>
              <w:rPr>
                <w:rFonts w:hint="eastAsia" w:ascii="宋体" w:hAnsi="宋体" w:eastAsia="宋体" w:cs="宋体"/>
                <w:szCs w:val="21"/>
              </w:rPr>
              <w:t>电梯井口</w:t>
            </w:r>
          </w:p>
        </w:tc>
        <w:tc>
          <w:tcPr>
            <w:tcW w:w="6645" w:type="dxa"/>
            <w:noWrap w:val="0"/>
            <w:vAlign w:val="center"/>
          </w:tcPr>
          <w:p w14:paraId="563D92DF">
            <w:pPr>
              <w:pStyle w:val="25"/>
              <w:spacing w:line="300" w:lineRule="exact"/>
              <w:rPr>
                <w:rFonts w:hint="eastAsia" w:ascii="宋体" w:hAnsi="宋体" w:eastAsia="宋体" w:cs="宋体"/>
                <w:szCs w:val="21"/>
              </w:rPr>
            </w:pPr>
            <w:r>
              <w:rPr>
                <w:rFonts w:hint="eastAsia" w:ascii="宋体" w:hAnsi="宋体" w:eastAsia="宋体" w:cs="宋体"/>
                <w:szCs w:val="21"/>
              </w:rPr>
              <w:t>设置定型化、工具化的防护门，在电梯井内每隔2层（不大于10m）设置一道水平防护。</w:t>
            </w:r>
          </w:p>
        </w:tc>
      </w:tr>
      <w:tr w14:paraId="1F082F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25193754">
            <w:pPr>
              <w:pStyle w:val="25"/>
              <w:spacing w:line="300" w:lineRule="exact"/>
              <w:jc w:val="center"/>
              <w:rPr>
                <w:rFonts w:hint="eastAsia" w:ascii="宋体" w:hAnsi="宋体" w:eastAsia="宋体" w:cs="宋体"/>
                <w:szCs w:val="21"/>
              </w:rPr>
            </w:pPr>
          </w:p>
        </w:tc>
        <w:tc>
          <w:tcPr>
            <w:tcW w:w="525" w:type="dxa"/>
            <w:vMerge w:val="continue"/>
            <w:noWrap w:val="0"/>
            <w:vAlign w:val="center"/>
          </w:tcPr>
          <w:p w14:paraId="3C36A9AF">
            <w:pPr>
              <w:pStyle w:val="25"/>
              <w:spacing w:line="300" w:lineRule="exact"/>
              <w:jc w:val="center"/>
              <w:rPr>
                <w:rFonts w:hint="eastAsia" w:ascii="宋体" w:hAnsi="宋体" w:eastAsia="宋体" w:cs="宋体"/>
                <w:szCs w:val="21"/>
              </w:rPr>
            </w:pPr>
          </w:p>
        </w:tc>
        <w:tc>
          <w:tcPr>
            <w:tcW w:w="1545" w:type="dxa"/>
            <w:noWrap w:val="0"/>
            <w:vAlign w:val="center"/>
          </w:tcPr>
          <w:p w14:paraId="71CB381C">
            <w:pPr>
              <w:pStyle w:val="25"/>
              <w:spacing w:line="300" w:lineRule="exact"/>
              <w:rPr>
                <w:rFonts w:hint="eastAsia" w:ascii="宋体" w:hAnsi="宋体" w:eastAsia="宋体" w:cs="宋体"/>
                <w:szCs w:val="21"/>
              </w:rPr>
            </w:pPr>
            <w:r>
              <w:rPr>
                <w:rFonts w:hint="eastAsia" w:ascii="宋体" w:hAnsi="宋体" w:eastAsia="宋体" w:cs="宋体"/>
                <w:szCs w:val="21"/>
              </w:rPr>
              <w:t>楼梯边</w:t>
            </w:r>
          </w:p>
        </w:tc>
        <w:tc>
          <w:tcPr>
            <w:tcW w:w="6645" w:type="dxa"/>
            <w:noWrap w:val="0"/>
            <w:vAlign w:val="center"/>
          </w:tcPr>
          <w:p w14:paraId="25040B12">
            <w:pPr>
              <w:pStyle w:val="25"/>
              <w:spacing w:line="300" w:lineRule="exact"/>
              <w:rPr>
                <w:rFonts w:hint="eastAsia" w:ascii="宋体" w:hAnsi="宋体" w:eastAsia="宋体" w:cs="宋体"/>
                <w:szCs w:val="21"/>
              </w:rPr>
            </w:pPr>
            <w:r>
              <w:rPr>
                <w:rFonts w:hint="eastAsia" w:ascii="宋体" w:hAnsi="宋体" w:eastAsia="宋体" w:cs="宋体"/>
                <w:szCs w:val="21"/>
              </w:rPr>
              <w:t>设1.2m高的定型化、工具化的防护栏，18cm高的踢脚板。</w:t>
            </w:r>
          </w:p>
        </w:tc>
      </w:tr>
      <w:tr w14:paraId="108846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61276E28">
            <w:pPr>
              <w:pStyle w:val="25"/>
              <w:spacing w:line="300" w:lineRule="exact"/>
              <w:jc w:val="center"/>
              <w:rPr>
                <w:rFonts w:hint="eastAsia" w:ascii="宋体" w:hAnsi="宋体" w:eastAsia="宋体" w:cs="宋体"/>
                <w:szCs w:val="21"/>
              </w:rPr>
            </w:pPr>
          </w:p>
        </w:tc>
        <w:tc>
          <w:tcPr>
            <w:tcW w:w="525" w:type="dxa"/>
            <w:vMerge w:val="continue"/>
            <w:noWrap w:val="0"/>
            <w:vAlign w:val="center"/>
          </w:tcPr>
          <w:p w14:paraId="4E6B7B90">
            <w:pPr>
              <w:pStyle w:val="25"/>
              <w:spacing w:line="300" w:lineRule="exact"/>
              <w:jc w:val="center"/>
              <w:rPr>
                <w:rFonts w:hint="eastAsia" w:ascii="宋体" w:hAnsi="宋体" w:eastAsia="宋体" w:cs="宋体"/>
                <w:szCs w:val="21"/>
              </w:rPr>
            </w:pPr>
          </w:p>
        </w:tc>
        <w:tc>
          <w:tcPr>
            <w:tcW w:w="1545" w:type="dxa"/>
            <w:noWrap w:val="0"/>
            <w:vAlign w:val="center"/>
          </w:tcPr>
          <w:p w14:paraId="57042228">
            <w:pPr>
              <w:pStyle w:val="25"/>
              <w:spacing w:line="300" w:lineRule="exact"/>
              <w:rPr>
                <w:rFonts w:hint="eastAsia" w:ascii="宋体" w:hAnsi="宋体" w:eastAsia="宋体" w:cs="宋体"/>
                <w:szCs w:val="21"/>
              </w:rPr>
            </w:pPr>
            <w:r>
              <w:rPr>
                <w:rFonts w:hint="eastAsia" w:ascii="宋体" w:hAnsi="宋体" w:eastAsia="宋体" w:cs="宋体"/>
                <w:szCs w:val="21"/>
              </w:rPr>
              <w:t>垂直方向交叉作业</w:t>
            </w:r>
          </w:p>
        </w:tc>
        <w:tc>
          <w:tcPr>
            <w:tcW w:w="6645" w:type="dxa"/>
            <w:noWrap w:val="0"/>
            <w:vAlign w:val="center"/>
          </w:tcPr>
          <w:p w14:paraId="358A2D0F">
            <w:pPr>
              <w:pStyle w:val="25"/>
              <w:spacing w:line="300" w:lineRule="exact"/>
              <w:rPr>
                <w:rFonts w:hint="eastAsia" w:ascii="宋体" w:hAnsi="宋体" w:eastAsia="宋体" w:cs="宋体"/>
                <w:szCs w:val="21"/>
              </w:rPr>
            </w:pPr>
            <w:r>
              <w:rPr>
                <w:rFonts w:hint="eastAsia" w:ascii="宋体" w:hAnsi="宋体" w:eastAsia="宋体" w:cs="宋体"/>
                <w:szCs w:val="21"/>
              </w:rPr>
              <w:t>设置防护隔离棚或其它设施。</w:t>
            </w:r>
          </w:p>
        </w:tc>
      </w:tr>
      <w:tr w14:paraId="20B3D9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1CA98CBE">
            <w:pPr>
              <w:pStyle w:val="25"/>
              <w:spacing w:line="300" w:lineRule="exact"/>
              <w:jc w:val="center"/>
              <w:rPr>
                <w:rFonts w:hint="eastAsia" w:ascii="宋体" w:hAnsi="宋体" w:eastAsia="宋体" w:cs="宋体"/>
                <w:szCs w:val="21"/>
              </w:rPr>
            </w:pPr>
          </w:p>
        </w:tc>
        <w:tc>
          <w:tcPr>
            <w:tcW w:w="525" w:type="dxa"/>
            <w:vMerge w:val="continue"/>
            <w:noWrap w:val="0"/>
            <w:vAlign w:val="center"/>
          </w:tcPr>
          <w:p w14:paraId="07A9FB31">
            <w:pPr>
              <w:pStyle w:val="25"/>
              <w:spacing w:line="300" w:lineRule="exact"/>
              <w:jc w:val="center"/>
              <w:rPr>
                <w:rFonts w:hint="eastAsia" w:ascii="宋体" w:hAnsi="宋体" w:eastAsia="宋体" w:cs="宋体"/>
                <w:szCs w:val="21"/>
              </w:rPr>
            </w:pPr>
          </w:p>
        </w:tc>
        <w:tc>
          <w:tcPr>
            <w:tcW w:w="1545" w:type="dxa"/>
            <w:noWrap w:val="0"/>
            <w:vAlign w:val="center"/>
          </w:tcPr>
          <w:p w14:paraId="279D0D85">
            <w:pPr>
              <w:pStyle w:val="25"/>
              <w:spacing w:line="300" w:lineRule="exact"/>
              <w:rPr>
                <w:rFonts w:hint="eastAsia" w:ascii="宋体" w:hAnsi="宋体" w:eastAsia="宋体" w:cs="宋体"/>
                <w:szCs w:val="21"/>
              </w:rPr>
            </w:pPr>
            <w:r>
              <w:rPr>
                <w:rFonts w:hint="eastAsia" w:ascii="宋体" w:hAnsi="宋体" w:eastAsia="宋体" w:cs="宋体"/>
                <w:szCs w:val="21"/>
              </w:rPr>
              <w:t>高处作业</w:t>
            </w:r>
          </w:p>
        </w:tc>
        <w:tc>
          <w:tcPr>
            <w:tcW w:w="6645" w:type="dxa"/>
            <w:noWrap w:val="0"/>
            <w:vAlign w:val="center"/>
          </w:tcPr>
          <w:p w14:paraId="5110C59C">
            <w:pPr>
              <w:pStyle w:val="25"/>
              <w:spacing w:line="300" w:lineRule="exact"/>
              <w:rPr>
                <w:rFonts w:hint="eastAsia" w:ascii="宋体" w:hAnsi="宋体" w:eastAsia="宋体" w:cs="宋体"/>
                <w:szCs w:val="21"/>
              </w:rPr>
            </w:pPr>
            <w:r>
              <w:rPr>
                <w:rFonts w:hint="eastAsia" w:ascii="宋体" w:hAnsi="宋体" w:eastAsia="宋体" w:cs="宋体"/>
                <w:szCs w:val="21"/>
              </w:rPr>
              <w:t>有悬挂安全带的悬索或其它设施，有操作平台，有上下的梯子或其它形式的通道。</w:t>
            </w:r>
          </w:p>
        </w:tc>
      </w:tr>
      <w:tr w14:paraId="75194E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541223DC">
            <w:pPr>
              <w:pStyle w:val="25"/>
              <w:spacing w:line="300" w:lineRule="exact"/>
              <w:jc w:val="center"/>
              <w:rPr>
                <w:rFonts w:hint="eastAsia" w:ascii="宋体" w:hAnsi="宋体" w:eastAsia="宋体" w:cs="宋体"/>
                <w:szCs w:val="21"/>
              </w:rPr>
            </w:pPr>
          </w:p>
        </w:tc>
        <w:tc>
          <w:tcPr>
            <w:tcW w:w="525" w:type="dxa"/>
            <w:vMerge w:val="continue"/>
            <w:noWrap w:val="0"/>
            <w:vAlign w:val="center"/>
          </w:tcPr>
          <w:p w14:paraId="1D79062E">
            <w:pPr>
              <w:pStyle w:val="25"/>
              <w:spacing w:line="300" w:lineRule="exact"/>
              <w:jc w:val="center"/>
              <w:rPr>
                <w:rFonts w:hint="eastAsia" w:ascii="宋体" w:hAnsi="宋体" w:eastAsia="宋体" w:cs="宋体"/>
                <w:szCs w:val="21"/>
              </w:rPr>
            </w:pPr>
          </w:p>
        </w:tc>
        <w:tc>
          <w:tcPr>
            <w:tcW w:w="1545" w:type="dxa"/>
            <w:noWrap w:val="0"/>
            <w:vAlign w:val="center"/>
          </w:tcPr>
          <w:p w14:paraId="0DE7419E">
            <w:pPr>
              <w:pStyle w:val="25"/>
              <w:spacing w:line="300" w:lineRule="exact"/>
              <w:rPr>
                <w:rFonts w:hint="eastAsia" w:ascii="宋体" w:hAnsi="宋体" w:eastAsia="宋体" w:cs="宋体"/>
                <w:szCs w:val="21"/>
              </w:rPr>
            </w:pPr>
            <w:r>
              <w:rPr>
                <w:rFonts w:hint="eastAsia" w:ascii="宋体" w:hAnsi="宋体" w:eastAsia="宋体" w:cs="宋体"/>
                <w:szCs w:val="21"/>
              </w:rPr>
              <w:t>基坑、物料平台</w:t>
            </w:r>
          </w:p>
        </w:tc>
        <w:tc>
          <w:tcPr>
            <w:tcW w:w="6645" w:type="dxa"/>
            <w:noWrap w:val="0"/>
            <w:vAlign w:val="center"/>
          </w:tcPr>
          <w:p w14:paraId="173E9CBB">
            <w:pPr>
              <w:pStyle w:val="25"/>
              <w:spacing w:line="300" w:lineRule="exact"/>
              <w:rPr>
                <w:rFonts w:hint="eastAsia" w:ascii="宋体" w:hAnsi="宋体" w:eastAsia="宋体" w:cs="宋体"/>
                <w:szCs w:val="21"/>
              </w:rPr>
            </w:pPr>
            <w:r>
              <w:rPr>
                <w:rFonts w:hint="eastAsia" w:ascii="宋体" w:hAnsi="宋体" w:eastAsia="宋体" w:cs="宋体"/>
                <w:szCs w:val="21"/>
              </w:rPr>
              <w:t>设1.2m高标准化的防护栏，用密目式安全立网封闭，悬挂标识。</w:t>
            </w:r>
          </w:p>
        </w:tc>
      </w:tr>
      <w:tr w14:paraId="27CF6D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68BBD344">
            <w:pPr>
              <w:pStyle w:val="25"/>
              <w:spacing w:line="300" w:lineRule="exact"/>
              <w:jc w:val="center"/>
              <w:rPr>
                <w:rFonts w:hint="eastAsia" w:ascii="宋体" w:hAnsi="宋体" w:eastAsia="宋体" w:cs="宋体"/>
                <w:szCs w:val="21"/>
              </w:rPr>
            </w:pPr>
          </w:p>
        </w:tc>
        <w:tc>
          <w:tcPr>
            <w:tcW w:w="2070" w:type="dxa"/>
            <w:gridSpan w:val="2"/>
            <w:noWrap w:val="0"/>
            <w:vAlign w:val="center"/>
          </w:tcPr>
          <w:p w14:paraId="5CBD6F49">
            <w:pPr>
              <w:pStyle w:val="25"/>
              <w:spacing w:line="300" w:lineRule="exact"/>
              <w:jc w:val="center"/>
              <w:rPr>
                <w:rFonts w:hint="eastAsia" w:ascii="宋体" w:hAnsi="宋体" w:eastAsia="宋体" w:cs="宋体"/>
                <w:szCs w:val="21"/>
              </w:rPr>
            </w:pPr>
            <w:r>
              <w:rPr>
                <w:rFonts w:hint="eastAsia" w:ascii="宋体" w:hAnsi="宋体" w:eastAsia="宋体" w:cs="宋体"/>
                <w:szCs w:val="21"/>
              </w:rPr>
              <w:t>安全防护用品</w:t>
            </w:r>
          </w:p>
        </w:tc>
        <w:tc>
          <w:tcPr>
            <w:tcW w:w="6645" w:type="dxa"/>
            <w:noWrap w:val="0"/>
            <w:vAlign w:val="center"/>
          </w:tcPr>
          <w:p w14:paraId="70845CDD">
            <w:pPr>
              <w:pStyle w:val="25"/>
              <w:spacing w:line="300" w:lineRule="exact"/>
              <w:rPr>
                <w:rFonts w:hint="eastAsia" w:ascii="宋体" w:hAnsi="宋体" w:eastAsia="宋体" w:cs="宋体"/>
                <w:szCs w:val="21"/>
              </w:rPr>
            </w:pPr>
            <w:r>
              <w:rPr>
                <w:rFonts w:hint="eastAsia" w:ascii="宋体" w:hAnsi="宋体" w:eastAsia="宋体" w:cs="宋体"/>
                <w:szCs w:val="21"/>
              </w:rPr>
              <w:t>安全帽、安全带、特种作业人员（电工、焊工、架子工等）防护服装、用品等。</w:t>
            </w:r>
          </w:p>
        </w:tc>
      </w:tr>
      <w:tr w14:paraId="017E6A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55" w:hRule="atLeast"/>
        </w:trPr>
        <w:tc>
          <w:tcPr>
            <w:tcW w:w="738" w:type="dxa"/>
            <w:vMerge w:val="restart"/>
            <w:noWrap w:val="0"/>
            <w:vAlign w:val="center"/>
          </w:tcPr>
          <w:p w14:paraId="11AA63DD">
            <w:pPr>
              <w:pStyle w:val="25"/>
              <w:spacing w:line="300" w:lineRule="exact"/>
              <w:jc w:val="center"/>
              <w:rPr>
                <w:rFonts w:hint="eastAsia" w:ascii="宋体" w:hAnsi="宋体" w:eastAsia="宋体" w:cs="宋体"/>
                <w:szCs w:val="21"/>
              </w:rPr>
            </w:pPr>
            <w:r>
              <w:rPr>
                <w:rFonts w:hint="eastAsia" w:ascii="宋体" w:hAnsi="宋体" w:eastAsia="宋体" w:cs="宋体"/>
                <w:szCs w:val="21"/>
              </w:rPr>
              <w:t>其它</w:t>
            </w:r>
          </w:p>
        </w:tc>
        <w:tc>
          <w:tcPr>
            <w:tcW w:w="525" w:type="dxa"/>
            <w:vMerge w:val="restart"/>
            <w:noWrap w:val="0"/>
            <w:vAlign w:val="center"/>
          </w:tcPr>
          <w:p w14:paraId="0096676D">
            <w:pPr>
              <w:pStyle w:val="25"/>
              <w:spacing w:line="300" w:lineRule="exact"/>
              <w:jc w:val="center"/>
              <w:rPr>
                <w:rFonts w:hint="eastAsia" w:ascii="宋体" w:hAnsi="宋体" w:eastAsia="宋体" w:cs="宋体"/>
                <w:szCs w:val="21"/>
              </w:rPr>
            </w:pPr>
            <w:r>
              <w:rPr>
                <w:rFonts w:hint="eastAsia" w:ascii="宋体" w:hAnsi="宋体" w:eastAsia="宋体" w:cs="宋体"/>
                <w:szCs w:val="21"/>
              </w:rPr>
              <w:t>机械设备防护</w:t>
            </w:r>
          </w:p>
        </w:tc>
        <w:tc>
          <w:tcPr>
            <w:tcW w:w="1545" w:type="dxa"/>
            <w:noWrap w:val="0"/>
            <w:vAlign w:val="center"/>
          </w:tcPr>
          <w:p w14:paraId="2A27113C">
            <w:pPr>
              <w:pStyle w:val="25"/>
              <w:spacing w:line="300" w:lineRule="exact"/>
              <w:jc w:val="center"/>
              <w:rPr>
                <w:rFonts w:hint="eastAsia" w:ascii="宋体" w:hAnsi="宋体" w:eastAsia="宋体" w:cs="宋体"/>
                <w:szCs w:val="21"/>
              </w:rPr>
            </w:pPr>
            <w:r>
              <w:rPr>
                <w:rFonts w:hint="eastAsia" w:ascii="宋体" w:hAnsi="宋体" w:eastAsia="宋体" w:cs="宋体"/>
                <w:szCs w:val="21"/>
              </w:rPr>
              <w:t>中小型机械</w:t>
            </w:r>
          </w:p>
        </w:tc>
        <w:tc>
          <w:tcPr>
            <w:tcW w:w="6645" w:type="dxa"/>
            <w:noWrap w:val="0"/>
            <w:vAlign w:val="center"/>
          </w:tcPr>
          <w:p w14:paraId="047C84C2">
            <w:pPr>
              <w:pStyle w:val="25"/>
              <w:spacing w:line="300" w:lineRule="exact"/>
              <w:rPr>
                <w:rFonts w:hint="eastAsia" w:ascii="宋体" w:hAnsi="宋体" w:eastAsia="宋体" w:cs="宋体"/>
                <w:szCs w:val="21"/>
              </w:rPr>
            </w:pPr>
            <w:r>
              <w:rPr>
                <w:rFonts w:hint="eastAsia" w:ascii="宋体" w:hAnsi="宋体" w:eastAsia="宋体" w:cs="宋体"/>
                <w:szCs w:val="21"/>
              </w:rPr>
              <w:t>设防护棚（同通道口防护并有防雨措施）。</w:t>
            </w:r>
          </w:p>
        </w:tc>
      </w:tr>
      <w:tr w14:paraId="2E0893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3D072463">
            <w:pPr>
              <w:pStyle w:val="25"/>
              <w:spacing w:line="300" w:lineRule="exact"/>
              <w:jc w:val="center"/>
              <w:rPr>
                <w:rFonts w:hint="eastAsia" w:ascii="宋体" w:hAnsi="宋体" w:eastAsia="宋体" w:cs="宋体"/>
                <w:szCs w:val="21"/>
              </w:rPr>
            </w:pPr>
          </w:p>
        </w:tc>
        <w:tc>
          <w:tcPr>
            <w:tcW w:w="525" w:type="dxa"/>
            <w:vMerge w:val="continue"/>
            <w:noWrap w:val="0"/>
            <w:vAlign w:val="center"/>
          </w:tcPr>
          <w:p w14:paraId="19159AAC">
            <w:pPr>
              <w:pStyle w:val="25"/>
              <w:spacing w:line="300" w:lineRule="exact"/>
              <w:jc w:val="center"/>
              <w:rPr>
                <w:rFonts w:hint="eastAsia" w:ascii="宋体" w:hAnsi="宋体" w:eastAsia="宋体" w:cs="宋体"/>
                <w:szCs w:val="21"/>
              </w:rPr>
            </w:pPr>
          </w:p>
        </w:tc>
        <w:tc>
          <w:tcPr>
            <w:tcW w:w="1545" w:type="dxa"/>
            <w:noWrap w:val="0"/>
            <w:vAlign w:val="center"/>
          </w:tcPr>
          <w:p w14:paraId="3C59E0F9">
            <w:pPr>
              <w:pStyle w:val="25"/>
              <w:spacing w:line="300" w:lineRule="exact"/>
              <w:jc w:val="center"/>
              <w:rPr>
                <w:rFonts w:hint="eastAsia" w:ascii="宋体" w:hAnsi="宋体" w:eastAsia="宋体" w:cs="宋体"/>
                <w:szCs w:val="21"/>
              </w:rPr>
            </w:pPr>
            <w:r>
              <w:rPr>
                <w:rFonts w:hint="eastAsia" w:ascii="宋体" w:hAnsi="宋体" w:eastAsia="宋体" w:cs="宋体"/>
                <w:szCs w:val="21"/>
              </w:rPr>
              <w:t>垂直运输设备</w:t>
            </w:r>
          </w:p>
        </w:tc>
        <w:tc>
          <w:tcPr>
            <w:tcW w:w="6645" w:type="dxa"/>
            <w:noWrap w:val="0"/>
            <w:vAlign w:val="center"/>
          </w:tcPr>
          <w:p w14:paraId="056FE2E9">
            <w:pPr>
              <w:pStyle w:val="25"/>
              <w:spacing w:line="300" w:lineRule="exact"/>
              <w:rPr>
                <w:rFonts w:hint="eastAsia" w:ascii="宋体" w:hAnsi="宋体" w:eastAsia="宋体" w:cs="宋体"/>
                <w:szCs w:val="21"/>
              </w:rPr>
            </w:pPr>
            <w:r>
              <w:rPr>
                <w:rFonts w:hint="eastAsia" w:ascii="宋体" w:hAnsi="宋体" w:eastAsia="宋体" w:cs="宋体"/>
                <w:szCs w:val="21"/>
              </w:rPr>
              <w:t>1. 垂直运输设备检测、检验、日常维护、保养等。</w:t>
            </w:r>
          </w:p>
          <w:p w14:paraId="37315E29">
            <w:pPr>
              <w:pStyle w:val="25"/>
              <w:spacing w:line="300" w:lineRule="exact"/>
              <w:rPr>
                <w:rFonts w:hint="eastAsia" w:ascii="宋体" w:hAnsi="宋体" w:eastAsia="宋体" w:cs="宋体"/>
                <w:szCs w:val="21"/>
              </w:rPr>
            </w:pPr>
            <w:r>
              <w:rPr>
                <w:rFonts w:hint="eastAsia" w:ascii="宋体" w:hAnsi="宋体" w:eastAsia="宋体" w:cs="宋体"/>
                <w:szCs w:val="21"/>
              </w:rPr>
              <w:t>2. 物料提升机、施工电梯等物料平台搭设、外侧用密目式安全立网全封闭，有安全通道、安全防护门、防护棚等。</w:t>
            </w:r>
          </w:p>
        </w:tc>
      </w:tr>
      <w:tr w14:paraId="684110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noWrap w:val="0"/>
            <w:vAlign w:val="center"/>
          </w:tcPr>
          <w:p w14:paraId="24C10593">
            <w:pPr>
              <w:pStyle w:val="25"/>
              <w:spacing w:line="300" w:lineRule="exact"/>
              <w:jc w:val="center"/>
              <w:rPr>
                <w:rFonts w:hint="eastAsia" w:ascii="宋体" w:hAnsi="宋体" w:eastAsia="宋体" w:cs="宋体"/>
                <w:szCs w:val="21"/>
              </w:rPr>
            </w:pPr>
          </w:p>
        </w:tc>
        <w:tc>
          <w:tcPr>
            <w:tcW w:w="2070" w:type="dxa"/>
            <w:gridSpan w:val="2"/>
            <w:noWrap w:val="0"/>
            <w:vAlign w:val="center"/>
          </w:tcPr>
          <w:p w14:paraId="4E106F6E">
            <w:pPr>
              <w:pStyle w:val="25"/>
              <w:spacing w:line="300" w:lineRule="exact"/>
              <w:jc w:val="center"/>
              <w:rPr>
                <w:rFonts w:hint="eastAsia" w:ascii="宋体" w:hAnsi="宋体" w:eastAsia="宋体" w:cs="宋体"/>
                <w:szCs w:val="21"/>
              </w:rPr>
            </w:pPr>
            <w:r>
              <w:rPr>
                <w:rFonts w:hint="eastAsia" w:ascii="宋体" w:hAnsi="宋体" w:eastAsia="宋体" w:cs="宋体"/>
                <w:szCs w:val="21"/>
              </w:rPr>
              <w:t>专家论证审查</w:t>
            </w:r>
          </w:p>
        </w:tc>
        <w:tc>
          <w:tcPr>
            <w:tcW w:w="6645" w:type="dxa"/>
            <w:noWrap w:val="0"/>
            <w:vAlign w:val="center"/>
          </w:tcPr>
          <w:p w14:paraId="0A6E2146">
            <w:pPr>
              <w:pStyle w:val="25"/>
              <w:spacing w:line="300" w:lineRule="exact"/>
              <w:rPr>
                <w:rFonts w:hint="eastAsia" w:ascii="宋体" w:hAnsi="宋体" w:eastAsia="宋体" w:cs="宋体"/>
                <w:szCs w:val="21"/>
              </w:rPr>
            </w:pPr>
            <w:r>
              <w:rPr>
                <w:rFonts w:hint="eastAsia" w:ascii="宋体" w:hAnsi="宋体" w:eastAsia="宋体" w:cs="宋体"/>
                <w:szCs w:val="21"/>
              </w:rPr>
              <w:t>超过一定规模的危险性较大分部分项工程专家论证审查。</w:t>
            </w:r>
          </w:p>
        </w:tc>
      </w:tr>
      <w:tr w14:paraId="7C3525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noWrap w:val="0"/>
            <w:vAlign w:val="center"/>
          </w:tcPr>
          <w:p w14:paraId="3C71EC92">
            <w:pPr>
              <w:pStyle w:val="25"/>
              <w:spacing w:line="300" w:lineRule="exact"/>
              <w:jc w:val="center"/>
              <w:rPr>
                <w:rFonts w:hint="eastAsia" w:ascii="宋体" w:hAnsi="宋体" w:eastAsia="宋体" w:cs="宋体"/>
                <w:szCs w:val="21"/>
              </w:rPr>
            </w:pPr>
          </w:p>
        </w:tc>
        <w:tc>
          <w:tcPr>
            <w:tcW w:w="2070" w:type="dxa"/>
            <w:gridSpan w:val="2"/>
            <w:noWrap w:val="0"/>
            <w:vAlign w:val="center"/>
          </w:tcPr>
          <w:p w14:paraId="3FEFDE92">
            <w:pPr>
              <w:pStyle w:val="25"/>
              <w:spacing w:line="300" w:lineRule="exact"/>
              <w:jc w:val="center"/>
              <w:rPr>
                <w:rFonts w:hint="eastAsia" w:ascii="宋体" w:hAnsi="宋体" w:eastAsia="宋体" w:cs="宋体"/>
                <w:szCs w:val="21"/>
              </w:rPr>
            </w:pPr>
            <w:r>
              <w:rPr>
                <w:rFonts w:hint="eastAsia" w:ascii="宋体" w:hAnsi="宋体" w:eastAsia="宋体" w:cs="宋体"/>
                <w:szCs w:val="21"/>
              </w:rPr>
              <w:t>应急救援预案</w:t>
            </w:r>
          </w:p>
        </w:tc>
        <w:tc>
          <w:tcPr>
            <w:tcW w:w="6645" w:type="dxa"/>
            <w:noWrap w:val="0"/>
            <w:vAlign w:val="center"/>
          </w:tcPr>
          <w:p w14:paraId="4CEB56D1">
            <w:pPr>
              <w:pStyle w:val="25"/>
              <w:spacing w:line="300" w:lineRule="exact"/>
              <w:rPr>
                <w:rFonts w:hint="eastAsia" w:ascii="宋体" w:hAnsi="宋体" w:eastAsia="宋体" w:cs="宋体"/>
                <w:szCs w:val="21"/>
              </w:rPr>
            </w:pPr>
            <w:r>
              <w:rPr>
                <w:rFonts w:hint="eastAsia" w:ascii="宋体" w:hAnsi="宋体" w:eastAsia="宋体" w:cs="宋体"/>
                <w:szCs w:val="21"/>
              </w:rPr>
              <w:t>救援器材准备及演练等。</w:t>
            </w:r>
          </w:p>
        </w:tc>
      </w:tr>
      <w:tr w14:paraId="3B6443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1F945C69">
            <w:pPr>
              <w:pStyle w:val="25"/>
              <w:spacing w:line="300" w:lineRule="exact"/>
              <w:jc w:val="center"/>
              <w:rPr>
                <w:rFonts w:hint="eastAsia" w:ascii="宋体" w:hAnsi="宋体" w:eastAsia="宋体" w:cs="宋体"/>
                <w:szCs w:val="21"/>
              </w:rPr>
            </w:pPr>
          </w:p>
        </w:tc>
        <w:tc>
          <w:tcPr>
            <w:tcW w:w="2070" w:type="dxa"/>
            <w:gridSpan w:val="2"/>
            <w:noWrap w:val="0"/>
            <w:vAlign w:val="center"/>
          </w:tcPr>
          <w:p w14:paraId="38680D05">
            <w:pPr>
              <w:pStyle w:val="25"/>
              <w:spacing w:line="300" w:lineRule="exact"/>
              <w:jc w:val="center"/>
              <w:rPr>
                <w:rFonts w:hint="eastAsia" w:ascii="宋体" w:hAnsi="宋体" w:eastAsia="宋体" w:cs="宋体"/>
                <w:szCs w:val="21"/>
              </w:rPr>
            </w:pPr>
            <w:r>
              <w:rPr>
                <w:rFonts w:hint="eastAsia" w:ascii="宋体" w:hAnsi="宋体" w:eastAsia="宋体" w:cs="宋体"/>
                <w:szCs w:val="21"/>
              </w:rPr>
              <w:t>非正常情况施工</w:t>
            </w:r>
          </w:p>
        </w:tc>
        <w:tc>
          <w:tcPr>
            <w:tcW w:w="6645" w:type="dxa"/>
            <w:noWrap w:val="0"/>
            <w:vAlign w:val="center"/>
          </w:tcPr>
          <w:p w14:paraId="7E7F5BB8">
            <w:pPr>
              <w:pStyle w:val="25"/>
              <w:spacing w:line="300" w:lineRule="exact"/>
              <w:rPr>
                <w:rFonts w:hint="eastAsia" w:ascii="宋体" w:hAnsi="宋体" w:eastAsia="宋体" w:cs="宋体"/>
                <w:szCs w:val="21"/>
              </w:rPr>
            </w:pPr>
            <w:r>
              <w:rPr>
                <w:rFonts w:hint="eastAsia" w:ascii="宋体" w:hAnsi="宋体" w:eastAsia="宋体" w:cs="宋体"/>
                <w:szCs w:val="21"/>
              </w:rPr>
              <w:t>其它特殊情况下的防护费用，如：城市主干道、人流密集、河边等处施工及文物、古建筑、古树保护等。</w:t>
            </w:r>
          </w:p>
        </w:tc>
      </w:tr>
    </w:tbl>
    <w:p w14:paraId="13AA326E">
      <w:pPr>
        <w:pStyle w:val="11"/>
        <w:tabs>
          <w:tab w:val="left" w:pos="2127"/>
        </w:tabs>
        <w:spacing w:line="340" w:lineRule="exact"/>
        <w:rPr>
          <w:rFonts w:hint="eastAsia" w:ascii="宋体" w:hAnsi="宋体" w:eastAsia="宋体" w:cs="宋体"/>
        </w:rPr>
      </w:pPr>
      <w:r>
        <w:rPr>
          <w:rFonts w:hint="eastAsia" w:ascii="宋体" w:hAnsi="宋体" w:eastAsia="宋体" w:cs="宋体"/>
        </w:rPr>
        <w:t>注：本表所列建设工程安全文明施工费，是依据现行法律法规及标准、规范确定的。如法律法规和标准、规范修订，本表所列项目应按照修订后的法律法规和标准规范进行调整。</w:t>
      </w:r>
    </w:p>
    <w:p w14:paraId="53698D89">
      <w:pPr>
        <w:snapToGrid w:val="0"/>
        <w:spacing w:before="50" w:after="120" w:afterLines="50"/>
        <w:jc w:val="left"/>
        <w:rPr>
          <w:rFonts w:hint="eastAsia" w:ascii="宋体" w:hAnsi="宋体" w:eastAsia="宋体" w:cs="宋体"/>
          <w:szCs w:val="21"/>
        </w:rPr>
      </w:pPr>
      <w:r>
        <w:rPr>
          <w:rFonts w:hint="eastAsia" w:ascii="宋体" w:hAnsi="宋体" w:eastAsia="宋体" w:cs="宋体"/>
        </w:rPr>
        <w:br w:type="page"/>
      </w:r>
    </w:p>
    <w:p w14:paraId="3C15911A">
      <w:pPr>
        <w:snapToGrid w:val="0"/>
        <w:spacing w:before="50" w:after="120" w:afterLines="50"/>
        <w:jc w:val="left"/>
        <w:rPr>
          <w:rFonts w:hint="eastAsia" w:ascii="宋体" w:hAnsi="宋体" w:eastAsia="宋体" w:cs="宋体"/>
          <w:szCs w:val="21"/>
        </w:rPr>
      </w:pPr>
      <w:r>
        <w:rPr>
          <w:rFonts w:hint="eastAsia" w:ascii="宋体" w:hAnsi="宋体" w:cs="宋体"/>
          <w:szCs w:val="21"/>
          <w:lang w:val="en-US" w:eastAsia="zh-CN"/>
        </w:rPr>
        <w:t>8</w:t>
      </w:r>
      <w:r>
        <w:rPr>
          <w:rFonts w:hint="eastAsia" w:ascii="宋体" w:hAnsi="宋体" w:eastAsia="宋体" w:cs="宋体"/>
          <w:szCs w:val="21"/>
        </w:rPr>
        <w:t>.本工程拟投入列入节能产品政府采购品目清单及环境标志产品政府采购品目清单的货物清单。</w:t>
      </w:r>
      <w:r>
        <w:rPr>
          <w:rFonts w:hint="eastAsia" w:ascii="宋体" w:hAnsi="宋体" w:eastAsia="宋体" w:cs="宋体"/>
          <w:b/>
          <w:szCs w:val="21"/>
        </w:rPr>
        <w:t>（如有，须提供）</w:t>
      </w:r>
    </w:p>
    <w:p w14:paraId="72F32A62">
      <w:pPr>
        <w:snapToGrid w:val="0"/>
        <w:spacing w:before="50" w:after="120" w:afterLines="50"/>
        <w:jc w:val="left"/>
        <w:rPr>
          <w:rFonts w:hint="eastAsia" w:ascii="宋体" w:hAnsi="宋体" w:eastAsia="宋体" w:cs="宋体"/>
          <w:szCs w:val="21"/>
        </w:rPr>
      </w:pPr>
      <w:bookmarkStart w:id="578" w:name="_Hlk89190963"/>
      <w:r>
        <w:rPr>
          <w:rFonts w:hint="eastAsia" w:ascii="宋体" w:hAnsi="宋体" w:cs="宋体"/>
          <w:szCs w:val="21"/>
          <w:lang w:val="en-US" w:eastAsia="zh-CN"/>
        </w:rPr>
        <w:t>8</w:t>
      </w:r>
      <w:r>
        <w:rPr>
          <w:rFonts w:hint="eastAsia" w:ascii="宋体" w:hAnsi="宋体" w:eastAsia="宋体" w:cs="宋体"/>
          <w:szCs w:val="21"/>
        </w:rPr>
        <w:t>.1建筑材料和设备节能环保要求承诺书</w:t>
      </w:r>
    </w:p>
    <w:p w14:paraId="18865C28">
      <w:pPr>
        <w:spacing w:line="520" w:lineRule="exact"/>
        <w:ind w:left="-10" w:firstLine="455" w:firstLineChars="217"/>
        <w:jc w:val="left"/>
        <w:rPr>
          <w:rFonts w:hint="eastAsia" w:ascii="宋体" w:hAnsi="宋体" w:eastAsia="宋体" w:cs="宋体"/>
        </w:rPr>
      </w:pPr>
      <w:r>
        <w:rPr>
          <w:rFonts w:hint="eastAsia" w:ascii="宋体" w:hAnsi="宋体" w:eastAsia="宋体" w:cs="宋体"/>
        </w:rPr>
        <w:t>我方承诺，一旦中标，我方保证严格执行《财政部 国家发展改革委关于印发《节能产品政府采购实施意见》的通知》（财库〔2004〕185号）、《财政部 发展改革委 生态环境部 市场监管总局关于调整优化节能产品、环境标志产品政府采购执行机制的通知》（财库〔2019〕9号）和《关于印发节能产品政府采购品目清单的通知》（财库〔2019〕19号）的规定，所有工程中涉及的建筑材料和设备如属于财库〔2019〕19号文中《节能产品政府采购品目清单》内标注“★”的产品，都使用政府强制采购的节能产品。如我方在该项目的承包中出现未按规定执行的情形，我方愿意按照相关规定接受建设单位及有关主管部门的处罚。</w:t>
      </w:r>
    </w:p>
    <w:p w14:paraId="50BEB277">
      <w:pPr>
        <w:spacing w:line="520" w:lineRule="exact"/>
        <w:ind w:left="-10" w:firstLine="455" w:firstLineChars="217"/>
        <w:jc w:val="left"/>
        <w:rPr>
          <w:rFonts w:hint="eastAsia" w:ascii="宋体" w:hAnsi="宋体" w:eastAsia="宋体" w:cs="宋体"/>
        </w:rPr>
      </w:pPr>
    </w:p>
    <w:p w14:paraId="14C49AFD">
      <w:pPr>
        <w:tabs>
          <w:tab w:val="left" w:pos="4860"/>
        </w:tabs>
        <w:spacing w:line="360" w:lineRule="auto"/>
        <w:ind w:right="1560" w:firstLine="444" w:firstLineChars="200"/>
        <w:contextualSpacing/>
        <w:jc w:val="right"/>
        <w:rPr>
          <w:rFonts w:hint="eastAsia" w:ascii="宋体" w:hAnsi="宋体" w:eastAsia="宋体" w:cs="宋体"/>
          <w:spacing w:val="6"/>
        </w:rPr>
      </w:pPr>
      <w:r>
        <w:rPr>
          <w:rFonts w:hint="eastAsia" w:ascii="宋体" w:hAnsi="宋体" w:eastAsia="宋体" w:cs="宋体"/>
          <w:spacing w:val="6"/>
        </w:rPr>
        <w:t xml:space="preserve">                        单位名称（盖法人单位电子印章）：</w:t>
      </w:r>
    </w:p>
    <w:p w14:paraId="1BDA0E17">
      <w:pPr>
        <w:wordWrap w:val="0"/>
        <w:ind w:firstLine="444" w:firstLineChars="200"/>
        <w:jc w:val="right"/>
        <w:rPr>
          <w:rFonts w:hint="eastAsia" w:ascii="宋体" w:hAnsi="宋体" w:eastAsia="宋体" w:cs="宋体"/>
          <w:spacing w:val="6"/>
        </w:rPr>
      </w:pPr>
      <w:r>
        <w:rPr>
          <w:rFonts w:hint="eastAsia" w:ascii="宋体" w:hAnsi="宋体" w:eastAsia="宋体" w:cs="宋体"/>
          <w:spacing w:val="6"/>
        </w:rPr>
        <w:t xml:space="preserve">                                     日  期：             </w:t>
      </w:r>
    </w:p>
    <w:p w14:paraId="30D102A1">
      <w:pPr>
        <w:snapToGrid w:val="0"/>
        <w:spacing w:before="50" w:after="120" w:afterLines="50"/>
        <w:jc w:val="left"/>
        <w:rPr>
          <w:rFonts w:hint="eastAsia" w:ascii="宋体" w:hAnsi="宋体" w:eastAsia="宋体" w:cs="宋体"/>
          <w:szCs w:val="21"/>
        </w:rPr>
      </w:pPr>
    </w:p>
    <w:p w14:paraId="772DD3D7">
      <w:pPr>
        <w:snapToGrid w:val="0"/>
        <w:spacing w:before="50" w:after="120" w:afterLines="50"/>
        <w:jc w:val="left"/>
        <w:rPr>
          <w:rFonts w:hint="eastAsia" w:ascii="宋体" w:hAnsi="宋体" w:eastAsia="宋体" w:cs="宋体"/>
          <w:szCs w:val="21"/>
          <w:lang w:eastAsia="zh-CN"/>
        </w:rPr>
      </w:pPr>
      <w:r>
        <w:rPr>
          <w:rFonts w:hint="eastAsia" w:ascii="宋体" w:hAnsi="宋体" w:cs="宋体"/>
          <w:szCs w:val="21"/>
          <w:lang w:val="en-US" w:eastAsia="zh-CN"/>
        </w:rPr>
        <w:t>8</w:t>
      </w:r>
      <w:r>
        <w:rPr>
          <w:rFonts w:hint="eastAsia" w:ascii="宋体" w:hAnsi="宋体" w:eastAsia="宋体" w:cs="宋体"/>
          <w:szCs w:val="21"/>
        </w:rPr>
        <w:t>.2响应产品中如有列入节能产品政府采购品目清单及环境标志产品政府采购品目清单的货物，应按下表提供清单。</w:t>
      </w:r>
      <w:r>
        <w:rPr>
          <w:rFonts w:hint="eastAsia" w:ascii="宋体" w:hAnsi="宋体" w:eastAsia="宋体" w:cs="宋体"/>
          <w:szCs w:val="21"/>
          <w:lang w:val="en-US" w:eastAsia="zh-CN"/>
        </w:rPr>
        <w:t>响应</w:t>
      </w:r>
      <w:r>
        <w:rPr>
          <w:rFonts w:hint="eastAsia" w:ascii="宋体" w:hAnsi="宋体" w:eastAsia="宋体" w:cs="宋体"/>
          <w:szCs w:val="21"/>
        </w:rPr>
        <w:t>文件中</w:t>
      </w:r>
      <w:r>
        <w:rPr>
          <w:rFonts w:hint="eastAsia" w:ascii="宋体" w:hAnsi="宋体" w:eastAsia="宋体" w:cs="宋体"/>
          <w:szCs w:val="21"/>
          <w:lang w:val="en-US" w:eastAsia="zh-CN"/>
        </w:rPr>
        <w:t>同时</w:t>
      </w:r>
      <w:r>
        <w:rPr>
          <w:rFonts w:hint="eastAsia" w:ascii="宋体" w:hAnsi="宋体" w:eastAsia="宋体" w:cs="宋体"/>
          <w:szCs w:val="21"/>
        </w:rPr>
        <w:t>提供所</w:t>
      </w:r>
      <w:r>
        <w:rPr>
          <w:rFonts w:hint="eastAsia" w:ascii="宋体" w:hAnsi="宋体" w:eastAsia="宋体" w:cs="宋体"/>
          <w:szCs w:val="21"/>
          <w:lang w:val="en-US" w:eastAsia="zh-CN"/>
        </w:rPr>
        <w:t>响应</w:t>
      </w:r>
      <w:r>
        <w:rPr>
          <w:rFonts w:hint="eastAsia" w:ascii="宋体" w:hAnsi="宋体" w:eastAsia="宋体" w:cs="宋体"/>
          <w:szCs w:val="21"/>
        </w:rPr>
        <w:t>产品的节能产品及环境标志认证证书扫描件</w:t>
      </w:r>
      <w:r>
        <w:rPr>
          <w:rFonts w:hint="eastAsia" w:ascii="宋体" w:hAnsi="宋体" w:eastAsia="宋体" w:cs="宋体"/>
          <w:lang w:eastAsia="zh-CN"/>
        </w:rPr>
        <w:t>。</w:t>
      </w:r>
    </w:p>
    <w:p w14:paraId="175AB2B4">
      <w:pPr>
        <w:spacing w:line="360" w:lineRule="auto"/>
        <w:jc w:val="center"/>
        <w:rPr>
          <w:rFonts w:hint="eastAsia" w:ascii="宋体" w:hAnsi="宋体" w:eastAsia="宋体" w:cs="宋体"/>
          <w:szCs w:val="21"/>
        </w:rPr>
      </w:pPr>
      <w:r>
        <w:rPr>
          <w:rFonts w:hint="eastAsia" w:ascii="宋体" w:hAnsi="宋体" w:eastAsia="宋体" w:cs="宋体"/>
          <w:b/>
          <w:szCs w:val="21"/>
        </w:rPr>
        <w:t>节能产品及环境标志产品清单</w:t>
      </w:r>
    </w:p>
    <w:tbl>
      <w:tblPr>
        <w:tblStyle w:val="15"/>
        <w:tblW w:w="9328"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767"/>
        <w:gridCol w:w="1134"/>
        <w:gridCol w:w="897"/>
        <w:gridCol w:w="1088"/>
        <w:gridCol w:w="1409"/>
        <w:gridCol w:w="1851"/>
        <w:gridCol w:w="1412"/>
        <w:gridCol w:w="770"/>
      </w:tblGrid>
      <w:tr w14:paraId="17BAE8C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54" w:hRule="atLeast"/>
          <w:jc w:val="center"/>
        </w:trPr>
        <w:tc>
          <w:tcPr>
            <w:tcW w:w="767" w:type="dxa"/>
            <w:tcBorders>
              <w:top w:val="single" w:color="auto" w:sz="12" w:space="0"/>
              <w:left w:val="single" w:color="auto" w:sz="12" w:space="0"/>
              <w:bottom w:val="single" w:color="auto" w:sz="8" w:space="0"/>
              <w:right w:val="single" w:color="auto" w:sz="8" w:space="0"/>
            </w:tcBorders>
            <w:noWrap w:val="0"/>
            <w:tcMar>
              <w:top w:w="0" w:type="dxa"/>
              <w:left w:w="57" w:type="dxa"/>
              <w:bottom w:w="0" w:type="dxa"/>
              <w:right w:w="57" w:type="dxa"/>
            </w:tcMar>
            <w:vAlign w:val="center"/>
          </w:tcPr>
          <w:p w14:paraId="202D7B2F">
            <w:pPr>
              <w:widowControl/>
              <w:spacing w:before="100" w:beforeAutospacing="1" w:after="100" w:afterAutospacing="1" w:line="376" w:lineRule="atLeast"/>
              <w:jc w:val="center"/>
              <w:rPr>
                <w:rFonts w:hint="eastAsia" w:ascii="宋体" w:hAnsi="宋体" w:eastAsia="宋体" w:cs="宋体"/>
                <w:kern w:val="0"/>
                <w:szCs w:val="21"/>
              </w:rPr>
            </w:pPr>
            <w:r>
              <w:rPr>
                <w:rFonts w:hint="eastAsia" w:ascii="宋体" w:hAnsi="宋体" w:eastAsia="宋体" w:cs="宋体"/>
                <w:kern w:val="0"/>
                <w:szCs w:val="21"/>
              </w:rPr>
              <w:t>序号</w:t>
            </w:r>
          </w:p>
        </w:tc>
        <w:tc>
          <w:tcPr>
            <w:tcW w:w="1134" w:type="dxa"/>
            <w:tcBorders>
              <w:top w:val="single" w:color="auto" w:sz="12" w:space="0"/>
              <w:left w:val="nil"/>
              <w:bottom w:val="single" w:color="auto" w:sz="8" w:space="0"/>
              <w:right w:val="single" w:color="auto" w:sz="4" w:space="0"/>
            </w:tcBorders>
            <w:noWrap w:val="0"/>
            <w:tcMar>
              <w:top w:w="0" w:type="dxa"/>
              <w:left w:w="57" w:type="dxa"/>
              <w:bottom w:w="0" w:type="dxa"/>
              <w:right w:w="57" w:type="dxa"/>
            </w:tcMar>
            <w:vAlign w:val="center"/>
          </w:tcPr>
          <w:p w14:paraId="05597983">
            <w:pPr>
              <w:widowControl/>
              <w:spacing w:before="100" w:beforeAutospacing="1" w:after="100" w:afterAutospacing="1" w:line="376" w:lineRule="atLeast"/>
              <w:jc w:val="center"/>
              <w:rPr>
                <w:rFonts w:hint="eastAsia" w:ascii="宋体" w:hAnsi="宋体" w:eastAsia="宋体" w:cs="宋体"/>
                <w:kern w:val="0"/>
                <w:szCs w:val="21"/>
              </w:rPr>
            </w:pPr>
            <w:r>
              <w:rPr>
                <w:rFonts w:hint="eastAsia" w:ascii="宋体" w:hAnsi="宋体" w:eastAsia="宋体" w:cs="宋体"/>
                <w:kern w:val="0"/>
                <w:szCs w:val="21"/>
              </w:rPr>
              <w:t>类别</w:t>
            </w:r>
          </w:p>
        </w:tc>
        <w:tc>
          <w:tcPr>
            <w:tcW w:w="897" w:type="dxa"/>
            <w:tcBorders>
              <w:top w:val="single" w:color="auto" w:sz="12" w:space="0"/>
              <w:left w:val="single" w:color="auto" w:sz="4" w:space="0"/>
              <w:bottom w:val="single" w:color="auto" w:sz="8" w:space="0"/>
              <w:right w:val="single" w:color="auto" w:sz="8" w:space="0"/>
            </w:tcBorders>
            <w:noWrap w:val="0"/>
            <w:vAlign w:val="center"/>
          </w:tcPr>
          <w:p w14:paraId="0B17DF83">
            <w:pPr>
              <w:widowControl/>
              <w:spacing w:before="100" w:beforeAutospacing="1" w:after="100" w:afterAutospacing="1" w:line="376" w:lineRule="atLeast"/>
              <w:jc w:val="center"/>
              <w:rPr>
                <w:rFonts w:hint="eastAsia" w:ascii="宋体" w:hAnsi="宋体" w:eastAsia="宋体" w:cs="宋体"/>
                <w:kern w:val="0"/>
                <w:szCs w:val="21"/>
              </w:rPr>
            </w:pPr>
            <w:r>
              <w:rPr>
                <w:rFonts w:hint="eastAsia" w:ascii="宋体" w:hAnsi="宋体" w:eastAsia="宋体" w:cs="宋体"/>
                <w:kern w:val="0"/>
                <w:szCs w:val="21"/>
              </w:rPr>
              <w:t>品目</w:t>
            </w:r>
          </w:p>
        </w:tc>
        <w:tc>
          <w:tcPr>
            <w:tcW w:w="1088" w:type="dxa"/>
            <w:tcBorders>
              <w:top w:val="single" w:color="auto" w:sz="12" w:space="0"/>
              <w:left w:val="nil"/>
              <w:bottom w:val="single" w:color="auto" w:sz="8" w:space="0"/>
              <w:right w:val="single" w:color="auto" w:sz="4" w:space="0"/>
            </w:tcBorders>
            <w:noWrap w:val="0"/>
            <w:tcMar>
              <w:top w:w="0" w:type="dxa"/>
              <w:left w:w="57" w:type="dxa"/>
              <w:bottom w:w="0" w:type="dxa"/>
              <w:right w:w="57" w:type="dxa"/>
            </w:tcMar>
            <w:vAlign w:val="center"/>
          </w:tcPr>
          <w:p w14:paraId="7BBB41DE">
            <w:pPr>
              <w:widowControl/>
              <w:spacing w:before="100" w:beforeAutospacing="1" w:after="100" w:afterAutospacing="1" w:line="376" w:lineRule="atLeast"/>
              <w:jc w:val="center"/>
              <w:rPr>
                <w:rFonts w:hint="eastAsia" w:ascii="宋体" w:hAnsi="宋体" w:eastAsia="宋体" w:cs="宋体"/>
                <w:kern w:val="0"/>
                <w:szCs w:val="21"/>
              </w:rPr>
            </w:pPr>
            <w:r>
              <w:rPr>
                <w:rFonts w:hint="eastAsia" w:ascii="宋体" w:hAnsi="宋体" w:eastAsia="宋体" w:cs="宋体"/>
                <w:kern w:val="0"/>
                <w:szCs w:val="21"/>
              </w:rPr>
              <w:t>品牌</w:t>
            </w:r>
          </w:p>
        </w:tc>
        <w:tc>
          <w:tcPr>
            <w:tcW w:w="1409" w:type="dxa"/>
            <w:tcBorders>
              <w:top w:val="single" w:color="auto" w:sz="12" w:space="0"/>
              <w:left w:val="single" w:color="auto" w:sz="4" w:space="0"/>
              <w:bottom w:val="single" w:color="auto" w:sz="8" w:space="0"/>
              <w:right w:val="single" w:color="auto" w:sz="8" w:space="0"/>
            </w:tcBorders>
            <w:noWrap w:val="0"/>
            <w:vAlign w:val="center"/>
          </w:tcPr>
          <w:p w14:paraId="0FD45739">
            <w:pPr>
              <w:widowControl/>
              <w:spacing w:before="100" w:beforeAutospacing="1" w:after="100" w:afterAutospacing="1" w:line="376" w:lineRule="atLeast"/>
              <w:jc w:val="center"/>
              <w:rPr>
                <w:rFonts w:hint="eastAsia" w:ascii="宋体" w:hAnsi="宋体" w:eastAsia="宋体" w:cs="宋体"/>
                <w:kern w:val="0"/>
                <w:szCs w:val="21"/>
              </w:rPr>
            </w:pPr>
            <w:r>
              <w:rPr>
                <w:rFonts w:hint="eastAsia" w:ascii="宋体" w:hAnsi="宋体" w:eastAsia="宋体" w:cs="宋体"/>
                <w:kern w:val="0"/>
                <w:szCs w:val="21"/>
              </w:rPr>
              <w:t>规格型号</w:t>
            </w:r>
          </w:p>
        </w:tc>
        <w:tc>
          <w:tcPr>
            <w:tcW w:w="1851" w:type="dxa"/>
            <w:tcBorders>
              <w:top w:val="single" w:color="auto" w:sz="12" w:space="0"/>
              <w:left w:val="nil"/>
              <w:bottom w:val="single" w:color="auto" w:sz="8" w:space="0"/>
              <w:right w:val="single" w:color="auto" w:sz="8" w:space="0"/>
            </w:tcBorders>
            <w:noWrap w:val="0"/>
            <w:tcMar>
              <w:top w:w="0" w:type="dxa"/>
              <w:left w:w="57" w:type="dxa"/>
              <w:bottom w:w="0" w:type="dxa"/>
              <w:right w:w="57" w:type="dxa"/>
            </w:tcMar>
            <w:vAlign w:val="center"/>
          </w:tcPr>
          <w:p w14:paraId="249BB00F">
            <w:pPr>
              <w:widowControl/>
              <w:spacing w:before="100" w:beforeAutospacing="1" w:after="100" w:afterAutospacing="1" w:line="376" w:lineRule="atLeast"/>
              <w:jc w:val="center"/>
              <w:rPr>
                <w:rFonts w:hint="eastAsia" w:ascii="宋体" w:hAnsi="宋体" w:eastAsia="宋体" w:cs="宋体"/>
                <w:kern w:val="0"/>
                <w:szCs w:val="21"/>
              </w:rPr>
            </w:pPr>
            <w:r>
              <w:rPr>
                <w:rFonts w:hint="eastAsia" w:ascii="宋体" w:hAnsi="宋体" w:eastAsia="宋体" w:cs="宋体"/>
                <w:color w:val="333333"/>
                <w:szCs w:val="21"/>
                <w:shd w:val="clear" w:color="auto" w:fill="FFFFFF"/>
              </w:rPr>
              <w:t>生产者（制造商）</w:t>
            </w:r>
          </w:p>
        </w:tc>
        <w:tc>
          <w:tcPr>
            <w:tcW w:w="1412" w:type="dxa"/>
            <w:tcBorders>
              <w:top w:val="single" w:color="auto" w:sz="12" w:space="0"/>
              <w:left w:val="nil"/>
              <w:bottom w:val="single" w:color="auto" w:sz="8" w:space="0"/>
              <w:right w:val="single" w:color="auto" w:sz="8" w:space="0"/>
            </w:tcBorders>
            <w:noWrap w:val="0"/>
            <w:tcMar>
              <w:top w:w="0" w:type="dxa"/>
              <w:left w:w="57" w:type="dxa"/>
              <w:bottom w:w="0" w:type="dxa"/>
              <w:right w:w="57" w:type="dxa"/>
            </w:tcMar>
            <w:vAlign w:val="center"/>
          </w:tcPr>
          <w:p w14:paraId="42BDCC0F">
            <w:pPr>
              <w:widowControl/>
              <w:spacing w:before="100" w:beforeAutospacing="1" w:after="100" w:afterAutospacing="1" w:line="376" w:lineRule="atLeast"/>
              <w:jc w:val="center"/>
              <w:rPr>
                <w:rFonts w:hint="eastAsia" w:ascii="宋体" w:hAnsi="宋体" w:eastAsia="宋体" w:cs="宋体"/>
                <w:kern w:val="0"/>
                <w:szCs w:val="21"/>
              </w:rPr>
            </w:pPr>
            <w:r>
              <w:rPr>
                <w:rFonts w:hint="eastAsia" w:ascii="宋体" w:hAnsi="宋体" w:eastAsia="宋体" w:cs="宋体"/>
                <w:kern w:val="0"/>
                <w:szCs w:val="21"/>
              </w:rPr>
              <w:t>证书编号及证书到期日期</w:t>
            </w:r>
          </w:p>
        </w:tc>
        <w:tc>
          <w:tcPr>
            <w:tcW w:w="770" w:type="dxa"/>
            <w:tcBorders>
              <w:top w:val="single" w:color="auto" w:sz="12" w:space="0"/>
              <w:left w:val="nil"/>
              <w:bottom w:val="single" w:color="auto" w:sz="8" w:space="0"/>
              <w:right w:val="single" w:color="auto" w:sz="12" w:space="0"/>
            </w:tcBorders>
            <w:noWrap w:val="0"/>
            <w:tcMar>
              <w:top w:w="0" w:type="dxa"/>
              <w:left w:w="57" w:type="dxa"/>
              <w:bottom w:w="0" w:type="dxa"/>
              <w:right w:w="57" w:type="dxa"/>
            </w:tcMar>
            <w:vAlign w:val="center"/>
          </w:tcPr>
          <w:p w14:paraId="398E6314">
            <w:pPr>
              <w:widowControl/>
              <w:spacing w:before="100" w:beforeAutospacing="1" w:after="100" w:afterAutospacing="1" w:line="376" w:lineRule="atLeast"/>
              <w:jc w:val="center"/>
              <w:rPr>
                <w:rFonts w:hint="eastAsia" w:ascii="宋体" w:hAnsi="宋体" w:eastAsia="宋体" w:cs="宋体"/>
                <w:kern w:val="0"/>
                <w:szCs w:val="21"/>
              </w:rPr>
            </w:pPr>
            <w:r>
              <w:rPr>
                <w:rFonts w:hint="eastAsia" w:ascii="宋体" w:hAnsi="宋体" w:eastAsia="宋体" w:cs="宋体"/>
                <w:kern w:val="0"/>
                <w:szCs w:val="21"/>
              </w:rPr>
              <w:t>备注</w:t>
            </w:r>
          </w:p>
        </w:tc>
      </w:tr>
      <w:tr w14:paraId="1A01CC3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33" w:hRule="atLeast"/>
          <w:jc w:val="center"/>
        </w:trPr>
        <w:tc>
          <w:tcPr>
            <w:tcW w:w="767" w:type="dxa"/>
            <w:tcBorders>
              <w:top w:val="nil"/>
              <w:left w:val="single" w:color="auto" w:sz="12" w:space="0"/>
              <w:bottom w:val="single" w:color="auto" w:sz="8" w:space="0"/>
              <w:right w:val="single" w:color="auto" w:sz="8" w:space="0"/>
            </w:tcBorders>
            <w:noWrap w:val="0"/>
            <w:tcMar>
              <w:top w:w="0" w:type="dxa"/>
              <w:left w:w="57" w:type="dxa"/>
              <w:bottom w:w="0" w:type="dxa"/>
              <w:right w:w="57" w:type="dxa"/>
            </w:tcMar>
            <w:vAlign w:val="center"/>
          </w:tcPr>
          <w:p w14:paraId="61B27257">
            <w:pPr>
              <w:widowControl/>
              <w:spacing w:before="100" w:beforeAutospacing="1" w:after="100" w:afterAutospacing="1" w:line="376" w:lineRule="atLeast"/>
              <w:jc w:val="center"/>
              <w:rPr>
                <w:rFonts w:hint="eastAsia" w:ascii="宋体" w:hAnsi="宋体" w:eastAsia="宋体" w:cs="宋体"/>
                <w:kern w:val="0"/>
                <w:szCs w:val="21"/>
              </w:rPr>
            </w:pPr>
            <w:r>
              <w:rPr>
                <w:rFonts w:hint="eastAsia" w:ascii="宋体" w:hAnsi="宋体" w:eastAsia="宋体" w:cs="宋体"/>
                <w:kern w:val="0"/>
                <w:szCs w:val="21"/>
              </w:rPr>
              <w:t>1</w:t>
            </w:r>
          </w:p>
        </w:tc>
        <w:tc>
          <w:tcPr>
            <w:tcW w:w="1134"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3A7F128C">
            <w:pPr>
              <w:widowControl/>
              <w:spacing w:before="100" w:beforeAutospacing="1" w:after="100" w:afterAutospacing="1" w:line="376" w:lineRule="atLeast"/>
              <w:jc w:val="center"/>
              <w:rPr>
                <w:rFonts w:hint="eastAsia" w:ascii="宋体" w:hAnsi="宋体" w:eastAsia="宋体" w:cs="宋体"/>
                <w:kern w:val="0"/>
                <w:szCs w:val="21"/>
              </w:rPr>
            </w:pPr>
          </w:p>
        </w:tc>
        <w:tc>
          <w:tcPr>
            <w:tcW w:w="897" w:type="dxa"/>
            <w:tcBorders>
              <w:top w:val="nil"/>
              <w:left w:val="single" w:color="auto" w:sz="4" w:space="0"/>
              <w:bottom w:val="single" w:color="auto" w:sz="8" w:space="0"/>
              <w:right w:val="single" w:color="auto" w:sz="8" w:space="0"/>
            </w:tcBorders>
            <w:noWrap w:val="0"/>
            <w:vAlign w:val="center"/>
          </w:tcPr>
          <w:p w14:paraId="31DBA8DA">
            <w:pPr>
              <w:widowControl/>
              <w:spacing w:before="100" w:beforeAutospacing="1" w:after="100" w:afterAutospacing="1" w:line="376" w:lineRule="atLeast"/>
              <w:jc w:val="center"/>
              <w:rPr>
                <w:rFonts w:hint="eastAsia" w:ascii="宋体" w:hAnsi="宋体" w:eastAsia="宋体" w:cs="宋体"/>
                <w:kern w:val="0"/>
                <w:szCs w:val="21"/>
              </w:rPr>
            </w:pPr>
          </w:p>
        </w:tc>
        <w:tc>
          <w:tcPr>
            <w:tcW w:w="1088"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78BBD47E">
            <w:pPr>
              <w:widowControl/>
              <w:spacing w:before="100" w:beforeAutospacing="1" w:after="100" w:afterAutospacing="1" w:line="376" w:lineRule="atLeast"/>
              <w:jc w:val="center"/>
              <w:rPr>
                <w:rFonts w:hint="eastAsia" w:ascii="宋体" w:hAnsi="宋体" w:eastAsia="宋体" w:cs="宋体"/>
                <w:kern w:val="0"/>
                <w:szCs w:val="21"/>
              </w:rPr>
            </w:pPr>
          </w:p>
        </w:tc>
        <w:tc>
          <w:tcPr>
            <w:tcW w:w="1409" w:type="dxa"/>
            <w:tcBorders>
              <w:top w:val="nil"/>
              <w:left w:val="single" w:color="auto" w:sz="4" w:space="0"/>
              <w:bottom w:val="single" w:color="auto" w:sz="8" w:space="0"/>
              <w:right w:val="single" w:color="auto" w:sz="8" w:space="0"/>
            </w:tcBorders>
            <w:noWrap w:val="0"/>
            <w:vAlign w:val="center"/>
          </w:tcPr>
          <w:p w14:paraId="78678E3F">
            <w:pPr>
              <w:widowControl/>
              <w:spacing w:before="100" w:beforeAutospacing="1" w:after="100" w:afterAutospacing="1" w:line="376" w:lineRule="atLeast"/>
              <w:jc w:val="center"/>
              <w:rPr>
                <w:rFonts w:hint="eastAsia" w:ascii="宋体" w:hAnsi="宋体" w:eastAsia="宋体" w:cs="宋体"/>
                <w:kern w:val="0"/>
                <w:szCs w:val="21"/>
              </w:rPr>
            </w:pPr>
          </w:p>
        </w:tc>
        <w:tc>
          <w:tcPr>
            <w:tcW w:w="1851"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164A39B2">
            <w:pPr>
              <w:widowControl/>
              <w:spacing w:before="100" w:beforeAutospacing="1" w:after="100" w:afterAutospacing="1" w:line="376" w:lineRule="atLeast"/>
              <w:jc w:val="center"/>
              <w:rPr>
                <w:rFonts w:hint="eastAsia" w:ascii="宋体" w:hAnsi="宋体" w:eastAsia="宋体" w:cs="宋体"/>
                <w:kern w:val="0"/>
                <w:szCs w:val="21"/>
              </w:rPr>
            </w:pPr>
          </w:p>
        </w:tc>
        <w:tc>
          <w:tcPr>
            <w:tcW w:w="141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201B7641">
            <w:pPr>
              <w:widowControl/>
              <w:spacing w:before="100" w:beforeAutospacing="1" w:after="100" w:afterAutospacing="1" w:line="376" w:lineRule="atLeast"/>
              <w:jc w:val="center"/>
              <w:rPr>
                <w:rFonts w:hint="eastAsia" w:ascii="宋体" w:hAnsi="宋体" w:eastAsia="宋体" w:cs="宋体"/>
                <w:kern w:val="0"/>
                <w:szCs w:val="21"/>
              </w:rPr>
            </w:pPr>
          </w:p>
        </w:tc>
        <w:tc>
          <w:tcPr>
            <w:tcW w:w="770" w:type="dxa"/>
            <w:tcBorders>
              <w:top w:val="nil"/>
              <w:left w:val="nil"/>
              <w:bottom w:val="single" w:color="auto" w:sz="8" w:space="0"/>
              <w:right w:val="single" w:color="auto" w:sz="12" w:space="0"/>
            </w:tcBorders>
            <w:noWrap w:val="0"/>
            <w:tcMar>
              <w:top w:w="0" w:type="dxa"/>
              <w:left w:w="57" w:type="dxa"/>
              <w:bottom w:w="0" w:type="dxa"/>
              <w:right w:w="57" w:type="dxa"/>
            </w:tcMar>
            <w:vAlign w:val="center"/>
          </w:tcPr>
          <w:p w14:paraId="020651BD">
            <w:pPr>
              <w:widowControl/>
              <w:spacing w:before="100" w:beforeAutospacing="1" w:after="100" w:afterAutospacing="1" w:line="376" w:lineRule="atLeast"/>
              <w:jc w:val="center"/>
              <w:rPr>
                <w:rFonts w:hint="eastAsia" w:ascii="宋体" w:hAnsi="宋体" w:eastAsia="宋体" w:cs="宋体"/>
                <w:kern w:val="0"/>
                <w:szCs w:val="21"/>
              </w:rPr>
            </w:pPr>
          </w:p>
        </w:tc>
      </w:tr>
      <w:tr w14:paraId="2BFBFB1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81" w:hRule="atLeast"/>
          <w:jc w:val="center"/>
        </w:trPr>
        <w:tc>
          <w:tcPr>
            <w:tcW w:w="767" w:type="dxa"/>
            <w:tcBorders>
              <w:top w:val="nil"/>
              <w:left w:val="single" w:color="auto" w:sz="12" w:space="0"/>
              <w:bottom w:val="single" w:color="auto" w:sz="8" w:space="0"/>
              <w:right w:val="single" w:color="auto" w:sz="8" w:space="0"/>
            </w:tcBorders>
            <w:noWrap w:val="0"/>
            <w:tcMar>
              <w:top w:w="0" w:type="dxa"/>
              <w:left w:w="57" w:type="dxa"/>
              <w:bottom w:w="0" w:type="dxa"/>
              <w:right w:w="57" w:type="dxa"/>
            </w:tcMar>
            <w:vAlign w:val="center"/>
          </w:tcPr>
          <w:p w14:paraId="64CFF489">
            <w:pPr>
              <w:widowControl/>
              <w:spacing w:before="100" w:beforeAutospacing="1" w:after="100" w:afterAutospacing="1" w:line="376" w:lineRule="atLeast"/>
              <w:jc w:val="center"/>
              <w:rPr>
                <w:rFonts w:hint="eastAsia" w:ascii="宋体" w:hAnsi="宋体" w:eastAsia="宋体" w:cs="宋体"/>
                <w:kern w:val="0"/>
                <w:szCs w:val="21"/>
              </w:rPr>
            </w:pPr>
            <w:r>
              <w:rPr>
                <w:rFonts w:hint="eastAsia" w:ascii="宋体" w:hAnsi="宋体" w:eastAsia="宋体" w:cs="宋体"/>
                <w:kern w:val="0"/>
                <w:szCs w:val="21"/>
              </w:rPr>
              <w:t>2</w:t>
            </w:r>
          </w:p>
        </w:tc>
        <w:tc>
          <w:tcPr>
            <w:tcW w:w="1134"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1B875157">
            <w:pPr>
              <w:widowControl/>
              <w:spacing w:before="100" w:beforeAutospacing="1" w:after="100" w:afterAutospacing="1" w:line="376" w:lineRule="atLeast"/>
              <w:jc w:val="center"/>
              <w:rPr>
                <w:rFonts w:hint="eastAsia" w:ascii="宋体" w:hAnsi="宋体" w:eastAsia="宋体" w:cs="宋体"/>
                <w:kern w:val="0"/>
                <w:szCs w:val="21"/>
              </w:rPr>
            </w:pPr>
          </w:p>
        </w:tc>
        <w:tc>
          <w:tcPr>
            <w:tcW w:w="897" w:type="dxa"/>
            <w:tcBorders>
              <w:top w:val="nil"/>
              <w:left w:val="single" w:color="auto" w:sz="4" w:space="0"/>
              <w:bottom w:val="single" w:color="auto" w:sz="8" w:space="0"/>
              <w:right w:val="single" w:color="auto" w:sz="8" w:space="0"/>
            </w:tcBorders>
            <w:noWrap w:val="0"/>
            <w:vAlign w:val="center"/>
          </w:tcPr>
          <w:p w14:paraId="342A153B">
            <w:pPr>
              <w:widowControl/>
              <w:spacing w:before="100" w:beforeAutospacing="1" w:after="100" w:afterAutospacing="1" w:line="376" w:lineRule="atLeast"/>
              <w:jc w:val="center"/>
              <w:rPr>
                <w:rFonts w:hint="eastAsia" w:ascii="宋体" w:hAnsi="宋体" w:eastAsia="宋体" w:cs="宋体"/>
                <w:kern w:val="0"/>
                <w:szCs w:val="21"/>
              </w:rPr>
            </w:pPr>
          </w:p>
        </w:tc>
        <w:tc>
          <w:tcPr>
            <w:tcW w:w="1088"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6DD6BAFE">
            <w:pPr>
              <w:widowControl/>
              <w:spacing w:before="100" w:beforeAutospacing="1" w:after="100" w:afterAutospacing="1" w:line="376" w:lineRule="atLeast"/>
              <w:jc w:val="center"/>
              <w:rPr>
                <w:rFonts w:hint="eastAsia" w:ascii="宋体" w:hAnsi="宋体" w:eastAsia="宋体" w:cs="宋体"/>
                <w:kern w:val="0"/>
                <w:szCs w:val="21"/>
              </w:rPr>
            </w:pPr>
          </w:p>
        </w:tc>
        <w:tc>
          <w:tcPr>
            <w:tcW w:w="1409" w:type="dxa"/>
            <w:tcBorders>
              <w:top w:val="nil"/>
              <w:left w:val="single" w:color="auto" w:sz="4" w:space="0"/>
              <w:bottom w:val="single" w:color="auto" w:sz="8" w:space="0"/>
              <w:right w:val="single" w:color="auto" w:sz="8" w:space="0"/>
            </w:tcBorders>
            <w:noWrap w:val="0"/>
            <w:vAlign w:val="center"/>
          </w:tcPr>
          <w:p w14:paraId="14877091">
            <w:pPr>
              <w:widowControl/>
              <w:spacing w:before="100" w:beforeAutospacing="1" w:after="100" w:afterAutospacing="1" w:line="376" w:lineRule="atLeast"/>
              <w:jc w:val="center"/>
              <w:rPr>
                <w:rFonts w:hint="eastAsia" w:ascii="宋体" w:hAnsi="宋体" w:eastAsia="宋体" w:cs="宋体"/>
                <w:kern w:val="0"/>
                <w:szCs w:val="21"/>
              </w:rPr>
            </w:pPr>
          </w:p>
        </w:tc>
        <w:tc>
          <w:tcPr>
            <w:tcW w:w="1851"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7E7D9C09">
            <w:pPr>
              <w:widowControl/>
              <w:spacing w:before="100" w:beforeAutospacing="1" w:after="100" w:afterAutospacing="1" w:line="376" w:lineRule="atLeast"/>
              <w:jc w:val="center"/>
              <w:rPr>
                <w:rFonts w:hint="eastAsia" w:ascii="宋体" w:hAnsi="宋体" w:eastAsia="宋体" w:cs="宋体"/>
                <w:kern w:val="0"/>
                <w:szCs w:val="21"/>
              </w:rPr>
            </w:pPr>
          </w:p>
        </w:tc>
        <w:tc>
          <w:tcPr>
            <w:tcW w:w="141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2B0C9DBB">
            <w:pPr>
              <w:widowControl/>
              <w:spacing w:before="100" w:beforeAutospacing="1" w:after="100" w:afterAutospacing="1" w:line="376" w:lineRule="atLeast"/>
              <w:jc w:val="center"/>
              <w:rPr>
                <w:rFonts w:hint="eastAsia" w:ascii="宋体" w:hAnsi="宋体" w:eastAsia="宋体" w:cs="宋体"/>
                <w:kern w:val="0"/>
                <w:szCs w:val="21"/>
              </w:rPr>
            </w:pPr>
          </w:p>
        </w:tc>
        <w:tc>
          <w:tcPr>
            <w:tcW w:w="770" w:type="dxa"/>
            <w:tcBorders>
              <w:top w:val="nil"/>
              <w:left w:val="nil"/>
              <w:bottom w:val="single" w:color="auto" w:sz="8" w:space="0"/>
              <w:right w:val="single" w:color="auto" w:sz="12" w:space="0"/>
            </w:tcBorders>
            <w:noWrap w:val="0"/>
            <w:tcMar>
              <w:top w:w="0" w:type="dxa"/>
              <w:left w:w="57" w:type="dxa"/>
              <w:bottom w:w="0" w:type="dxa"/>
              <w:right w:w="57" w:type="dxa"/>
            </w:tcMar>
            <w:vAlign w:val="center"/>
          </w:tcPr>
          <w:p w14:paraId="2C7D81DD">
            <w:pPr>
              <w:widowControl/>
              <w:spacing w:before="100" w:beforeAutospacing="1" w:after="100" w:afterAutospacing="1" w:line="376" w:lineRule="atLeast"/>
              <w:jc w:val="center"/>
              <w:rPr>
                <w:rFonts w:hint="eastAsia" w:ascii="宋体" w:hAnsi="宋体" w:eastAsia="宋体" w:cs="宋体"/>
                <w:kern w:val="0"/>
                <w:szCs w:val="21"/>
              </w:rPr>
            </w:pPr>
          </w:p>
        </w:tc>
      </w:tr>
      <w:tr w14:paraId="14E795D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767" w:type="dxa"/>
            <w:tcBorders>
              <w:top w:val="nil"/>
              <w:left w:val="single" w:color="auto" w:sz="12" w:space="0"/>
              <w:bottom w:val="single" w:color="auto" w:sz="8" w:space="0"/>
              <w:right w:val="single" w:color="auto" w:sz="8" w:space="0"/>
            </w:tcBorders>
            <w:noWrap w:val="0"/>
            <w:tcMar>
              <w:top w:w="0" w:type="dxa"/>
              <w:left w:w="57" w:type="dxa"/>
              <w:bottom w:w="0" w:type="dxa"/>
              <w:right w:w="57" w:type="dxa"/>
            </w:tcMar>
            <w:vAlign w:val="center"/>
          </w:tcPr>
          <w:p w14:paraId="695BC8FA">
            <w:pPr>
              <w:widowControl/>
              <w:spacing w:before="100" w:beforeAutospacing="1" w:after="100" w:afterAutospacing="1" w:line="376" w:lineRule="atLeast"/>
              <w:jc w:val="center"/>
              <w:rPr>
                <w:rFonts w:hint="eastAsia" w:ascii="宋体" w:hAnsi="宋体" w:eastAsia="宋体" w:cs="宋体"/>
                <w:kern w:val="0"/>
                <w:szCs w:val="21"/>
              </w:rPr>
            </w:pPr>
            <w:r>
              <w:rPr>
                <w:rFonts w:hint="eastAsia" w:ascii="宋体" w:hAnsi="宋体" w:eastAsia="宋体" w:cs="宋体"/>
                <w:kern w:val="0"/>
                <w:szCs w:val="21"/>
              </w:rPr>
              <w:t>……</w:t>
            </w:r>
          </w:p>
        </w:tc>
        <w:tc>
          <w:tcPr>
            <w:tcW w:w="1134"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5ED070B8">
            <w:pPr>
              <w:widowControl/>
              <w:spacing w:before="100" w:beforeAutospacing="1" w:after="100" w:afterAutospacing="1" w:line="376" w:lineRule="atLeast"/>
              <w:jc w:val="center"/>
              <w:rPr>
                <w:rFonts w:hint="eastAsia" w:ascii="宋体" w:hAnsi="宋体" w:eastAsia="宋体" w:cs="宋体"/>
                <w:kern w:val="0"/>
                <w:szCs w:val="21"/>
              </w:rPr>
            </w:pPr>
          </w:p>
        </w:tc>
        <w:tc>
          <w:tcPr>
            <w:tcW w:w="897" w:type="dxa"/>
            <w:tcBorders>
              <w:top w:val="nil"/>
              <w:left w:val="single" w:color="auto" w:sz="4" w:space="0"/>
              <w:bottom w:val="single" w:color="auto" w:sz="8" w:space="0"/>
              <w:right w:val="single" w:color="auto" w:sz="8" w:space="0"/>
            </w:tcBorders>
            <w:noWrap w:val="0"/>
            <w:vAlign w:val="center"/>
          </w:tcPr>
          <w:p w14:paraId="41E7B55E">
            <w:pPr>
              <w:widowControl/>
              <w:spacing w:before="100" w:beforeAutospacing="1" w:after="100" w:afterAutospacing="1" w:line="376" w:lineRule="atLeast"/>
              <w:jc w:val="center"/>
              <w:rPr>
                <w:rFonts w:hint="eastAsia" w:ascii="宋体" w:hAnsi="宋体" w:eastAsia="宋体" w:cs="宋体"/>
                <w:kern w:val="0"/>
                <w:szCs w:val="21"/>
              </w:rPr>
            </w:pPr>
          </w:p>
        </w:tc>
        <w:tc>
          <w:tcPr>
            <w:tcW w:w="1088"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0FD82D42">
            <w:pPr>
              <w:widowControl/>
              <w:spacing w:before="100" w:beforeAutospacing="1" w:after="100" w:afterAutospacing="1" w:line="376" w:lineRule="atLeast"/>
              <w:jc w:val="center"/>
              <w:rPr>
                <w:rFonts w:hint="eastAsia" w:ascii="宋体" w:hAnsi="宋体" w:eastAsia="宋体" w:cs="宋体"/>
                <w:kern w:val="0"/>
                <w:szCs w:val="21"/>
              </w:rPr>
            </w:pPr>
          </w:p>
        </w:tc>
        <w:tc>
          <w:tcPr>
            <w:tcW w:w="1409" w:type="dxa"/>
            <w:tcBorders>
              <w:top w:val="nil"/>
              <w:left w:val="single" w:color="auto" w:sz="4" w:space="0"/>
              <w:bottom w:val="single" w:color="auto" w:sz="8" w:space="0"/>
              <w:right w:val="single" w:color="auto" w:sz="8" w:space="0"/>
            </w:tcBorders>
            <w:noWrap w:val="0"/>
            <w:vAlign w:val="center"/>
          </w:tcPr>
          <w:p w14:paraId="57BABE31">
            <w:pPr>
              <w:widowControl/>
              <w:spacing w:before="100" w:beforeAutospacing="1" w:after="100" w:afterAutospacing="1" w:line="376" w:lineRule="atLeast"/>
              <w:jc w:val="center"/>
              <w:rPr>
                <w:rFonts w:hint="eastAsia" w:ascii="宋体" w:hAnsi="宋体" w:eastAsia="宋体" w:cs="宋体"/>
                <w:kern w:val="0"/>
                <w:szCs w:val="21"/>
              </w:rPr>
            </w:pPr>
          </w:p>
        </w:tc>
        <w:tc>
          <w:tcPr>
            <w:tcW w:w="1851"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06482005">
            <w:pPr>
              <w:widowControl/>
              <w:spacing w:before="100" w:beforeAutospacing="1" w:after="100" w:afterAutospacing="1" w:line="376" w:lineRule="atLeast"/>
              <w:jc w:val="center"/>
              <w:rPr>
                <w:rFonts w:hint="eastAsia" w:ascii="宋体" w:hAnsi="宋体" w:eastAsia="宋体" w:cs="宋体"/>
                <w:kern w:val="0"/>
                <w:szCs w:val="21"/>
              </w:rPr>
            </w:pPr>
          </w:p>
        </w:tc>
        <w:tc>
          <w:tcPr>
            <w:tcW w:w="141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2FEFAF00">
            <w:pPr>
              <w:widowControl/>
              <w:spacing w:before="100" w:beforeAutospacing="1" w:after="100" w:afterAutospacing="1" w:line="376" w:lineRule="atLeast"/>
              <w:jc w:val="center"/>
              <w:rPr>
                <w:rFonts w:hint="eastAsia" w:ascii="宋体" w:hAnsi="宋体" w:eastAsia="宋体" w:cs="宋体"/>
                <w:kern w:val="0"/>
                <w:szCs w:val="21"/>
              </w:rPr>
            </w:pPr>
          </w:p>
        </w:tc>
        <w:tc>
          <w:tcPr>
            <w:tcW w:w="770" w:type="dxa"/>
            <w:tcBorders>
              <w:top w:val="nil"/>
              <w:left w:val="nil"/>
              <w:bottom w:val="single" w:color="auto" w:sz="8" w:space="0"/>
              <w:right w:val="single" w:color="auto" w:sz="12" w:space="0"/>
            </w:tcBorders>
            <w:noWrap w:val="0"/>
            <w:tcMar>
              <w:top w:w="0" w:type="dxa"/>
              <w:left w:w="57" w:type="dxa"/>
              <w:bottom w:w="0" w:type="dxa"/>
              <w:right w:w="57" w:type="dxa"/>
            </w:tcMar>
            <w:vAlign w:val="center"/>
          </w:tcPr>
          <w:p w14:paraId="147ECE8A">
            <w:pPr>
              <w:widowControl/>
              <w:spacing w:before="100" w:beforeAutospacing="1" w:after="100" w:afterAutospacing="1" w:line="376" w:lineRule="atLeast"/>
              <w:jc w:val="center"/>
              <w:rPr>
                <w:rFonts w:hint="eastAsia" w:ascii="宋体" w:hAnsi="宋体" w:eastAsia="宋体" w:cs="宋体"/>
                <w:kern w:val="0"/>
                <w:szCs w:val="21"/>
              </w:rPr>
            </w:pPr>
          </w:p>
        </w:tc>
      </w:tr>
    </w:tbl>
    <w:p w14:paraId="5DAB4F18">
      <w:pPr>
        <w:snapToGrid w:val="0"/>
        <w:spacing w:before="50" w:after="120" w:afterLines="50"/>
        <w:jc w:val="left"/>
        <w:rPr>
          <w:rFonts w:hint="eastAsia" w:ascii="宋体" w:hAnsi="宋体" w:eastAsia="宋体" w:cs="宋体"/>
          <w:szCs w:val="21"/>
        </w:rPr>
      </w:pPr>
      <w:r>
        <w:rPr>
          <w:rFonts w:hint="eastAsia" w:ascii="宋体" w:hAnsi="宋体" w:eastAsia="宋体" w:cs="宋体"/>
          <w:szCs w:val="21"/>
        </w:rPr>
        <w:t>注：类别填写节能或环境标志，品目填写编号及产品名称如A02010104台式计算机。</w:t>
      </w:r>
    </w:p>
    <w:bookmarkEnd w:id="578"/>
    <w:p w14:paraId="20E0F107">
      <w:pPr>
        <w:snapToGrid w:val="0"/>
        <w:spacing w:before="50" w:after="120" w:afterLines="50"/>
        <w:jc w:val="left"/>
        <w:rPr>
          <w:rFonts w:hint="eastAsia" w:ascii="宋体" w:hAnsi="宋体" w:eastAsia="宋体" w:cs="宋体"/>
          <w:szCs w:val="21"/>
        </w:rPr>
      </w:pPr>
    </w:p>
    <w:p w14:paraId="5BA4D689">
      <w:pPr>
        <w:snapToGrid w:val="0"/>
        <w:spacing w:before="50" w:after="120" w:afterLines="50"/>
        <w:jc w:val="left"/>
        <w:rPr>
          <w:rFonts w:hint="eastAsia" w:ascii="宋体" w:hAnsi="宋体" w:eastAsia="宋体" w:cs="宋体"/>
          <w:szCs w:val="21"/>
        </w:rPr>
      </w:pPr>
    </w:p>
    <w:p w14:paraId="506BC6DB">
      <w:pPr>
        <w:snapToGrid w:val="0"/>
        <w:spacing w:before="50" w:after="120" w:afterLines="50"/>
        <w:jc w:val="left"/>
        <w:rPr>
          <w:rFonts w:hint="eastAsia" w:ascii="宋体" w:hAnsi="宋体" w:eastAsia="宋体" w:cs="宋体"/>
          <w:szCs w:val="21"/>
        </w:rPr>
      </w:pPr>
    </w:p>
    <w:p w14:paraId="4D007511">
      <w:pPr>
        <w:snapToGrid w:val="0"/>
        <w:spacing w:before="50" w:after="120" w:afterLines="50" w:line="440" w:lineRule="exact"/>
        <w:jc w:val="left"/>
        <w:rPr>
          <w:rFonts w:hint="eastAsia" w:ascii="宋体" w:hAnsi="宋体" w:eastAsia="宋体" w:cs="宋体"/>
          <w:b/>
        </w:rPr>
      </w:pPr>
      <w:r>
        <w:rPr>
          <w:rFonts w:hint="eastAsia" w:ascii="宋体" w:hAnsi="宋体" w:eastAsia="宋体" w:cs="宋体"/>
        </w:rPr>
        <w:br w:type="page"/>
      </w:r>
      <w:r>
        <w:rPr>
          <w:rFonts w:hint="eastAsia" w:ascii="宋体" w:hAnsi="宋体" w:cs="宋体"/>
          <w:lang w:val="en-US" w:eastAsia="zh-CN"/>
        </w:rPr>
        <w:t>9</w:t>
      </w:r>
      <w:r>
        <w:rPr>
          <w:rFonts w:hint="eastAsia" w:ascii="宋体" w:hAnsi="宋体" w:eastAsia="宋体" w:cs="宋体"/>
        </w:rPr>
        <w:t>．</w:t>
      </w:r>
      <w:r>
        <w:rPr>
          <w:rFonts w:hint="eastAsia" w:ascii="宋体" w:hAnsi="宋体" w:eastAsia="宋体" w:cs="宋体"/>
          <w:szCs w:val="21"/>
        </w:rPr>
        <w:t>磋商保证金缴纳证明。</w:t>
      </w:r>
      <w:r>
        <w:rPr>
          <w:rFonts w:hint="eastAsia" w:ascii="宋体" w:hAnsi="宋体" w:eastAsia="宋体" w:cs="宋体"/>
          <w:b/>
        </w:rPr>
        <w:t>（如采购文件有要求时提供）</w:t>
      </w:r>
    </w:p>
    <w:p w14:paraId="3DFB3AF4">
      <w:pPr>
        <w:snapToGrid w:val="0"/>
        <w:spacing w:before="50" w:after="120" w:afterLines="50"/>
        <w:jc w:val="left"/>
        <w:rPr>
          <w:rFonts w:hint="eastAsia" w:ascii="宋体" w:hAnsi="宋体" w:eastAsia="宋体" w:cs="宋体"/>
        </w:rPr>
      </w:pPr>
      <w:r>
        <w:rPr>
          <w:rFonts w:hint="eastAsia" w:ascii="宋体" w:hAnsi="宋体" w:eastAsia="宋体" w:cs="宋体"/>
        </w:rPr>
        <w:t>（1）以转账、电汇形式缴纳的，提供转账、电汇凭证扫描件或复印件（网银可提供截图）加盖供应商电子签章；</w:t>
      </w:r>
    </w:p>
    <w:p w14:paraId="5C462CA4">
      <w:pPr>
        <w:snapToGrid w:val="0"/>
        <w:spacing w:before="50" w:after="120" w:afterLines="50"/>
        <w:jc w:val="left"/>
        <w:rPr>
          <w:rFonts w:hint="eastAsia" w:ascii="宋体" w:hAnsi="宋体" w:eastAsia="宋体" w:cs="宋体"/>
        </w:rPr>
      </w:pPr>
      <w:r>
        <w:rPr>
          <w:rFonts w:hint="eastAsia" w:ascii="宋体" w:hAnsi="宋体" w:eastAsia="宋体" w:cs="宋体"/>
        </w:rPr>
        <w:t>（2）</w:t>
      </w:r>
      <w:bookmarkStart w:id="579" w:name="_Hlk176360876"/>
      <w:r>
        <w:rPr>
          <w:rFonts w:hint="eastAsia" w:ascii="宋体" w:hAnsi="宋体" w:eastAsia="宋体" w:cs="宋体"/>
        </w:rPr>
        <w:t>以支票、汇票、本票或金融机构、担保机构出具的保函等非现金形式缴纳的，提供原件扫描件或复印件并加盖供应商电子签章。</w:t>
      </w:r>
      <w:bookmarkEnd w:id="579"/>
      <w:r>
        <w:rPr>
          <w:rFonts w:hint="eastAsia" w:ascii="宋体" w:hAnsi="宋体" w:eastAsia="宋体" w:cs="宋体"/>
        </w:rPr>
        <w:t>响应保函参考如下格式开具：</w:t>
      </w:r>
    </w:p>
    <w:p w14:paraId="37E41FAB">
      <w:pPr>
        <w:spacing w:line="360" w:lineRule="auto"/>
        <w:jc w:val="center"/>
        <w:rPr>
          <w:rFonts w:hint="eastAsia" w:ascii="宋体" w:hAnsi="宋体" w:eastAsia="宋体" w:cs="宋体"/>
          <w:b/>
          <w:bCs/>
          <w:sz w:val="28"/>
          <w:szCs w:val="36"/>
        </w:rPr>
      </w:pPr>
    </w:p>
    <w:p w14:paraId="18391348">
      <w:pPr>
        <w:spacing w:line="360" w:lineRule="auto"/>
        <w:jc w:val="center"/>
        <w:rPr>
          <w:rFonts w:hint="eastAsia" w:ascii="宋体" w:hAnsi="宋体" w:eastAsia="宋体" w:cs="宋体"/>
          <w:b/>
          <w:bCs/>
          <w:sz w:val="28"/>
          <w:szCs w:val="36"/>
        </w:rPr>
      </w:pPr>
      <w:r>
        <w:rPr>
          <w:rFonts w:hint="eastAsia" w:ascii="宋体" w:hAnsi="宋体" w:eastAsia="宋体" w:cs="宋体"/>
          <w:b/>
          <w:bCs/>
          <w:sz w:val="28"/>
          <w:szCs w:val="36"/>
        </w:rPr>
        <w:t>响应保函格式</w:t>
      </w:r>
    </w:p>
    <w:p w14:paraId="565AD12D">
      <w:pPr>
        <w:snapToGrid w:val="0"/>
        <w:spacing w:before="50" w:after="120" w:afterLines="50"/>
        <w:jc w:val="left"/>
        <w:rPr>
          <w:rFonts w:hint="eastAsia" w:ascii="宋体" w:hAnsi="宋体" w:eastAsia="宋体" w:cs="宋体"/>
        </w:rPr>
      </w:pPr>
      <w:r>
        <w:rPr>
          <w:rFonts w:hint="eastAsia" w:ascii="宋体" w:hAnsi="宋体" w:eastAsia="宋体" w:cs="宋体"/>
        </w:rPr>
        <w:t xml:space="preserve">编号：           </w:t>
      </w:r>
    </w:p>
    <w:p w14:paraId="2925C4E0">
      <w:pPr>
        <w:snapToGrid w:val="0"/>
        <w:spacing w:before="50" w:after="120" w:afterLines="50"/>
        <w:jc w:val="left"/>
        <w:rPr>
          <w:rFonts w:hint="eastAsia" w:ascii="宋体" w:hAnsi="宋体" w:eastAsia="宋体" w:cs="宋体"/>
        </w:rPr>
      </w:pPr>
      <w:r>
        <w:rPr>
          <w:rFonts w:hint="eastAsia" w:ascii="宋体" w:hAnsi="宋体" w:eastAsia="宋体" w:cs="宋体"/>
        </w:rPr>
        <w:t>申请人：</w:t>
      </w:r>
    </w:p>
    <w:p w14:paraId="194BB6DD">
      <w:pPr>
        <w:snapToGrid w:val="0"/>
        <w:spacing w:before="50" w:after="120" w:afterLines="50"/>
        <w:jc w:val="left"/>
        <w:rPr>
          <w:rFonts w:hint="eastAsia" w:ascii="宋体" w:hAnsi="宋体" w:eastAsia="宋体" w:cs="宋体"/>
        </w:rPr>
      </w:pPr>
      <w:r>
        <w:rPr>
          <w:rFonts w:hint="eastAsia" w:ascii="宋体" w:hAnsi="宋体" w:eastAsia="宋体" w:cs="宋体"/>
        </w:rPr>
        <w:t>地址：</w:t>
      </w:r>
    </w:p>
    <w:p w14:paraId="2B0208CE">
      <w:pPr>
        <w:snapToGrid w:val="0"/>
        <w:spacing w:before="50" w:after="120" w:afterLines="50"/>
        <w:jc w:val="left"/>
        <w:rPr>
          <w:rFonts w:hint="eastAsia" w:ascii="宋体" w:hAnsi="宋体" w:eastAsia="宋体" w:cs="宋体"/>
        </w:rPr>
      </w:pPr>
      <w:r>
        <w:rPr>
          <w:rFonts w:hint="eastAsia" w:ascii="宋体" w:hAnsi="宋体" w:eastAsia="宋体" w:cs="宋体"/>
        </w:rPr>
        <w:t xml:space="preserve">受益人：广西机电设备招标有限公司 </w:t>
      </w:r>
    </w:p>
    <w:p w14:paraId="467C5BF9">
      <w:pPr>
        <w:snapToGrid w:val="0"/>
        <w:spacing w:before="50" w:after="120" w:afterLines="50"/>
        <w:jc w:val="left"/>
        <w:rPr>
          <w:rFonts w:hint="eastAsia" w:ascii="宋体" w:hAnsi="宋体" w:eastAsia="宋体" w:cs="宋体"/>
        </w:rPr>
      </w:pPr>
      <w:r>
        <w:rPr>
          <w:rFonts w:hint="eastAsia" w:ascii="宋体" w:hAnsi="宋体" w:eastAsia="宋体" w:cs="宋体"/>
        </w:rPr>
        <w:t>地址：</w:t>
      </w:r>
    </w:p>
    <w:p w14:paraId="51733FD1">
      <w:pPr>
        <w:snapToGrid w:val="0"/>
        <w:spacing w:before="50" w:after="120" w:afterLines="50"/>
        <w:jc w:val="left"/>
        <w:rPr>
          <w:rFonts w:hint="eastAsia" w:ascii="宋体" w:hAnsi="宋体" w:eastAsia="宋体" w:cs="宋体"/>
        </w:rPr>
      </w:pPr>
      <w:r>
        <w:rPr>
          <w:rFonts w:hint="eastAsia" w:ascii="宋体" w:hAnsi="宋体" w:eastAsia="宋体" w:cs="宋体"/>
        </w:rPr>
        <w:t>开立人：</w:t>
      </w:r>
    </w:p>
    <w:p w14:paraId="5424AECD">
      <w:pPr>
        <w:snapToGrid w:val="0"/>
        <w:spacing w:before="50" w:after="120" w:afterLines="50"/>
        <w:jc w:val="left"/>
        <w:rPr>
          <w:rFonts w:hint="eastAsia" w:ascii="宋体" w:hAnsi="宋体" w:eastAsia="宋体" w:cs="宋体"/>
        </w:rPr>
      </w:pPr>
      <w:r>
        <w:rPr>
          <w:rFonts w:hint="eastAsia" w:ascii="宋体" w:hAnsi="宋体" w:eastAsia="宋体" w:cs="宋体"/>
        </w:rPr>
        <w:t>地址：</w:t>
      </w:r>
    </w:p>
    <w:p w14:paraId="34ADA748">
      <w:pPr>
        <w:snapToGrid w:val="0"/>
        <w:spacing w:before="50" w:after="120" w:afterLines="50" w:line="440" w:lineRule="exact"/>
        <w:jc w:val="left"/>
        <w:rPr>
          <w:rFonts w:hint="eastAsia" w:ascii="宋体" w:hAnsi="宋体" w:eastAsia="宋体" w:cs="宋体"/>
        </w:rPr>
      </w:pPr>
    </w:p>
    <w:p w14:paraId="616D06DF">
      <w:pPr>
        <w:snapToGrid w:val="0"/>
        <w:spacing w:before="50" w:after="120" w:afterLines="50" w:line="276" w:lineRule="auto"/>
        <w:jc w:val="left"/>
        <w:rPr>
          <w:rFonts w:hint="eastAsia" w:ascii="宋体" w:hAnsi="宋体" w:eastAsia="宋体" w:cs="宋体"/>
        </w:rPr>
      </w:pPr>
      <w:r>
        <w:rPr>
          <w:rFonts w:hint="eastAsia" w:ascii="宋体" w:hAnsi="宋体" w:eastAsia="宋体" w:cs="宋体"/>
        </w:rPr>
        <w:t>致：广西机电设备招标有限公司</w:t>
      </w:r>
    </w:p>
    <w:p w14:paraId="053B59A8">
      <w:pPr>
        <w:snapToGrid w:val="0"/>
        <w:spacing w:before="50" w:after="120" w:afterLines="50" w:line="276" w:lineRule="auto"/>
        <w:ind w:firstLine="420" w:firstLineChars="200"/>
        <w:jc w:val="left"/>
        <w:rPr>
          <w:rFonts w:hint="eastAsia" w:ascii="宋体" w:hAnsi="宋体" w:eastAsia="宋体" w:cs="宋体"/>
        </w:rPr>
      </w:pPr>
      <w:r>
        <w:rPr>
          <w:rFonts w:hint="eastAsia" w:ascii="宋体" w:hAnsi="宋体" w:eastAsia="宋体" w:cs="宋体"/>
        </w:rPr>
        <w:t>我方（即“开立人”）已获得通知，本保函申请人（即“供应商”）已响应贵方于</w:t>
      </w:r>
      <w:r>
        <w:rPr>
          <w:rFonts w:hint="eastAsia" w:ascii="宋体" w:hAnsi="宋体" w:eastAsia="宋体" w:cs="宋体"/>
          <w:u w:val="single"/>
        </w:rPr>
        <w:t xml:space="preserve">         </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 xml:space="preserve"> 日就 </w:t>
      </w:r>
      <w:r>
        <w:rPr>
          <w:rFonts w:hint="eastAsia" w:ascii="宋体" w:hAnsi="宋体" w:eastAsia="宋体" w:cs="宋体"/>
          <w:u w:val="single"/>
        </w:rPr>
        <w:t xml:space="preserve">                                          </w:t>
      </w:r>
      <w:r>
        <w:rPr>
          <w:rFonts w:hint="eastAsia" w:ascii="宋体" w:hAnsi="宋体" w:eastAsia="宋体" w:cs="宋体"/>
        </w:rPr>
        <w:t>（以下简称“本项目”）发出的</w:t>
      </w:r>
      <w:r>
        <w:rPr>
          <w:rFonts w:hint="eastAsia" w:ascii="宋体" w:hAnsi="宋体" w:eastAsia="宋体" w:cs="宋体"/>
          <w:lang w:val="en-US" w:eastAsia="zh-CN"/>
        </w:rPr>
        <w:t>采购</w:t>
      </w:r>
      <w:r>
        <w:rPr>
          <w:rFonts w:hint="eastAsia" w:ascii="宋体" w:hAnsi="宋体" w:eastAsia="宋体" w:cs="宋体"/>
        </w:rPr>
        <w:t>文件，并已向采购代理机构（即“受益人”）提交了</w:t>
      </w:r>
      <w:r>
        <w:rPr>
          <w:rFonts w:hint="eastAsia" w:ascii="宋体" w:hAnsi="宋体" w:eastAsia="宋体" w:cs="宋体"/>
          <w:lang w:val="en-US" w:eastAsia="zh-CN"/>
        </w:rPr>
        <w:t>响应</w:t>
      </w:r>
      <w:r>
        <w:rPr>
          <w:rFonts w:hint="eastAsia" w:ascii="宋体" w:hAnsi="宋体" w:eastAsia="宋体" w:cs="宋体"/>
        </w:rPr>
        <w:t>文件。</w:t>
      </w:r>
    </w:p>
    <w:p w14:paraId="144AF999">
      <w:pPr>
        <w:snapToGrid w:val="0"/>
        <w:spacing w:before="50" w:after="120" w:afterLines="50" w:line="276" w:lineRule="auto"/>
        <w:ind w:firstLine="420" w:firstLineChars="200"/>
        <w:jc w:val="left"/>
        <w:rPr>
          <w:rFonts w:hint="eastAsia" w:ascii="宋体" w:hAnsi="宋体" w:eastAsia="宋体" w:cs="宋体"/>
        </w:rPr>
      </w:pPr>
      <w:r>
        <w:rPr>
          <w:rFonts w:hint="eastAsia" w:ascii="宋体" w:hAnsi="宋体" w:eastAsia="宋体" w:cs="宋体"/>
        </w:rPr>
        <w:t>一、我方理解根据</w:t>
      </w:r>
      <w:r>
        <w:rPr>
          <w:rFonts w:hint="eastAsia" w:ascii="宋体" w:hAnsi="宋体" w:eastAsia="宋体" w:cs="宋体"/>
          <w:lang w:val="en-US" w:eastAsia="zh-CN"/>
        </w:rPr>
        <w:t>采购</w:t>
      </w:r>
      <w:r>
        <w:rPr>
          <w:rFonts w:hint="eastAsia" w:ascii="宋体" w:hAnsi="宋体" w:eastAsia="宋体" w:cs="宋体"/>
        </w:rPr>
        <w:t>条件，</w:t>
      </w:r>
      <w:r>
        <w:rPr>
          <w:rFonts w:hint="eastAsia" w:ascii="宋体" w:hAnsi="宋体" w:eastAsia="宋体" w:cs="宋体"/>
          <w:lang w:val="en-US" w:eastAsia="zh-CN"/>
        </w:rPr>
        <w:t>供应商</w:t>
      </w:r>
      <w:r>
        <w:rPr>
          <w:rFonts w:hint="eastAsia" w:ascii="宋体" w:hAnsi="宋体" w:eastAsia="宋体" w:cs="宋体"/>
        </w:rPr>
        <w:t>必须提交一份</w:t>
      </w:r>
      <w:r>
        <w:rPr>
          <w:rFonts w:hint="eastAsia" w:ascii="宋体" w:hAnsi="宋体" w:eastAsia="宋体" w:cs="宋体"/>
          <w:lang w:val="en-US" w:eastAsia="zh-CN"/>
        </w:rPr>
        <w:t>响应</w:t>
      </w:r>
      <w:r>
        <w:rPr>
          <w:rFonts w:hint="eastAsia" w:ascii="宋体" w:hAnsi="宋体" w:eastAsia="宋体" w:cs="宋体"/>
        </w:rPr>
        <w:t>保函（以下简称“本保函”），以担保供应商诚信履行其在采购活动中承担的义务。鉴此，应申请人要求，我方在此同意向贵方出具此</w:t>
      </w:r>
      <w:r>
        <w:rPr>
          <w:rFonts w:hint="eastAsia" w:ascii="宋体" w:hAnsi="宋体" w:eastAsia="宋体" w:cs="宋体"/>
          <w:lang w:val="en-US" w:eastAsia="zh-CN"/>
        </w:rPr>
        <w:t>响应</w:t>
      </w:r>
      <w:r>
        <w:rPr>
          <w:rFonts w:hint="eastAsia" w:ascii="宋体" w:hAnsi="宋体" w:eastAsia="宋体" w:cs="宋体"/>
        </w:rPr>
        <w:t>保函，本保函担保金额为人民币（大写）</w:t>
      </w:r>
      <w:r>
        <w:rPr>
          <w:rFonts w:hint="eastAsia" w:ascii="宋体" w:hAnsi="宋体" w:eastAsia="宋体" w:cs="宋体"/>
          <w:u w:val="single"/>
        </w:rPr>
        <w:t xml:space="preserve">                            </w:t>
      </w:r>
      <w:r>
        <w:rPr>
          <w:rFonts w:hint="eastAsia" w:ascii="宋体" w:hAnsi="宋体" w:eastAsia="宋体" w:cs="宋体"/>
        </w:rPr>
        <w:t>元（¥</w:t>
      </w:r>
      <w:r>
        <w:rPr>
          <w:rFonts w:hint="eastAsia" w:ascii="宋体" w:hAnsi="宋体" w:eastAsia="宋体" w:cs="宋体"/>
          <w:u w:val="single"/>
        </w:rPr>
        <w:t xml:space="preserve">                         </w:t>
      </w:r>
      <w:r>
        <w:rPr>
          <w:rFonts w:hint="eastAsia" w:ascii="宋体" w:hAnsi="宋体" w:eastAsia="宋体" w:cs="宋体"/>
        </w:rPr>
        <w:t>）。</w:t>
      </w:r>
    </w:p>
    <w:p w14:paraId="1CFCB98A">
      <w:pPr>
        <w:snapToGrid w:val="0"/>
        <w:spacing w:before="50" w:after="120" w:afterLines="50" w:line="276" w:lineRule="auto"/>
        <w:ind w:firstLine="420" w:firstLineChars="200"/>
        <w:jc w:val="left"/>
        <w:rPr>
          <w:rFonts w:hint="eastAsia" w:ascii="宋体" w:hAnsi="宋体" w:eastAsia="宋体" w:cs="宋体"/>
        </w:rPr>
      </w:pPr>
      <w:r>
        <w:rPr>
          <w:rFonts w:hint="eastAsia" w:ascii="宋体" w:hAnsi="宋体" w:eastAsia="宋体" w:cs="宋体"/>
        </w:rPr>
        <w:t xml:space="preserve">二、我方在供应商发生以下情形时承担保证担保责任： </w:t>
      </w:r>
    </w:p>
    <w:p w14:paraId="2C4163B7">
      <w:pPr>
        <w:snapToGrid w:val="0"/>
        <w:spacing w:before="50" w:after="120" w:afterLines="50" w:line="276" w:lineRule="auto"/>
        <w:ind w:firstLine="420" w:firstLineChars="200"/>
        <w:jc w:val="left"/>
        <w:rPr>
          <w:rFonts w:hint="eastAsia" w:ascii="宋体" w:hAnsi="宋体" w:eastAsia="宋体" w:cs="宋体"/>
        </w:rPr>
      </w:pPr>
      <w:r>
        <w:rPr>
          <w:rFonts w:hint="eastAsia" w:ascii="宋体" w:hAnsi="宋体" w:eastAsia="宋体" w:cs="宋体"/>
        </w:rPr>
        <w:t>（1）</w:t>
      </w:r>
      <w:r>
        <w:rPr>
          <w:rFonts w:hint="eastAsia" w:ascii="宋体" w:hAnsi="宋体" w:eastAsia="宋体" w:cs="宋体"/>
          <w:lang w:val="en-US" w:eastAsia="zh-CN"/>
        </w:rPr>
        <w:t>供应商</w:t>
      </w:r>
      <w:r>
        <w:rPr>
          <w:rFonts w:hint="eastAsia" w:ascii="宋体" w:hAnsi="宋体" w:eastAsia="宋体" w:cs="宋体"/>
        </w:rPr>
        <w:t>在</w:t>
      </w:r>
      <w:r>
        <w:rPr>
          <w:rFonts w:hint="eastAsia" w:ascii="宋体" w:hAnsi="宋体" w:eastAsia="宋体" w:cs="宋体"/>
          <w:lang w:val="en-US" w:eastAsia="zh-CN"/>
        </w:rPr>
        <w:t>截标</w:t>
      </w:r>
      <w:r>
        <w:rPr>
          <w:rFonts w:hint="eastAsia" w:ascii="宋体" w:hAnsi="宋体" w:eastAsia="宋体" w:cs="宋体"/>
        </w:rPr>
        <w:t>后和</w:t>
      </w:r>
      <w:r>
        <w:rPr>
          <w:rFonts w:hint="eastAsia" w:ascii="宋体" w:hAnsi="宋体" w:eastAsia="宋体" w:cs="宋体"/>
          <w:lang w:val="en-US" w:eastAsia="zh-CN"/>
        </w:rPr>
        <w:t>响应</w:t>
      </w:r>
      <w:r>
        <w:rPr>
          <w:rFonts w:hint="eastAsia" w:ascii="宋体" w:hAnsi="宋体" w:eastAsia="宋体" w:cs="宋体"/>
        </w:rPr>
        <w:t>有效期满之前撤销</w:t>
      </w:r>
      <w:r>
        <w:rPr>
          <w:rFonts w:hint="eastAsia" w:ascii="宋体" w:hAnsi="宋体" w:eastAsia="宋体" w:cs="宋体"/>
          <w:lang w:val="en-US" w:eastAsia="zh-CN"/>
        </w:rPr>
        <w:t>响应</w:t>
      </w:r>
      <w:r>
        <w:rPr>
          <w:rFonts w:hint="eastAsia" w:ascii="宋体" w:hAnsi="宋体" w:eastAsia="宋体" w:cs="宋体"/>
        </w:rPr>
        <w:t xml:space="preserve">文件的； </w:t>
      </w:r>
    </w:p>
    <w:p w14:paraId="0F3F328B">
      <w:pPr>
        <w:snapToGrid w:val="0"/>
        <w:spacing w:before="50" w:after="120" w:afterLines="50" w:line="276" w:lineRule="auto"/>
        <w:ind w:firstLine="420" w:firstLineChars="200"/>
        <w:jc w:val="left"/>
        <w:rPr>
          <w:rFonts w:hint="eastAsia" w:ascii="宋体" w:hAnsi="宋体" w:eastAsia="宋体" w:cs="宋体"/>
        </w:rPr>
      </w:pPr>
      <w:r>
        <w:rPr>
          <w:rFonts w:hint="eastAsia" w:ascii="宋体" w:hAnsi="宋体" w:eastAsia="宋体" w:cs="宋体"/>
        </w:rPr>
        <w:t>（2）</w:t>
      </w:r>
      <w:r>
        <w:rPr>
          <w:rFonts w:hint="eastAsia" w:ascii="宋体" w:hAnsi="宋体" w:eastAsia="宋体" w:cs="宋体"/>
          <w:lang w:val="en-US" w:eastAsia="zh-CN"/>
        </w:rPr>
        <w:t>供应商</w:t>
      </w:r>
      <w:r>
        <w:rPr>
          <w:rFonts w:hint="eastAsia" w:ascii="宋体" w:hAnsi="宋体" w:eastAsia="宋体" w:cs="宋体"/>
        </w:rPr>
        <w:t>在收到</w:t>
      </w:r>
      <w:r>
        <w:rPr>
          <w:rFonts w:hint="eastAsia" w:ascii="宋体" w:hAnsi="宋体" w:eastAsia="宋体" w:cs="宋体"/>
          <w:lang w:val="en-US" w:eastAsia="zh-CN"/>
        </w:rPr>
        <w:t>成交</w:t>
      </w:r>
      <w:r>
        <w:rPr>
          <w:rFonts w:hint="eastAsia" w:ascii="宋体" w:hAnsi="宋体" w:eastAsia="宋体" w:cs="宋体"/>
        </w:rPr>
        <w:t>通知书后，不能或拒绝按</w:t>
      </w:r>
      <w:r>
        <w:rPr>
          <w:rFonts w:hint="eastAsia" w:ascii="宋体" w:hAnsi="宋体" w:eastAsia="宋体" w:cs="宋体"/>
          <w:lang w:val="en-US" w:eastAsia="zh-CN"/>
        </w:rPr>
        <w:t>采购</w:t>
      </w:r>
      <w:r>
        <w:rPr>
          <w:rFonts w:hint="eastAsia" w:ascii="宋体" w:hAnsi="宋体" w:eastAsia="宋体" w:cs="宋体"/>
        </w:rPr>
        <w:t xml:space="preserve">文件规定的时间内与采购人签订合同； </w:t>
      </w:r>
    </w:p>
    <w:p w14:paraId="5A557356">
      <w:pPr>
        <w:snapToGrid w:val="0"/>
        <w:spacing w:before="50" w:after="120" w:afterLines="50" w:line="276" w:lineRule="auto"/>
        <w:ind w:firstLine="420" w:firstLineChars="200"/>
        <w:jc w:val="left"/>
        <w:rPr>
          <w:rFonts w:hint="eastAsia" w:ascii="宋体" w:hAnsi="宋体" w:eastAsia="宋体" w:cs="宋体"/>
        </w:rPr>
      </w:pPr>
      <w:r>
        <w:rPr>
          <w:rFonts w:hint="eastAsia" w:ascii="宋体" w:hAnsi="宋体" w:eastAsia="宋体" w:cs="宋体"/>
        </w:rPr>
        <w:t>（3）</w:t>
      </w:r>
      <w:r>
        <w:rPr>
          <w:rFonts w:hint="eastAsia" w:ascii="宋体" w:hAnsi="宋体" w:eastAsia="宋体" w:cs="宋体"/>
          <w:lang w:val="en-US" w:eastAsia="zh-CN"/>
        </w:rPr>
        <w:t>供应商</w:t>
      </w:r>
      <w:r>
        <w:rPr>
          <w:rFonts w:hint="eastAsia" w:ascii="宋体" w:hAnsi="宋体" w:eastAsia="宋体" w:cs="宋体"/>
        </w:rPr>
        <w:t>在与采购人签订合同后，未在规定的时间内提交符合</w:t>
      </w:r>
      <w:r>
        <w:rPr>
          <w:rFonts w:hint="eastAsia" w:ascii="宋体" w:hAnsi="宋体" w:eastAsia="宋体" w:cs="宋体"/>
          <w:lang w:val="en-US" w:eastAsia="zh-CN"/>
        </w:rPr>
        <w:t>采购</w:t>
      </w:r>
      <w:r>
        <w:rPr>
          <w:rFonts w:hint="eastAsia" w:ascii="宋体" w:hAnsi="宋体" w:eastAsia="宋体" w:cs="宋体"/>
        </w:rPr>
        <w:t>文件要求的履约担保；</w:t>
      </w:r>
    </w:p>
    <w:p w14:paraId="7B01A954">
      <w:pPr>
        <w:snapToGrid w:val="0"/>
        <w:spacing w:before="50" w:after="120" w:afterLines="50" w:line="276" w:lineRule="auto"/>
        <w:ind w:firstLine="420" w:firstLineChars="200"/>
        <w:jc w:val="left"/>
        <w:rPr>
          <w:rFonts w:hint="eastAsia" w:ascii="宋体" w:hAnsi="宋体" w:eastAsia="宋体" w:cs="宋体"/>
        </w:rPr>
      </w:pPr>
      <w:r>
        <w:rPr>
          <w:rFonts w:hint="eastAsia" w:ascii="宋体" w:hAnsi="宋体" w:eastAsia="宋体" w:cs="宋体"/>
        </w:rPr>
        <w:t>（4）</w:t>
      </w:r>
      <w:r>
        <w:rPr>
          <w:rFonts w:hint="eastAsia" w:ascii="宋体" w:hAnsi="宋体" w:eastAsia="宋体" w:cs="宋体"/>
          <w:lang w:val="en-US" w:eastAsia="zh-CN"/>
        </w:rPr>
        <w:t>供应商</w:t>
      </w:r>
      <w:r>
        <w:rPr>
          <w:rFonts w:hint="eastAsia" w:ascii="宋体" w:hAnsi="宋体" w:eastAsia="宋体" w:cs="宋体"/>
        </w:rPr>
        <w:t>在</w:t>
      </w:r>
      <w:r>
        <w:rPr>
          <w:rFonts w:hint="eastAsia" w:ascii="宋体" w:hAnsi="宋体" w:eastAsia="宋体" w:cs="宋体"/>
          <w:lang w:val="en-US" w:eastAsia="zh-CN"/>
        </w:rPr>
        <w:t>成交</w:t>
      </w:r>
      <w:r>
        <w:rPr>
          <w:rFonts w:hint="eastAsia" w:ascii="宋体" w:hAnsi="宋体" w:eastAsia="宋体" w:cs="宋体"/>
        </w:rPr>
        <w:t>通知书发出之日起5个工作日内，未缴纳本项目代理服务费的；</w:t>
      </w:r>
    </w:p>
    <w:p w14:paraId="5B181D0E">
      <w:pPr>
        <w:snapToGrid w:val="0"/>
        <w:spacing w:before="50" w:after="120" w:afterLines="50" w:line="276" w:lineRule="auto"/>
        <w:ind w:firstLine="420" w:firstLineChars="200"/>
        <w:jc w:val="left"/>
        <w:rPr>
          <w:rFonts w:hint="eastAsia" w:ascii="宋体" w:hAnsi="宋体" w:eastAsia="宋体" w:cs="宋体"/>
        </w:rPr>
      </w:pPr>
      <w:r>
        <w:rPr>
          <w:rFonts w:hint="eastAsia" w:ascii="宋体" w:hAnsi="宋体" w:eastAsia="宋体" w:cs="宋体"/>
        </w:rPr>
        <w:t>（5）</w:t>
      </w:r>
      <w:r>
        <w:rPr>
          <w:rFonts w:hint="eastAsia" w:ascii="宋体" w:hAnsi="宋体" w:eastAsia="宋体" w:cs="宋体"/>
          <w:lang w:val="en-US" w:eastAsia="zh-CN"/>
        </w:rPr>
        <w:t>供应商</w:t>
      </w:r>
      <w:r>
        <w:rPr>
          <w:rFonts w:hint="eastAsia" w:ascii="宋体" w:hAnsi="宋体" w:eastAsia="宋体" w:cs="宋体"/>
        </w:rPr>
        <w:t>违反招标文件规定的其他情形。</w:t>
      </w:r>
    </w:p>
    <w:p w14:paraId="00929164">
      <w:pPr>
        <w:snapToGrid w:val="0"/>
        <w:spacing w:before="50" w:after="120" w:afterLines="50" w:line="276" w:lineRule="auto"/>
        <w:ind w:firstLine="210" w:firstLineChars="100"/>
        <w:jc w:val="left"/>
        <w:rPr>
          <w:rFonts w:hint="eastAsia" w:ascii="宋体" w:hAnsi="宋体" w:eastAsia="宋体" w:cs="宋体"/>
          <w:color w:val="auto"/>
        </w:rPr>
      </w:pPr>
      <w:r>
        <w:rPr>
          <w:rFonts w:hint="eastAsia" w:ascii="宋体" w:hAnsi="宋体" w:eastAsia="宋体" w:cs="宋体"/>
        </w:rPr>
        <w:t xml:space="preserve">    三、本保函为不可撤销、不可转让的见索即付独立保函。本保函有效期自开立之日起至</w:t>
      </w:r>
      <w:r>
        <w:rPr>
          <w:rFonts w:hint="eastAsia" w:ascii="宋体" w:hAnsi="宋体" w:eastAsia="宋体" w:cs="宋体"/>
          <w:lang w:val="en-US" w:eastAsia="zh-CN"/>
        </w:rPr>
        <w:t>响应</w:t>
      </w:r>
      <w:r>
        <w:rPr>
          <w:rFonts w:hint="eastAsia" w:ascii="宋体" w:hAnsi="宋体" w:eastAsia="宋体" w:cs="宋体"/>
        </w:rPr>
        <w:t>有效期届满之日</w:t>
      </w:r>
      <w:r>
        <w:rPr>
          <w:rFonts w:hint="eastAsia" w:ascii="宋体" w:hAnsi="宋体" w:eastAsia="宋体" w:cs="宋体"/>
          <w:color w:val="auto"/>
        </w:rPr>
        <w:t>后的</w:t>
      </w:r>
      <w:r>
        <w:rPr>
          <w:rFonts w:hint="eastAsia" w:ascii="宋体" w:hAnsi="宋体" w:eastAsia="宋体" w:cs="宋体"/>
          <w:color w:val="auto"/>
          <w:u w:val="single"/>
        </w:rPr>
        <w:t xml:space="preserve">  28  </w:t>
      </w:r>
      <w:r>
        <w:rPr>
          <w:rFonts w:hint="eastAsia" w:ascii="宋体" w:hAnsi="宋体" w:eastAsia="宋体" w:cs="宋体"/>
          <w:color w:val="auto"/>
        </w:rPr>
        <w:t>日。</w:t>
      </w:r>
      <w:r>
        <w:rPr>
          <w:rFonts w:hint="eastAsia" w:ascii="宋体" w:hAnsi="宋体" w:eastAsia="宋体" w:cs="宋体"/>
          <w:color w:val="auto"/>
          <w:lang w:val="en-US" w:eastAsia="zh-CN"/>
        </w:rPr>
        <w:t>响应</w:t>
      </w:r>
      <w:r>
        <w:rPr>
          <w:rFonts w:hint="eastAsia" w:ascii="宋体" w:hAnsi="宋体" w:eastAsia="宋体" w:cs="宋体"/>
          <w:color w:val="auto"/>
        </w:rPr>
        <w:t>有效期延长的，本保函有效期相应顺延。</w:t>
      </w:r>
    </w:p>
    <w:p w14:paraId="2E3650F5">
      <w:pPr>
        <w:snapToGrid w:val="0"/>
        <w:spacing w:before="50" w:after="120" w:afterLines="50" w:line="276" w:lineRule="auto"/>
        <w:ind w:firstLine="420" w:firstLineChars="200"/>
        <w:jc w:val="left"/>
        <w:rPr>
          <w:rFonts w:hint="eastAsia" w:ascii="宋体" w:hAnsi="宋体" w:eastAsia="宋体" w:cs="宋体"/>
        </w:rPr>
      </w:pPr>
      <w:r>
        <w:rPr>
          <w:rFonts w:hint="eastAsia" w:ascii="宋体" w:hAnsi="宋体" w:eastAsia="宋体" w:cs="宋体"/>
          <w:color w:val="auto"/>
        </w:rPr>
        <w:t>四、我方承诺，在收到受益人发来的书面付款通知后的</w:t>
      </w:r>
      <w:r>
        <w:rPr>
          <w:rFonts w:hint="eastAsia" w:ascii="宋体" w:hAnsi="宋体" w:eastAsia="宋体" w:cs="宋体"/>
          <w:color w:val="auto"/>
          <w:u w:val="single"/>
        </w:rPr>
        <w:t xml:space="preserve">   5    </w:t>
      </w:r>
      <w:r>
        <w:rPr>
          <w:rFonts w:hint="eastAsia" w:ascii="宋体" w:hAnsi="宋体" w:eastAsia="宋体" w:cs="宋体"/>
          <w:color w:val="auto"/>
        </w:rPr>
        <w:t>日内</w:t>
      </w:r>
      <w:r>
        <w:rPr>
          <w:rFonts w:hint="eastAsia" w:ascii="宋体" w:hAnsi="宋体" w:eastAsia="宋体" w:cs="宋体"/>
        </w:rPr>
        <w:t>无条件支付，前述书面付款通知即为付款要求之单据，且应满足以下要求：</w:t>
      </w:r>
    </w:p>
    <w:p w14:paraId="5FD165D8">
      <w:pPr>
        <w:snapToGrid w:val="0"/>
        <w:spacing w:before="50" w:after="120" w:afterLines="50" w:line="276" w:lineRule="auto"/>
        <w:ind w:firstLine="420" w:firstLineChars="200"/>
        <w:jc w:val="left"/>
        <w:rPr>
          <w:rFonts w:hint="eastAsia" w:ascii="宋体" w:hAnsi="宋体" w:eastAsia="宋体" w:cs="宋体"/>
        </w:rPr>
      </w:pPr>
      <w:r>
        <w:rPr>
          <w:rFonts w:hint="eastAsia" w:ascii="宋体" w:hAnsi="宋体" w:eastAsia="宋体" w:cs="宋体"/>
        </w:rPr>
        <w:t>（1）付款通知到达的日期在本保函的有效期内；</w:t>
      </w:r>
    </w:p>
    <w:p w14:paraId="64121CA7">
      <w:pPr>
        <w:snapToGrid w:val="0"/>
        <w:spacing w:before="50" w:after="120" w:afterLines="50" w:line="276" w:lineRule="auto"/>
        <w:ind w:firstLine="420" w:firstLineChars="200"/>
        <w:jc w:val="left"/>
        <w:rPr>
          <w:rFonts w:hint="eastAsia" w:ascii="宋体" w:hAnsi="宋体" w:eastAsia="宋体" w:cs="宋体"/>
        </w:rPr>
      </w:pPr>
      <w:r>
        <w:rPr>
          <w:rFonts w:hint="eastAsia" w:ascii="宋体" w:hAnsi="宋体" w:eastAsia="宋体" w:cs="宋体"/>
        </w:rPr>
        <w:t>（2）载明要求支付的金额；</w:t>
      </w:r>
    </w:p>
    <w:p w14:paraId="112F2207">
      <w:pPr>
        <w:snapToGrid w:val="0"/>
        <w:spacing w:before="50" w:after="120" w:afterLines="50" w:line="276" w:lineRule="auto"/>
        <w:ind w:firstLine="420" w:firstLineChars="200"/>
        <w:jc w:val="left"/>
        <w:rPr>
          <w:rFonts w:hint="eastAsia" w:ascii="宋体" w:hAnsi="宋体" w:eastAsia="宋体" w:cs="宋体"/>
        </w:rPr>
      </w:pPr>
      <w:r>
        <w:rPr>
          <w:rFonts w:hint="eastAsia" w:ascii="宋体" w:hAnsi="宋体" w:eastAsia="宋体" w:cs="宋体"/>
        </w:rPr>
        <w:t>（3）载明申请人违反采购文件规定的义务内容和具体条款；</w:t>
      </w:r>
    </w:p>
    <w:p w14:paraId="08412C5D">
      <w:pPr>
        <w:snapToGrid w:val="0"/>
        <w:spacing w:before="50" w:after="120" w:afterLines="50" w:line="276" w:lineRule="auto"/>
        <w:ind w:firstLine="420" w:firstLineChars="200"/>
        <w:jc w:val="left"/>
        <w:rPr>
          <w:rFonts w:hint="eastAsia" w:ascii="宋体" w:hAnsi="宋体" w:eastAsia="宋体" w:cs="宋体"/>
        </w:rPr>
      </w:pPr>
      <w:r>
        <w:rPr>
          <w:rFonts w:hint="eastAsia" w:ascii="宋体" w:hAnsi="宋体" w:eastAsia="宋体" w:cs="宋体"/>
        </w:rPr>
        <w:t>（4）声明不存在采购文件规定或我国法律规定免除申请人或我方支付责任的情形；</w:t>
      </w:r>
    </w:p>
    <w:p w14:paraId="726F4580">
      <w:pPr>
        <w:snapToGrid w:val="0"/>
        <w:spacing w:before="50" w:after="120" w:afterLines="50" w:line="276" w:lineRule="auto"/>
        <w:ind w:firstLine="420" w:firstLineChars="200"/>
        <w:jc w:val="left"/>
        <w:rPr>
          <w:rFonts w:hint="eastAsia" w:ascii="宋体" w:hAnsi="宋体" w:eastAsia="宋体" w:cs="宋体"/>
        </w:rPr>
      </w:pPr>
      <w:r>
        <w:rPr>
          <w:rFonts w:hint="eastAsia" w:ascii="宋体" w:hAnsi="宋体" w:eastAsia="宋体" w:cs="宋体"/>
        </w:rPr>
        <w:t>（5）书面付款通知应在本保函有效期内到达的地址是：</w:t>
      </w:r>
      <w:r>
        <w:rPr>
          <w:rFonts w:hint="eastAsia" w:ascii="宋体" w:hAnsi="宋体" w:eastAsia="宋体" w:cs="宋体"/>
          <w:u w:val="single"/>
        </w:rPr>
        <w:t xml:space="preserve">                                     </w:t>
      </w:r>
      <w:r>
        <w:rPr>
          <w:rFonts w:hint="eastAsia" w:ascii="宋体" w:hAnsi="宋体" w:eastAsia="宋体" w:cs="宋体"/>
        </w:rPr>
        <w:t>。</w:t>
      </w:r>
    </w:p>
    <w:p w14:paraId="58AD235A">
      <w:pPr>
        <w:snapToGrid w:val="0"/>
        <w:spacing w:before="50" w:after="120" w:afterLines="50" w:line="276" w:lineRule="auto"/>
        <w:jc w:val="left"/>
        <w:rPr>
          <w:rFonts w:hint="eastAsia" w:ascii="宋体" w:hAnsi="宋体" w:eastAsia="宋体" w:cs="宋体"/>
        </w:rPr>
      </w:pPr>
      <w:r>
        <w:rPr>
          <w:rFonts w:hint="eastAsia" w:ascii="宋体" w:hAnsi="宋体" w:eastAsia="宋体" w:cs="宋体"/>
        </w:rPr>
        <w:t xml:space="preserve">        受益人发出的书面付款通知应由其为鉴明受益人法定代表人（负责人）或授权代理人签字并加盖公章。</w:t>
      </w:r>
    </w:p>
    <w:p w14:paraId="20CDA39E">
      <w:pPr>
        <w:snapToGrid w:val="0"/>
        <w:spacing w:before="50" w:after="120" w:afterLines="50" w:line="276" w:lineRule="auto"/>
        <w:ind w:firstLine="420" w:firstLineChars="200"/>
        <w:jc w:val="left"/>
        <w:rPr>
          <w:rFonts w:hint="eastAsia" w:ascii="宋体" w:hAnsi="宋体" w:eastAsia="宋体" w:cs="宋体"/>
        </w:rPr>
      </w:pPr>
      <w:r>
        <w:rPr>
          <w:rFonts w:hint="eastAsia" w:ascii="宋体" w:hAnsi="宋体" w:eastAsia="宋体" w:cs="宋体"/>
        </w:rPr>
        <w:t xml:space="preserve">五、本保函项下的权利不得转让，不得设定担保。贵方未经我方书面同意转让本保函或其项下任何权利，对我方不发生法律效力。 </w:t>
      </w:r>
    </w:p>
    <w:p w14:paraId="233AADB4">
      <w:pPr>
        <w:snapToGrid w:val="0"/>
        <w:spacing w:before="50" w:after="120" w:afterLines="50" w:line="276" w:lineRule="auto"/>
        <w:ind w:firstLine="420" w:firstLineChars="200"/>
        <w:jc w:val="left"/>
        <w:rPr>
          <w:rFonts w:hint="eastAsia" w:ascii="宋体" w:hAnsi="宋体" w:eastAsia="宋体" w:cs="宋体"/>
        </w:rPr>
      </w:pPr>
      <w:r>
        <w:rPr>
          <w:rFonts w:hint="eastAsia" w:ascii="宋体" w:hAnsi="宋体" w:eastAsia="宋体" w:cs="宋体"/>
        </w:rPr>
        <w:t xml:space="preserve">六、本保函项下的基础交易不成立、不生效、无效、被撤销、被解除，不影响本保函的独立有效。 </w:t>
      </w:r>
    </w:p>
    <w:p w14:paraId="6D90470F">
      <w:pPr>
        <w:snapToGrid w:val="0"/>
        <w:spacing w:before="50" w:after="120" w:afterLines="50" w:line="276" w:lineRule="auto"/>
        <w:ind w:firstLine="420" w:firstLineChars="200"/>
        <w:jc w:val="left"/>
        <w:rPr>
          <w:rFonts w:hint="eastAsia" w:ascii="宋体" w:hAnsi="宋体" w:eastAsia="宋体" w:cs="宋体"/>
        </w:rPr>
      </w:pPr>
      <w:r>
        <w:rPr>
          <w:rFonts w:hint="eastAsia" w:ascii="宋体" w:hAnsi="宋体" w:eastAsia="宋体" w:cs="宋体"/>
        </w:rPr>
        <w:t xml:space="preserve">七、受益人应在本保函到期后的七日内将本保函正本退回我方注销，但是不论受益人是否按此要求将本保函正本退回我方，我方在本保函项下的义务和责任均在保函有效期到期后自动消灭。 </w:t>
      </w:r>
    </w:p>
    <w:p w14:paraId="5B2EEE25">
      <w:pPr>
        <w:snapToGrid w:val="0"/>
        <w:spacing w:before="50" w:after="120" w:afterLines="50" w:line="276" w:lineRule="auto"/>
        <w:ind w:firstLine="420" w:firstLineChars="200"/>
        <w:jc w:val="left"/>
        <w:rPr>
          <w:rFonts w:hint="eastAsia" w:ascii="宋体" w:hAnsi="宋体" w:eastAsia="宋体" w:cs="宋体"/>
        </w:rPr>
      </w:pPr>
      <w:r>
        <w:rPr>
          <w:rFonts w:hint="eastAsia" w:ascii="宋体" w:hAnsi="宋体" w:eastAsia="宋体" w:cs="宋体"/>
        </w:rPr>
        <w:t xml:space="preserve">八、本保函适用的法律为中华人民共和国法律，争议裁判管辖地为中华人民共和国。 </w:t>
      </w:r>
    </w:p>
    <w:p w14:paraId="4A17BC9F">
      <w:pPr>
        <w:snapToGrid w:val="0"/>
        <w:spacing w:before="50" w:after="120" w:afterLines="50" w:line="276" w:lineRule="auto"/>
        <w:ind w:firstLine="420" w:firstLineChars="200"/>
        <w:jc w:val="left"/>
        <w:rPr>
          <w:rFonts w:hint="eastAsia" w:ascii="宋体" w:hAnsi="宋体" w:eastAsia="宋体" w:cs="宋体"/>
        </w:rPr>
      </w:pPr>
      <w:r>
        <w:rPr>
          <w:rFonts w:hint="eastAsia" w:ascii="宋体" w:hAnsi="宋体" w:eastAsia="宋体" w:cs="宋体"/>
        </w:rPr>
        <w:t xml:space="preserve">九、本保函自我方法定代表人或授权代表签字并加盖公章之日起生效。 </w:t>
      </w:r>
    </w:p>
    <w:p w14:paraId="4075C481">
      <w:pPr>
        <w:snapToGrid w:val="0"/>
        <w:spacing w:before="50" w:after="120" w:afterLines="50" w:line="276" w:lineRule="auto"/>
        <w:jc w:val="left"/>
        <w:rPr>
          <w:rFonts w:hint="eastAsia" w:ascii="宋体" w:hAnsi="宋体" w:eastAsia="宋体" w:cs="宋体"/>
        </w:rPr>
      </w:pPr>
    </w:p>
    <w:p w14:paraId="4DD82FDB">
      <w:pPr>
        <w:snapToGrid w:val="0"/>
        <w:spacing w:before="50" w:after="120" w:afterLines="50" w:line="276" w:lineRule="auto"/>
        <w:jc w:val="left"/>
        <w:rPr>
          <w:rFonts w:hint="eastAsia" w:ascii="宋体" w:hAnsi="宋体" w:eastAsia="宋体" w:cs="宋体"/>
        </w:rPr>
      </w:pPr>
      <w:r>
        <w:rPr>
          <w:rFonts w:hint="eastAsia" w:ascii="宋体" w:hAnsi="宋体" w:eastAsia="宋体" w:cs="宋体"/>
        </w:rPr>
        <w:t xml:space="preserve">开 立 人：                                                  （公章） </w:t>
      </w:r>
    </w:p>
    <w:p w14:paraId="70FFF1B8">
      <w:pPr>
        <w:snapToGrid w:val="0"/>
        <w:spacing w:before="50" w:after="120" w:afterLines="50" w:line="276" w:lineRule="auto"/>
        <w:jc w:val="left"/>
        <w:rPr>
          <w:rFonts w:hint="eastAsia" w:ascii="宋体" w:hAnsi="宋体" w:eastAsia="宋体" w:cs="宋体"/>
        </w:rPr>
      </w:pPr>
      <w:r>
        <w:rPr>
          <w:rFonts w:hint="eastAsia" w:ascii="宋体" w:hAnsi="宋体" w:eastAsia="宋体" w:cs="宋体"/>
        </w:rPr>
        <w:t xml:space="preserve">法定代表人（或授权代表） ：               （签字） </w:t>
      </w:r>
    </w:p>
    <w:p w14:paraId="4D50214C">
      <w:pPr>
        <w:snapToGrid w:val="0"/>
        <w:spacing w:before="50" w:after="120" w:afterLines="50" w:line="276" w:lineRule="auto"/>
        <w:jc w:val="left"/>
        <w:rPr>
          <w:rFonts w:hint="eastAsia" w:ascii="宋体" w:hAnsi="宋体" w:eastAsia="宋体" w:cs="宋体"/>
        </w:rPr>
      </w:pPr>
      <w:r>
        <w:rPr>
          <w:rFonts w:hint="eastAsia" w:ascii="宋体" w:hAnsi="宋体" w:eastAsia="宋体" w:cs="宋体"/>
        </w:rPr>
        <w:t xml:space="preserve">地    址：                                       </w:t>
      </w:r>
    </w:p>
    <w:p w14:paraId="475758D8">
      <w:pPr>
        <w:snapToGrid w:val="0"/>
        <w:spacing w:before="50" w:after="120" w:afterLines="50" w:line="276" w:lineRule="auto"/>
        <w:jc w:val="left"/>
        <w:rPr>
          <w:rFonts w:hint="eastAsia" w:ascii="宋体" w:hAnsi="宋体" w:eastAsia="宋体" w:cs="宋体"/>
        </w:rPr>
      </w:pPr>
      <w:r>
        <w:rPr>
          <w:rFonts w:hint="eastAsia" w:ascii="宋体" w:hAnsi="宋体" w:eastAsia="宋体" w:cs="宋体"/>
        </w:rPr>
        <w:t xml:space="preserve">邮政编码：                 </w:t>
      </w:r>
    </w:p>
    <w:p w14:paraId="587D2383">
      <w:pPr>
        <w:snapToGrid w:val="0"/>
        <w:spacing w:before="50" w:after="120" w:afterLines="50" w:line="276" w:lineRule="auto"/>
        <w:jc w:val="left"/>
        <w:rPr>
          <w:rFonts w:hint="eastAsia" w:ascii="宋体" w:hAnsi="宋体" w:eastAsia="宋体" w:cs="宋体"/>
        </w:rPr>
      </w:pPr>
      <w:r>
        <w:rPr>
          <w:rFonts w:hint="eastAsia" w:ascii="宋体" w:hAnsi="宋体" w:eastAsia="宋体" w:cs="宋体"/>
        </w:rPr>
        <w:t xml:space="preserve">电    话：                 </w:t>
      </w:r>
    </w:p>
    <w:p w14:paraId="59329D04">
      <w:pPr>
        <w:snapToGrid w:val="0"/>
        <w:spacing w:before="50" w:after="120" w:afterLines="50" w:line="276" w:lineRule="auto"/>
        <w:jc w:val="left"/>
        <w:rPr>
          <w:rFonts w:hint="eastAsia" w:ascii="宋体" w:hAnsi="宋体" w:eastAsia="宋体" w:cs="宋体"/>
        </w:rPr>
      </w:pPr>
      <w:r>
        <w:rPr>
          <w:rFonts w:hint="eastAsia" w:ascii="宋体" w:hAnsi="宋体" w:eastAsia="宋体" w:cs="宋体"/>
        </w:rPr>
        <w:t xml:space="preserve">传    真：                 </w:t>
      </w:r>
    </w:p>
    <w:p w14:paraId="3DD3A042">
      <w:pPr>
        <w:snapToGrid w:val="0"/>
        <w:spacing w:before="50" w:after="120" w:afterLines="50" w:line="276" w:lineRule="auto"/>
        <w:jc w:val="left"/>
        <w:rPr>
          <w:rFonts w:hint="eastAsia" w:ascii="宋体" w:hAnsi="宋体" w:eastAsia="宋体" w:cs="宋体"/>
        </w:rPr>
      </w:pPr>
      <w:r>
        <w:rPr>
          <w:rFonts w:hint="eastAsia" w:ascii="宋体" w:hAnsi="宋体" w:eastAsia="宋体" w:cs="宋体"/>
        </w:rPr>
        <w:t>开立时间：      年       月        日</w:t>
      </w:r>
    </w:p>
    <w:p w14:paraId="2DC901BF">
      <w:pPr>
        <w:snapToGrid w:val="0"/>
        <w:spacing w:before="50" w:after="120" w:afterLines="50"/>
        <w:jc w:val="left"/>
        <w:rPr>
          <w:rFonts w:hint="eastAsia" w:ascii="宋体" w:hAnsi="宋体" w:eastAsia="宋体" w:cs="宋体"/>
        </w:rPr>
      </w:pPr>
    </w:p>
    <w:p w14:paraId="37085C6E">
      <w:pPr>
        <w:snapToGrid w:val="0"/>
        <w:spacing w:before="50" w:after="120" w:afterLines="50"/>
        <w:jc w:val="left"/>
        <w:rPr>
          <w:rFonts w:hint="eastAsia" w:ascii="宋体" w:hAnsi="宋体" w:eastAsia="宋体" w:cs="宋体"/>
        </w:rPr>
      </w:pPr>
    </w:p>
    <w:p w14:paraId="03B05522">
      <w:pPr>
        <w:snapToGrid w:val="0"/>
        <w:spacing w:before="50" w:after="120" w:afterLines="50"/>
        <w:jc w:val="left"/>
        <w:rPr>
          <w:rFonts w:hint="eastAsia" w:ascii="宋体" w:hAnsi="宋体" w:eastAsia="宋体" w:cs="宋体"/>
          <w:szCs w:val="21"/>
        </w:rPr>
      </w:pPr>
    </w:p>
    <w:p w14:paraId="7D9FF2B8">
      <w:pPr>
        <w:snapToGrid w:val="0"/>
        <w:spacing w:before="50" w:after="120" w:afterLines="50" w:line="400" w:lineRule="exact"/>
        <w:jc w:val="left"/>
        <w:rPr>
          <w:rFonts w:hint="eastAsia" w:ascii="宋体" w:hAnsi="宋体" w:eastAsia="宋体" w:cs="宋体"/>
          <w:bCs/>
          <w:sz w:val="24"/>
        </w:rPr>
      </w:pPr>
      <w:r>
        <w:rPr>
          <w:rFonts w:hint="eastAsia" w:ascii="宋体" w:hAnsi="宋体" w:eastAsia="宋体" w:cs="宋体"/>
          <w:szCs w:val="21"/>
        </w:rPr>
        <w:br w:type="page"/>
      </w:r>
      <w:r>
        <w:rPr>
          <w:rFonts w:hint="eastAsia" w:ascii="宋体" w:hAnsi="宋体" w:cs="宋体"/>
          <w:szCs w:val="21"/>
          <w:lang w:val="en-US" w:eastAsia="zh-CN"/>
        </w:rPr>
        <w:t>10</w:t>
      </w:r>
      <w:r>
        <w:rPr>
          <w:rFonts w:hint="eastAsia" w:ascii="宋体" w:hAnsi="宋体" w:eastAsia="宋体" w:cs="宋体"/>
          <w:szCs w:val="21"/>
        </w:rPr>
        <w:t>．供应商认为应当要提交的其他资格证明材料。</w:t>
      </w:r>
      <w:r>
        <w:rPr>
          <w:rFonts w:hint="eastAsia" w:ascii="宋体" w:hAnsi="宋体" w:eastAsia="宋体" w:cs="宋体"/>
          <w:bCs/>
          <w:sz w:val="24"/>
        </w:rPr>
        <w:t xml:space="preserve"> </w:t>
      </w:r>
    </w:p>
    <w:p w14:paraId="074BAF3C">
      <w:pPr>
        <w:snapToGrid w:val="0"/>
        <w:spacing w:before="120" w:beforeLines="50" w:after="50" w:line="440" w:lineRule="exact"/>
        <w:jc w:val="center"/>
        <w:outlineLvl w:val="1"/>
        <w:rPr>
          <w:rFonts w:hint="eastAsia" w:ascii="宋体" w:hAnsi="宋体" w:eastAsia="宋体" w:cs="宋体"/>
          <w:bCs/>
          <w:sz w:val="24"/>
        </w:rPr>
      </w:pPr>
      <w:r>
        <w:rPr>
          <w:rFonts w:hint="eastAsia" w:ascii="宋体" w:hAnsi="宋体" w:eastAsia="宋体" w:cs="宋体"/>
          <w:szCs w:val="21"/>
        </w:rPr>
        <w:br w:type="page"/>
      </w:r>
      <w:r>
        <w:rPr>
          <w:rFonts w:hint="eastAsia" w:ascii="宋体" w:hAnsi="宋体" w:eastAsia="宋体" w:cs="宋体"/>
          <w:bCs/>
          <w:sz w:val="24"/>
        </w:rPr>
        <w:t>第二部分 商务技术文件</w:t>
      </w:r>
    </w:p>
    <w:p w14:paraId="78DDD9F3">
      <w:pPr>
        <w:snapToGrid w:val="0"/>
        <w:spacing w:before="120" w:beforeLines="50" w:after="50" w:line="360" w:lineRule="exact"/>
        <w:rPr>
          <w:rFonts w:hint="eastAsia" w:ascii="宋体" w:hAnsi="宋体" w:eastAsia="宋体" w:cs="宋体"/>
          <w:b/>
          <w:szCs w:val="21"/>
        </w:rPr>
      </w:pPr>
      <w:bookmarkStart w:id="580" w:name="_Toc462320613"/>
      <w:bookmarkStart w:id="581" w:name="_Toc455309222"/>
      <w:bookmarkStart w:id="582" w:name="_Toc462223472"/>
      <w:r>
        <w:rPr>
          <w:rFonts w:hint="eastAsia" w:ascii="宋体" w:hAnsi="宋体" w:eastAsia="宋体" w:cs="宋体"/>
          <w:b/>
          <w:szCs w:val="21"/>
          <w:lang w:val="en-US" w:eastAsia="zh-CN"/>
        </w:rPr>
        <w:t>1</w:t>
      </w:r>
      <w:r>
        <w:rPr>
          <w:rFonts w:hint="eastAsia" w:ascii="宋体" w:hAnsi="宋体" w:eastAsia="宋体" w:cs="宋体"/>
          <w:b/>
          <w:szCs w:val="21"/>
        </w:rPr>
        <w:t>．法定代表人身份证明（无授权代表时提供）：</w:t>
      </w:r>
    </w:p>
    <w:p w14:paraId="1D5D406E">
      <w:pPr>
        <w:pStyle w:val="23"/>
        <w:jc w:val="left"/>
        <w:rPr>
          <w:rFonts w:hint="eastAsia" w:ascii="宋体" w:hAnsi="宋体" w:eastAsia="宋体" w:cs="宋体"/>
        </w:rPr>
      </w:pPr>
    </w:p>
    <w:p w14:paraId="28C4C675">
      <w:pPr>
        <w:snapToGrid w:val="0"/>
        <w:spacing w:before="120" w:beforeLines="50" w:after="50" w:line="440" w:lineRule="exact"/>
        <w:jc w:val="center"/>
        <w:rPr>
          <w:rFonts w:hint="eastAsia" w:ascii="宋体" w:hAnsi="宋体" w:eastAsia="宋体" w:cs="宋体"/>
          <w:b/>
          <w:szCs w:val="21"/>
        </w:rPr>
      </w:pPr>
      <w:r>
        <w:rPr>
          <w:rFonts w:hint="eastAsia" w:ascii="宋体" w:hAnsi="宋体" w:eastAsia="宋体" w:cs="宋体"/>
          <w:b/>
          <w:szCs w:val="21"/>
        </w:rPr>
        <w:t>法定代表人身份证明</w:t>
      </w:r>
      <w:bookmarkEnd w:id="580"/>
      <w:bookmarkEnd w:id="581"/>
      <w:bookmarkEnd w:id="582"/>
    </w:p>
    <w:p w14:paraId="4FAC2EDB">
      <w:pPr>
        <w:spacing w:line="360" w:lineRule="auto"/>
        <w:rPr>
          <w:rFonts w:hint="eastAsia" w:ascii="宋体" w:hAnsi="宋体" w:eastAsia="宋体" w:cs="宋体"/>
        </w:rPr>
      </w:pPr>
    </w:p>
    <w:p w14:paraId="543F8BB5">
      <w:pPr>
        <w:spacing w:line="360" w:lineRule="auto"/>
        <w:rPr>
          <w:rFonts w:hint="eastAsia" w:ascii="宋体" w:hAnsi="宋体" w:eastAsia="宋体" w:cs="宋体"/>
        </w:rPr>
      </w:pPr>
    </w:p>
    <w:p w14:paraId="4CD448AD">
      <w:pPr>
        <w:spacing w:line="540" w:lineRule="exact"/>
        <w:rPr>
          <w:rFonts w:hint="eastAsia" w:ascii="宋体" w:hAnsi="宋体" w:eastAsia="宋体" w:cs="宋体"/>
          <w:szCs w:val="21"/>
        </w:rPr>
      </w:pPr>
      <w:r>
        <w:rPr>
          <w:rFonts w:hint="eastAsia" w:ascii="宋体" w:hAnsi="宋体" w:eastAsia="宋体" w:cs="宋体"/>
          <w:szCs w:val="21"/>
        </w:rPr>
        <w:t>供应商名称：</w:t>
      </w:r>
      <w:r>
        <w:rPr>
          <w:rFonts w:hint="eastAsia" w:ascii="宋体" w:hAnsi="宋体" w:eastAsia="宋体" w:cs="宋体"/>
          <w:szCs w:val="21"/>
          <w:u w:val="single"/>
        </w:rPr>
        <w:t xml:space="preserve">                                         </w:t>
      </w:r>
    </w:p>
    <w:p w14:paraId="2DB60467">
      <w:pPr>
        <w:spacing w:line="540" w:lineRule="exact"/>
        <w:rPr>
          <w:rFonts w:hint="eastAsia" w:ascii="宋体" w:hAnsi="宋体" w:eastAsia="宋体" w:cs="宋体"/>
          <w:szCs w:val="21"/>
        </w:rPr>
      </w:pPr>
      <w:r>
        <w:rPr>
          <w:rFonts w:hint="eastAsia" w:ascii="宋体" w:hAnsi="宋体" w:eastAsia="宋体" w:cs="宋体"/>
          <w:szCs w:val="21"/>
        </w:rPr>
        <w:t>单位性质：</w:t>
      </w:r>
      <w:r>
        <w:rPr>
          <w:rFonts w:hint="eastAsia" w:ascii="宋体" w:hAnsi="宋体" w:eastAsia="宋体" w:cs="宋体"/>
          <w:szCs w:val="21"/>
          <w:u w:val="single"/>
        </w:rPr>
        <w:t xml:space="preserve">                                           </w:t>
      </w:r>
    </w:p>
    <w:p w14:paraId="4AC61255">
      <w:pPr>
        <w:spacing w:line="540" w:lineRule="exact"/>
        <w:rPr>
          <w:rFonts w:hint="eastAsia" w:ascii="宋体" w:hAnsi="宋体" w:eastAsia="宋体" w:cs="宋体"/>
          <w:szCs w:val="21"/>
        </w:rPr>
      </w:pPr>
      <w:r>
        <w:rPr>
          <w:rFonts w:hint="eastAsia" w:ascii="宋体" w:hAnsi="宋体" w:eastAsia="宋体" w:cs="宋体"/>
          <w:szCs w:val="21"/>
        </w:rPr>
        <w:t>地址：</w:t>
      </w:r>
      <w:r>
        <w:rPr>
          <w:rFonts w:hint="eastAsia" w:ascii="宋体" w:hAnsi="宋体" w:eastAsia="宋体" w:cs="宋体"/>
          <w:szCs w:val="21"/>
          <w:u w:val="single"/>
        </w:rPr>
        <w:t xml:space="preserve">                                               </w:t>
      </w:r>
    </w:p>
    <w:p w14:paraId="63F888C7">
      <w:pPr>
        <w:spacing w:line="540" w:lineRule="exact"/>
        <w:rPr>
          <w:rFonts w:hint="eastAsia" w:ascii="宋体" w:hAnsi="宋体" w:eastAsia="宋体" w:cs="宋体"/>
          <w:szCs w:val="21"/>
          <w:u w:val="single"/>
        </w:rPr>
      </w:pPr>
      <w:r>
        <w:rPr>
          <w:rFonts w:hint="eastAsia" w:ascii="宋体" w:hAnsi="宋体" w:eastAsia="宋体" w:cs="宋体"/>
          <w:szCs w:val="21"/>
        </w:rPr>
        <w:t>成立时间：</w:t>
      </w:r>
      <w:r>
        <w:rPr>
          <w:rFonts w:hint="eastAsia" w:ascii="宋体" w:hAnsi="宋体" w:eastAsia="宋体" w:cs="宋体"/>
          <w:szCs w:val="21"/>
          <w:u w:val="single"/>
        </w:rPr>
        <w:t xml:space="preserve">          年        月        日</w:t>
      </w:r>
    </w:p>
    <w:p w14:paraId="3B4DFF60">
      <w:pPr>
        <w:spacing w:line="540" w:lineRule="exact"/>
        <w:rPr>
          <w:rFonts w:hint="eastAsia" w:ascii="宋体" w:hAnsi="宋体" w:eastAsia="宋体" w:cs="宋体"/>
          <w:szCs w:val="21"/>
        </w:rPr>
      </w:pPr>
      <w:r>
        <w:rPr>
          <w:rFonts w:hint="eastAsia" w:ascii="宋体" w:hAnsi="宋体" w:eastAsia="宋体" w:cs="宋体"/>
          <w:szCs w:val="21"/>
        </w:rPr>
        <w:t>经营期限：</w:t>
      </w:r>
      <w:r>
        <w:rPr>
          <w:rFonts w:hint="eastAsia" w:ascii="宋体" w:hAnsi="宋体" w:eastAsia="宋体" w:cs="宋体"/>
          <w:szCs w:val="21"/>
          <w:u w:val="single"/>
        </w:rPr>
        <w:t xml:space="preserve">                                           </w:t>
      </w:r>
    </w:p>
    <w:p w14:paraId="2E19E9A9">
      <w:pPr>
        <w:spacing w:line="540" w:lineRule="exact"/>
        <w:rPr>
          <w:rFonts w:hint="eastAsia" w:ascii="宋体" w:hAnsi="宋体" w:eastAsia="宋体" w:cs="宋体"/>
          <w:szCs w:val="21"/>
        </w:rPr>
      </w:pPr>
      <w:r>
        <w:rPr>
          <w:rFonts w:hint="eastAsia" w:ascii="宋体" w:hAnsi="宋体" w:eastAsia="宋体" w:cs="宋体"/>
          <w:szCs w:val="21"/>
        </w:rPr>
        <w:t>姓名：</w:t>
      </w:r>
      <w:r>
        <w:rPr>
          <w:rFonts w:hint="eastAsia" w:ascii="宋体" w:hAnsi="宋体" w:eastAsia="宋体" w:cs="宋体"/>
          <w:szCs w:val="21"/>
          <w:u w:val="single"/>
        </w:rPr>
        <w:t xml:space="preserve">                   </w:t>
      </w:r>
      <w:r>
        <w:rPr>
          <w:rFonts w:hint="eastAsia" w:ascii="宋体" w:hAnsi="宋体" w:eastAsia="宋体" w:cs="宋体"/>
          <w:szCs w:val="21"/>
        </w:rPr>
        <w:t>；性别：</w:t>
      </w:r>
      <w:r>
        <w:rPr>
          <w:rFonts w:hint="eastAsia" w:ascii="宋体" w:hAnsi="宋体" w:eastAsia="宋体" w:cs="宋体"/>
          <w:szCs w:val="21"/>
          <w:u w:val="single"/>
        </w:rPr>
        <w:t xml:space="preserve">              </w:t>
      </w:r>
      <w:r>
        <w:rPr>
          <w:rFonts w:hint="eastAsia" w:ascii="宋体" w:hAnsi="宋体" w:eastAsia="宋体" w:cs="宋体"/>
          <w:szCs w:val="21"/>
        </w:rPr>
        <w:t xml:space="preserve">        </w:t>
      </w:r>
    </w:p>
    <w:p w14:paraId="5E04B424">
      <w:pPr>
        <w:spacing w:line="540" w:lineRule="exact"/>
        <w:rPr>
          <w:rFonts w:hint="eastAsia" w:ascii="宋体" w:hAnsi="宋体" w:eastAsia="宋体" w:cs="宋体"/>
          <w:szCs w:val="21"/>
        </w:rPr>
      </w:pPr>
      <w:r>
        <w:rPr>
          <w:rFonts w:hint="eastAsia" w:ascii="宋体" w:hAnsi="宋体" w:eastAsia="宋体" w:cs="宋体"/>
          <w:szCs w:val="21"/>
        </w:rPr>
        <w:t>年龄：</w:t>
      </w:r>
      <w:r>
        <w:rPr>
          <w:rFonts w:hint="eastAsia" w:ascii="宋体" w:hAnsi="宋体" w:eastAsia="宋体" w:cs="宋体"/>
          <w:szCs w:val="21"/>
          <w:u w:val="single"/>
        </w:rPr>
        <w:t xml:space="preserve">         </w:t>
      </w:r>
      <w:r>
        <w:rPr>
          <w:rFonts w:hint="eastAsia" w:ascii="宋体" w:hAnsi="宋体" w:eastAsia="宋体" w:cs="宋体"/>
          <w:szCs w:val="21"/>
        </w:rPr>
        <w:t>；职务：</w:t>
      </w:r>
      <w:r>
        <w:rPr>
          <w:rFonts w:hint="eastAsia" w:ascii="宋体" w:hAnsi="宋体" w:eastAsia="宋体" w:cs="宋体"/>
          <w:szCs w:val="21"/>
          <w:u w:val="single"/>
        </w:rPr>
        <w:t xml:space="preserve">              </w:t>
      </w:r>
      <w:r>
        <w:rPr>
          <w:rFonts w:hint="eastAsia" w:ascii="宋体" w:hAnsi="宋体" w:eastAsia="宋体" w:cs="宋体"/>
          <w:szCs w:val="21"/>
        </w:rPr>
        <w:t>；身份证号码：</w:t>
      </w:r>
      <w:r>
        <w:rPr>
          <w:rFonts w:hint="eastAsia" w:ascii="宋体" w:hAnsi="宋体" w:eastAsia="宋体" w:cs="宋体"/>
          <w:szCs w:val="21"/>
          <w:u w:val="single"/>
        </w:rPr>
        <w:t xml:space="preserve">                                      </w:t>
      </w:r>
    </w:p>
    <w:p w14:paraId="6C1E879E">
      <w:pPr>
        <w:spacing w:line="540" w:lineRule="exact"/>
        <w:rPr>
          <w:rFonts w:hint="eastAsia" w:ascii="宋体" w:hAnsi="宋体" w:eastAsia="宋体" w:cs="宋体"/>
          <w:szCs w:val="21"/>
        </w:rPr>
      </w:pPr>
      <w:r>
        <w:rPr>
          <w:rFonts w:hint="eastAsia" w:ascii="宋体" w:hAnsi="宋体" w:eastAsia="宋体" w:cs="宋体"/>
          <w:szCs w:val="21"/>
        </w:rPr>
        <w:t>系</w:t>
      </w:r>
      <w:r>
        <w:rPr>
          <w:rFonts w:hint="eastAsia" w:ascii="宋体" w:hAnsi="宋体" w:eastAsia="宋体" w:cs="宋体"/>
          <w:szCs w:val="21"/>
          <w:u w:val="single"/>
        </w:rPr>
        <w:t xml:space="preserve">                                      （ 供应商名称）</w:t>
      </w:r>
      <w:r>
        <w:rPr>
          <w:rFonts w:hint="eastAsia" w:ascii="宋体" w:hAnsi="宋体" w:eastAsia="宋体" w:cs="宋体"/>
          <w:szCs w:val="21"/>
        </w:rPr>
        <w:t>的法定代表人。</w:t>
      </w:r>
    </w:p>
    <w:p w14:paraId="05435D8B">
      <w:pPr>
        <w:spacing w:line="540" w:lineRule="exact"/>
        <w:rPr>
          <w:rFonts w:hint="eastAsia" w:ascii="宋体" w:hAnsi="宋体" w:eastAsia="宋体" w:cs="宋体"/>
          <w:szCs w:val="21"/>
        </w:rPr>
      </w:pPr>
    </w:p>
    <w:p w14:paraId="239A73EE">
      <w:pPr>
        <w:spacing w:line="540" w:lineRule="exact"/>
        <w:ind w:firstLine="420" w:firstLineChars="200"/>
        <w:rPr>
          <w:rFonts w:hint="eastAsia" w:ascii="宋体" w:hAnsi="宋体" w:eastAsia="宋体" w:cs="宋体"/>
          <w:color w:val="000000"/>
          <w:szCs w:val="21"/>
        </w:rPr>
      </w:pPr>
      <w:r>
        <w:rPr>
          <w:rFonts w:hint="eastAsia" w:ascii="宋体" w:hAnsi="宋体" w:eastAsia="宋体" w:cs="宋体"/>
          <w:color w:val="000000"/>
          <w:szCs w:val="21"/>
        </w:rPr>
        <w:t>特此证明。</w:t>
      </w:r>
    </w:p>
    <w:p w14:paraId="027AFEA8">
      <w:pPr>
        <w:spacing w:line="360" w:lineRule="auto"/>
        <w:ind w:firstLine="420" w:firstLineChars="200"/>
        <w:rPr>
          <w:rFonts w:hint="eastAsia" w:ascii="宋体" w:hAnsi="宋体" w:eastAsia="宋体" w:cs="宋体"/>
          <w:szCs w:val="21"/>
        </w:rPr>
      </w:pPr>
    </w:p>
    <w:p w14:paraId="426842E2">
      <w:pPr>
        <w:spacing w:line="360" w:lineRule="auto"/>
        <w:ind w:firstLine="4830" w:firstLineChars="2300"/>
        <w:rPr>
          <w:rFonts w:hint="eastAsia" w:ascii="宋体" w:hAnsi="宋体" w:eastAsia="宋体" w:cs="宋体"/>
          <w:color w:val="000000"/>
          <w:szCs w:val="21"/>
        </w:rPr>
      </w:pPr>
      <w:r>
        <w:rPr>
          <w:rFonts w:hint="eastAsia" w:ascii="宋体" w:hAnsi="宋体" w:eastAsia="宋体" w:cs="宋体"/>
          <w:szCs w:val="21"/>
        </w:rPr>
        <w:t>供应商名称（电子签章）：</w:t>
      </w:r>
      <w:r>
        <w:rPr>
          <w:rFonts w:hint="eastAsia" w:ascii="宋体" w:hAnsi="宋体" w:eastAsia="宋体" w:cs="宋体"/>
          <w:szCs w:val="21"/>
          <w:u w:val="single"/>
        </w:rPr>
        <w:t xml:space="preserve">                </w:t>
      </w:r>
    </w:p>
    <w:p w14:paraId="1388ABC5">
      <w:pPr>
        <w:spacing w:line="360" w:lineRule="auto"/>
        <w:rPr>
          <w:rFonts w:hint="eastAsia" w:ascii="宋体" w:hAnsi="宋体" w:eastAsia="宋体" w:cs="宋体"/>
          <w:color w:val="000000"/>
          <w:szCs w:val="21"/>
        </w:rPr>
      </w:pPr>
      <w:r>
        <w:rPr>
          <w:rFonts w:hint="eastAsia" w:ascii="宋体" w:hAnsi="宋体" w:eastAsia="宋体" w:cs="宋体"/>
          <w:color w:val="000000"/>
          <w:szCs w:val="21"/>
        </w:rPr>
        <w:t xml:space="preserve">                                                   年       月       日 </w:t>
      </w:r>
    </w:p>
    <w:p w14:paraId="3C3ED34A">
      <w:pPr>
        <w:spacing w:line="360" w:lineRule="auto"/>
        <w:ind w:firstLine="420" w:firstLineChars="200"/>
        <w:rPr>
          <w:rFonts w:hint="eastAsia" w:ascii="宋体" w:hAnsi="宋体" w:eastAsia="宋体" w:cs="宋体"/>
          <w:szCs w:val="21"/>
        </w:rPr>
      </w:pPr>
    </w:p>
    <w:p w14:paraId="6E2EEC5C">
      <w:pPr>
        <w:spacing w:line="360" w:lineRule="auto"/>
        <w:rPr>
          <w:rFonts w:hint="eastAsia" w:ascii="宋体" w:hAnsi="宋体" w:eastAsia="宋体" w:cs="宋体"/>
          <w:szCs w:val="21"/>
        </w:rPr>
      </w:pPr>
      <w:r>
        <w:rPr>
          <w:rFonts w:hint="eastAsia" w:ascii="宋体" w:hAnsi="宋体" w:eastAsia="宋体" w:cs="宋体"/>
          <w:szCs w:val="21"/>
        </w:rPr>
        <w:t>附件：法定代表人身份证扫描件</w:t>
      </w:r>
    </w:p>
    <w:p w14:paraId="34742624">
      <w:pPr>
        <w:spacing w:line="360" w:lineRule="auto"/>
        <w:rPr>
          <w:rFonts w:hint="eastAsia" w:ascii="宋体" w:hAnsi="宋体" w:eastAsia="宋体" w:cs="宋体"/>
          <w:color w:val="000000"/>
          <w:szCs w:val="21"/>
        </w:rPr>
      </w:pPr>
    </w:p>
    <w:p w14:paraId="18616572">
      <w:pPr>
        <w:snapToGrid w:val="0"/>
        <w:spacing w:before="120" w:beforeLines="50" w:after="50" w:line="360" w:lineRule="exact"/>
        <w:rPr>
          <w:rFonts w:hint="eastAsia" w:ascii="宋体" w:hAnsi="宋体" w:eastAsia="宋体" w:cs="宋体"/>
          <w:b/>
          <w:szCs w:val="21"/>
        </w:rPr>
      </w:pPr>
      <w:r>
        <w:rPr>
          <w:rFonts w:hint="eastAsia" w:ascii="宋体" w:hAnsi="宋体" w:eastAsia="宋体" w:cs="宋体"/>
          <w:b/>
          <w:szCs w:val="21"/>
        </w:rPr>
        <w:br w:type="page"/>
      </w:r>
      <w:r>
        <w:rPr>
          <w:rFonts w:hint="eastAsia" w:ascii="宋体" w:hAnsi="宋体" w:eastAsia="宋体" w:cs="宋体"/>
          <w:b/>
          <w:szCs w:val="21"/>
          <w:lang w:val="en-US" w:eastAsia="zh-CN"/>
        </w:rPr>
        <w:t>1</w:t>
      </w:r>
      <w:r>
        <w:rPr>
          <w:rFonts w:hint="eastAsia" w:ascii="宋体" w:hAnsi="宋体" w:eastAsia="宋体" w:cs="宋体"/>
          <w:b/>
          <w:szCs w:val="21"/>
        </w:rPr>
        <w:t>．授权委托书（有授权代表时提供）：</w:t>
      </w:r>
    </w:p>
    <w:p w14:paraId="5A09BE6C">
      <w:pPr>
        <w:snapToGrid w:val="0"/>
        <w:spacing w:before="120" w:beforeLines="50" w:after="50" w:line="360" w:lineRule="exact"/>
        <w:rPr>
          <w:rFonts w:hint="eastAsia" w:ascii="宋体" w:hAnsi="宋体" w:eastAsia="宋体" w:cs="宋体"/>
          <w:b/>
          <w:szCs w:val="21"/>
        </w:rPr>
      </w:pPr>
    </w:p>
    <w:p w14:paraId="7802D559">
      <w:pPr>
        <w:snapToGrid w:val="0"/>
        <w:spacing w:before="120" w:beforeLines="50" w:after="50" w:line="440" w:lineRule="exact"/>
        <w:jc w:val="center"/>
        <w:rPr>
          <w:rFonts w:hint="eastAsia" w:ascii="宋体" w:hAnsi="宋体" w:eastAsia="宋体" w:cs="宋体"/>
          <w:b/>
          <w:szCs w:val="21"/>
        </w:rPr>
      </w:pPr>
      <w:r>
        <w:rPr>
          <w:rFonts w:hint="eastAsia" w:ascii="宋体" w:hAnsi="宋体" w:eastAsia="宋体" w:cs="宋体"/>
          <w:b/>
          <w:szCs w:val="21"/>
        </w:rPr>
        <w:t>法定代表人授权委托书</w:t>
      </w:r>
    </w:p>
    <w:p w14:paraId="5D2B608E">
      <w:pPr>
        <w:snapToGrid w:val="0"/>
        <w:spacing w:before="120" w:beforeLines="50" w:after="50" w:line="440" w:lineRule="exact"/>
        <w:rPr>
          <w:rFonts w:hint="eastAsia" w:ascii="宋体" w:hAnsi="宋体" w:eastAsia="宋体" w:cs="宋体"/>
          <w:b/>
          <w:bCs/>
          <w:szCs w:val="21"/>
        </w:rPr>
      </w:pPr>
      <w:r>
        <w:rPr>
          <w:rFonts w:hint="eastAsia" w:ascii="宋体" w:hAnsi="宋体" w:eastAsia="宋体" w:cs="宋体"/>
          <w:bCs/>
          <w:szCs w:val="21"/>
        </w:rPr>
        <w:t>致：</w:t>
      </w:r>
      <w:r>
        <w:rPr>
          <w:rFonts w:hint="eastAsia" w:ascii="宋体" w:hAnsi="宋体" w:eastAsia="宋体" w:cs="宋体"/>
          <w:i/>
          <w:iCs/>
          <w:szCs w:val="21"/>
          <w:u w:val="single"/>
        </w:rPr>
        <w:t>（采购人名称）</w:t>
      </w:r>
      <w:r>
        <w:rPr>
          <w:rFonts w:hint="eastAsia" w:ascii="宋体" w:hAnsi="宋体" w:eastAsia="宋体" w:cs="宋体"/>
          <w:szCs w:val="21"/>
        </w:rPr>
        <w:t>：</w:t>
      </w:r>
    </w:p>
    <w:p w14:paraId="74BB93DB">
      <w:pPr>
        <w:snapToGrid w:val="0"/>
        <w:spacing w:before="120" w:beforeLines="50" w:after="50" w:line="440" w:lineRule="exact"/>
        <w:ind w:firstLine="420" w:firstLineChars="200"/>
        <w:rPr>
          <w:rFonts w:hint="eastAsia" w:ascii="宋体" w:hAnsi="宋体" w:eastAsia="宋体" w:cs="宋体"/>
          <w:szCs w:val="21"/>
        </w:rPr>
      </w:pPr>
      <w:r>
        <w:rPr>
          <w:rFonts w:hint="eastAsia" w:ascii="宋体" w:hAnsi="宋体" w:eastAsia="宋体" w:cs="宋体"/>
          <w:szCs w:val="21"/>
        </w:rPr>
        <w:t>我</w:t>
      </w:r>
      <w:r>
        <w:rPr>
          <w:rFonts w:hint="eastAsia" w:ascii="宋体" w:hAnsi="宋体" w:eastAsia="宋体" w:cs="宋体"/>
          <w:i/>
          <w:iCs/>
          <w:szCs w:val="21"/>
          <w:u w:val="single"/>
        </w:rPr>
        <w:t>（姓名）</w:t>
      </w:r>
      <w:r>
        <w:rPr>
          <w:rFonts w:hint="eastAsia" w:ascii="宋体" w:hAnsi="宋体" w:eastAsia="宋体" w:cs="宋体"/>
          <w:szCs w:val="21"/>
        </w:rPr>
        <w:t>系</w:t>
      </w:r>
      <w:r>
        <w:rPr>
          <w:rFonts w:hint="eastAsia" w:ascii="宋体" w:hAnsi="宋体" w:eastAsia="宋体" w:cs="宋体"/>
          <w:i/>
          <w:iCs/>
          <w:szCs w:val="21"/>
          <w:u w:val="single"/>
        </w:rPr>
        <w:t>（供应商名称）</w:t>
      </w:r>
      <w:r>
        <w:rPr>
          <w:rFonts w:hint="eastAsia" w:ascii="宋体" w:hAnsi="宋体" w:eastAsia="宋体" w:cs="宋体"/>
          <w:szCs w:val="21"/>
        </w:rPr>
        <w:t>的法定代表人，现授权委托本单位在职职工</w:t>
      </w:r>
      <w:r>
        <w:rPr>
          <w:rFonts w:hint="eastAsia" w:ascii="宋体" w:hAnsi="宋体" w:eastAsia="宋体" w:cs="宋体"/>
          <w:i/>
          <w:szCs w:val="21"/>
          <w:u w:val="single"/>
        </w:rPr>
        <w:t>（姓名）</w:t>
      </w:r>
      <w:r>
        <w:rPr>
          <w:rFonts w:hint="eastAsia" w:ascii="宋体" w:hAnsi="宋体" w:eastAsia="宋体" w:cs="宋体"/>
          <w:szCs w:val="21"/>
        </w:rPr>
        <w:t>以我方的名义参加</w:t>
      </w:r>
      <w:r>
        <w:rPr>
          <w:rFonts w:hint="eastAsia" w:ascii="宋体" w:hAnsi="宋体" w:eastAsia="宋体" w:cs="宋体"/>
          <w:szCs w:val="21"/>
          <w:u w:val="single"/>
        </w:rPr>
        <w:t xml:space="preserve"> </w:t>
      </w:r>
      <w:r>
        <w:rPr>
          <w:rFonts w:hint="eastAsia" w:ascii="宋体" w:hAnsi="宋体" w:eastAsia="宋体" w:cs="宋体"/>
          <w:i/>
          <w:iCs/>
          <w:szCs w:val="21"/>
          <w:u w:val="single"/>
        </w:rPr>
        <w:t>（项目名称）</w:t>
      </w:r>
      <w:r>
        <w:rPr>
          <w:rFonts w:hint="eastAsia" w:ascii="宋体" w:hAnsi="宋体" w:eastAsia="宋体" w:cs="宋体"/>
          <w:szCs w:val="21"/>
          <w:u w:val="single"/>
        </w:rPr>
        <w:t xml:space="preserve"> </w:t>
      </w:r>
      <w:r>
        <w:rPr>
          <w:rFonts w:hint="eastAsia" w:ascii="宋体" w:hAnsi="宋体" w:eastAsia="宋体" w:cs="宋体"/>
          <w:szCs w:val="21"/>
        </w:rPr>
        <w:t>项目的磋商活动，并代表我方全权办理针对上述项目的磋商、截标、评审、签约等具体事务和签署相关文件。</w:t>
      </w:r>
    </w:p>
    <w:p w14:paraId="533220BC">
      <w:pPr>
        <w:snapToGrid w:val="0"/>
        <w:spacing w:before="120" w:beforeLines="50" w:after="50" w:line="440" w:lineRule="exact"/>
        <w:rPr>
          <w:rFonts w:hint="eastAsia" w:ascii="宋体" w:hAnsi="宋体" w:eastAsia="宋体" w:cs="宋体"/>
          <w:szCs w:val="21"/>
        </w:rPr>
      </w:pPr>
      <w:r>
        <w:rPr>
          <w:rFonts w:hint="eastAsia" w:ascii="宋体" w:hAnsi="宋体" w:eastAsia="宋体" w:cs="宋体"/>
          <w:szCs w:val="21"/>
        </w:rPr>
        <w:t xml:space="preserve">    我方对被授权人的签名事项负全部责任。</w:t>
      </w:r>
    </w:p>
    <w:p w14:paraId="2A52A436">
      <w:pPr>
        <w:snapToGrid w:val="0"/>
        <w:spacing w:before="120" w:beforeLines="50" w:after="50" w:line="440" w:lineRule="exact"/>
        <w:ind w:firstLine="480"/>
        <w:rPr>
          <w:rFonts w:hint="eastAsia" w:ascii="宋体" w:hAnsi="宋体" w:eastAsia="宋体" w:cs="宋体"/>
          <w:szCs w:val="21"/>
        </w:rPr>
      </w:pPr>
      <w:r>
        <w:rPr>
          <w:rFonts w:hint="eastAsia" w:ascii="宋体" w:hAnsi="宋体" w:eastAsia="宋体" w:cs="宋体"/>
          <w:szCs w:val="21"/>
        </w:rPr>
        <w:t>在撤销授权的书面通知以前，本授权书一直有效。被授权人在授权书有效期内签署的所有文件不因授权的撤销而失效。</w:t>
      </w:r>
    </w:p>
    <w:p w14:paraId="1DE8839C">
      <w:pPr>
        <w:snapToGrid w:val="0"/>
        <w:spacing w:before="120" w:beforeLines="50" w:after="50" w:line="440" w:lineRule="exact"/>
        <w:ind w:firstLine="480"/>
        <w:rPr>
          <w:rFonts w:hint="eastAsia" w:ascii="宋体" w:hAnsi="宋体" w:eastAsia="宋体" w:cs="宋体"/>
          <w:szCs w:val="21"/>
        </w:rPr>
      </w:pPr>
      <w:r>
        <w:rPr>
          <w:rFonts w:hint="eastAsia" w:ascii="宋体" w:hAnsi="宋体" w:eastAsia="宋体" w:cs="宋体"/>
          <w:szCs w:val="21"/>
        </w:rPr>
        <w:t>被授权人无转委托权，特此委托。</w:t>
      </w:r>
    </w:p>
    <w:p w14:paraId="18096C3C">
      <w:pPr>
        <w:snapToGrid w:val="0"/>
        <w:spacing w:before="120" w:beforeLines="50" w:after="50" w:line="440" w:lineRule="exact"/>
        <w:rPr>
          <w:rFonts w:hint="eastAsia" w:ascii="宋体" w:hAnsi="宋体" w:eastAsia="宋体" w:cs="宋体"/>
          <w:szCs w:val="21"/>
          <w:u w:val="single"/>
        </w:rPr>
      </w:pPr>
      <w:r>
        <w:rPr>
          <w:rFonts w:hint="eastAsia" w:ascii="宋体" w:hAnsi="宋体" w:eastAsia="宋体" w:cs="宋体"/>
          <w:szCs w:val="21"/>
        </w:rPr>
        <w:t>被授权人</w:t>
      </w:r>
      <w:bookmarkStart w:id="583" w:name="_Hlk89190805"/>
      <w:r>
        <w:rPr>
          <w:rFonts w:hint="eastAsia" w:ascii="宋体" w:hAnsi="宋体" w:eastAsia="宋体" w:cs="宋体"/>
          <w:szCs w:val="21"/>
        </w:rPr>
        <w:t>签名或签章</w:t>
      </w:r>
      <w:bookmarkEnd w:id="583"/>
      <w:r>
        <w:rPr>
          <w:rFonts w:hint="eastAsia" w:ascii="宋体" w:hAnsi="宋体" w:eastAsia="宋体" w:cs="宋体"/>
          <w:szCs w:val="21"/>
        </w:rPr>
        <w:t>：</w:t>
      </w:r>
      <w:r>
        <w:rPr>
          <w:rFonts w:hint="eastAsia" w:ascii="宋体" w:hAnsi="宋体" w:eastAsia="宋体" w:cs="宋体"/>
          <w:szCs w:val="21"/>
          <w:u w:val="single"/>
        </w:rPr>
        <w:t xml:space="preserve">          </w:t>
      </w:r>
      <w:r>
        <w:rPr>
          <w:rFonts w:hint="eastAsia" w:ascii="宋体" w:hAnsi="宋体" w:eastAsia="宋体" w:cs="宋体"/>
          <w:szCs w:val="21"/>
        </w:rPr>
        <w:t xml:space="preserve">                     法定代表人签名或签章：</w:t>
      </w:r>
      <w:r>
        <w:rPr>
          <w:rFonts w:hint="eastAsia" w:ascii="宋体" w:hAnsi="宋体" w:eastAsia="宋体" w:cs="宋体"/>
          <w:szCs w:val="21"/>
          <w:u w:val="single"/>
        </w:rPr>
        <w:t xml:space="preserve">          </w:t>
      </w:r>
    </w:p>
    <w:p w14:paraId="18A6DEAD">
      <w:pPr>
        <w:snapToGrid w:val="0"/>
        <w:spacing w:before="120" w:beforeLines="50" w:after="50" w:line="440" w:lineRule="exact"/>
        <w:rPr>
          <w:rFonts w:hint="eastAsia" w:ascii="宋体" w:hAnsi="宋体" w:eastAsia="宋体" w:cs="宋体"/>
          <w:szCs w:val="21"/>
        </w:rPr>
      </w:pPr>
      <w:r>
        <w:rPr>
          <w:rFonts w:hint="eastAsia" w:ascii="宋体" w:hAnsi="宋体" w:eastAsia="宋体" w:cs="宋体"/>
          <w:szCs w:val="21"/>
        </w:rPr>
        <w:t>职务：</w:t>
      </w:r>
      <w:r>
        <w:rPr>
          <w:rFonts w:hint="eastAsia" w:ascii="宋体" w:hAnsi="宋体" w:eastAsia="宋体" w:cs="宋体"/>
          <w:szCs w:val="21"/>
          <w:u w:val="single"/>
        </w:rPr>
        <w:t xml:space="preserve">           </w:t>
      </w:r>
      <w:r>
        <w:rPr>
          <w:rFonts w:hint="eastAsia" w:ascii="宋体" w:hAnsi="宋体" w:eastAsia="宋体" w:cs="宋体"/>
          <w:szCs w:val="21"/>
        </w:rPr>
        <w:t xml:space="preserve">                                  职务：</w:t>
      </w:r>
      <w:r>
        <w:rPr>
          <w:rFonts w:hint="eastAsia" w:ascii="宋体" w:hAnsi="宋体" w:eastAsia="宋体" w:cs="宋体"/>
          <w:szCs w:val="21"/>
          <w:u w:val="single"/>
        </w:rPr>
        <w:t xml:space="preserve">           </w:t>
      </w:r>
    </w:p>
    <w:p w14:paraId="64BD9A7B">
      <w:pPr>
        <w:snapToGrid w:val="0"/>
        <w:spacing w:before="120" w:beforeLines="50" w:after="50" w:line="440" w:lineRule="exact"/>
        <w:rPr>
          <w:rFonts w:hint="eastAsia" w:ascii="宋体" w:hAnsi="宋体" w:eastAsia="宋体" w:cs="宋体"/>
          <w:szCs w:val="21"/>
          <w:u w:val="single"/>
        </w:rPr>
      </w:pPr>
      <w:r>
        <w:rPr>
          <w:rFonts w:hint="eastAsia" w:ascii="宋体" w:hAnsi="宋体" w:eastAsia="宋体" w:cs="宋体"/>
          <w:szCs w:val="21"/>
        </w:rPr>
        <w:t>被授权人身份证号码：</w:t>
      </w:r>
      <w:r>
        <w:rPr>
          <w:rFonts w:hint="eastAsia" w:ascii="宋体" w:hAnsi="宋体" w:eastAsia="宋体" w:cs="宋体"/>
          <w:szCs w:val="21"/>
          <w:u w:val="single"/>
        </w:rPr>
        <w:t xml:space="preserve">                   </w:t>
      </w:r>
      <w:r>
        <w:rPr>
          <w:rFonts w:hint="eastAsia" w:ascii="宋体" w:hAnsi="宋体" w:eastAsia="宋体" w:cs="宋体"/>
          <w:szCs w:val="21"/>
        </w:rPr>
        <w:t xml:space="preserve">            授权人身份证号码：</w:t>
      </w:r>
      <w:r>
        <w:rPr>
          <w:rFonts w:hint="eastAsia" w:ascii="宋体" w:hAnsi="宋体" w:eastAsia="宋体" w:cs="宋体"/>
          <w:szCs w:val="21"/>
          <w:u w:val="single"/>
        </w:rPr>
        <w:t xml:space="preserve">                 </w:t>
      </w:r>
    </w:p>
    <w:p w14:paraId="34D6D1F6">
      <w:pPr>
        <w:snapToGrid w:val="0"/>
        <w:spacing w:before="120" w:beforeLines="50" w:after="50" w:line="440" w:lineRule="exact"/>
        <w:rPr>
          <w:rFonts w:hint="eastAsia" w:ascii="宋体" w:hAnsi="宋体" w:eastAsia="宋体" w:cs="宋体"/>
          <w:szCs w:val="21"/>
          <w:u w:val="single"/>
        </w:rPr>
      </w:pPr>
      <w:bookmarkStart w:id="584" w:name="_Hlk133576837"/>
      <w:r>
        <w:rPr>
          <w:rFonts w:hint="eastAsia" w:ascii="宋体" w:hAnsi="宋体" w:eastAsia="宋体" w:cs="宋体"/>
          <w:szCs w:val="21"/>
        </w:rPr>
        <w:t>被授权人</w:t>
      </w:r>
      <w:bookmarkStart w:id="585" w:name="_Hlk132793041"/>
      <w:r>
        <w:rPr>
          <w:rFonts w:hint="eastAsia" w:ascii="宋体" w:hAnsi="宋体" w:eastAsia="宋体" w:cs="宋体"/>
          <w:szCs w:val="21"/>
        </w:rPr>
        <w:t>手机号码及邮箱：</w:t>
      </w:r>
      <w:bookmarkEnd w:id="585"/>
      <w:r>
        <w:rPr>
          <w:rFonts w:hint="eastAsia" w:ascii="宋体" w:hAnsi="宋体" w:eastAsia="宋体" w:cs="宋体"/>
          <w:szCs w:val="21"/>
          <w:u w:val="single"/>
        </w:rPr>
        <w:t xml:space="preserve">         </w:t>
      </w:r>
    </w:p>
    <w:bookmarkEnd w:id="584"/>
    <w:p w14:paraId="42E910E4">
      <w:pPr>
        <w:snapToGrid w:val="0"/>
        <w:spacing w:before="120" w:beforeLines="50" w:after="50" w:line="440" w:lineRule="exact"/>
        <w:rPr>
          <w:rFonts w:hint="eastAsia" w:ascii="宋体" w:hAnsi="宋体" w:eastAsia="宋体" w:cs="宋体"/>
          <w:szCs w:val="21"/>
        </w:rPr>
      </w:pPr>
    </w:p>
    <w:p w14:paraId="3FB739CD">
      <w:pPr>
        <w:snapToGrid w:val="0"/>
        <w:spacing w:before="120" w:beforeLines="50" w:after="50" w:line="440" w:lineRule="exact"/>
        <w:rPr>
          <w:rFonts w:hint="eastAsia" w:ascii="宋体" w:hAnsi="宋体" w:eastAsia="宋体" w:cs="宋体"/>
          <w:szCs w:val="21"/>
        </w:rPr>
      </w:pPr>
    </w:p>
    <w:p w14:paraId="0C49C580">
      <w:pPr>
        <w:snapToGrid w:val="0"/>
        <w:spacing w:before="120" w:beforeLines="50" w:after="50" w:line="440" w:lineRule="exact"/>
        <w:rPr>
          <w:rFonts w:hint="eastAsia" w:ascii="宋体" w:hAnsi="宋体" w:eastAsia="宋体" w:cs="宋体"/>
          <w:szCs w:val="21"/>
        </w:rPr>
      </w:pPr>
      <w:r>
        <w:rPr>
          <w:rFonts w:hint="eastAsia" w:ascii="宋体" w:hAnsi="宋体" w:eastAsia="宋体" w:cs="宋体"/>
          <w:szCs w:val="21"/>
        </w:rPr>
        <w:t xml:space="preserve">                                </w:t>
      </w:r>
    </w:p>
    <w:p w14:paraId="4A2A7C8B">
      <w:pPr>
        <w:snapToGrid w:val="0"/>
        <w:spacing w:before="120" w:beforeLines="50" w:after="50" w:line="440" w:lineRule="exact"/>
        <w:ind w:firstLine="5670" w:firstLineChars="2700"/>
        <w:rPr>
          <w:rFonts w:hint="eastAsia" w:ascii="宋体" w:hAnsi="宋体" w:eastAsia="宋体" w:cs="宋体"/>
          <w:szCs w:val="21"/>
        </w:rPr>
      </w:pPr>
      <w:r>
        <w:rPr>
          <w:rFonts w:hint="eastAsia" w:ascii="宋体" w:hAnsi="宋体" w:eastAsia="宋体" w:cs="宋体"/>
          <w:szCs w:val="21"/>
        </w:rPr>
        <w:t>供应商名称（电子签章）：</w:t>
      </w:r>
      <w:r>
        <w:rPr>
          <w:rFonts w:hint="eastAsia" w:ascii="宋体" w:hAnsi="宋体" w:eastAsia="宋体" w:cs="宋体"/>
          <w:szCs w:val="21"/>
          <w:u w:val="single"/>
        </w:rPr>
        <w:t xml:space="preserve">                </w:t>
      </w:r>
    </w:p>
    <w:p w14:paraId="0D3FE201">
      <w:pPr>
        <w:snapToGrid w:val="0"/>
        <w:spacing w:before="120" w:beforeLines="50" w:after="50" w:line="440" w:lineRule="exact"/>
        <w:jc w:val="center"/>
        <w:rPr>
          <w:rFonts w:hint="eastAsia" w:ascii="宋体" w:hAnsi="宋体" w:eastAsia="宋体" w:cs="宋体"/>
          <w:szCs w:val="21"/>
        </w:rPr>
      </w:pPr>
      <w:r>
        <w:rPr>
          <w:rFonts w:hint="eastAsia" w:ascii="宋体" w:hAnsi="宋体" w:eastAsia="宋体" w:cs="宋体"/>
          <w:szCs w:val="21"/>
        </w:rPr>
        <w:t xml:space="preserve">                                        年    月    日</w:t>
      </w:r>
    </w:p>
    <w:p w14:paraId="363D3ED6">
      <w:pPr>
        <w:spacing w:line="360" w:lineRule="auto"/>
        <w:rPr>
          <w:rFonts w:hint="eastAsia" w:ascii="宋体" w:hAnsi="宋体" w:eastAsia="宋体" w:cs="宋体"/>
          <w:szCs w:val="21"/>
        </w:rPr>
      </w:pPr>
      <w:r>
        <w:rPr>
          <w:rFonts w:hint="eastAsia" w:ascii="宋体" w:hAnsi="宋体" w:eastAsia="宋体" w:cs="宋体"/>
          <w:szCs w:val="21"/>
        </w:rPr>
        <w:t>附件：法定代表人身份证扫描件及授权代表身份证扫描件</w:t>
      </w:r>
    </w:p>
    <w:p w14:paraId="6075C4E8">
      <w:pPr>
        <w:snapToGrid w:val="0"/>
        <w:spacing w:before="120" w:beforeLines="50" w:after="50" w:line="440" w:lineRule="exact"/>
        <w:jc w:val="center"/>
        <w:outlineLvl w:val="1"/>
        <w:rPr>
          <w:rFonts w:hint="eastAsia" w:ascii="宋体" w:hAnsi="宋体" w:eastAsia="宋体" w:cs="宋体"/>
          <w:bCs/>
          <w:sz w:val="24"/>
        </w:rPr>
      </w:pPr>
    </w:p>
    <w:p w14:paraId="43C559CF">
      <w:pPr>
        <w:snapToGrid w:val="0"/>
        <w:spacing w:before="50" w:after="120" w:afterLines="50"/>
        <w:jc w:val="left"/>
        <w:rPr>
          <w:rFonts w:hint="eastAsia" w:ascii="宋体" w:hAnsi="宋体" w:eastAsia="宋体" w:cs="宋体"/>
          <w:color w:val="auto"/>
          <w:szCs w:val="21"/>
        </w:rPr>
      </w:pPr>
      <w:r>
        <w:rPr>
          <w:rFonts w:hint="eastAsia" w:ascii="宋体" w:hAnsi="宋体" w:eastAsia="宋体" w:cs="宋体"/>
          <w:color w:val="4472C4"/>
          <w:szCs w:val="21"/>
        </w:rPr>
        <w:br w:type="page"/>
      </w:r>
      <w:r>
        <w:rPr>
          <w:rFonts w:hint="eastAsia" w:ascii="宋体" w:hAnsi="宋体" w:eastAsia="宋体" w:cs="宋体"/>
          <w:color w:val="auto"/>
          <w:szCs w:val="21"/>
          <w:lang w:val="en-US" w:eastAsia="zh-CN"/>
        </w:rPr>
        <w:t>2</w:t>
      </w:r>
      <w:r>
        <w:rPr>
          <w:rFonts w:hint="eastAsia" w:ascii="宋体" w:hAnsi="宋体" w:eastAsia="宋体" w:cs="宋体"/>
          <w:color w:val="auto"/>
          <w:szCs w:val="21"/>
        </w:rPr>
        <w:t>.供应商可根据采购文件、图纸及对现场的勘察情况，编制施工组织设计，可参考以下提纲，也可自行编制</w:t>
      </w:r>
    </w:p>
    <w:p w14:paraId="4588B329">
      <w:pPr>
        <w:snapToGrid w:val="0"/>
        <w:spacing w:before="50" w:after="120" w:afterLines="50"/>
        <w:jc w:val="left"/>
        <w:rPr>
          <w:rFonts w:hint="eastAsia" w:ascii="宋体" w:hAnsi="宋体" w:eastAsia="宋体" w:cs="宋体"/>
          <w:color w:val="auto"/>
          <w:szCs w:val="21"/>
        </w:rPr>
      </w:pPr>
      <w:r>
        <w:rPr>
          <w:rFonts w:hint="eastAsia" w:ascii="宋体" w:hAnsi="宋体" w:eastAsia="宋体" w:cs="宋体"/>
          <w:color w:val="auto"/>
          <w:szCs w:val="21"/>
        </w:rPr>
        <w:t>施工组织设计编制大纲：</w:t>
      </w:r>
    </w:p>
    <w:p w14:paraId="5F48AF17">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（1）概述</w:t>
      </w:r>
    </w:p>
    <w:p w14:paraId="309304A3">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（2）主要施工方法；</w:t>
      </w:r>
    </w:p>
    <w:p w14:paraId="2C009596">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（3）拟投入的主要物资计划</w:t>
      </w:r>
    </w:p>
    <w:p w14:paraId="49CD5047">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（4）</w:t>
      </w:r>
      <w:r>
        <w:rPr>
          <w:rFonts w:hint="eastAsia" w:ascii="宋体" w:hAnsi="宋体" w:eastAsia="宋体" w:cs="宋体"/>
          <w:color w:val="auto"/>
          <w:kern w:val="0"/>
        </w:rPr>
        <w:t>拟投入的主要施工机械、设备计划</w:t>
      </w:r>
    </w:p>
    <w:p w14:paraId="5E1B4C1B">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（5）劳动力安排计划；</w:t>
      </w:r>
    </w:p>
    <w:p w14:paraId="082FBC57">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（6）确保工程质量的技术组织措施；</w:t>
      </w:r>
    </w:p>
    <w:p w14:paraId="36F560DC">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（7）确保安全生产的技术组织措施；</w:t>
      </w:r>
    </w:p>
    <w:p w14:paraId="107B7CB1">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（8）确保工期的技术组织措施；</w:t>
      </w:r>
    </w:p>
    <w:p w14:paraId="0584CE55">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（9）确保文明施工的技术组织措施；</w:t>
      </w:r>
    </w:p>
    <w:p w14:paraId="53E0CA37">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（10）工程施工的重点和难点及保证措施；</w:t>
      </w:r>
    </w:p>
    <w:p w14:paraId="72A3D1A7">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（11）施工总平面布置图；</w:t>
      </w:r>
    </w:p>
    <w:p w14:paraId="4CED3823">
      <w:pPr>
        <w:snapToGrid w:val="0"/>
        <w:spacing w:before="50" w:after="120" w:afterLines="50"/>
        <w:ind w:firstLine="420" w:firstLineChars="200"/>
        <w:jc w:val="left"/>
        <w:rPr>
          <w:rFonts w:hint="eastAsia" w:ascii="宋体" w:hAnsi="宋体" w:eastAsia="宋体" w:cs="宋体"/>
          <w:color w:val="auto"/>
          <w:szCs w:val="21"/>
        </w:rPr>
      </w:pPr>
      <w:r>
        <w:rPr>
          <w:rFonts w:hint="eastAsia" w:ascii="宋体" w:hAnsi="宋体" w:eastAsia="宋体" w:cs="宋体"/>
          <w:color w:val="auto"/>
        </w:rPr>
        <w:t>（12）其他（如有）</w:t>
      </w:r>
    </w:p>
    <w:p w14:paraId="383F5EF9">
      <w:pPr>
        <w:snapToGrid w:val="0"/>
        <w:spacing w:before="50" w:after="120" w:afterLines="50"/>
        <w:jc w:val="left"/>
        <w:rPr>
          <w:rFonts w:hint="eastAsia" w:ascii="宋体" w:hAnsi="宋体" w:eastAsia="宋体" w:cs="宋体"/>
          <w:color w:val="auto"/>
          <w:szCs w:val="21"/>
        </w:rPr>
      </w:pPr>
      <w:r>
        <w:rPr>
          <w:rFonts w:hint="eastAsia" w:ascii="宋体" w:hAnsi="宋体" w:eastAsia="宋体" w:cs="宋体"/>
          <w:color w:val="auto"/>
          <w:szCs w:val="21"/>
          <w:lang w:val="en-US" w:eastAsia="zh-CN"/>
        </w:rPr>
        <w:t>2</w:t>
      </w:r>
      <w:r>
        <w:rPr>
          <w:rFonts w:hint="eastAsia" w:ascii="宋体" w:hAnsi="宋体" w:eastAsia="宋体" w:cs="宋体"/>
          <w:color w:val="auto"/>
          <w:szCs w:val="21"/>
        </w:rPr>
        <w:t>.1供应商编制施工组织设计的要求：编制时应采用文字并结合图表形式说明施工方法；拟投入本工程的主要施工设备情况、拟配备本工程的试验和检测仪器设备情况、劳动力计划等；结合工程特点提出切实可行的工程质量、安全生产、文明施工、工程进度、技术组织措施，同时应对关键工序、复杂环节重点提出相应技术措施，如冬雨季施工技术、减少噪音、降低环境污染、地下管线及其他地上地下设施的保护加固措施等。</w:t>
      </w:r>
    </w:p>
    <w:p w14:paraId="0396AE9F">
      <w:pPr>
        <w:snapToGrid w:val="0"/>
        <w:spacing w:before="50" w:after="120" w:afterLines="50"/>
        <w:jc w:val="left"/>
        <w:rPr>
          <w:rFonts w:hint="eastAsia" w:ascii="宋体" w:hAnsi="宋体" w:eastAsia="宋体" w:cs="宋体"/>
          <w:color w:val="auto"/>
          <w:szCs w:val="21"/>
        </w:rPr>
      </w:pPr>
    </w:p>
    <w:p w14:paraId="1BBBDFAC">
      <w:pPr>
        <w:snapToGrid w:val="0"/>
        <w:spacing w:before="50" w:after="120" w:afterLines="50"/>
        <w:jc w:val="left"/>
        <w:rPr>
          <w:rFonts w:hint="eastAsia" w:ascii="宋体" w:hAnsi="宋体" w:eastAsia="宋体" w:cs="宋体"/>
          <w:color w:val="auto"/>
          <w:szCs w:val="21"/>
        </w:rPr>
      </w:pPr>
      <w:r>
        <w:rPr>
          <w:rFonts w:hint="eastAsia" w:ascii="宋体" w:hAnsi="宋体" w:eastAsia="宋体" w:cs="宋体"/>
          <w:color w:val="auto"/>
          <w:szCs w:val="21"/>
          <w:lang w:val="en-US" w:eastAsia="zh-CN"/>
        </w:rPr>
        <w:t>2</w:t>
      </w:r>
      <w:r>
        <w:rPr>
          <w:rFonts w:hint="eastAsia" w:ascii="宋体" w:hAnsi="宋体" w:eastAsia="宋体" w:cs="宋体"/>
          <w:color w:val="auto"/>
          <w:szCs w:val="21"/>
        </w:rPr>
        <w:t>.2施工组织设计除采用文字表述外可附下列图表，图表及格式要求附后。</w:t>
      </w:r>
    </w:p>
    <w:p w14:paraId="1C470683">
      <w:pPr>
        <w:snapToGrid w:val="0"/>
        <w:spacing w:before="50" w:after="120" w:afterLines="50"/>
        <w:jc w:val="left"/>
        <w:rPr>
          <w:rFonts w:hint="eastAsia" w:ascii="宋体" w:hAnsi="宋体" w:eastAsia="宋体" w:cs="宋体"/>
          <w:color w:val="auto"/>
          <w:szCs w:val="21"/>
        </w:rPr>
      </w:pPr>
      <w:r>
        <w:rPr>
          <w:rFonts w:hint="eastAsia" w:ascii="宋体" w:hAnsi="宋体" w:eastAsia="宋体" w:cs="宋体"/>
          <w:color w:val="auto"/>
          <w:szCs w:val="21"/>
        </w:rPr>
        <w:t>附表一  拟投入本工程的主要施工设备表</w:t>
      </w:r>
    </w:p>
    <w:p w14:paraId="6D6044E9">
      <w:pPr>
        <w:snapToGrid w:val="0"/>
        <w:spacing w:before="50" w:after="120" w:afterLines="50"/>
        <w:jc w:val="left"/>
        <w:rPr>
          <w:rFonts w:hint="eastAsia" w:ascii="宋体" w:hAnsi="宋体" w:eastAsia="宋体" w:cs="宋体"/>
          <w:color w:val="auto"/>
          <w:szCs w:val="21"/>
        </w:rPr>
      </w:pPr>
      <w:r>
        <w:rPr>
          <w:rFonts w:hint="eastAsia" w:ascii="宋体" w:hAnsi="宋体" w:eastAsia="宋体" w:cs="宋体"/>
          <w:color w:val="auto"/>
          <w:szCs w:val="21"/>
        </w:rPr>
        <w:t>附表二  拟配备本工程的试验和检测仪器设备表</w:t>
      </w:r>
    </w:p>
    <w:p w14:paraId="3DBBA00C">
      <w:pPr>
        <w:snapToGrid w:val="0"/>
        <w:spacing w:before="50" w:after="120" w:afterLines="50"/>
        <w:jc w:val="left"/>
        <w:rPr>
          <w:rFonts w:hint="eastAsia" w:ascii="宋体" w:hAnsi="宋体" w:eastAsia="宋体" w:cs="宋体"/>
          <w:color w:val="auto"/>
          <w:szCs w:val="21"/>
        </w:rPr>
      </w:pPr>
      <w:r>
        <w:rPr>
          <w:rFonts w:hint="eastAsia" w:ascii="宋体" w:hAnsi="宋体" w:eastAsia="宋体" w:cs="宋体"/>
          <w:color w:val="auto"/>
          <w:szCs w:val="21"/>
        </w:rPr>
        <w:t>附表三  劳动力计划表</w:t>
      </w:r>
    </w:p>
    <w:p w14:paraId="6ED9AB91">
      <w:pPr>
        <w:snapToGrid w:val="0"/>
        <w:spacing w:before="50" w:after="120" w:afterLines="50"/>
        <w:jc w:val="left"/>
        <w:rPr>
          <w:rFonts w:hint="eastAsia" w:ascii="宋体" w:hAnsi="宋体" w:eastAsia="宋体" w:cs="宋体"/>
          <w:color w:val="auto"/>
          <w:szCs w:val="21"/>
        </w:rPr>
      </w:pPr>
      <w:r>
        <w:rPr>
          <w:rFonts w:hint="eastAsia" w:ascii="宋体" w:hAnsi="宋体" w:eastAsia="宋体" w:cs="宋体"/>
          <w:color w:val="auto"/>
          <w:szCs w:val="21"/>
        </w:rPr>
        <w:t>附表四  计划开、竣工日期和施工进度网络图</w:t>
      </w:r>
    </w:p>
    <w:p w14:paraId="68EEC654">
      <w:pPr>
        <w:snapToGrid w:val="0"/>
        <w:spacing w:before="50" w:after="120" w:afterLines="50"/>
        <w:jc w:val="left"/>
        <w:rPr>
          <w:rFonts w:hint="eastAsia" w:ascii="宋体" w:hAnsi="宋体" w:eastAsia="宋体" w:cs="宋体"/>
          <w:color w:val="auto"/>
          <w:szCs w:val="21"/>
        </w:rPr>
      </w:pPr>
      <w:r>
        <w:rPr>
          <w:rFonts w:hint="eastAsia" w:ascii="宋体" w:hAnsi="宋体" w:eastAsia="宋体" w:cs="宋体"/>
          <w:color w:val="auto"/>
          <w:szCs w:val="21"/>
        </w:rPr>
        <w:t>附表五  施工总平面图</w:t>
      </w:r>
    </w:p>
    <w:p w14:paraId="453A28E2">
      <w:pPr>
        <w:snapToGrid w:val="0"/>
        <w:spacing w:before="50" w:after="120" w:afterLines="50"/>
        <w:jc w:val="left"/>
        <w:rPr>
          <w:rFonts w:hint="eastAsia" w:ascii="宋体" w:hAnsi="宋体" w:eastAsia="宋体" w:cs="宋体"/>
          <w:color w:val="auto"/>
          <w:szCs w:val="21"/>
        </w:rPr>
      </w:pPr>
      <w:r>
        <w:rPr>
          <w:rFonts w:hint="eastAsia" w:ascii="宋体" w:hAnsi="宋体" w:eastAsia="宋体" w:cs="宋体"/>
          <w:color w:val="auto"/>
          <w:szCs w:val="21"/>
        </w:rPr>
        <w:t>附表六  临时用地表</w:t>
      </w:r>
    </w:p>
    <w:p w14:paraId="0D7561DA">
      <w:pPr>
        <w:snapToGrid w:val="0"/>
        <w:spacing w:before="50" w:after="120" w:afterLines="50"/>
        <w:jc w:val="left"/>
        <w:rPr>
          <w:rFonts w:hint="eastAsia" w:ascii="宋体" w:hAnsi="宋体" w:eastAsia="宋体" w:cs="宋体"/>
          <w:color w:val="auto"/>
          <w:szCs w:val="21"/>
        </w:rPr>
      </w:pPr>
      <w:r>
        <w:rPr>
          <w:rFonts w:hint="eastAsia" w:ascii="宋体" w:hAnsi="宋体" w:eastAsia="宋体" w:cs="宋体"/>
          <w:color w:val="auto"/>
          <w:szCs w:val="21"/>
        </w:rPr>
        <w:t>附表七  拟分包计划表</w:t>
      </w:r>
    </w:p>
    <w:p w14:paraId="1F666104">
      <w:pPr>
        <w:spacing w:line="460" w:lineRule="exact"/>
        <w:ind w:firstLine="420" w:firstLineChars="200"/>
        <w:rPr>
          <w:rFonts w:hint="eastAsia" w:ascii="宋体" w:hAnsi="宋体" w:eastAsia="宋体" w:cs="宋体"/>
          <w:color w:val="auto"/>
          <w:szCs w:val="21"/>
        </w:rPr>
      </w:pPr>
    </w:p>
    <w:p w14:paraId="10560039">
      <w:pPr>
        <w:rPr>
          <w:rFonts w:hint="eastAsia" w:ascii="宋体" w:hAnsi="宋体" w:eastAsia="宋体" w:cs="宋体"/>
          <w:color w:val="auto"/>
          <w:szCs w:val="21"/>
        </w:rPr>
      </w:pPr>
      <w:r>
        <w:rPr>
          <w:rFonts w:hint="eastAsia" w:ascii="宋体" w:hAnsi="宋体" w:eastAsia="宋体" w:cs="宋体"/>
          <w:color w:val="auto"/>
        </w:rPr>
        <w:t>附表一：拟投入本</w:t>
      </w:r>
      <w:r>
        <w:rPr>
          <w:rFonts w:hint="eastAsia" w:ascii="宋体" w:hAnsi="宋体" w:eastAsia="宋体" w:cs="宋体"/>
          <w:color w:val="auto"/>
          <w:szCs w:val="21"/>
        </w:rPr>
        <w:t>工程</w:t>
      </w:r>
      <w:r>
        <w:rPr>
          <w:rFonts w:hint="eastAsia" w:ascii="宋体" w:hAnsi="宋体" w:eastAsia="宋体" w:cs="宋体"/>
          <w:color w:val="auto"/>
        </w:rPr>
        <w:t>的主要施工设备表</w:t>
      </w:r>
    </w:p>
    <w:tbl>
      <w:tblPr>
        <w:tblStyle w:val="15"/>
        <w:tblW w:w="93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1226"/>
        <w:gridCol w:w="851"/>
        <w:gridCol w:w="708"/>
        <w:gridCol w:w="709"/>
        <w:gridCol w:w="851"/>
        <w:gridCol w:w="1134"/>
        <w:gridCol w:w="992"/>
        <w:gridCol w:w="1134"/>
        <w:gridCol w:w="992"/>
      </w:tblGrid>
      <w:tr w14:paraId="20924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58" w:type="dxa"/>
            <w:noWrap w:val="0"/>
            <w:vAlign w:val="center"/>
          </w:tcPr>
          <w:p w14:paraId="6C44FC80">
            <w:pPr>
              <w:jc w:val="center"/>
              <w:rPr>
                <w:rFonts w:hint="eastAsia" w:ascii="宋体" w:hAnsi="宋体" w:eastAsia="宋体" w:cs="宋体"/>
                <w:color w:val="auto"/>
                <w:szCs w:val="21"/>
              </w:rPr>
            </w:pPr>
            <w:r>
              <w:rPr>
                <w:rFonts w:hint="eastAsia" w:ascii="宋体" w:hAnsi="宋体" w:eastAsia="宋体" w:cs="宋体"/>
                <w:color w:val="auto"/>
                <w:szCs w:val="21"/>
              </w:rPr>
              <w:t>序号</w:t>
            </w:r>
          </w:p>
        </w:tc>
        <w:tc>
          <w:tcPr>
            <w:tcW w:w="1226" w:type="dxa"/>
            <w:noWrap w:val="0"/>
            <w:vAlign w:val="center"/>
          </w:tcPr>
          <w:p w14:paraId="5FB0C5E9">
            <w:pPr>
              <w:jc w:val="center"/>
              <w:rPr>
                <w:rFonts w:hint="eastAsia" w:ascii="宋体" w:hAnsi="宋体" w:eastAsia="宋体" w:cs="宋体"/>
                <w:color w:val="auto"/>
                <w:szCs w:val="21"/>
              </w:rPr>
            </w:pPr>
            <w:r>
              <w:rPr>
                <w:rFonts w:hint="eastAsia" w:ascii="宋体" w:hAnsi="宋体" w:eastAsia="宋体" w:cs="宋体"/>
                <w:color w:val="auto"/>
                <w:szCs w:val="21"/>
              </w:rPr>
              <w:t>设备名称</w:t>
            </w:r>
          </w:p>
        </w:tc>
        <w:tc>
          <w:tcPr>
            <w:tcW w:w="851" w:type="dxa"/>
            <w:noWrap w:val="0"/>
            <w:vAlign w:val="center"/>
          </w:tcPr>
          <w:p w14:paraId="3457DD79">
            <w:pPr>
              <w:jc w:val="center"/>
              <w:rPr>
                <w:rFonts w:hint="eastAsia" w:ascii="宋体" w:hAnsi="宋体" w:eastAsia="宋体" w:cs="宋体"/>
                <w:color w:val="auto"/>
                <w:szCs w:val="21"/>
              </w:rPr>
            </w:pPr>
            <w:r>
              <w:rPr>
                <w:rFonts w:hint="eastAsia" w:ascii="宋体" w:hAnsi="宋体" w:eastAsia="宋体" w:cs="宋体"/>
                <w:color w:val="auto"/>
                <w:szCs w:val="21"/>
              </w:rPr>
              <w:t>型号</w:t>
            </w:r>
          </w:p>
          <w:p w14:paraId="5A88F078">
            <w:pPr>
              <w:jc w:val="center"/>
              <w:rPr>
                <w:rFonts w:hint="eastAsia" w:ascii="宋体" w:hAnsi="宋体" w:eastAsia="宋体" w:cs="宋体"/>
                <w:color w:val="auto"/>
                <w:szCs w:val="21"/>
              </w:rPr>
            </w:pPr>
            <w:r>
              <w:rPr>
                <w:rFonts w:hint="eastAsia" w:ascii="宋体" w:hAnsi="宋体" w:eastAsia="宋体" w:cs="宋体"/>
                <w:color w:val="auto"/>
                <w:szCs w:val="21"/>
              </w:rPr>
              <w:t>规格</w:t>
            </w:r>
          </w:p>
        </w:tc>
        <w:tc>
          <w:tcPr>
            <w:tcW w:w="708" w:type="dxa"/>
            <w:noWrap w:val="0"/>
            <w:vAlign w:val="center"/>
          </w:tcPr>
          <w:p w14:paraId="35259DE6">
            <w:pPr>
              <w:jc w:val="center"/>
              <w:rPr>
                <w:rFonts w:hint="eastAsia" w:ascii="宋体" w:hAnsi="宋体" w:eastAsia="宋体" w:cs="宋体"/>
                <w:color w:val="auto"/>
                <w:szCs w:val="21"/>
              </w:rPr>
            </w:pPr>
            <w:r>
              <w:rPr>
                <w:rFonts w:hint="eastAsia" w:ascii="宋体" w:hAnsi="宋体" w:eastAsia="宋体" w:cs="宋体"/>
                <w:color w:val="auto"/>
                <w:szCs w:val="21"/>
              </w:rPr>
              <w:t>数量</w:t>
            </w:r>
          </w:p>
        </w:tc>
        <w:tc>
          <w:tcPr>
            <w:tcW w:w="709" w:type="dxa"/>
            <w:noWrap w:val="0"/>
            <w:vAlign w:val="center"/>
          </w:tcPr>
          <w:p w14:paraId="0835CD92">
            <w:pPr>
              <w:jc w:val="center"/>
              <w:rPr>
                <w:rFonts w:hint="eastAsia" w:ascii="宋体" w:hAnsi="宋体" w:eastAsia="宋体" w:cs="宋体"/>
                <w:color w:val="auto"/>
                <w:szCs w:val="21"/>
              </w:rPr>
            </w:pPr>
            <w:r>
              <w:rPr>
                <w:rFonts w:hint="eastAsia" w:ascii="宋体" w:hAnsi="宋体" w:eastAsia="宋体" w:cs="宋体"/>
                <w:color w:val="auto"/>
                <w:szCs w:val="21"/>
              </w:rPr>
              <w:t>国别</w:t>
            </w:r>
          </w:p>
          <w:p w14:paraId="6E107FE5">
            <w:pPr>
              <w:jc w:val="center"/>
              <w:rPr>
                <w:rFonts w:hint="eastAsia" w:ascii="宋体" w:hAnsi="宋体" w:eastAsia="宋体" w:cs="宋体"/>
                <w:color w:val="auto"/>
                <w:szCs w:val="21"/>
              </w:rPr>
            </w:pPr>
            <w:r>
              <w:rPr>
                <w:rFonts w:hint="eastAsia" w:ascii="宋体" w:hAnsi="宋体" w:eastAsia="宋体" w:cs="宋体"/>
                <w:color w:val="auto"/>
                <w:szCs w:val="21"/>
              </w:rPr>
              <w:t>产地</w:t>
            </w:r>
          </w:p>
        </w:tc>
        <w:tc>
          <w:tcPr>
            <w:tcW w:w="851" w:type="dxa"/>
            <w:noWrap w:val="0"/>
            <w:vAlign w:val="center"/>
          </w:tcPr>
          <w:p w14:paraId="742FB39E">
            <w:pPr>
              <w:jc w:val="center"/>
              <w:rPr>
                <w:rFonts w:hint="eastAsia" w:ascii="宋体" w:hAnsi="宋体" w:eastAsia="宋体" w:cs="宋体"/>
                <w:color w:val="auto"/>
                <w:szCs w:val="21"/>
              </w:rPr>
            </w:pPr>
            <w:r>
              <w:rPr>
                <w:rFonts w:hint="eastAsia" w:ascii="宋体" w:hAnsi="宋体" w:eastAsia="宋体" w:cs="宋体"/>
                <w:color w:val="auto"/>
                <w:szCs w:val="21"/>
              </w:rPr>
              <w:t>制造</w:t>
            </w:r>
          </w:p>
          <w:p w14:paraId="1FC2C12E">
            <w:pPr>
              <w:jc w:val="center"/>
              <w:rPr>
                <w:rFonts w:hint="eastAsia" w:ascii="宋体" w:hAnsi="宋体" w:eastAsia="宋体" w:cs="宋体"/>
                <w:color w:val="auto"/>
                <w:szCs w:val="21"/>
              </w:rPr>
            </w:pPr>
            <w:r>
              <w:rPr>
                <w:rFonts w:hint="eastAsia" w:ascii="宋体" w:hAnsi="宋体" w:eastAsia="宋体" w:cs="宋体"/>
                <w:color w:val="auto"/>
                <w:szCs w:val="21"/>
              </w:rPr>
              <w:t>年份</w:t>
            </w:r>
          </w:p>
        </w:tc>
        <w:tc>
          <w:tcPr>
            <w:tcW w:w="1134" w:type="dxa"/>
            <w:noWrap w:val="0"/>
            <w:vAlign w:val="center"/>
          </w:tcPr>
          <w:p w14:paraId="44C264C7">
            <w:pPr>
              <w:jc w:val="center"/>
              <w:rPr>
                <w:rFonts w:hint="eastAsia" w:ascii="宋体" w:hAnsi="宋体" w:eastAsia="宋体" w:cs="宋体"/>
                <w:color w:val="auto"/>
                <w:szCs w:val="21"/>
              </w:rPr>
            </w:pPr>
            <w:r>
              <w:rPr>
                <w:rFonts w:hint="eastAsia" w:ascii="宋体" w:hAnsi="宋体" w:eastAsia="宋体" w:cs="宋体"/>
                <w:color w:val="auto"/>
                <w:szCs w:val="21"/>
              </w:rPr>
              <w:t>额定功率</w:t>
            </w:r>
          </w:p>
          <w:p w14:paraId="654B877F">
            <w:pPr>
              <w:jc w:val="center"/>
              <w:rPr>
                <w:rFonts w:hint="eastAsia" w:ascii="宋体" w:hAnsi="宋体" w:eastAsia="宋体" w:cs="宋体"/>
                <w:color w:val="auto"/>
                <w:szCs w:val="21"/>
              </w:rPr>
            </w:pPr>
            <w:r>
              <w:rPr>
                <w:rFonts w:hint="eastAsia" w:ascii="宋体" w:hAnsi="宋体" w:eastAsia="宋体" w:cs="宋体"/>
                <w:color w:val="auto"/>
                <w:szCs w:val="21"/>
              </w:rPr>
              <w:t>（kW）</w:t>
            </w:r>
          </w:p>
        </w:tc>
        <w:tc>
          <w:tcPr>
            <w:tcW w:w="992" w:type="dxa"/>
            <w:noWrap w:val="0"/>
            <w:vAlign w:val="center"/>
          </w:tcPr>
          <w:p w14:paraId="57B82A09">
            <w:pPr>
              <w:jc w:val="center"/>
              <w:rPr>
                <w:rFonts w:hint="eastAsia" w:ascii="宋体" w:hAnsi="宋体" w:eastAsia="宋体" w:cs="宋体"/>
                <w:color w:val="auto"/>
                <w:szCs w:val="21"/>
              </w:rPr>
            </w:pPr>
            <w:r>
              <w:rPr>
                <w:rFonts w:hint="eastAsia" w:ascii="宋体" w:hAnsi="宋体" w:eastAsia="宋体" w:cs="宋体"/>
                <w:color w:val="auto"/>
                <w:szCs w:val="21"/>
              </w:rPr>
              <w:t>生产</w:t>
            </w:r>
          </w:p>
          <w:p w14:paraId="158DF8F4">
            <w:pPr>
              <w:jc w:val="center"/>
              <w:rPr>
                <w:rFonts w:hint="eastAsia" w:ascii="宋体" w:hAnsi="宋体" w:eastAsia="宋体" w:cs="宋体"/>
                <w:color w:val="auto"/>
                <w:szCs w:val="21"/>
              </w:rPr>
            </w:pPr>
            <w:r>
              <w:rPr>
                <w:rFonts w:hint="eastAsia" w:ascii="宋体" w:hAnsi="宋体" w:eastAsia="宋体" w:cs="宋体"/>
                <w:color w:val="auto"/>
                <w:szCs w:val="21"/>
              </w:rPr>
              <w:t>能力</w:t>
            </w:r>
          </w:p>
        </w:tc>
        <w:tc>
          <w:tcPr>
            <w:tcW w:w="1134" w:type="dxa"/>
            <w:noWrap w:val="0"/>
            <w:vAlign w:val="center"/>
          </w:tcPr>
          <w:p w14:paraId="26087FDC">
            <w:pPr>
              <w:jc w:val="center"/>
              <w:rPr>
                <w:rFonts w:hint="eastAsia" w:ascii="宋体" w:hAnsi="宋体" w:eastAsia="宋体" w:cs="宋体"/>
                <w:color w:val="auto"/>
                <w:szCs w:val="21"/>
              </w:rPr>
            </w:pPr>
            <w:r>
              <w:rPr>
                <w:rFonts w:hint="eastAsia" w:ascii="宋体" w:hAnsi="宋体" w:eastAsia="宋体" w:cs="宋体"/>
                <w:color w:val="auto"/>
                <w:szCs w:val="21"/>
              </w:rPr>
              <w:t>用于施</w:t>
            </w:r>
          </w:p>
          <w:p w14:paraId="0DBD4843">
            <w:pPr>
              <w:jc w:val="center"/>
              <w:rPr>
                <w:rFonts w:hint="eastAsia" w:ascii="宋体" w:hAnsi="宋体" w:eastAsia="宋体" w:cs="宋体"/>
                <w:color w:val="auto"/>
                <w:szCs w:val="21"/>
              </w:rPr>
            </w:pPr>
            <w:r>
              <w:rPr>
                <w:rFonts w:hint="eastAsia" w:ascii="宋体" w:hAnsi="宋体" w:eastAsia="宋体" w:cs="宋体"/>
                <w:color w:val="auto"/>
                <w:szCs w:val="21"/>
              </w:rPr>
              <w:t>工部位</w:t>
            </w:r>
          </w:p>
        </w:tc>
        <w:tc>
          <w:tcPr>
            <w:tcW w:w="992" w:type="dxa"/>
            <w:noWrap w:val="0"/>
            <w:vAlign w:val="center"/>
          </w:tcPr>
          <w:p w14:paraId="738788ED">
            <w:pPr>
              <w:jc w:val="center"/>
              <w:rPr>
                <w:rFonts w:hint="eastAsia" w:ascii="宋体" w:hAnsi="宋体" w:eastAsia="宋体" w:cs="宋体"/>
                <w:color w:val="auto"/>
                <w:szCs w:val="21"/>
              </w:rPr>
            </w:pPr>
            <w:r>
              <w:rPr>
                <w:rFonts w:hint="eastAsia" w:ascii="宋体" w:hAnsi="宋体" w:eastAsia="宋体" w:cs="宋体"/>
                <w:color w:val="auto"/>
                <w:szCs w:val="21"/>
              </w:rPr>
              <w:t>备注</w:t>
            </w:r>
          </w:p>
        </w:tc>
      </w:tr>
      <w:tr w14:paraId="50D92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top"/>
          </w:tcPr>
          <w:p w14:paraId="5F11C592">
            <w:pPr>
              <w:spacing w:line="360" w:lineRule="auto"/>
              <w:rPr>
                <w:rFonts w:hint="eastAsia" w:ascii="宋体" w:hAnsi="宋体" w:eastAsia="宋体" w:cs="宋体"/>
                <w:color w:val="auto"/>
                <w:szCs w:val="21"/>
              </w:rPr>
            </w:pPr>
          </w:p>
        </w:tc>
        <w:tc>
          <w:tcPr>
            <w:tcW w:w="1226" w:type="dxa"/>
            <w:noWrap w:val="0"/>
            <w:vAlign w:val="top"/>
          </w:tcPr>
          <w:p w14:paraId="26C3D4BE">
            <w:pPr>
              <w:spacing w:line="360" w:lineRule="auto"/>
              <w:ind w:firstLine="420" w:firstLineChars="200"/>
              <w:rPr>
                <w:rFonts w:hint="eastAsia" w:ascii="宋体" w:hAnsi="宋体" w:eastAsia="宋体" w:cs="宋体"/>
                <w:color w:val="auto"/>
                <w:szCs w:val="21"/>
              </w:rPr>
            </w:pPr>
          </w:p>
        </w:tc>
        <w:tc>
          <w:tcPr>
            <w:tcW w:w="851" w:type="dxa"/>
            <w:noWrap w:val="0"/>
            <w:vAlign w:val="top"/>
          </w:tcPr>
          <w:p w14:paraId="43D2DAA9">
            <w:pPr>
              <w:spacing w:line="360" w:lineRule="auto"/>
              <w:rPr>
                <w:rFonts w:hint="eastAsia" w:ascii="宋体" w:hAnsi="宋体" w:eastAsia="宋体" w:cs="宋体"/>
                <w:color w:val="auto"/>
                <w:szCs w:val="21"/>
              </w:rPr>
            </w:pPr>
          </w:p>
        </w:tc>
        <w:tc>
          <w:tcPr>
            <w:tcW w:w="708" w:type="dxa"/>
            <w:noWrap w:val="0"/>
            <w:vAlign w:val="top"/>
          </w:tcPr>
          <w:p w14:paraId="72080F8B">
            <w:pPr>
              <w:spacing w:line="360" w:lineRule="auto"/>
              <w:rPr>
                <w:rFonts w:hint="eastAsia" w:ascii="宋体" w:hAnsi="宋体" w:eastAsia="宋体" w:cs="宋体"/>
                <w:color w:val="auto"/>
                <w:szCs w:val="21"/>
              </w:rPr>
            </w:pPr>
          </w:p>
        </w:tc>
        <w:tc>
          <w:tcPr>
            <w:tcW w:w="709" w:type="dxa"/>
            <w:noWrap w:val="0"/>
            <w:vAlign w:val="top"/>
          </w:tcPr>
          <w:p w14:paraId="743C81B1">
            <w:pPr>
              <w:spacing w:line="360" w:lineRule="auto"/>
              <w:rPr>
                <w:rFonts w:hint="eastAsia" w:ascii="宋体" w:hAnsi="宋体" w:eastAsia="宋体" w:cs="宋体"/>
                <w:color w:val="auto"/>
                <w:szCs w:val="21"/>
              </w:rPr>
            </w:pPr>
          </w:p>
        </w:tc>
        <w:tc>
          <w:tcPr>
            <w:tcW w:w="851" w:type="dxa"/>
            <w:noWrap w:val="0"/>
            <w:vAlign w:val="top"/>
          </w:tcPr>
          <w:p w14:paraId="4F989528">
            <w:pPr>
              <w:spacing w:line="360" w:lineRule="auto"/>
              <w:rPr>
                <w:rFonts w:hint="eastAsia" w:ascii="宋体" w:hAnsi="宋体" w:eastAsia="宋体" w:cs="宋体"/>
                <w:color w:val="auto"/>
                <w:szCs w:val="21"/>
              </w:rPr>
            </w:pPr>
          </w:p>
        </w:tc>
        <w:tc>
          <w:tcPr>
            <w:tcW w:w="1134" w:type="dxa"/>
            <w:noWrap w:val="0"/>
            <w:vAlign w:val="top"/>
          </w:tcPr>
          <w:p w14:paraId="05CC7F64">
            <w:pPr>
              <w:spacing w:line="360" w:lineRule="auto"/>
              <w:rPr>
                <w:rFonts w:hint="eastAsia" w:ascii="宋体" w:hAnsi="宋体" w:eastAsia="宋体" w:cs="宋体"/>
                <w:color w:val="auto"/>
                <w:szCs w:val="21"/>
              </w:rPr>
            </w:pPr>
          </w:p>
        </w:tc>
        <w:tc>
          <w:tcPr>
            <w:tcW w:w="992" w:type="dxa"/>
            <w:noWrap w:val="0"/>
            <w:vAlign w:val="top"/>
          </w:tcPr>
          <w:p w14:paraId="32F8E172">
            <w:pPr>
              <w:spacing w:line="360" w:lineRule="auto"/>
              <w:rPr>
                <w:rFonts w:hint="eastAsia" w:ascii="宋体" w:hAnsi="宋体" w:eastAsia="宋体" w:cs="宋体"/>
                <w:color w:val="auto"/>
                <w:szCs w:val="21"/>
              </w:rPr>
            </w:pPr>
          </w:p>
        </w:tc>
        <w:tc>
          <w:tcPr>
            <w:tcW w:w="1134" w:type="dxa"/>
            <w:noWrap w:val="0"/>
            <w:vAlign w:val="top"/>
          </w:tcPr>
          <w:p w14:paraId="130004BD">
            <w:pPr>
              <w:spacing w:line="360" w:lineRule="auto"/>
              <w:rPr>
                <w:rFonts w:hint="eastAsia" w:ascii="宋体" w:hAnsi="宋体" w:eastAsia="宋体" w:cs="宋体"/>
                <w:color w:val="auto"/>
                <w:szCs w:val="21"/>
              </w:rPr>
            </w:pPr>
          </w:p>
        </w:tc>
        <w:tc>
          <w:tcPr>
            <w:tcW w:w="992" w:type="dxa"/>
            <w:noWrap w:val="0"/>
            <w:vAlign w:val="top"/>
          </w:tcPr>
          <w:p w14:paraId="0A2ABC85">
            <w:pPr>
              <w:spacing w:line="360" w:lineRule="auto"/>
              <w:rPr>
                <w:rFonts w:hint="eastAsia" w:ascii="宋体" w:hAnsi="宋体" w:eastAsia="宋体" w:cs="宋体"/>
                <w:color w:val="auto"/>
                <w:szCs w:val="21"/>
              </w:rPr>
            </w:pPr>
          </w:p>
        </w:tc>
      </w:tr>
      <w:tr w14:paraId="113CE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top"/>
          </w:tcPr>
          <w:p w14:paraId="6208FD48">
            <w:pPr>
              <w:spacing w:line="360" w:lineRule="auto"/>
              <w:rPr>
                <w:rFonts w:hint="eastAsia" w:ascii="宋体" w:hAnsi="宋体" w:eastAsia="宋体" w:cs="宋体"/>
                <w:color w:val="auto"/>
                <w:szCs w:val="21"/>
              </w:rPr>
            </w:pPr>
          </w:p>
        </w:tc>
        <w:tc>
          <w:tcPr>
            <w:tcW w:w="1226" w:type="dxa"/>
            <w:noWrap w:val="0"/>
            <w:vAlign w:val="top"/>
          </w:tcPr>
          <w:p w14:paraId="4A2DFA73">
            <w:pPr>
              <w:spacing w:line="360" w:lineRule="auto"/>
              <w:rPr>
                <w:rFonts w:hint="eastAsia" w:ascii="宋体" w:hAnsi="宋体" w:eastAsia="宋体" w:cs="宋体"/>
                <w:color w:val="auto"/>
                <w:szCs w:val="21"/>
              </w:rPr>
            </w:pPr>
          </w:p>
        </w:tc>
        <w:tc>
          <w:tcPr>
            <w:tcW w:w="851" w:type="dxa"/>
            <w:noWrap w:val="0"/>
            <w:vAlign w:val="top"/>
          </w:tcPr>
          <w:p w14:paraId="43F51620">
            <w:pPr>
              <w:spacing w:line="360" w:lineRule="auto"/>
              <w:rPr>
                <w:rFonts w:hint="eastAsia" w:ascii="宋体" w:hAnsi="宋体" w:eastAsia="宋体" w:cs="宋体"/>
                <w:color w:val="auto"/>
                <w:szCs w:val="21"/>
              </w:rPr>
            </w:pPr>
          </w:p>
        </w:tc>
        <w:tc>
          <w:tcPr>
            <w:tcW w:w="708" w:type="dxa"/>
            <w:noWrap w:val="0"/>
            <w:vAlign w:val="top"/>
          </w:tcPr>
          <w:p w14:paraId="07B3F84D">
            <w:pPr>
              <w:spacing w:line="360" w:lineRule="auto"/>
              <w:rPr>
                <w:rFonts w:hint="eastAsia" w:ascii="宋体" w:hAnsi="宋体" w:eastAsia="宋体" w:cs="宋体"/>
                <w:color w:val="auto"/>
                <w:szCs w:val="21"/>
              </w:rPr>
            </w:pPr>
          </w:p>
        </w:tc>
        <w:tc>
          <w:tcPr>
            <w:tcW w:w="709" w:type="dxa"/>
            <w:noWrap w:val="0"/>
            <w:vAlign w:val="top"/>
          </w:tcPr>
          <w:p w14:paraId="79B306AD">
            <w:pPr>
              <w:spacing w:line="360" w:lineRule="auto"/>
              <w:rPr>
                <w:rFonts w:hint="eastAsia" w:ascii="宋体" w:hAnsi="宋体" w:eastAsia="宋体" w:cs="宋体"/>
                <w:color w:val="auto"/>
                <w:szCs w:val="21"/>
              </w:rPr>
            </w:pPr>
          </w:p>
        </w:tc>
        <w:tc>
          <w:tcPr>
            <w:tcW w:w="851" w:type="dxa"/>
            <w:noWrap w:val="0"/>
            <w:vAlign w:val="top"/>
          </w:tcPr>
          <w:p w14:paraId="376CCD15">
            <w:pPr>
              <w:spacing w:line="360" w:lineRule="auto"/>
              <w:rPr>
                <w:rFonts w:hint="eastAsia" w:ascii="宋体" w:hAnsi="宋体" w:eastAsia="宋体" w:cs="宋体"/>
                <w:color w:val="auto"/>
                <w:szCs w:val="21"/>
              </w:rPr>
            </w:pPr>
          </w:p>
        </w:tc>
        <w:tc>
          <w:tcPr>
            <w:tcW w:w="1134" w:type="dxa"/>
            <w:noWrap w:val="0"/>
            <w:vAlign w:val="top"/>
          </w:tcPr>
          <w:p w14:paraId="35BDA110">
            <w:pPr>
              <w:spacing w:line="360" w:lineRule="auto"/>
              <w:rPr>
                <w:rFonts w:hint="eastAsia" w:ascii="宋体" w:hAnsi="宋体" w:eastAsia="宋体" w:cs="宋体"/>
                <w:color w:val="auto"/>
                <w:szCs w:val="21"/>
              </w:rPr>
            </w:pPr>
          </w:p>
        </w:tc>
        <w:tc>
          <w:tcPr>
            <w:tcW w:w="992" w:type="dxa"/>
            <w:noWrap w:val="0"/>
            <w:vAlign w:val="top"/>
          </w:tcPr>
          <w:p w14:paraId="36423D9A">
            <w:pPr>
              <w:spacing w:line="360" w:lineRule="auto"/>
              <w:rPr>
                <w:rFonts w:hint="eastAsia" w:ascii="宋体" w:hAnsi="宋体" w:eastAsia="宋体" w:cs="宋体"/>
                <w:color w:val="auto"/>
                <w:szCs w:val="21"/>
              </w:rPr>
            </w:pPr>
          </w:p>
        </w:tc>
        <w:tc>
          <w:tcPr>
            <w:tcW w:w="1134" w:type="dxa"/>
            <w:noWrap w:val="0"/>
            <w:vAlign w:val="top"/>
          </w:tcPr>
          <w:p w14:paraId="20687A05">
            <w:pPr>
              <w:spacing w:line="360" w:lineRule="auto"/>
              <w:rPr>
                <w:rFonts w:hint="eastAsia" w:ascii="宋体" w:hAnsi="宋体" w:eastAsia="宋体" w:cs="宋体"/>
                <w:color w:val="auto"/>
                <w:szCs w:val="21"/>
              </w:rPr>
            </w:pPr>
          </w:p>
        </w:tc>
        <w:tc>
          <w:tcPr>
            <w:tcW w:w="992" w:type="dxa"/>
            <w:noWrap w:val="0"/>
            <w:vAlign w:val="top"/>
          </w:tcPr>
          <w:p w14:paraId="7E435BC6">
            <w:pPr>
              <w:spacing w:line="360" w:lineRule="auto"/>
              <w:rPr>
                <w:rFonts w:hint="eastAsia" w:ascii="宋体" w:hAnsi="宋体" w:eastAsia="宋体" w:cs="宋体"/>
                <w:color w:val="auto"/>
                <w:szCs w:val="21"/>
              </w:rPr>
            </w:pPr>
          </w:p>
        </w:tc>
      </w:tr>
      <w:tr w14:paraId="36206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top"/>
          </w:tcPr>
          <w:p w14:paraId="46CE62FE">
            <w:pPr>
              <w:spacing w:line="360" w:lineRule="auto"/>
              <w:rPr>
                <w:rFonts w:hint="eastAsia" w:ascii="宋体" w:hAnsi="宋体" w:eastAsia="宋体" w:cs="宋体"/>
                <w:color w:val="4472C4"/>
                <w:szCs w:val="21"/>
              </w:rPr>
            </w:pPr>
          </w:p>
        </w:tc>
        <w:tc>
          <w:tcPr>
            <w:tcW w:w="1226" w:type="dxa"/>
            <w:noWrap w:val="0"/>
            <w:vAlign w:val="top"/>
          </w:tcPr>
          <w:p w14:paraId="0237A876">
            <w:pPr>
              <w:spacing w:line="360" w:lineRule="auto"/>
              <w:rPr>
                <w:rFonts w:hint="eastAsia" w:ascii="宋体" w:hAnsi="宋体" w:eastAsia="宋体" w:cs="宋体"/>
                <w:color w:val="4472C4"/>
                <w:szCs w:val="21"/>
              </w:rPr>
            </w:pPr>
          </w:p>
        </w:tc>
        <w:tc>
          <w:tcPr>
            <w:tcW w:w="851" w:type="dxa"/>
            <w:noWrap w:val="0"/>
            <w:vAlign w:val="top"/>
          </w:tcPr>
          <w:p w14:paraId="4CC2ABF0">
            <w:pPr>
              <w:spacing w:line="360" w:lineRule="auto"/>
              <w:rPr>
                <w:rFonts w:hint="eastAsia" w:ascii="宋体" w:hAnsi="宋体" w:eastAsia="宋体" w:cs="宋体"/>
                <w:color w:val="4472C4"/>
                <w:szCs w:val="21"/>
              </w:rPr>
            </w:pPr>
          </w:p>
        </w:tc>
        <w:tc>
          <w:tcPr>
            <w:tcW w:w="708" w:type="dxa"/>
            <w:noWrap w:val="0"/>
            <w:vAlign w:val="top"/>
          </w:tcPr>
          <w:p w14:paraId="3CD57E1D">
            <w:pPr>
              <w:spacing w:line="360" w:lineRule="auto"/>
              <w:rPr>
                <w:rFonts w:hint="eastAsia" w:ascii="宋体" w:hAnsi="宋体" w:eastAsia="宋体" w:cs="宋体"/>
                <w:color w:val="4472C4"/>
                <w:szCs w:val="21"/>
              </w:rPr>
            </w:pPr>
          </w:p>
        </w:tc>
        <w:tc>
          <w:tcPr>
            <w:tcW w:w="709" w:type="dxa"/>
            <w:noWrap w:val="0"/>
            <w:vAlign w:val="top"/>
          </w:tcPr>
          <w:p w14:paraId="15154BD0">
            <w:pPr>
              <w:spacing w:line="360" w:lineRule="auto"/>
              <w:rPr>
                <w:rFonts w:hint="eastAsia" w:ascii="宋体" w:hAnsi="宋体" w:eastAsia="宋体" w:cs="宋体"/>
                <w:color w:val="4472C4"/>
                <w:szCs w:val="21"/>
              </w:rPr>
            </w:pPr>
          </w:p>
        </w:tc>
        <w:tc>
          <w:tcPr>
            <w:tcW w:w="851" w:type="dxa"/>
            <w:noWrap w:val="0"/>
            <w:vAlign w:val="top"/>
          </w:tcPr>
          <w:p w14:paraId="38B1522E">
            <w:pPr>
              <w:spacing w:line="360" w:lineRule="auto"/>
              <w:rPr>
                <w:rFonts w:hint="eastAsia" w:ascii="宋体" w:hAnsi="宋体" w:eastAsia="宋体" w:cs="宋体"/>
                <w:color w:val="4472C4"/>
                <w:szCs w:val="21"/>
              </w:rPr>
            </w:pPr>
          </w:p>
        </w:tc>
        <w:tc>
          <w:tcPr>
            <w:tcW w:w="1134" w:type="dxa"/>
            <w:noWrap w:val="0"/>
            <w:vAlign w:val="top"/>
          </w:tcPr>
          <w:p w14:paraId="36B43C0D">
            <w:pPr>
              <w:spacing w:line="360" w:lineRule="auto"/>
              <w:rPr>
                <w:rFonts w:hint="eastAsia" w:ascii="宋体" w:hAnsi="宋体" w:eastAsia="宋体" w:cs="宋体"/>
                <w:color w:val="4472C4"/>
                <w:szCs w:val="21"/>
              </w:rPr>
            </w:pPr>
          </w:p>
        </w:tc>
        <w:tc>
          <w:tcPr>
            <w:tcW w:w="992" w:type="dxa"/>
            <w:noWrap w:val="0"/>
            <w:vAlign w:val="top"/>
          </w:tcPr>
          <w:p w14:paraId="0FB649BB">
            <w:pPr>
              <w:spacing w:line="360" w:lineRule="auto"/>
              <w:rPr>
                <w:rFonts w:hint="eastAsia" w:ascii="宋体" w:hAnsi="宋体" w:eastAsia="宋体" w:cs="宋体"/>
                <w:color w:val="4472C4"/>
                <w:szCs w:val="21"/>
              </w:rPr>
            </w:pPr>
          </w:p>
        </w:tc>
        <w:tc>
          <w:tcPr>
            <w:tcW w:w="1134" w:type="dxa"/>
            <w:noWrap w:val="0"/>
            <w:vAlign w:val="top"/>
          </w:tcPr>
          <w:p w14:paraId="5DD8E92F">
            <w:pPr>
              <w:spacing w:line="360" w:lineRule="auto"/>
              <w:rPr>
                <w:rFonts w:hint="eastAsia" w:ascii="宋体" w:hAnsi="宋体" w:eastAsia="宋体" w:cs="宋体"/>
                <w:color w:val="4472C4"/>
                <w:szCs w:val="21"/>
              </w:rPr>
            </w:pPr>
          </w:p>
        </w:tc>
        <w:tc>
          <w:tcPr>
            <w:tcW w:w="992" w:type="dxa"/>
            <w:noWrap w:val="0"/>
            <w:vAlign w:val="top"/>
          </w:tcPr>
          <w:p w14:paraId="3EAD58A7">
            <w:pPr>
              <w:spacing w:line="360" w:lineRule="auto"/>
              <w:rPr>
                <w:rFonts w:hint="eastAsia" w:ascii="宋体" w:hAnsi="宋体" w:eastAsia="宋体" w:cs="宋体"/>
                <w:color w:val="4472C4"/>
                <w:szCs w:val="21"/>
              </w:rPr>
            </w:pPr>
          </w:p>
        </w:tc>
      </w:tr>
      <w:tr w14:paraId="19B0B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top"/>
          </w:tcPr>
          <w:p w14:paraId="0AF70C85">
            <w:pPr>
              <w:spacing w:line="360" w:lineRule="auto"/>
              <w:rPr>
                <w:rFonts w:hint="eastAsia" w:ascii="宋体" w:hAnsi="宋体" w:eastAsia="宋体" w:cs="宋体"/>
                <w:color w:val="4472C4"/>
                <w:szCs w:val="21"/>
              </w:rPr>
            </w:pPr>
          </w:p>
        </w:tc>
        <w:tc>
          <w:tcPr>
            <w:tcW w:w="1226" w:type="dxa"/>
            <w:noWrap w:val="0"/>
            <w:vAlign w:val="top"/>
          </w:tcPr>
          <w:p w14:paraId="54C1B510">
            <w:pPr>
              <w:spacing w:line="360" w:lineRule="auto"/>
              <w:rPr>
                <w:rFonts w:hint="eastAsia" w:ascii="宋体" w:hAnsi="宋体" w:eastAsia="宋体" w:cs="宋体"/>
                <w:color w:val="4472C4"/>
                <w:szCs w:val="21"/>
              </w:rPr>
            </w:pPr>
          </w:p>
        </w:tc>
        <w:tc>
          <w:tcPr>
            <w:tcW w:w="851" w:type="dxa"/>
            <w:noWrap w:val="0"/>
            <w:vAlign w:val="top"/>
          </w:tcPr>
          <w:p w14:paraId="683D9E07">
            <w:pPr>
              <w:spacing w:line="360" w:lineRule="auto"/>
              <w:rPr>
                <w:rFonts w:hint="eastAsia" w:ascii="宋体" w:hAnsi="宋体" w:eastAsia="宋体" w:cs="宋体"/>
                <w:color w:val="4472C4"/>
                <w:szCs w:val="21"/>
              </w:rPr>
            </w:pPr>
          </w:p>
        </w:tc>
        <w:tc>
          <w:tcPr>
            <w:tcW w:w="708" w:type="dxa"/>
            <w:noWrap w:val="0"/>
            <w:vAlign w:val="top"/>
          </w:tcPr>
          <w:p w14:paraId="75B718B1">
            <w:pPr>
              <w:spacing w:line="360" w:lineRule="auto"/>
              <w:rPr>
                <w:rFonts w:hint="eastAsia" w:ascii="宋体" w:hAnsi="宋体" w:eastAsia="宋体" w:cs="宋体"/>
                <w:color w:val="4472C4"/>
                <w:szCs w:val="21"/>
              </w:rPr>
            </w:pPr>
          </w:p>
        </w:tc>
        <w:tc>
          <w:tcPr>
            <w:tcW w:w="709" w:type="dxa"/>
            <w:noWrap w:val="0"/>
            <w:vAlign w:val="top"/>
          </w:tcPr>
          <w:p w14:paraId="3ABD7653">
            <w:pPr>
              <w:spacing w:line="360" w:lineRule="auto"/>
              <w:rPr>
                <w:rFonts w:hint="eastAsia" w:ascii="宋体" w:hAnsi="宋体" w:eastAsia="宋体" w:cs="宋体"/>
                <w:color w:val="4472C4"/>
                <w:szCs w:val="21"/>
              </w:rPr>
            </w:pPr>
          </w:p>
        </w:tc>
        <w:tc>
          <w:tcPr>
            <w:tcW w:w="851" w:type="dxa"/>
            <w:noWrap w:val="0"/>
            <w:vAlign w:val="top"/>
          </w:tcPr>
          <w:p w14:paraId="106E3105">
            <w:pPr>
              <w:spacing w:line="360" w:lineRule="auto"/>
              <w:rPr>
                <w:rFonts w:hint="eastAsia" w:ascii="宋体" w:hAnsi="宋体" w:eastAsia="宋体" w:cs="宋体"/>
                <w:color w:val="4472C4"/>
                <w:szCs w:val="21"/>
              </w:rPr>
            </w:pPr>
          </w:p>
        </w:tc>
        <w:tc>
          <w:tcPr>
            <w:tcW w:w="1134" w:type="dxa"/>
            <w:noWrap w:val="0"/>
            <w:vAlign w:val="top"/>
          </w:tcPr>
          <w:p w14:paraId="5C988084">
            <w:pPr>
              <w:spacing w:line="360" w:lineRule="auto"/>
              <w:rPr>
                <w:rFonts w:hint="eastAsia" w:ascii="宋体" w:hAnsi="宋体" w:eastAsia="宋体" w:cs="宋体"/>
                <w:color w:val="4472C4"/>
                <w:szCs w:val="21"/>
              </w:rPr>
            </w:pPr>
          </w:p>
        </w:tc>
        <w:tc>
          <w:tcPr>
            <w:tcW w:w="992" w:type="dxa"/>
            <w:noWrap w:val="0"/>
            <w:vAlign w:val="top"/>
          </w:tcPr>
          <w:p w14:paraId="65D2C836">
            <w:pPr>
              <w:spacing w:line="360" w:lineRule="auto"/>
              <w:rPr>
                <w:rFonts w:hint="eastAsia" w:ascii="宋体" w:hAnsi="宋体" w:eastAsia="宋体" w:cs="宋体"/>
                <w:color w:val="4472C4"/>
                <w:szCs w:val="21"/>
              </w:rPr>
            </w:pPr>
          </w:p>
        </w:tc>
        <w:tc>
          <w:tcPr>
            <w:tcW w:w="1134" w:type="dxa"/>
            <w:noWrap w:val="0"/>
            <w:vAlign w:val="top"/>
          </w:tcPr>
          <w:p w14:paraId="3050AFB3">
            <w:pPr>
              <w:spacing w:line="360" w:lineRule="auto"/>
              <w:rPr>
                <w:rFonts w:hint="eastAsia" w:ascii="宋体" w:hAnsi="宋体" w:eastAsia="宋体" w:cs="宋体"/>
                <w:color w:val="4472C4"/>
                <w:szCs w:val="21"/>
              </w:rPr>
            </w:pPr>
          </w:p>
        </w:tc>
        <w:tc>
          <w:tcPr>
            <w:tcW w:w="992" w:type="dxa"/>
            <w:noWrap w:val="0"/>
            <w:vAlign w:val="top"/>
          </w:tcPr>
          <w:p w14:paraId="05282DBA">
            <w:pPr>
              <w:spacing w:line="360" w:lineRule="auto"/>
              <w:rPr>
                <w:rFonts w:hint="eastAsia" w:ascii="宋体" w:hAnsi="宋体" w:eastAsia="宋体" w:cs="宋体"/>
                <w:color w:val="4472C4"/>
                <w:szCs w:val="21"/>
              </w:rPr>
            </w:pPr>
          </w:p>
        </w:tc>
      </w:tr>
      <w:tr w14:paraId="1D326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top"/>
          </w:tcPr>
          <w:p w14:paraId="36591F6C">
            <w:pPr>
              <w:spacing w:line="360" w:lineRule="auto"/>
              <w:rPr>
                <w:rFonts w:hint="eastAsia" w:ascii="宋体" w:hAnsi="宋体" w:eastAsia="宋体" w:cs="宋体"/>
                <w:color w:val="4472C4"/>
                <w:szCs w:val="21"/>
              </w:rPr>
            </w:pPr>
          </w:p>
        </w:tc>
        <w:tc>
          <w:tcPr>
            <w:tcW w:w="1226" w:type="dxa"/>
            <w:noWrap w:val="0"/>
            <w:vAlign w:val="top"/>
          </w:tcPr>
          <w:p w14:paraId="33BC552A">
            <w:pPr>
              <w:spacing w:line="360" w:lineRule="auto"/>
              <w:rPr>
                <w:rFonts w:hint="eastAsia" w:ascii="宋体" w:hAnsi="宋体" w:eastAsia="宋体" w:cs="宋体"/>
                <w:color w:val="4472C4"/>
                <w:szCs w:val="21"/>
              </w:rPr>
            </w:pPr>
          </w:p>
        </w:tc>
        <w:tc>
          <w:tcPr>
            <w:tcW w:w="851" w:type="dxa"/>
            <w:noWrap w:val="0"/>
            <w:vAlign w:val="top"/>
          </w:tcPr>
          <w:p w14:paraId="276A9F3E">
            <w:pPr>
              <w:spacing w:line="360" w:lineRule="auto"/>
              <w:rPr>
                <w:rFonts w:hint="eastAsia" w:ascii="宋体" w:hAnsi="宋体" w:eastAsia="宋体" w:cs="宋体"/>
                <w:color w:val="4472C4"/>
                <w:szCs w:val="21"/>
              </w:rPr>
            </w:pPr>
          </w:p>
        </w:tc>
        <w:tc>
          <w:tcPr>
            <w:tcW w:w="708" w:type="dxa"/>
            <w:noWrap w:val="0"/>
            <w:vAlign w:val="top"/>
          </w:tcPr>
          <w:p w14:paraId="4F7D2176">
            <w:pPr>
              <w:spacing w:line="360" w:lineRule="auto"/>
              <w:rPr>
                <w:rFonts w:hint="eastAsia" w:ascii="宋体" w:hAnsi="宋体" w:eastAsia="宋体" w:cs="宋体"/>
                <w:color w:val="4472C4"/>
                <w:szCs w:val="21"/>
              </w:rPr>
            </w:pPr>
          </w:p>
        </w:tc>
        <w:tc>
          <w:tcPr>
            <w:tcW w:w="709" w:type="dxa"/>
            <w:noWrap w:val="0"/>
            <w:vAlign w:val="top"/>
          </w:tcPr>
          <w:p w14:paraId="36B7ED0C">
            <w:pPr>
              <w:spacing w:line="360" w:lineRule="auto"/>
              <w:rPr>
                <w:rFonts w:hint="eastAsia" w:ascii="宋体" w:hAnsi="宋体" w:eastAsia="宋体" w:cs="宋体"/>
                <w:color w:val="4472C4"/>
                <w:szCs w:val="21"/>
              </w:rPr>
            </w:pPr>
          </w:p>
        </w:tc>
        <w:tc>
          <w:tcPr>
            <w:tcW w:w="851" w:type="dxa"/>
            <w:noWrap w:val="0"/>
            <w:vAlign w:val="top"/>
          </w:tcPr>
          <w:p w14:paraId="757CD590">
            <w:pPr>
              <w:spacing w:line="360" w:lineRule="auto"/>
              <w:rPr>
                <w:rFonts w:hint="eastAsia" w:ascii="宋体" w:hAnsi="宋体" w:eastAsia="宋体" w:cs="宋体"/>
                <w:color w:val="4472C4"/>
                <w:szCs w:val="21"/>
              </w:rPr>
            </w:pPr>
          </w:p>
        </w:tc>
        <w:tc>
          <w:tcPr>
            <w:tcW w:w="1134" w:type="dxa"/>
            <w:noWrap w:val="0"/>
            <w:vAlign w:val="top"/>
          </w:tcPr>
          <w:p w14:paraId="3B18A233">
            <w:pPr>
              <w:spacing w:line="360" w:lineRule="auto"/>
              <w:rPr>
                <w:rFonts w:hint="eastAsia" w:ascii="宋体" w:hAnsi="宋体" w:eastAsia="宋体" w:cs="宋体"/>
                <w:color w:val="4472C4"/>
                <w:szCs w:val="21"/>
              </w:rPr>
            </w:pPr>
          </w:p>
        </w:tc>
        <w:tc>
          <w:tcPr>
            <w:tcW w:w="992" w:type="dxa"/>
            <w:noWrap w:val="0"/>
            <w:vAlign w:val="top"/>
          </w:tcPr>
          <w:p w14:paraId="665D2E14">
            <w:pPr>
              <w:spacing w:line="360" w:lineRule="auto"/>
              <w:rPr>
                <w:rFonts w:hint="eastAsia" w:ascii="宋体" w:hAnsi="宋体" w:eastAsia="宋体" w:cs="宋体"/>
                <w:color w:val="4472C4"/>
                <w:szCs w:val="21"/>
              </w:rPr>
            </w:pPr>
          </w:p>
        </w:tc>
        <w:tc>
          <w:tcPr>
            <w:tcW w:w="1134" w:type="dxa"/>
            <w:noWrap w:val="0"/>
            <w:vAlign w:val="top"/>
          </w:tcPr>
          <w:p w14:paraId="0404E4D8">
            <w:pPr>
              <w:spacing w:line="360" w:lineRule="auto"/>
              <w:rPr>
                <w:rFonts w:hint="eastAsia" w:ascii="宋体" w:hAnsi="宋体" w:eastAsia="宋体" w:cs="宋体"/>
                <w:color w:val="4472C4"/>
                <w:szCs w:val="21"/>
              </w:rPr>
            </w:pPr>
          </w:p>
        </w:tc>
        <w:tc>
          <w:tcPr>
            <w:tcW w:w="992" w:type="dxa"/>
            <w:noWrap w:val="0"/>
            <w:vAlign w:val="top"/>
          </w:tcPr>
          <w:p w14:paraId="3C3C9130">
            <w:pPr>
              <w:spacing w:line="360" w:lineRule="auto"/>
              <w:rPr>
                <w:rFonts w:hint="eastAsia" w:ascii="宋体" w:hAnsi="宋体" w:eastAsia="宋体" w:cs="宋体"/>
                <w:color w:val="4472C4"/>
                <w:szCs w:val="21"/>
              </w:rPr>
            </w:pPr>
          </w:p>
        </w:tc>
      </w:tr>
    </w:tbl>
    <w:p w14:paraId="7CB8CA4A">
      <w:pPr>
        <w:rPr>
          <w:rFonts w:hint="eastAsia" w:ascii="宋体" w:hAnsi="宋体" w:eastAsia="宋体" w:cs="宋体"/>
          <w:color w:val="4472C4"/>
        </w:rPr>
      </w:pPr>
    </w:p>
    <w:p w14:paraId="1B886108">
      <w:pPr>
        <w:rPr>
          <w:rFonts w:hint="eastAsia" w:ascii="宋体" w:hAnsi="宋体" w:eastAsia="宋体" w:cs="宋体"/>
          <w:color w:val="4472C4"/>
        </w:rPr>
      </w:pPr>
    </w:p>
    <w:p w14:paraId="0B3E390C">
      <w:pPr>
        <w:rPr>
          <w:rFonts w:hint="eastAsia" w:ascii="宋体" w:hAnsi="宋体" w:eastAsia="宋体" w:cs="宋体"/>
          <w:color w:val="auto"/>
        </w:rPr>
      </w:pPr>
      <w:r>
        <w:rPr>
          <w:rFonts w:hint="eastAsia" w:ascii="宋体" w:hAnsi="宋体" w:eastAsia="宋体" w:cs="宋体"/>
          <w:color w:val="auto"/>
        </w:rPr>
        <w:t>附表二：拟配备本工程的试验和检测仪器设备表</w:t>
      </w:r>
    </w:p>
    <w:tbl>
      <w:tblPr>
        <w:tblStyle w:val="15"/>
        <w:tblW w:w="93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1226"/>
        <w:gridCol w:w="851"/>
        <w:gridCol w:w="708"/>
        <w:gridCol w:w="709"/>
        <w:gridCol w:w="1134"/>
        <w:gridCol w:w="1276"/>
        <w:gridCol w:w="1134"/>
        <w:gridCol w:w="1559"/>
      </w:tblGrid>
      <w:tr w14:paraId="65A07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5BF0B360">
            <w:pPr>
              <w:jc w:val="center"/>
              <w:rPr>
                <w:rFonts w:hint="eastAsia" w:ascii="宋体" w:hAnsi="宋体" w:eastAsia="宋体" w:cs="宋体"/>
                <w:color w:val="auto"/>
                <w:szCs w:val="21"/>
              </w:rPr>
            </w:pPr>
            <w:r>
              <w:rPr>
                <w:rFonts w:hint="eastAsia" w:ascii="宋体" w:hAnsi="宋体" w:eastAsia="宋体" w:cs="宋体"/>
                <w:color w:val="auto"/>
                <w:szCs w:val="21"/>
              </w:rPr>
              <w:t>序号</w:t>
            </w:r>
          </w:p>
        </w:tc>
        <w:tc>
          <w:tcPr>
            <w:tcW w:w="1226" w:type="dxa"/>
            <w:noWrap w:val="0"/>
            <w:vAlign w:val="center"/>
          </w:tcPr>
          <w:p w14:paraId="6F6363C4">
            <w:pPr>
              <w:jc w:val="center"/>
              <w:rPr>
                <w:rFonts w:hint="eastAsia" w:ascii="宋体" w:hAnsi="宋体" w:eastAsia="宋体" w:cs="宋体"/>
                <w:color w:val="auto"/>
                <w:szCs w:val="21"/>
              </w:rPr>
            </w:pPr>
            <w:r>
              <w:rPr>
                <w:rFonts w:hint="eastAsia" w:ascii="宋体" w:hAnsi="宋体" w:eastAsia="宋体" w:cs="宋体"/>
                <w:color w:val="auto"/>
                <w:szCs w:val="21"/>
              </w:rPr>
              <w:t>仪器设备名称</w:t>
            </w:r>
          </w:p>
        </w:tc>
        <w:tc>
          <w:tcPr>
            <w:tcW w:w="851" w:type="dxa"/>
            <w:noWrap w:val="0"/>
            <w:vAlign w:val="center"/>
          </w:tcPr>
          <w:p w14:paraId="14AD711B">
            <w:pPr>
              <w:jc w:val="center"/>
              <w:rPr>
                <w:rFonts w:hint="eastAsia" w:ascii="宋体" w:hAnsi="宋体" w:eastAsia="宋体" w:cs="宋体"/>
                <w:color w:val="auto"/>
                <w:szCs w:val="21"/>
              </w:rPr>
            </w:pPr>
            <w:r>
              <w:rPr>
                <w:rFonts w:hint="eastAsia" w:ascii="宋体" w:hAnsi="宋体" w:eastAsia="宋体" w:cs="宋体"/>
                <w:color w:val="auto"/>
                <w:szCs w:val="21"/>
              </w:rPr>
              <w:t>型号</w:t>
            </w:r>
          </w:p>
          <w:p w14:paraId="3704739E">
            <w:pPr>
              <w:jc w:val="center"/>
              <w:rPr>
                <w:rFonts w:hint="eastAsia" w:ascii="宋体" w:hAnsi="宋体" w:eastAsia="宋体" w:cs="宋体"/>
                <w:color w:val="auto"/>
                <w:szCs w:val="21"/>
              </w:rPr>
            </w:pPr>
            <w:r>
              <w:rPr>
                <w:rFonts w:hint="eastAsia" w:ascii="宋体" w:hAnsi="宋体" w:eastAsia="宋体" w:cs="宋体"/>
                <w:color w:val="auto"/>
                <w:szCs w:val="21"/>
              </w:rPr>
              <w:t>规格</w:t>
            </w:r>
          </w:p>
        </w:tc>
        <w:tc>
          <w:tcPr>
            <w:tcW w:w="708" w:type="dxa"/>
            <w:noWrap w:val="0"/>
            <w:vAlign w:val="center"/>
          </w:tcPr>
          <w:p w14:paraId="0D2A87EE">
            <w:pPr>
              <w:jc w:val="center"/>
              <w:rPr>
                <w:rFonts w:hint="eastAsia" w:ascii="宋体" w:hAnsi="宋体" w:eastAsia="宋体" w:cs="宋体"/>
                <w:color w:val="auto"/>
                <w:szCs w:val="21"/>
              </w:rPr>
            </w:pPr>
            <w:r>
              <w:rPr>
                <w:rFonts w:hint="eastAsia" w:ascii="宋体" w:hAnsi="宋体" w:eastAsia="宋体" w:cs="宋体"/>
                <w:color w:val="auto"/>
                <w:szCs w:val="21"/>
              </w:rPr>
              <w:t>数量</w:t>
            </w:r>
          </w:p>
        </w:tc>
        <w:tc>
          <w:tcPr>
            <w:tcW w:w="709" w:type="dxa"/>
            <w:noWrap w:val="0"/>
            <w:vAlign w:val="center"/>
          </w:tcPr>
          <w:p w14:paraId="7891F14A">
            <w:pPr>
              <w:jc w:val="center"/>
              <w:rPr>
                <w:rFonts w:hint="eastAsia" w:ascii="宋体" w:hAnsi="宋体" w:eastAsia="宋体" w:cs="宋体"/>
                <w:color w:val="auto"/>
                <w:szCs w:val="21"/>
              </w:rPr>
            </w:pPr>
            <w:r>
              <w:rPr>
                <w:rFonts w:hint="eastAsia" w:ascii="宋体" w:hAnsi="宋体" w:eastAsia="宋体" w:cs="宋体"/>
                <w:color w:val="auto"/>
                <w:szCs w:val="21"/>
              </w:rPr>
              <w:t>国别</w:t>
            </w:r>
          </w:p>
          <w:p w14:paraId="2E2031FD">
            <w:pPr>
              <w:jc w:val="center"/>
              <w:rPr>
                <w:rFonts w:hint="eastAsia" w:ascii="宋体" w:hAnsi="宋体" w:eastAsia="宋体" w:cs="宋体"/>
                <w:color w:val="auto"/>
                <w:szCs w:val="21"/>
              </w:rPr>
            </w:pPr>
            <w:r>
              <w:rPr>
                <w:rFonts w:hint="eastAsia" w:ascii="宋体" w:hAnsi="宋体" w:eastAsia="宋体" w:cs="宋体"/>
                <w:color w:val="auto"/>
                <w:szCs w:val="21"/>
              </w:rPr>
              <w:t>产地</w:t>
            </w:r>
          </w:p>
        </w:tc>
        <w:tc>
          <w:tcPr>
            <w:tcW w:w="1134" w:type="dxa"/>
            <w:noWrap w:val="0"/>
            <w:vAlign w:val="center"/>
          </w:tcPr>
          <w:p w14:paraId="19B9B649">
            <w:pPr>
              <w:jc w:val="center"/>
              <w:rPr>
                <w:rFonts w:hint="eastAsia" w:ascii="宋体" w:hAnsi="宋体" w:eastAsia="宋体" w:cs="宋体"/>
                <w:color w:val="auto"/>
                <w:szCs w:val="21"/>
              </w:rPr>
            </w:pPr>
            <w:r>
              <w:rPr>
                <w:rFonts w:hint="eastAsia" w:ascii="宋体" w:hAnsi="宋体" w:eastAsia="宋体" w:cs="宋体"/>
                <w:color w:val="auto"/>
                <w:szCs w:val="21"/>
              </w:rPr>
              <w:t>制造年份</w:t>
            </w:r>
          </w:p>
        </w:tc>
        <w:tc>
          <w:tcPr>
            <w:tcW w:w="1276" w:type="dxa"/>
            <w:noWrap w:val="0"/>
            <w:vAlign w:val="center"/>
          </w:tcPr>
          <w:p w14:paraId="799CAE4F">
            <w:pPr>
              <w:jc w:val="center"/>
              <w:rPr>
                <w:rFonts w:hint="eastAsia" w:ascii="宋体" w:hAnsi="宋体" w:eastAsia="宋体" w:cs="宋体"/>
                <w:color w:val="auto"/>
                <w:szCs w:val="21"/>
              </w:rPr>
            </w:pPr>
            <w:r>
              <w:rPr>
                <w:rFonts w:hint="eastAsia" w:ascii="宋体" w:hAnsi="宋体" w:eastAsia="宋体" w:cs="宋体"/>
                <w:color w:val="auto"/>
                <w:szCs w:val="21"/>
              </w:rPr>
              <w:t>已使用</w:t>
            </w:r>
          </w:p>
          <w:p w14:paraId="22E5B949">
            <w:pPr>
              <w:jc w:val="center"/>
              <w:rPr>
                <w:rFonts w:hint="eastAsia" w:ascii="宋体" w:hAnsi="宋体" w:eastAsia="宋体" w:cs="宋体"/>
                <w:color w:val="auto"/>
                <w:szCs w:val="21"/>
              </w:rPr>
            </w:pPr>
            <w:r>
              <w:rPr>
                <w:rFonts w:hint="eastAsia" w:ascii="宋体" w:hAnsi="宋体" w:eastAsia="宋体" w:cs="宋体"/>
                <w:color w:val="auto"/>
                <w:szCs w:val="21"/>
              </w:rPr>
              <w:t>台时数</w:t>
            </w:r>
          </w:p>
        </w:tc>
        <w:tc>
          <w:tcPr>
            <w:tcW w:w="1134" w:type="dxa"/>
            <w:noWrap w:val="0"/>
            <w:vAlign w:val="center"/>
          </w:tcPr>
          <w:p w14:paraId="3D2E8CCF">
            <w:pPr>
              <w:jc w:val="center"/>
              <w:rPr>
                <w:rFonts w:hint="eastAsia" w:ascii="宋体" w:hAnsi="宋体" w:eastAsia="宋体" w:cs="宋体"/>
                <w:color w:val="auto"/>
                <w:szCs w:val="21"/>
              </w:rPr>
            </w:pPr>
            <w:r>
              <w:rPr>
                <w:rFonts w:hint="eastAsia" w:ascii="宋体" w:hAnsi="宋体" w:eastAsia="宋体" w:cs="宋体"/>
                <w:color w:val="auto"/>
                <w:szCs w:val="21"/>
              </w:rPr>
              <w:t>用途</w:t>
            </w:r>
          </w:p>
        </w:tc>
        <w:tc>
          <w:tcPr>
            <w:tcW w:w="1559" w:type="dxa"/>
            <w:noWrap w:val="0"/>
            <w:vAlign w:val="center"/>
          </w:tcPr>
          <w:p w14:paraId="6F9C0F30">
            <w:pPr>
              <w:jc w:val="center"/>
              <w:rPr>
                <w:rFonts w:hint="eastAsia" w:ascii="宋体" w:hAnsi="宋体" w:eastAsia="宋体" w:cs="宋体"/>
                <w:color w:val="auto"/>
                <w:szCs w:val="21"/>
              </w:rPr>
            </w:pPr>
            <w:r>
              <w:rPr>
                <w:rFonts w:hint="eastAsia" w:ascii="宋体" w:hAnsi="宋体" w:eastAsia="宋体" w:cs="宋体"/>
                <w:color w:val="auto"/>
                <w:szCs w:val="21"/>
              </w:rPr>
              <w:t>备注</w:t>
            </w:r>
          </w:p>
        </w:tc>
      </w:tr>
      <w:tr w14:paraId="0D9E2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4FBEA8D3">
            <w:pPr>
              <w:spacing w:line="360" w:lineRule="auto"/>
              <w:ind w:firstLine="420" w:firstLineChars="200"/>
              <w:rPr>
                <w:rFonts w:hint="eastAsia" w:ascii="宋体" w:hAnsi="宋体" w:eastAsia="宋体" w:cs="宋体"/>
                <w:color w:val="auto"/>
                <w:szCs w:val="21"/>
              </w:rPr>
            </w:pPr>
          </w:p>
        </w:tc>
        <w:tc>
          <w:tcPr>
            <w:tcW w:w="1226" w:type="dxa"/>
            <w:noWrap w:val="0"/>
            <w:vAlign w:val="center"/>
          </w:tcPr>
          <w:p w14:paraId="56778CA0">
            <w:pPr>
              <w:spacing w:line="360" w:lineRule="auto"/>
              <w:ind w:firstLine="420" w:firstLineChars="200"/>
              <w:rPr>
                <w:rFonts w:hint="eastAsia" w:ascii="宋体" w:hAnsi="宋体" w:eastAsia="宋体" w:cs="宋体"/>
                <w:color w:val="auto"/>
                <w:szCs w:val="21"/>
              </w:rPr>
            </w:pPr>
          </w:p>
        </w:tc>
        <w:tc>
          <w:tcPr>
            <w:tcW w:w="851" w:type="dxa"/>
            <w:noWrap w:val="0"/>
            <w:vAlign w:val="center"/>
          </w:tcPr>
          <w:p w14:paraId="6DD1A74B">
            <w:pPr>
              <w:spacing w:line="360" w:lineRule="auto"/>
              <w:ind w:firstLine="420" w:firstLineChars="200"/>
              <w:rPr>
                <w:rFonts w:hint="eastAsia" w:ascii="宋体" w:hAnsi="宋体" w:eastAsia="宋体" w:cs="宋体"/>
                <w:color w:val="auto"/>
                <w:szCs w:val="21"/>
              </w:rPr>
            </w:pPr>
          </w:p>
        </w:tc>
        <w:tc>
          <w:tcPr>
            <w:tcW w:w="708" w:type="dxa"/>
            <w:noWrap w:val="0"/>
            <w:vAlign w:val="center"/>
          </w:tcPr>
          <w:p w14:paraId="1BF9F59D">
            <w:pPr>
              <w:spacing w:line="360" w:lineRule="auto"/>
              <w:ind w:firstLine="420" w:firstLineChars="200"/>
              <w:rPr>
                <w:rFonts w:hint="eastAsia" w:ascii="宋体" w:hAnsi="宋体" w:eastAsia="宋体" w:cs="宋体"/>
                <w:color w:val="auto"/>
                <w:szCs w:val="21"/>
              </w:rPr>
            </w:pPr>
          </w:p>
        </w:tc>
        <w:tc>
          <w:tcPr>
            <w:tcW w:w="709" w:type="dxa"/>
            <w:noWrap w:val="0"/>
            <w:vAlign w:val="center"/>
          </w:tcPr>
          <w:p w14:paraId="61317E62">
            <w:pPr>
              <w:spacing w:line="360" w:lineRule="auto"/>
              <w:ind w:firstLine="420" w:firstLineChars="200"/>
              <w:rPr>
                <w:rFonts w:hint="eastAsia" w:ascii="宋体" w:hAnsi="宋体" w:eastAsia="宋体" w:cs="宋体"/>
                <w:color w:val="auto"/>
                <w:szCs w:val="21"/>
              </w:rPr>
            </w:pPr>
          </w:p>
        </w:tc>
        <w:tc>
          <w:tcPr>
            <w:tcW w:w="1134" w:type="dxa"/>
            <w:noWrap w:val="0"/>
            <w:vAlign w:val="center"/>
          </w:tcPr>
          <w:p w14:paraId="47A6AFFD">
            <w:pPr>
              <w:spacing w:line="360" w:lineRule="auto"/>
              <w:ind w:firstLine="420" w:firstLineChars="200"/>
              <w:rPr>
                <w:rFonts w:hint="eastAsia" w:ascii="宋体" w:hAnsi="宋体" w:eastAsia="宋体" w:cs="宋体"/>
                <w:color w:val="auto"/>
                <w:szCs w:val="21"/>
              </w:rPr>
            </w:pPr>
          </w:p>
        </w:tc>
        <w:tc>
          <w:tcPr>
            <w:tcW w:w="1276" w:type="dxa"/>
            <w:noWrap w:val="0"/>
            <w:vAlign w:val="center"/>
          </w:tcPr>
          <w:p w14:paraId="363BB871">
            <w:pPr>
              <w:spacing w:line="360" w:lineRule="auto"/>
              <w:ind w:firstLine="420" w:firstLineChars="200"/>
              <w:rPr>
                <w:rFonts w:hint="eastAsia" w:ascii="宋体" w:hAnsi="宋体" w:eastAsia="宋体" w:cs="宋体"/>
                <w:color w:val="auto"/>
                <w:szCs w:val="21"/>
              </w:rPr>
            </w:pPr>
          </w:p>
        </w:tc>
        <w:tc>
          <w:tcPr>
            <w:tcW w:w="1134" w:type="dxa"/>
            <w:noWrap w:val="0"/>
            <w:vAlign w:val="center"/>
          </w:tcPr>
          <w:p w14:paraId="05851AF0">
            <w:pPr>
              <w:spacing w:line="360" w:lineRule="auto"/>
              <w:ind w:firstLine="420" w:firstLineChars="200"/>
              <w:rPr>
                <w:rFonts w:hint="eastAsia" w:ascii="宋体" w:hAnsi="宋体" w:eastAsia="宋体" w:cs="宋体"/>
                <w:color w:val="auto"/>
                <w:szCs w:val="21"/>
              </w:rPr>
            </w:pPr>
          </w:p>
        </w:tc>
        <w:tc>
          <w:tcPr>
            <w:tcW w:w="1559" w:type="dxa"/>
            <w:noWrap w:val="0"/>
            <w:vAlign w:val="center"/>
          </w:tcPr>
          <w:p w14:paraId="3FB7DA97">
            <w:pPr>
              <w:spacing w:line="360" w:lineRule="auto"/>
              <w:ind w:firstLine="420" w:firstLineChars="200"/>
              <w:rPr>
                <w:rFonts w:hint="eastAsia" w:ascii="宋体" w:hAnsi="宋体" w:eastAsia="宋体" w:cs="宋体"/>
                <w:color w:val="auto"/>
                <w:szCs w:val="21"/>
              </w:rPr>
            </w:pPr>
          </w:p>
        </w:tc>
      </w:tr>
      <w:tr w14:paraId="1B15C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53396BF7">
            <w:pPr>
              <w:spacing w:line="360" w:lineRule="auto"/>
              <w:ind w:firstLine="420" w:firstLineChars="200"/>
              <w:rPr>
                <w:rFonts w:hint="eastAsia" w:ascii="宋体" w:hAnsi="宋体" w:eastAsia="宋体" w:cs="宋体"/>
                <w:color w:val="auto"/>
                <w:szCs w:val="21"/>
              </w:rPr>
            </w:pPr>
          </w:p>
        </w:tc>
        <w:tc>
          <w:tcPr>
            <w:tcW w:w="1226" w:type="dxa"/>
            <w:noWrap w:val="0"/>
            <w:vAlign w:val="center"/>
          </w:tcPr>
          <w:p w14:paraId="7D6F746F">
            <w:pPr>
              <w:spacing w:line="360" w:lineRule="auto"/>
              <w:ind w:firstLine="420" w:firstLineChars="200"/>
              <w:rPr>
                <w:rFonts w:hint="eastAsia" w:ascii="宋体" w:hAnsi="宋体" w:eastAsia="宋体" w:cs="宋体"/>
                <w:color w:val="auto"/>
                <w:szCs w:val="21"/>
              </w:rPr>
            </w:pPr>
          </w:p>
        </w:tc>
        <w:tc>
          <w:tcPr>
            <w:tcW w:w="851" w:type="dxa"/>
            <w:noWrap w:val="0"/>
            <w:vAlign w:val="center"/>
          </w:tcPr>
          <w:p w14:paraId="4A94A652">
            <w:pPr>
              <w:spacing w:line="360" w:lineRule="auto"/>
              <w:ind w:firstLine="420" w:firstLineChars="200"/>
              <w:rPr>
                <w:rFonts w:hint="eastAsia" w:ascii="宋体" w:hAnsi="宋体" w:eastAsia="宋体" w:cs="宋体"/>
                <w:color w:val="auto"/>
                <w:szCs w:val="21"/>
              </w:rPr>
            </w:pPr>
          </w:p>
        </w:tc>
        <w:tc>
          <w:tcPr>
            <w:tcW w:w="708" w:type="dxa"/>
            <w:noWrap w:val="0"/>
            <w:vAlign w:val="center"/>
          </w:tcPr>
          <w:p w14:paraId="2EA7DD8A">
            <w:pPr>
              <w:spacing w:line="360" w:lineRule="auto"/>
              <w:ind w:firstLine="420" w:firstLineChars="200"/>
              <w:rPr>
                <w:rFonts w:hint="eastAsia" w:ascii="宋体" w:hAnsi="宋体" w:eastAsia="宋体" w:cs="宋体"/>
                <w:color w:val="auto"/>
                <w:szCs w:val="21"/>
              </w:rPr>
            </w:pPr>
          </w:p>
        </w:tc>
        <w:tc>
          <w:tcPr>
            <w:tcW w:w="709" w:type="dxa"/>
            <w:noWrap w:val="0"/>
            <w:vAlign w:val="center"/>
          </w:tcPr>
          <w:p w14:paraId="724060DD">
            <w:pPr>
              <w:spacing w:line="360" w:lineRule="auto"/>
              <w:ind w:firstLine="420" w:firstLineChars="200"/>
              <w:rPr>
                <w:rFonts w:hint="eastAsia" w:ascii="宋体" w:hAnsi="宋体" w:eastAsia="宋体" w:cs="宋体"/>
                <w:color w:val="auto"/>
                <w:szCs w:val="21"/>
              </w:rPr>
            </w:pPr>
          </w:p>
        </w:tc>
        <w:tc>
          <w:tcPr>
            <w:tcW w:w="1134" w:type="dxa"/>
            <w:noWrap w:val="0"/>
            <w:vAlign w:val="center"/>
          </w:tcPr>
          <w:p w14:paraId="6BB755A3">
            <w:pPr>
              <w:spacing w:line="360" w:lineRule="auto"/>
              <w:ind w:firstLine="420" w:firstLineChars="200"/>
              <w:rPr>
                <w:rFonts w:hint="eastAsia" w:ascii="宋体" w:hAnsi="宋体" w:eastAsia="宋体" w:cs="宋体"/>
                <w:color w:val="auto"/>
                <w:szCs w:val="21"/>
              </w:rPr>
            </w:pPr>
          </w:p>
        </w:tc>
        <w:tc>
          <w:tcPr>
            <w:tcW w:w="1276" w:type="dxa"/>
            <w:noWrap w:val="0"/>
            <w:vAlign w:val="center"/>
          </w:tcPr>
          <w:p w14:paraId="47D1108A">
            <w:pPr>
              <w:spacing w:line="360" w:lineRule="auto"/>
              <w:ind w:firstLine="420" w:firstLineChars="200"/>
              <w:rPr>
                <w:rFonts w:hint="eastAsia" w:ascii="宋体" w:hAnsi="宋体" w:eastAsia="宋体" w:cs="宋体"/>
                <w:color w:val="auto"/>
                <w:szCs w:val="21"/>
              </w:rPr>
            </w:pPr>
          </w:p>
        </w:tc>
        <w:tc>
          <w:tcPr>
            <w:tcW w:w="1134" w:type="dxa"/>
            <w:noWrap w:val="0"/>
            <w:vAlign w:val="center"/>
          </w:tcPr>
          <w:p w14:paraId="5E872098">
            <w:pPr>
              <w:spacing w:line="360" w:lineRule="auto"/>
              <w:ind w:firstLine="420" w:firstLineChars="200"/>
              <w:rPr>
                <w:rFonts w:hint="eastAsia" w:ascii="宋体" w:hAnsi="宋体" w:eastAsia="宋体" w:cs="宋体"/>
                <w:color w:val="auto"/>
                <w:szCs w:val="21"/>
              </w:rPr>
            </w:pPr>
          </w:p>
        </w:tc>
        <w:tc>
          <w:tcPr>
            <w:tcW w:w="1559" w:type="dxa"/>
            <w:noWrap w:val="0"/>
            <w:vAlign w:val="center"/>
          </w:tcPr>
          <w:p w14:paraId="03D560F9">
            <w:pPr>
              <w:spacing w:line="360" w:lineRule="auto"/>
              <w:ind w:firstLine="420" w:firstLineChars="200"/>
              <w:rPr>
                <w:rFonts w:hint="eastAsia" w:ascii="宋体" w:hAnsi="宋体" w:eastAsia="宋体" w:cs="宋体"/>
                <w:color w:val="auto"/>
                <w:szCs w:val="21"/>
              </w:rPr>
            </w:pPr>
          </w:p>
        </w:tc>
      </w:tr>
      <w:tr w14:paraId="27C17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740F28F3">
            <w:pPr>
              <w:spacing w:line="360" w:lineRule="auto"/>
              <w:ind w:firstLine="420" w:firstLineChars="200"/>
              <w:rPr>
                <w:rFonts w:hint="eastAsia" w:ascii="宋体" w:hAnsi="宋体" w:eastAsia="宋体" w:cs="宋体"/>
                <w:color w:val="auto"/>
                <w:szCs w:val="21"/>
              </w:rPr>
            </w:pPr>
          </w:p>
        </w:tc>
        <w:tc>
          <w:tcPr>
            <w:tcW w:w="1226" w:type="dxa"/>
            <w:noWrap w:val="0"/>
            <w:vAlign w:val="center"/>
          </w:tcPr>
          <w:p w14:paraId="7936D2DC">
            <w:pPr>
              <w:spacing w:line="360" w:lineRule="auto"/>
              <w:ind w:firstLine="420" w:firstLineChars="200"/>
              <w:rPr>
                <w:rFonts w:hint="eastAsia" w:ascii="宋体" w:hAnsi="宋体" w:eastAsia="宋体" w:cs="宋体"/>
                <w:color w:val="auto"/>
                <w:szCs w:val="21"/>
              </w:rPr>
            </w:pPr>
          </w:p>
        </w:tc>
        <w:tc>
          <w:tcPr>
            <w:tcW w:w="851" w:type="dxa"/>
            <w:noWrap w:val="0"/>
            <w:vAlign w:val="center"/>
          </w:tcPr>
          <w:p w14:paraId="0D0F901A">
            <w:pPr>
              <w:spacing w:line="360" w:lineRule="auto"/>
              <w:ind w:firstLine="420" w:firstLineChars="200"/>
              <w:rPr>
                <w:rFonts w:hint="eastAsia" w:ascii="宋体" w:hAnsi="宋体" w:eastAsia="宋体" w:cs="宋体"/>
                <w:color w:val="auto"/>
                <w:szCs w:val="21"/>
              </w:rPr>
            </w:pPr>
          </w:p>
        </w:tc>
        <w:tc>
          <w:tcPr>
            <w:tcW w:w="708" w:type="dxa"/>
            <w:noWrap w:val="0"/>
            <w:vAlign w:val="center"/>
          </w:tcPr>
          <w:p w14:paraId="5C0E081A">
            <w:pPr>
              <w:spacing w:line="360" w:lineRule="auto"/>
              <w:ind w:firstLine="420" w:firstLineChars="200"/>
              <w:rPr>
                <w:rFonts w:hint="eastAsia" w:ascii="宋体" w:hAnsi="宋体" w:eastAsia="宋体" w:cs="宋体"/>
                <w:color w:val="auto"/>
                <w:szCs w:val="21"/>
              </w:rPr>
            </w:pPr>
          </w:p>
        </w:tc>
        <w:tc>
          <w:tcPr>
            <w:tcW w:w="709" w:type="dxa"/>
            <w:noWrap w:val="0"/>
            <w:vAlign w:val="center"/>
          </w:tcPr>
          <w:p w14:paraId="169D0658">
            <w:pPr>
              <w:spacing w:line="360" w:lineRule="auto"/>
              <w:ind w:firstLine="420" w:firstLineChars="200"/>
              <w:rPr>
                <w:rFonts w:hint="eastAsia" w:ascii="宋体" w:hAnsi="宋体" w:eastAsia="宋体" w:cs="宋体"/>
                <w:color w:val="auto"/>
                <w:szCs w:val="21"/>
              </w:rPr>
            </w:pPr>
          </w:p>
        </w:tc>
        <w:tc>
          <w:tcPr>
            <w:tcW w:w="1134" w:type="dxa"/>
            <w:noWrap w:val="0"/>
            <w:vAlign w:val="center"/>
          </w:tcPr>
          <w:p w14:paraId="48F6BAF6">
            <w:pPr>
              <w:spacing w:line="360" w:lineRule="auto"/>
              <w:ind w:firstLine="420" w:firstLineChars="200"/>
              <w:rPr>
                <w:rFonts w:hint="eastAsia" w:ascii="宋体" w:hAnsi="宋体" w:eastAsia="宋体" w:cs="宋体"/>
                <w:color w:val="auto"/>
                <w:szCs w:val="21"/>
              </w:rPr>
            </w:pPr>
          </w:p>
        </w:tc>
        <w:tc>
          <w:tcPr>
            <w:tcW w:w="1276" w:type="dxa"/>
            <w:noWrap w:val="0"/>
            <w:vAlign w:val="center"/>
          </w:tcPr>
          <w:p w14:paraId="70290A8E">
            <w:pPr>
              <w:spacing w:line="360" w:lineRule="auto"/>
              <w:ind w:firstLine="420" w:firstLineChars="200"/>
              <w:rPr>
                <w:rFonts w:hint="eastAsia" w:ascii="宋体" w:hAnsi="宋体" w:eastAsia="宋体" w:cs="宋体"/>
                <w:color w:val="auto"/>
                <w:szCs w:val="21"/>
              </w:rPr>
            </w:pPr>
          </w:p>
        </w:tc>
        <w:tc>
          <w:tcPr>
            <w:tcW w:w="1134" w:type="dxa"/>
            <w:noWrap w:val="0"/>
            <w:vAlign w:val="center"/>
          </w:tcPr>
          <w:p w14:paraId="53911BB1">
            <w:pPr>
              <w:spacing w:line="360" w:lineRule="auto"/>
              <w:ind w:firstLine="420" w:firstLineChars="200"/>
              <w:rPr>
                <w:rFonts w:hint="eastAsia" w:ascii="宋体" w:hAnsi="宋体" w:eastAsia="宋体" w:cs="宋体"/>
                <w:color w:val="auto"/>
                <w:szCs w:val="21"/>
              </w:rPr>
            </w:pPr>
          </w:p>
        </w:tc>
        <w:tc>
          <w:tcPr>
            <w:tcW w:w="1559" w:type="dxa"/>
            <w:noWrap w:val="0"/>
            <w:vAlign w:val="center"/>
          </w:tcPr>
          <w:p w14:paraId="670B4702">
            <w:pPr>
              <w:spacing w:line="360" w:lineRule="auto"/>
              <w:ind w:firstLine="420" w:firstLineChars="200"/>
              <w:rPr>
                <w:rFonts w:hint="eastAsia" w:ascii="宋体" w:hAnsi="宋体" w:eastAsia="宋体" w:cs="宋体"/>
                <w:color w:val="auto"/>
                <w:szCs w:val="21"/>
              </w:rPr>
            </w:pPr>
          </w:p>
        </w:tc>
      </w:tr>
      <w:tr w14:paraId="237E2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473CE524">
            <w:pPr>
              <w:spacing w:line="360" w:lineRule="auto"/>
              <w:ind w:firstLine="420" w:firstLineChars="200"/>
              <w:rPr>
                <w:rFonts w:hint="eastAsia" w:ascii="宋体" w:hAnsi="宋体" w:eastAsia="宋体" w:cs="宋体"/>
                <w:color w:val="auto"/>
                <w:szCs w:val="21"/>
              </w:rPr>
            </w:pPr>
          </w:p>
        </w:tc>
        <w:tc>
          <w:tcPr>
            <w:tcW w:w="1226" w:type="dxa"/>
            <w:noWrap w:val="0"/>
            <w:vAlign w:val="center"/>
          </w:tcPr>
          <w:p w14:paraId="6C843B68">
            <w:pPr>
              <w:spacing w:line="360" w:lineRule="auto"/>
              <w:ind w:firstLine="420" w:firstLineChars="200"/>
              <w:rPr>
                <w:rFonts w:hint="eastAsia" w:ascii="宋体" w:hAnsi="宋体" w:eastAsia="宋体" w:cs="宋体"/>
                <w:color w:val="auto"/>
                <w:szCs w:val="21"/>
              </w:rPr>
            </w:pPr>
          </w:p>
        </w:tc>
        <w:tc>
          <w:tcPr>
            <w:tcW w:w="851" w:type="dxa"/>
            <w:noWrap w:val="0"/>
            <w:vAlign w:val="center"/>
          </w:tcPr>
          <w:p w14:paraId="33126A4A">
            <w:pPr>
              <w:spacing w:line="360" w:lineRule="auto"/>
              <w:ind w:firstLine="420" w:firstLineChars="200"/>
              <w:rPr>
                <w:rFonts w:hint="eastAsia" w:ascii="宋体" w:hAnsi="宋体" w:eastAsia="宋体" w:cs="宋体"/>
                <w:color w:val="auto"/>
                <w:szCs w:val="21"/>
              </w:rPr>
            </w:pPr>
          </w:p>
        </w:tc>
        <w:tc>
          <w:tcPr>
            <w:tcW w:w="708" w:type="dxa"/>
            <w:noWrap w:val="0"/>
            <w:vAlign w:val="center"/>
          </w:tcPr>
          <w:p w14:paraId="2E689BEA">
            <w:pPr>
              <w:spacing w:line="360" w:lineRule="auto"/>
              <w:ind w:firstLine="420" w:firstLineChars="200"/>
              <w:rPr>
                <w:rFonts w:hint="eastAsia" w:ascii="宋体" w:hAnsi="宋体" w:eastAsia="宋体" w:cs="宋体"/>
                <w:color w:val="auto"/>
                <w:szCs w:val="21"/>
              </w:rPr>
            </w:pPr>
          </w:p>
        </w:tc>
        <w:tc>
          <w:tcPr>
            <w:tcW w:w="709" w:type="dxa"/>
            <w:noWrap w:val="0"/>
            <w:vAlign w:val="center"/>
          </w:tcPr>
          <w:p w14:paraId="1AC35E86">
            <w:pPr>
              <w:spacing w:line="360" w:lineRule="auto"/>
              <w:ind w:firstLine="420" w:firstLineChars="200"/>
              <w:rPr>
                <w:rFonts w:hint="eastAsia" w:ascii="宋体" w:hAnsi="宋体" w:eastAsia="宋体" w:cs="宋体"/>
                <w:color w:val="auto"/>
                <w:szCs w:val="21"/>
              </w:rPr>
            </w:pPr>
          </w:p>
        </w:tc>
        <w:tc>
          <w:tcPr>
            <w:tcW w:w="1134" w:type="dxa"/>
            <w:noWrap w:val="0"/>
            <w:vAlign w:val="center"/>
          </w:tcPr>
          <w:p w14:paraId="0867B47B">
            <w:pPr>
              <w:spacing w:line="360" w:lineRule="auto"/>
              <w:ind w:firstLine="420" w:firstLineChars="200"/>
              <w:rPr>
                <w:rFonts w:hint="eastAsia" w:ascii="宋体" w:hAnsi="宋体" w:eastAsia="宋体" w:cs="宋体"/>
                <w:color w:val="auto"/>
                <w:szCs w:val="21"/>
              </w:rPr>
            </w:pPr>
          </w:p>
        </w:tc>
        <w:tc>
          <w:tcPr>
            <w:tcW w:w="1276" w:type="dxa"/>
            <w:noWrap w:val="0"/>
            <w:vAlign w:val="center"/>
          </w:tcPr>
          <w:p w14:paraId="384356D8">
            <w:pPr>
              <w:spacing w:line="360" w:lineRule="auto"/>
              <w:ind w:firstLine="420" w:firstLineChars="200"/>
              <w:rPr>
                <w:rFonts w:hint="eastAsia" w:ascii="宋体" w:hAnsi="宋体" w:eastAsia="宋体" w:cs="宋体"/>
                <w:color w:val="auto"/>
                <w:szCs w:val="21"/>
              </w:rPr>
            </w:pPr>
          </w:p>
        </w:tc>
        <w:tc>
          <w:tcPr>
            <w:tcW w:w="1134" w:type="dxa"/>
            <w:noWrap w:val="0"/>
            <w:vAlign w:val="center"/>
          </w:tcPr>
          <w:p w14:paraId="78905773">
            <w:pPr>
              <w:spacing w:line="360" w:lineRule="auto"/>
              <w:ind w:firstLine="420" w:firstLineChars="200"/>
              <w:rPr>
                <w:rFonts w:hint="eastAsia" w:ascii="宋体" w:hAnsi="宋体" w:eastAsia="宋体" w:cs="宋体"/>
                <w:color w:val="auto"/>
                <w:szCs w:val="21"/>
              </w:rPr>
            </w:pPr>
          </w:p>
        </w:tc>
        <w:tc>
          <w:tcPr>
            <w:tcW w:w="1559" w:type="dxa"/>
            <w:noWrap w:val="0"/>
            <w:vAlign w:val="center"/>
          </w:tcPr>
          <w:p w14:paraId="61496D88">
            <w:pPr>
              <w:spacing w:line="360" w:lineRule="auto"/>
              <w:ind w:firstLine="420" w:firstLineChars="200"/>
              <w:rPr>
                <w:rFonts w:hint="eastAsia" w:ascii="宋体" w:hAnsi="宋体" w:eastAsia="宋体" w:cs="宋体"/>
                <w:color w:val="auto"/>
                <w:szCs w:val="21"/>
              </w:rPr>
            </w:pPr>
          </w:p>
        </w:tc>
      </w:tr>
      <w:tr w14:paraId="5322A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742406F5">
            <w:pPr>
              <w:spacing w:line="360" w:lineRule="auto"/>
              <w:ind w:firstLine="420" w:firstLineChars="200"/>
              <w:rPr>
                <w:rFonts w:hint="eastAsia" w:ascii="宋体" w:hAnsi="宋体" w:eastAsia="宋体" w:cs="宋体"/>
                <w:color w:val="auto"/>
                <w:szCs w:val="21"/>
              </w:rPr>
            </w:pPr>
          </w:p>
        </w:tc>
        <w:tc>
          <w:tcPr>
            <w:tcW w:w="1226" w:type="dxa"/>
            <w:noWrap w:val="0"/>
            <w:vAlign w:val="center"/>
          </w:tcPr>
          <w:p w14:paraId="21BAE353">
            <w:pPr>
              <w:spacing w:line="360" w:lineRule="auto"/>
              <w:ind w:firstLine="420" w:firstLineChars="200"/>
              <w:rPr>
                <w:rFonts w:hint="eastAsia" w:ascii="宋体" w:hAnsi="宋体" w:eastAsia="宋体" w:cs="宋体"/>
                <w:color w:val="auto"/>
                <w:szCs w:val="21"/>
              </w:rPr>
            </w:pPr>
          </w:p>
        </w:tc>
        <w:tc>
          <w:tcPr>
            <w:tcW w:w="851" w:type="dxa"/>
            <w:noWrap w:val="0"/>
            <w:vAlign w:val="center"/>
          </w:tcPr>
          <w:p w14:paraId="2C27A097">
            <w:pPr>
              <w:spacing w:line="360" w:lineRule="auto"/>
              <w:ind w:firstLine="420" w:firstLineChars="200"/>
              <w:rPr>
                <w:rFonts w:hint="eastAsia" w:ascii="宋体" w:hAnsi="宋体" w:eastAsia="宋体" w:cs="宋体"/>
                <w:color w:val="auto"/>
                <w:szCs w:val="21"/>
              </w:rPr>
            </w:pPr>
          </w:p>
        </w:tc>
        <w:tc>
          <w:tcPr>
            <w:tcW w:w="708" w:type="dxa"/>
            <w:noWrap w:val="0"/>
            <w:vAlign w:val="center"/>
          </w:tcPr>
          <w:p w14:paraId="63BDFA5C">
            <w:pPr>
              <w:spacing w:line="360" w:lineRule="auto"/>
              <w:ind w:firstLine="420" w:firstLineChars="200"/>
              <w:rPr>
                <w:rFonts w:hint="eastAsia" w:ascii="宋体" w:hAnsi="宋体" w:eastAsia="宋体" w:cs="宋体"/>
                <w:color w:val="auto"/>
                <w:szCs w:val="21"/>
              </w:rPr>
            </w:pPr>
          </w:p>
        </w:tc>
        <w:tc>
          <w:tcPr>
            <w:tcW w:w="709" w:type="dxa"/>
            <w:noWrap w:val="0"/>
            <w:vAlign w:val="center"/>
          </w:tcPr>
          <w:p w14:paraId="5D831394">
            <w:pPr>
              <w:spacing w:line="360" w:lineRule="auto"/>
              <w:ind w:firstLine="420" w:firstLineChars="200"/>
              <w:rPr>
                <w:rFonts w:hint="eastAsia" w:ascii="宋体" w:hAnsi="宋体" w:eastAsia="宋体" w:cs="宋体"/>
                <w:color w:val="auto"/>
                <w:szCs w:val="21"/>
              </w:rPr>
            </w:pPr>
          </w:p>
        </w:tc>
        <w:tc>
          <w:tcPr>
            <w:tcW w:w="1134" w:type="dxa"/>
            <w:noWrap w:val="0"/>
            <w:vAlign w:val="center"/>
          </w:tcPr>
          <w:p w14:paraId="036BD01A">
            <w:pPr>
              <w:spacing w:line="360" w:lineRule="auto"/>
              <w:ind w:firstLine="420" w:firstLineChars="200"/>
              <w:rPr>
                <w:rFonts w:hint="eastAsia" w:ascii="宋体" w:hAnsi="宋体" w:eastAsia="宋体" w:cs="宋体"/>
                <w:color w:val="auto"/>
                <w:szCs w:val="21"/>
              </w:rPr>
            </w:pPr>
          </w:p>
        </w:tc>
        <w:tc>
          <w:tcPr>
            <w:tcW w:w="1276" w:type="dxa"/>
            <w:noWrap w:val="0"/>
            <w:vAlign w:val="center"/>
          </w:tcPr>
          <w:p w14:paraId="5A9F97EB">
            <w:pPr>
              <w:spacing w:line="360" w:lineRule="auto"/>
              <w:ind w:firstLine="420" w:firstLineChars="200"/>
              <w:rPr>
                <w:rFonts w:hint="eastAsia" w:ascii="宋体" w:hAnsi="宋体" w:eastAsia="宋体" w:cs="宋体"/>
                <w:color w:val="auto"/>
                <w:szCs w:val="21"/>
              </w:rPr>
            </w:pPr>
          </w:p>
        </w:tc>
        <w:tc>
          <w:tcPr>
            <w:tcW w:w="1134" w:type="dxa"/>
            <w:noWrap w:val="0"/>
            <w:vAlign w:val="center"/>
          </w:tcPr>
          <w:p w14:paraId="7A1B64E6">
            <w:pPr>
              <w:spacing w:line="360" w:lineRule="auto"/>
              <w:ind w:firstLine="420" w:firstLineChars="200"/>
              <w:rPr>
                <w:rFonts w:hint="eastAsia" w:ascii="宋体" w:hAnsi="宋体" w:eastAsia="宋体" w:cs="宋体"/>
                <w:color w:val="auto"/>
                <w:szCs w:val="21"/>
              </w:rPr>
            </w:pPr>
          </w:p>
        </w:tc>
        <w:tc>
          <w:tcPr>
            <w:tcW w:w="1559" w:type="dxa"/>
            <w:noWrap w:val="0"/>
            <w:vAlign w:val="center"/>
          </w:tcPr>
          <w:p w14:paraId="57582619">
            <w:pPr>
              <w:spacing w:line="360" w:lineRule="auto"/>
              <w:ind w:firstLine="420" w:firstLineChars="200"/>
              <w:rPr>
                <w:rFonts w:hint="eastAsia" w:ascii="宋体" w:hAnsi="宋体" w:eastAsia="宋体" w:cs="宋体"/>
                <w:color w:val="auto"/>
                <w:szCs w:val="21"/>
              </w:rPr>
            </w:pPr>
          </w:p>
        </w:tc>
      </w:tr>
    </w:tbl>
    <w:p w14:paraId="720EE115">
      <w:pPr>
        <w:rPr>
          <w:rFonts w:hint="eastAsia" w:ascii="宋体" w:hAnsi="宋体" w:eastAsia="宋体" w:cs="宋体"/>
          <w:color w:val="auto"/>
        </w:rPr>
      </w:pPr>
    </w:p>
    <w:p w14:paraId="46C5CB03">
      <w:pPr>
        <w:rPr>
          <w:rFonts w:hint="eastAsia" w:ascii="宋体" w:hAnsi="宋体" w:eastAsia="宋体" w:cs="宋体"/>
          <w:color w:val="auto"/>
        </w:rPr>
      </w:pPr>
    </w:p>
    <w:p w14:paraId="09EE2546">
      <w:pPr>
        <w:rPr>
          <w:rFonts w:hint="eastAsia" w:ascii="宋体" w:hAnsi="宋体" w:eastAsia="宋体" w:cs="宋体"/>
          <w:color w:val="auto"/>
        </w:rPr>
      </w:pPr>
      <w:r>
        <w:rPr>
          <w:rFonts w:hint="eastAsia" w:ascii="宋体" w:hAnsi="宋体" w:eastAsia="宋体" w:cs="宋体"/>
          <w:color w:val="auto"/>
        </w:rPr>
        <w:t>附表三：劳动力计划表</w:t>
      </w:r>
    </w:p>
    <w:p w14:paraId="62767E2A">
      <w:pPr>
        <w:ind w:firstLine="7245" w:firstLineChars="3450"/>
        <w:rPr>
          <w:rFonts w:hint="eastAsia" w:ascii="宋体" w:hAnsi="宋体" w:eastAsia="宋体" w:cs="宋体"/>
          <w:color w:val="auto"/>
          <w:szCs w:val="21"/>
        </w:rPr>
      </w:pPr>
      <w:r>
        <w:rPr>
          <w:rFonts w:hint="eastAsia" w:ascii="宋体" w:hAnsi="宋体" w:eastAsia="宋体" w:cs="宋体"/>
          <w:color w:val="auto"/>
          <w:szCs w:val="21"/>
        </w:rPr>
        <w:t xml:space="preserve">    单位：人</w:t>
      </w:r>
    </w:p>
    <w:tbl>
      <w:tblPr>
        <w:tblStyle w:val="15"/>
        <w:tblW w:w="9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
        <w:gridCol w:w="961"/>
        <w:gridCol w:w="1257"/>
        <w:gridCol w:w="1258"/>
        <w:gridCol w:w="1257"/>
        <w:gridCol w:w="1258"/>
        <w:gridCol w:w="1257"/>
        <w:gridCol w:w="1258"/>
      </w:tblGrid>
      <w:tr w14:paraId="23C9D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7BC17D04">
            <w:pPr>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工种</w:t>
            </w:r>
          </w:p>
        </w:tc>
        <w:tc>
          <w:tcPr>
            <w:tcW w:w="8506" w:type="dxa"/>
            <w:gridSpan w:val="7"/>
            <w:noWrap w:val="0"/>
            <w:vAlign w:val="center"/>
          </w:tcPr>
          <w:p w14:paraId="09DE2157">
            <w:pPr>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按工程施工阶段投入劳动力情况</w:t>
            </w:r>
          </w:p>
        </w:tc>
      </w:tr>
      <w:tr w14:paraId="63C0A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2A6C5FE3">
            <w:pPr>
              <w:spacing w:line="360" w:lineRule="auto"/>
              <w:jc w:val="center"/>
              <w:rPr>
                <w:rFonts w:hint="eastAsia" w:ascii="宋体" w:hAnsi="宋体" w:eastAsia="宋体" w:cs="宋体"/>
                <w:color w:val="auto"/>
                <w:szCs w:val="21"/>
              </w:rPr>
            </w:pPr>
          </w:p>
        </w:tc>
        <w:tc>
          <w:tcPr>
            <w:tcW w:w="961" w:type="dxa"/>
            <w:noWrap w:val="0"/>
            <w:vAlign w:val="center"/>
          </w:tcPr>
          <w:p w14:paraId="2354477F">
            <w:pPr>
              <w:spacing w:line="360" w:lineRule="auto"/>
              <w:jc w:val="center"/>
              <w:rPr>
                <w:rFonts w:hint="eastAsia" w:ascii="宋体" w:hAnsi="宋体" w:eastAsia="宋体" w:cs="宋体"/>
                <w:color w:val="auto"/>
                <w:szCs w:val="21"/>
              </w:rPr>
            </w:pPr>
          </w:p>
        </w:tc>
        <w:tc>
          <w:tcPr>
            <w:tcW w:w="1257" w:type="dxa"/>
            <w:noWrap w:val="0"/>
            <w:vAlign w:val="center"/>
          </w:tcPr>
          <w:p w14:paraId="09115FB1">
            <w:pPr>
              <w:spacing w:line="360" w:lineRule="auto"/>
              <w:jc w:val="center"/>
              <w:rPr>
                <w:rFonts w:hint="eastAsia" w:ascii="宋体" w:hAnsi="宋体" w:eastAsia="宋体" w:cs="宋体"/>
                <w:color w:val="auto"/>
                <w:szCs w:val="21"/>
              </w:rPr>
            </w:pPr>
          </w:p>
        </w:tc>
        <w:tc>
          <w:tcPr>
            <w:tcW w:w="1258" w:type="dxa"/>
            <w:noWrap w:val="0"/>
            <w:vAlign w:val="center"/>
          </w:tcPr>
          <w:p w14:paraId="6317E4C4">
            <w:pPr>
              <w:spacing w:line="360" w:lineRule="auto"/>
              <w:jc w:val="center"/>
              <w:rPr>
                <w:rFonts w:hint="eastAsia" w:ascii="宋体" w:hAnsi="宋体" w:eastAsia="宋体" w:cs="宋体"/>
                <w:color w:val="auto"/>
                <w:szCs w:val="21"/>
              </w:rPr>
            </w:pPr>
          </w:p>
        </w:tc>
        <w:tc>
          <w:tcPr>
            <w:tcW w:w="1257" w:type="dxa"/>
            <w:noWrap w:val="0"/>
            <w:vAlign w:val="center"/>
          </w:tcPr>
          <w:p w14:paraId="20683F59">
            <w:pPr>
              <w:spacing w:line="360" w:lineRule="auto"/>
              <w:jc w:val="center"/>
              <w:rPr>
                <w:rFonts w:hint="eastAsia" w:ascii="宋体" w:hAnsi="宋体" w:eastAsia="宋体" w:cs="宋体"/>
                <w:color w:val="auto"/>
                <w:szCs w:val="21"/>
              </w:rPr>
            </w:pPr>
          </w:p>
        </w:tc>
        <w:tc>
          <w:tcPr>
            <w:tcW w:w="1258" w:type="dxa"/>
            <w:noWrap w:val="0"/>
            <w:vAlign w:val="center"/>
          </w:tcPr>
          <w:p w14:paraId="1C65227E">
            <w:pPr>
              <w:spacing w:line="360" w:lineRule="auto"/>
              <w:jc w:val="center"/>
              <w:rPr>
                <w:rFonts w:hint="eastAsia" w:ascii="宋体" w:hAnsi="宋体" w:eastAsia="宋体" w:cs="宋体"/>
                <w:color w:val="auto"/>
                <w:szCs w:val="21"/>
              </w:rPr>
            </w:pPr>
          </w:p>
        </w:tc>
        <w:tc>
          <w:tcPr>
            <w:tcW w:w="1257" w:type="dxa"/>
            <w:noWrap w:val="0"/>
            <w:vAlign w:val="center"/>
          </w:tcPr>
          <w:p w14:paraId="5C785AAA">
            <w:pPr>
              <w:spacing w:line="360" w:lineRule="auto"/>
              <w:jc w:val="center"/>
              <w:rPr>
                <w:rFonts w:hint="eastAsia" w:ascii="宋体" w:hAnsi="宋体" w:eastAsia="宋体" w:cs="宋体"/>
                <w:color w:val="auto"/>
                <w:szCs w:val="21"/>
              </w:rPr>
            </w:pPr>
          </w:p>
        </w:tc>
        <w:tc>
          <w:tcPr>
            <w:tcW w:w="1258" w:type="dxa"/>
            <w:noWrap w:val="0"/>
            <w:vAlign w:val="center"/>
          </w:tcPr>
          <w:p w14:paraId="7B5B15F6">
            <w:pPr>
              <w:spacing w:line="360" w:lineRule="auto"/>
              <w:jc w:val="center"/>
              <w:rPr>
                <w:rFonts w:hint="eastAsia" w:ascii="宋体" w:hAnsi="宋体" w:eastAsia="宋体" w:cs="宋体"/>
                <w:color w:val="auto"/>
                <w:szCs w:val="21"/>
              </w:rPr>
            </w:pPr>
          </w:p>
        </w:tc>
      </w:tr>
      <w:tr w14:paraId="72F47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72ABD675">
            <w:pPr>
              <w:spacing w:line="360" w:lineRule="auto"/>
              <w:jc w:val="center"/>
              <w:rPr>
                <w:rFonts w:hint="eastAsia" w:ascii="宋体" w:hAnsi="宋体" w:eastAsia="宋体" w:cs="宋体"/>
                <w:color w:val="auto"/>
                <w:szCs w:val="21"/>
              </w:rPr>
            </w:pPr>
          </w:p>
        </w:tc>
        <w:tc>
          <w:tcPr>
            <w:tcW w:w="961" w:type="dxa"/>
            <w:noWrap w:val="0"/>
            <w:vAlign w:val="center"/>
          </w:tcPr>
          <w:p w14:paraId="383A0BD2">
            <w:pPr>
              <w:spacing w:line="360" w:lineRule="auto"/>
              <w:jc w:val="center"/>
              <w:rPr>
                <w:rFonts w:hint="eastAsia" w:ascii="宋体" w:hAnsi="宋体" w:eastAsia="宋体" w:cs="宋体"/>
                <w:color w:val="auto"/>
                <w:szCs w:val="21"/>
              </w:rPr>
            </w:pPr>
          </w:p>
        </w:tc>
        <w:tc>
          <w:tcPr>
            <w:tcW w:w="1257" w:type="dxa"/>
            <w:noWrap w:val="0"/>
            <w:vAlign w:val="center"/>
          </w:tcPr>
          <w:p w14:paraId="73DCE769">
            <w:pPr>
              <w:spacing w:line="360" w:lineRule="auto"/>
              <w:jc w:val="center"/>
              <w:rPr>
                <w:rFonts w:hint="eastAsia" w:ascii="宋体" w:hAnsi="宋体" w:eastAsia="宋体" w:cs="宋体"/>
                <w:color w:val="auto"/>
                <w:szCs w:val="21"/>
              </w:rPr>
            </w:pPr>
          </w:p>
        </w:tc>
        <w:tc>
          <w:tcPr>
            <w:tcW w:w="1258" w:type="dxa"/>
            <w:noWrap w:val="0"/>
            <w:vAlign w:val="center"/>
          </w:tcPr>
          <w:p w14:paraId="6352BC20">
            <w:pPr>
              <w:spacing w:line="360" w:lineRule="auto"/>
              <w:jc w:val="center"/>
              <w:rPr>
                <w:rFonts w:hint="eastAsia" w:ascii="宋体" w:hAnsi="宋体" w:eastAsia="宋体" w:cs="宋体"/>
                <w:color w:val="auto"/>
                <w:szCs w:val="21"/>
              </w:rPr>
            </w:pPr>
          </w:p>
        </w:tc>
        <w:tc>
          <w:tcPr>
            <w:tcW w:w="1257" w:type="dxa"/>
            <w:noWrap w:val="0"/>
            <w:vAlign w:val="center"/>
          </w:tcPr>
          <w:p w14:paraId="0D5E8C5D">
            <w:pPr>
              <w:spacing w:line="360" w:lineRule="auto"/>
              <w:jc w:val="center"/>
              <w:rPr>
                <w:rFonts w:hint="eastAsia" w:ascii="宋体" w:hAnsi="宋体" w:eastAsia="宋体" w:cs="宋体"/>
                <w:color w:val="auto"/>
                <w:szCs w:val="21"/>
              </w:rPr>
            </w:pPr>
          </w:p>
        </w:tc>
        <w:tc>
          <w:tcPr>
            <w:tcW w:w="1258" w:type="dxa"/>
            <w:noWrap w:val="0"/>
            <w:vAlign w:val="center"/>
          </w:tcPr>
          <w:p w14:paraId="6B3A45AB">
            <w:pPr>
              <w:spacing w:line="360" w:lineRule="auto"/>
              <w:jc w:val="center"/>
              <w:rPr>
                <w:rFonts w:hint="eastAsia" w:ascii="宋体" w:hAnsi="宋体" w:eastAsia="宋体" w:cs="宋体"/>
                <w:color w:val="auto"/>
                <w:szCs w:val="21"/>
              </w:rPr>
            </w:pPr>
          </w:p>
        </w:tc>
        <w:tc>
          <w:tcPr>
            <w:tcW w:w="1257" w:type="dxa"/>
            <w:noWrap w:val="0"/>
            <w:vAlign w:val="center"/>
          </w:tcPr>
          <w:p w14:paraId="7A1D99FD">
            <w:pPr>
              <w:spacing w:line="360" w:lineRule="auto"/>
              <w:jc w:val="center"/>
              <w:rPr>
                <w:rFonts w:hint="eastAsia" w:ascii="宋体" w:hAnsi="宋体" w:eastAsia="宋体" w:cs="宋体"/>
                <w:color w:val="auto"/>
                <w:szCs w:val="21"/>
              </w:rPr>
            </w:pPr>
          </w:p>
        </w:tc>
        <w:tc>
          <w:tcPr>
            <w:tcW w:w="1258" w:type="dxa"/>
            <w:noWrap w:val="0"/>
            <w:vAlign w:val="center"/>
          </w:tcPr>
          <w:p w14:paraId="416F25F5">
            <w:pPr>
              <w:spacing w:line="360" w:lineRule="auto"/>
              <w:jc w:val="center"/>
              <w:rPr>
                <w:rFonts w:hint="eastAsia" w:ascii="宋体" w:hAnsi="宋体" w:eastAsia="宋体" w:cs="宋体"/>
                <w:color w:val="auto"/>
                <w:szCs w:val="21"/>
              </w:rPr>
            </w:pPr>
          </w:p>
        </w:tc>
      </w:tr>
      <w:tr w14:paraId="6E9CB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26ABC217">
            <w:pPr>
              <w:spacing w:line="360" w:lineRule="auto"/>
              <w:jc w:val="center"/>
              <w:rPr>
                <w:rFonts w:hint="eastAsia" w:ascii="宋体" w:hAnsi="宋体" w:eastAsia="宋体" w:cs="宋体"/>
                <w:color w:val="auto"/>
                <w:szCs w:val="21"/>
              </w:rPr>
            </w:pPr>
          </w:p>
        </w:tc>
        <w:tc>
          <w:tcPr>
            <w:tcW w:w="961" w:type="dxa"/>
            <w:noWrap w:val="0"/>
            <w:vAlign w:val="center"/>
          </w:tcPr>
          <w:p w14:paraId="723E0105">
            <w:pPr>
              <w:spacing w:line="360" w:lineRule="auto"/>
              <w:jc w:val="center"/>
              <w:rPr>
                <w:rFonts w:hint="eastAsia" w:ascii="宋体" w:hAnsi="宋体" w:eastAsia="宋体" w:cs="宋体"/>
                <w:color w:val="auto"/>
                <w:szCs w:val="21"/>
              </w:rPr>
            </w:pPr>
          </w:p>
        </w:tc>
        <w:tc>
          <w:tcPr>
            <w:tcW w:w="1257" w:type="dxa"/>
            <w:noWrap w:val="0"/>
            <w:vAlign w:val="center"/>
          </w:tcPr>
          <w:p w14:paraId="7FCD9395">
            <w:pPr>
              <w:spacing w:line="360" w:lineRule="auto"/>
              <w:jc w:val="center"/>
              <w:rPr>
                <w:rFonts w:hint="eastAsia" w:ascii="宋体" w:hAnsi="宋体" w:eastAsia="宋体" w:cs="宋体"/>
                <w:color w:val="auto"/>
                <w:szCs w:val="21"/>
              </w:rPr>
            </w:pPr>
          </w:p>
        </w:tc>
        <w:tc>
          <w:tcPr>
            <w:tcW w:w="1258" w:type="dxa"/>
            <w:noWrap w:val="0"/>
            <w:vAlign w:val="center"/>
          </w:tcPr>
          <w:p w14:paraId="27CBD259">
            <w:pPr>
              <w:spacing w:line="360" w:lineRule="auto"/>
              <w:jc w:val="center"/>
              <w:rPr>
                <w:rFonts w:hint="eastAsia" w:ascii="宋体" w:hAnsi="宋体" w:eastAsia="宋体" w:cs="宋体"/>
                <w:color w:val="auto"/>
                <w:szCs w:val="21"/>
              </w:rPr>
            </w:pPr>
          </w:p>
        </w:tc>
        <w:tc>
          <w:tcPr>
            <w:tcW w:w="1257" w:type="dxa"/>
            <w:noWrap w:val="0"/>
            <w:vAlign w:val="center"/>
          </w:tcPr>
          <w:p w14:paraId="3866A093">
            <w:pPr>
              <w:spacing w:line="360" w:lineRule="auto"/>
              <w:jc w:val="center"/>
              <w:rPr>
                <w:rFonts w:hint="eastAsia" w:ascii="宋体" w:hAnsi="宋体" w:eastAsia="宋体" w:cs="宋体"/>
                <w:color w:val="auto"/>
                <w:szCs w:val="21"/>
              </w:rPr>
            </w:pPr>
          </w:p>
        </w:tc>
        <w:tc>
          <w:tcPr>
            <w:tcW w:w="1258" w:type="dxa"/>
            <w:noWrap w:val="0"/>
            <w:vAlign w:val="center"/>
          </w:tcPr>
          <w:p w14:paraId="58D78908">
            <w:pPr>
              <w:spacing w:line="360" w:lineRule="auto"/>
              <w:jc w:val="center"/>
              <w:rPr>
                <w:rFonts w:hint="eastAsia" w:ascii="宋体" w:hAnsi="宋体" w:eastAsia="宋体" w:cs="宋体"/>
                <w:color w:val="auto"/>
                <w:szCs w:val="21"/>
              </w:rPr>
            </w:pPr>
          </w:p>
        </w:tc>
        <w:tc>
          <w:tcPr>
            <w:tcW w:w="1257" w:type="dxa"/>
            <w:noWrap w:val="0"/>
            <w:vAlign w:val="center"/>
          </w:tcPr>
          <w:p w14:paraId="116D59B1">
            <w:pPr>
              <w:spacing w:line="360" w:lineRule="auto"/>
              <w:jc w:val="center"/>
              <w:rPr>
                <w:rFonts w:hint="eastAsia" w:ascii="宋体" w:hAnsi="宋体" w:eastAsia="宋体" w:cs="宋体"/>
                <w:color w:val="auto"/>
                <w:szCs w:val="21"/>
              </w:rPr>
            </w:pPr>
          </w:p>
        </w:tc>
        <w:tc>
          <w:tcPr>
            <w:tcW w:w="1258" w:type="dxa"/>
            <w:noWrap w:val="0"/>
            <w:vAlign w:val="center"/>
          </w:tcPr>
          <w:p w14:paraId="32225267">
            <w:pPr>
              <w:spacing w:line="360" w:lineRule="auto"/>
              <w:jc w:val="center"/>
              <w:rPr>
                <w:rFonts w:hint="eastAsia" w:ascii="宋体" w:hAnsi="宋体" w:eastAsia="宋体" w:cs="宋体"/>
                <w:color w:val="auto"/>
                <w:szCs w:val="21"/>
              </w:rPr>
            </w:pPr>
          </w:p>
        </w:tc>
      </w:tr>
      <w:tr w14:paraId="45558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1EAEABDD">
            <w:pPr>
              <w:spacing w:line="360" w:lineRule="auto"/>
              <w:jc w:val="center"/>
              <w:rPr>
                <w:rFonts w:hint="eastAsia" w:ascii="宋体" w:hAnsi="宋体" w:eastAsia="宋体" w:cs="宋体"/>
                <w:color w:val="auto"/>
                <w:szCs w:val="21"/>
              </w:rPr>
            </w:pPr>
          </w:p>
        </w:tc>
        <w:tc>
          <w:tcPr>
            <w:tcW w:w="961" w:type="dxa"/>
            <w:noWrap w:val="0"/>
            <w:vAlign w:val="center"/>
          </w:tcPr>
          <w:p w14:paraId="7E2685AE">
            <w:pPr>
              <w:spacing w:line="360" w:lineRule="auto"/>
              <w:jc w:val="center"/>
              <w:rPr>
                <w:rFonts w:hint="eastAsia" w:ascii="宋体" w:hAnsi="宋体" w:eastAsia="宋体" w:cs="宋体"/>
                <w:color w:val="auto"/>
                <w:szCs w:val="21"/>
              </w:rPr>
            </w:pPr>
          </w:p>
        </w:tc>
        <w:tc>
          <w:tcPr>
            <w:tcW w:w="1257" w:type="dxa"/>
            <w:noWrap w:val="0"/>
            <w:vAlign w:val="center"/>
          </w:tcPr>
          <w:p w14:paraId="66421EF2">
            <w:pPr>
              <w:spacing w:line="360" w:lineRule="auto"/>
              <w:jc w:val="center"/>
              <w:rPr>
                <w:rFonts w:hint="eastAsia" w:ascii="宋体" w:hAnsi="宋体" w:eastAsia="宋体" w:cs="宋体"/>
                <w:color w:val="auto"/>
                <w:szCs w:val="21"/>
              </w:rPr>
            </w:pPr>
          </w:p>
        </w:tc>
        <w:tc>
          <w:tcPr>
            <w:tcW w:w="1258" w:type="dxa"/>
            <w:noWrap w:val="0"/>
            <w:vAlign w:val="center"/>
          </w:tcPr>
          <w:p w14:paraId="4C19D635">
            <w:pPr>
              <w:spacing w:line="360" w:lineRule="auto"/>
              <w:jc w:val="center"/>
              <w:rPr>
                <w:rFonts w:hint="eastAsia" w:ascii="宋体" w:hAnsi="宋体" w:eastAsia="宋体" w:cs="宋体"/>
                <w:color w:val="auto"/>
                <w:szCs w:val="21"/>
              </w:rPr>
            </w:pPr>
          </w:p>
        </w:tc>
        <w:tc>
          <w:tcPr>
            <w:tcW w:w="1257" w:type="dxa"/>
            <w:noWrap w:val="0"/>
            <w:vAlign w:val="center"/>
          </w:tcPr>
          <w:p w14:paraId="4EAE1C54">
            <w:pPr>
              <w:spacing w:line="360" w:lineRule="auto"/>
              <w:jc w:val="center"/>
              <w:rPr>
                <w:rFonts w:hint="eastAsia" w:ascii="宋体" w:hAnsi="宋体" w:eastAsia="宋体" w:cs="宋体"/>
                <w:color w:val="auto"/>
                <w:szCs w:val="21"/>
              </w:rPr>
            </w:pPr>
          </w:p>
        </w:tc>
        <w:tc>
          <w:tcPr>
            <w:tcW w:w="1258" w:type="dxa"/>
            <w:noWrap w:val="0"/>
            <w:vAlign w:val="center"/>
          </w:tcPr>
          <w:p w14:paraId="433E1387">
            <w:pPr>
              <w:spacing w:line="360" w:lineRule="auto"/>
              <w:jc w:val="center"/>
              <w:rPr>
                <w:rFonts w:hint="eastAsia" w:ascii="宋体" w:hAnsi="宋体" w:eastAsia="宋体" w:cs="宋体"/>
                <w:color w:val="auto"/>
                <w:szCs w:val="21"/>
              </w:rPr>
            </w:pPr>
          </w:p>
        </w:tc>
        <w:tc>
          <w:tcPr>
            <w:tcW w:w="1257" w:type="dxa"/>
            <w:noWrap w:val="0"/>
            <w:vAlign w:val="center"/>
          </w:tcPr>
          <w:p w14:paraId="40FB0184">
            <w:pPr>
              <w:spacing w:line="360" w:lineRule="auto"/>
              <w:jc w:val="center"/>
              <w:rPr>
                <w:rFonts w:hint="eastAsia" w:ascii="宋体" w:hAnsi="宋体" w:eastAsia="宋体" w:cs="宋体"/>
                <w:color w:val="auto"/>
                <w:szCs w:val="21"/>
              </w:rPr>
            </w:pPr>
          </w:p>
        </w:tc>
        <w:tc>
          <w:tcPr>
            <w:tcW w:w="1258" w:type="dxa"/>
            <w:noWrap w:val="0"/>
            <w:vAlign w:val="center"/>
          </w:tcPr>
          <w:p w14:paraId="386BC53E">
            <w:pPr>
              <w:spacing w:line="360" w:lineRule="auto"/>
              <w:jc w:val="center"/>
              <w:rPr>
                <w:rFonts w:hint="eastAsia" w:ascii="宋体" w:hAnsi="宋体" w:eastAsia="宋体" w:cs="宋体"/>
                <w:color w:val="auto"/>
                <w:szCs w:val="21"/>
              </w:rPr>
            </w:pPr>
          </w:p>
        </w:tc>
      </w:tr>
      <w:tr w14:paraId="57DBC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367843F0">
            <w:pPr>
              <w:spacing w:line="360" w:lineRule="auto"/>
              <w:jc w:val="center"/>
              <w:rPr>
                <w:rFonts w:hint="eastAsia" w:ascii="宋体" w:hAnsi="宋体" w:eastAsia="宋体" w:cs="宋体"/>
                <w:color w:val="auto"/>
                <w:szCs w:val="21"/>
              </w:rPr>
            </w:pPr>
          </w:p>
        </w:tc>
        <w:tc>
          <w:tcPr>
            <w:tcW w:w="961" w:type="dxa"/>
            <w:noWrap w:val="0"/>
            <w:vAlign w:val="center"/>
          </w:tcPr>
          <w:p w14:paraId="40EC1A45">
            <w:pPr>
              <w:spacing w:line="360" w:lineRule="auto"/>
              <w:jc w:val="center"/>
              <w:rPr>
                <w:rFonts w:hint="eastAsia" w:ascii="宋体" w:hAnsi="宋体" w:eastAsia="宋体" w:cs="宋体"/>
                <w:color w:val="auto"/>
                <w:szCs w:val="21"/>
              </w:rPr>
            </w:pPr>
          </w:p>
        </w:tc>
        <w:tc>
          <w:tcPr>
            <w:tcW w:w="1257" w:type="dxa"/>
            <w:noWrap w:val="0"/>
            <w:vAlign w:val="center"/>
          </w:tcPr>
          <w:p w14:paraId="6D16DA2B">
            <w:pPr>
              <w:spacing w:line="360" w:lineRule="auto"/>
              <w:jc w:val="center"/>
              <w:rPr>
                <w:rFonts w:hint="eastAsia" w:ascii="宋体" w:hAnsi="宋体" w:eastAsia="宋体" w:cs="宋体"/>
                <w:color w:val="auto"/>
                <w:szCs w:val="21"/>
              </w:rPr>
            </w:pPr>
          </w:p>
        </w:tc>
        <w:tc>
          <w:tcPr>
            <w:tcW w:w="1258" w:type="dxa"/>
            <w:noWrap w:val="0"/>
            <w:vAlign w:val="center"/>
          </w:tcPr>
          <w:p w14:paraId="106B4A72">
            <w:pPr>
              <w:spacing w:line="360" w:lineRule="auto"/>
              <w:jc w:val="center"/>
              <w:rPr>
                <w:rFonts w:hint="eastAsia" w:ascii="宋体" w:hAnsi="宋体" w:eastAsia="宋体" w:cs="宋体"/>
                <w:color w:val="auto"/>
                <w:szCs w:val="21"/>
              </w:rPr>
            </w:pPr>
          </w:p>
        </w:tc>
        <w:tc>
          <w:tcPr>
            <w:tcW w:w="1257" w:type="dxa"/>
            <w:noWrap w:val="0"/>
            <w:vAlign w:val="center"/>
          </w:tcPr>
          <w:p w14:paraId="6AF2B38D">
            <w:pPr>
              <w:spacing w:line="360" w:lineRule="auto"/>
              <w:jc w:val="center"/>
              <w:rPr>
                <w:rFonts w:hint="eastAsia" w:ascii="宋体" w:hAnsi="宋体" w:eastAsia="宋体" w:cs="宋体"/>
                <w:color w:val="auto"/>
                <w:szCs w:val="21"/>
              </w:rPr>
            </w:pPr>
          </w:p>
        </w:tc>
        <w:tc>
          <w:tcPr>
            <w:tcW w:w="1258" w:type="dxa"/>
            <w:noWrap w:val="0"/>
            <w:vAlign w:val="center"/>
          </w:tcPr>
          <w:p w14:paraId="121F0204">
            <w:pPr>
              <w:spacing w:line="360" w:lineRule="auto"/>
              <w:jc w:val="center"/>
              <w:rPr>
                <w:rFonts w:hint="eastAsia" w:ascii="宋体" w:hAnsi="宋体" w:eastAsia="宋体" w:cs="宋体"/>
                <w:color w:val="auto"/>
                <w:szCs w:val="21"/>
              </w:rPr>
            </w:pPr>
          </w:p>
        </w:tc>
        <w:tc>
          <w:tcPr>
            <w:tcW w:w="1257" w:type="dxa"/>
            <w:noWrap w:val="0"/>
            <w:vAlign w:val="center"/>
          </w:tcPr>
          <w:p w14:paraId="7780178B">
            <w:pPr>
              <w:spacing w:line="360" w:lineRule="auto"/>
              <w:jc w:val="center"/>
              <w:rPr>
                <w:rFonts w:hint="eastAsia" w:ascii="宋体" w:hAnsi="宋体" w:eastAsia="宋体" w:cs="宋体"/>
                <w:color w:val="auto"/>
                <w:szCs w:val="21"/>
              </w:rPr>
            </w:pPr>
          </w:p>
        </w:tc>
        <w:tc>
          <w:tcPr>
            <w:tcW w:w="1258" w:type="dxa"/>
            <w:noWrap w:val="0"/>
            <w:vAlign w:val="center"/>
          </w:tcPr>
          <w:p w14:paraId="37BA40B5">
            <w:pPr>
              <w:spacing w:line="360" w:lineRule="auto"/>
              <w:jc w:val="center"/>
              <w:rPr>
                <w:rFonts w:hint="eastAsia" w:ascii="宋体" w:hAnsi="宋体" w:eastAsia="宋体" w:cs="宋体"/>
                <w:color w:val="auto"/>
                <w:szCs w:val="21"/>
              </w:rPr>
            </w:pPr>
          </w:p>
        </w:tc>
      </w:tr>
      <w:tr w14:paraId="48E1B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7C3FC55C">
            <w:pPr>
              <w:spacing w:line="360" w:lineRule="auto"/>
              <w:jc w:val="center"/>
              <w:rPr>
                <w:rFonts w:hint="eastAsia" w:ascii="宋体" w:hAnsi="宋体" w:eastAsia="宋体" w:cs="宋体"/>
                <w:color w:val="auto"/>
                <w:szCs w:val="21"/>
              </w:rPr>
            </w:pPr>
          </w:p>
        </w:tc>
        <w:tc>
          <w:tcPr>
            <w:tcW w:w="961" w:type="dxa"/>
            <w:noWrap w:val="0"/>
            <w:vAlign w:val="center"/>
          </w:tcPr>
          <w:p w14:paraId="0CEEE973">
            <w:pPr>
              <w:spacing w:line="360" w:lineRule="auto"/>
              <w:jc w:val="center"/>
              <w:rPr>
                <w:rFonts w:hint="eastAsia" w:ascii="宋体" w:hAnsi="宋体" w:eastAsia="宋体" w:cs="宋体"/>
                <w:color w:val="auto"/>
                <w:szCs w:val="21"/>
              </w:rPr>
            </w:pPr>
          </w:p>
        </w:tc>
        <w:tc>
          <w:tcPr>
            <w:tcW w:w="1257" w:type="dxa"/>
            <w:noWrap w:val="0"/>
            <w:vAlign w:val="center"/>
          </w:tcPr>
          <w:p w14:paraId="4761CDF0">
            <w:pPr>
              <w:spacing w:line="360" w:lineRule="auto"/>
              <w:jc w:val="center"/>
              <w:rPr>
                <w:rFonts w:hint="eastAsia" w:ascii="宋体" w:hAnsi="宋体" w:eastAsia="宋体" w:cs="宋体"/>
                <w:color w:val="auto"/>
                <w:szCs w:val="21"/>
              </w:rPr>
            </w:pPr>
          </w:p>
        </w:tc>
        <w:tc>
          <w:tcPr>
            <w:tcW w:w="1258" w:type="dxa"/>
            <w:noWrap w:val="0"/>
            <w:vAlign w:val="center"/>
          </w:tcPr>
          <w:p w14:paraId="5F2344FD">
            <w:pPr>
              <w:spacing w:line="360" w:lineRule="auto"/>
              <w:jc w:val="center"/>
              <w:rPr>
                <w:rFonts w:hint="eastAsia" w:ascii="宋体" w:hAnsi="宋体" w:eastAsia="宋体" w:cs="宋体"/>
                <w:color w:val="auto"/>
                <w:szCs w:val="21"/>
              </w:rPr>
            </w:pPr>
          </w:p>
        </w:tc>
        <w:tc>
          <w:tcPr>
            <w:tcW w:w="1257" w:type="dxa"/>
            <w:noWrap w:val="0"/>
            <w:vAlign w:val="center"/>
          </w:tcPr>
          <w:p w14:paraId="198FDD6E">
            <w:pPr>
              <w:spacing w:line="360" w:lineRule="auto"/>
              <w:jc w:val="center"/>
              <w:rPr>
                <w:rFonts w:hint="eastAsia" w:ascii="宋体" w:hAnsi="宋体" w:eastAsia="宋体" w:cs="宋体"/>
                <w:color w:val="auto"/>
                <w:szCs w:val="21"/>
              </w:rPr>
            </w:pPr>
          </w:p>
        </w:tc>
        <w:tc>
          <w:tcPr>
            <w:tcW w:w="1258" w:type="dxa"/>
            <w:noWrap w:val="0"/>
            <w:vAlign w:val="center"/>
          </w:tcPr>
          <w:p w14:paraId="3D559E9B">
            <w:pPr>
              <w:spacing w:line="360" w:lineRule="auto"/>
              <w:jc w:val="center"/>
              <w:rPr>
                <w:rFonts w:hint="eastAsia" w:ascii="宋体" w:hAnsi="宋体" w:eastAsia="宋体" w:cs="宋体"/>
                <w:color w:val="auto"/>
                <w:szCs w:val="21"/>
              </w:rPr>
            </w:pPr>
          </w:p>
        </w:tc>
        <w:tc>
          <w:tcPr>
            <w:tcW w:w="1257" w:type="dxa"/>
            <w:noWrap w:val="0"/>
            <w:vAlign w:val="center"/>
          </w:tcPr>
          <w:p w14:paraId="1197C163">
            <w:pPr>
              <w:spacing w:line="360" w:lineRule="auto"/>
              <w:jc w:val="center"/>
              <w:rPr>
                <w:rFonts w:hint="eastAsia" w:ascii="宋体" w:hAnsi="宋体" w:eastAsia="宋体" w:cs="宋体"/>
                <w:color w:val="auto"/>
                <w:szCs w:val="21"/>
              </w:rPr>
            </w:pPr>
          </w:p>
        </w:tc>
        <w:tc>
          <w:tcPr>
            <w:tcW w:w="1258" w:type="dxa"/>
            <w:noWrap w:val="0"/>
            <w:vAlign w:val="center"/>
          </w:tcPr>
          <w:p w14:paraId="3E566485">
            <w:pPr>
              <w:spacing w:line="360" w:lineRule="auto"/>
              <w:jc w:val="center"/>
              <w:rPr>
                <w:rFonts w:hint="eastAsia" w:ascii="宋体" w:hAnsi="宋体" w:eastAsia="宋体" w:cs="宋体"/>
                <w:color w:val="auto"/>
                <w:szCs w:val="21"/>
              </w:rPr>
            </w:pPr>
          </w:p>
        </w:tc>
      </w:tr>
      <w:tr w14:paraId="77140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3F5A9763">
            <w:pPr>
              <w:spacing w:line="360" w:lineRule="auto"/>
              <w:jc w:val="center"/>
              <w:rPr>
                <w:rFonts w:hint="eastAsia" w:ascii="宋体" w:hAnsi="宋体" w:eastAsia="宋体" w:cs="宋体"/>
                <w:color w:val="auto"/>
                <w:szCs w:val="21"/>
              </w:rPr>
            </w:pPr>
          </w:p>
        </w:tc>
        <w:tc>
          <w:tcPr>
            <w:tcW w:w="961" w:type="dxa"/>
            <w:noWrap w:val="0"/>
            <w:vAlign w:val="center"/>
          </w:tcPr>
          <w:p w14:paraId="4E381127">
            <w:pPr>
              <w:spacing w:line="360" w:lineRule="auto"/>
              <w:jc w:val="center"/>
              <w:rPr>
                <w:rFonts w:hint="eastAsia" w:ascii="宋体" w:hAnsi="宋体" w:eastAsia="宋体" w:cs="宋体"/>
                <w:color w:val="auto"/>
                <w:szCs w:val="21"/>
              </w:rPr>
            </w:pPr>
          </w:p>
        </w:tc>
        <w:tc>
          <w:tcPr>
            <w:tcW w:w="1257" w:type="dxa"/>
            <w:noWrap w:val="0"/>
            <w:vAlign w:val="center"/>
          </w:tcPr>
          <w:p w14:paraId="0AD479F7">
            <w:pPr>
              <w:spacing w:line="360" w:lineRule="auto"/>
              <w:jc w:val="center"/>
              <w:rPr>
                <w:rFonts w:hint="eastAsia" w:ascii="宋体" w:hAnsi="宋体" w:eastAsia="宋体" w:cs="宋体"/>
                <w:color w:val="auto"/>
                <w:szCs w:val="21"/>
              </w:rPr>
            </w:pPr>
          </w:p>
        </w:tc>
        <w:tc>
          <w:tcPr>
            <w:tcW w:w="1258" w:type="dxa"/>
            <w:noWrap w:val="0"/>
            <w:vAlign w:val="center"/>
          </w:tcPr>
          <w:p w14:paraId="288ECCD7">
            <w:pPr>
              <w:spacing w:line="360" w:lineRule="auto"/>
              <w:jc w:val="center"/>
              <w:rPr>
                <w:rFonts w:hint="eastAsia" w:ascii="宋体" w:hAnsi="宋体" w:eastAsia="宋体" w:cs="宋体"/>
                <w:color w:val="auto"/>
                <w:szCs w:val="21"/>
              </w:rPr>
            </w:pPr>
          </w:p>
        </w:tc>
        <w:tc>
          <w:tcPr>
            <w:tcW w:w="1257" w:type="dxa"/>
            <w:noWrap w:val="0"/>
            <w:vAlign w:val="center"/>
          </w:tcPr>
          <w:p w14:paraId="47732672">
            <w:pPr>
              <w:spacing w:line="360" w:lineRule="auto"/>
              <w:jc w:val="center"/>
              <w:rPr>
                <w:rFonts w:hint="eastAsia" w:ascii="宋体" w:hAnsi="宋体" w:eastAsia="宋体" w:cs="宋体"/>
                <w:color w:val="auto"/>
                <w:szCs w:val="21"/>
              </w:rPr>
            </w:pPr>
          </w:p>
        </w:tc>
        <w:tc>
          <w:tcPr>
            <w:tcW w:w="1258" w:type="dxa"/>
            <w:noWrap w:val="0"/>
            <w:vAlign w:val="center"/>
          </w:tcPr>
          <w:p w14:paraId="6B48476F">
            <w:pPr>
              <w:spacing w:line="360" w:lineRule="auto"/>
              <w:jc w:val="center"/>
              <w:rPr>
                <w:rFonts w:hint="eastAsia" w:ascii="宋体" w:hAnsi="宋体" w:eastAsia="宋体" w:cs="宋体"/>
                <w:color w:val="auto"/>
                <w:szCs w:val="21"/>
              </w:rPr>
            </w:pPr>
          </w:p>
        </w:tc>
        <w:tc>
          <w:tcPr>
            <w:tcW w:w="1257" w:type="dxa"/>
            <w:noWrap w:val="0"/>
            <w:vAlign w:val="center"/>
          </w:tcPr>
          <w:p w14:paraId="696EFFA1">
            <w:pPr>
              <w:spacing w:line="360" w:lineRule="auto"/>
              <w:jc w:val="center"/>
              <w:rPr>
                <w:rFonts w:hint="eastAsia" w:ascii="宋体" w:hAnsi="宋体" w:eastAsia="宋体" w:cs="宋体"/>
                <w:color w:val="auto"/>
                <w:szCs w:val="21"/>
              </w:rPr>
            </w:pPr>
          </w:p>
        </w:tc>
        <w:tc>
          <w:tcPr>
            <w:tcW w:w="1258" w:type="dxa"/>
            <w:noWrap w:val="0"/>
            <w:vAlign w:val="center"/>
          </w:tcPr>
          <w:p w14:paraId="604C7B9F">
            <w:pPr>
              <w:spacing w:line="360" w:lineRule="auto"/>
              <w:jc w:val="center"/>
              <w:rPr>
                <w:rFonts w:hint="eastAsia" w:ascii="宋体" w:hAnsi="宋体" w:eastAsia="宋体" w:cs="宋体"/>
                <w:color w:val="auto"/>
                <w:szCs w:val="21"/>
              </w:rPr>
            </w:pPr>
          </w:p>
        </w:tc>
      </w:tr>
    </w:tbl>
    <w:p w14:paraId="7B9CA483">
      <w:pPr>
        <w:rPr>
          <w:rFonts w:hint="eastAsia" w:ascii="宋体" w:hAnsi="宋体" w:eastAsia="宋体" w:cs="宋体"/>
          <w:color w:val="auto"/>
        </w:rPr>
      </w:pPr>
    </w:p>
    <w:p w14:paraId="20BCDEAC">
      <w:pPr>
        <w:rPr>
          <w:rFonts w:hint="eastAsia" w:ascii="宋体" w:hAnsi="宋体" w:eastAsia="宋体" w:cs="宋体"/>
          <w:b/>
          <w:color w:val="auto"/>
        </w:rPr>
      </w:pPr>
    </w:p>
    <w:p w14:paraId="446C6183">
      <w:pPr>
        <w:rPr>
          <w:rFonts w:hint="eastAsia" w:ascii="宋体" w:hAnsi="宋体" w:eastAsia="宋体" w:cs="宋体"/>
          <w:color w:val="auto"/>
        </w:rPr>
      </w:pPr>
      <w:r>
        <w:rPr>
          <w:rFonts w:hint="eastAsia" w:ascii="宋体" w:hAnsi="宋体" w:eastAsia="宋体" w:cs="宋体"/>
          <w:color w:val="auto"/>
        </w:rPr>
        <w:t>附表四：计划开、竣工日期和施工进度计划（网络图或横道图）</w:t>
      </w:r>
    </w:p>
    <w:p w14:paraId="1461CBC3">
      <w:pPr>
        <w:spacing w:line="460" w:lineRule="exact"/>
        <w:ind w:left="-6" w:firstLine="420"/>
        <w:rPr>
          <w:rFonts w:hint="eastAsia" w:ascii="宋体" w:hAnsi="宋体" w:eastAsia="宋体" w:cs="宋体"/>
          <w:color w:val="auto"/>
        </w:rPr>
      </w:pPr>
      <w:r>
        <w:rPr>
          <w:rFonts w:hint="eastAsia" w:ascii="宋体" w:hAnsi="宋体" w:eastAsia="宋体" w:cs="宋体"/>
          <w:color w:val="auto"/>
        </w:rPr>
        <w:t>（1）供应商应提交施工进度计划，说明按采购文件要求的工期进行施工的各个关键日期。成交的供应商还应按合同条件有关条款的要求提交详细的施工进度计划。</w:t>
      </w:r>
    </w:p>
    <w:p w14:paraId="35B660CB">
      <w:pPr>
        <w:spacing w:line="460" w:lineRule="exact"/>
        <w:ind w:left="-6" w:firstLine="420"/>
        <w:rPr>
          <w:rFonts w:hint="eastAsia" w:ascii="宋体" w:hAnsi="宋体" w:eastAsia="宋体" w:cs="宋体"/>
          <w:color w:val="auto"/>
        </w:rPr>
      </w:pPr>
      <w:r>
        <w:rPr>
          <w:rFonts w:hint="eastAsia" w:ascii="宋体" w:hAnsi="宋体" w:eastAsia="宋体" w:cs="宋体"/>
          <w:color w:val="auto"/>
        </w:rPr>
        <w:t>（2）施工进度计划可采用网络图（或横道图）表示，说明计划开工日期和各分项工程各阶段的完工日期和分包合同签订的日期。</w:t>
      </w:r>
    </w:p>
    <w:p w14:paraId="691DD3FA">
      <w:pPr>
        <w:spacing w:line="460" w:lineRule="exact"/>
        <w:ind w:left="-6" w:firstLine="420"/>
        <w:rPr>
          <w:rFonts w:hint="eastAsia" w:ascii="宋体" w:hAnsi="宋体" w:eastAsia="宋体" w:cs="宋体"/>
          <w:color w:val="auto"/>
        </w:rPr>
      </w:pPr>
      <w:r>
        <w:rPr>
          <w:rFonts w:hint="eastAsia" w:ascii="宋体" w:hAnsi="宋体" w:eastAsia="宋体" w:cs="宋体"/>
          <w:color w:val="auto"/>
        </w:rPr>
        <w:t>（3）施工进度计划应与施工组织设计相适应。</w:t>
      </w:r>
    </w:p>
    <w:p w14:paraId="3E3987CF">
      <w:pPr>
        <w:rPr>
          <w:rFonts w:hint="eastAsia" w:ascii="宋体" w:hAnsi="宋体" w:eastAsia="宋体" w:cs="宋体"/>
          <w:color w:val="auto"/>
        </w:rPr>
      </w:pPr>
    </w:p>
    <w:p w14:paraId="4D36F6E5">
      <w:pPr>
        <w:rPr>
          <w:rFonts w:hint="eastAsia" w:ascii="宋体" w:hAnsi="宋体" w:eastAsia="宋体" w:cs="宋体"/>
          <w:color w:val="auto"/>
        </w:rPr>
      </w:pPr>
      <w:r>
        <w:rPr>
          <w:rFonts w:hint="eastAsia" w:ascii="宋体" w:hAnsi="宋体" w:eastAsia="宋体" w:cs="宋体"/>
          <w:color w:val="auto"/>
        </w:rPr>
        <w:t>附表五：施工总平面图</w:t>
      </w:r>
    </w:p>
    <w:p w14:paraId="62A9DBEC">
      <w:pPr>
        <w:spacing w:line="46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供应商应递交一份施工总平面图，绘出现场临时设施布置图表并附文字说明，说明临时设施、加工车间、现场办公、设备及仓储、供电、供水、卫生、生活、道路、消防等设施的情况和布置。</w:t>
      </w:r>
    </w:p>
    <w:p w14:paraId="65BDA534">
      <w:pPr>
        <w:rPr>
          <w:rFonts w:hint="eastAsia" w:ascii="宋体" w:hAnsi="宋体" w:eastAsia="宋体" w:cs="宋体"/>
          <w:color w:val="auto"/>
        </w:rPr>
      </w:pPr>
    </w:p>
    <w:p w14:paraId="66C8998B">
      <w:pPr>
        <w:rPr>
          <w:rFonts w:hint="eastAsia" w:ascii="宋体" w:hAnsi="宋体" w:eastAsia="宋体" w:cs="宋体"/>
          <w:color w:val="auto"/>
        </w:rPr>
      </w:pPr>
    </w:p>
    <w:p w14:paraId="2E172396">
      <w:pPr>
        <w:rPr>
          <w:rFonts w:hint="eastAsia" w:ascii="宋体" w:hAnsi="宋体" w:eastAsia="宋体" w:cs="宋体"/>
          <w:color w:val="auto"/>
        </w:rPr>
      </w:pPr>
      <w:r>
        <w:rPr>
          <w:rFonts w:hint="eastAsia" w:ascii="宋体" w:hAnsi="宋体" w:eastAsia="宋体" w:cs="宋体"/>
          <w:color w:val="auto"/>
        </w:rPr>
        <w:t>附表六：临时用地表</w:t>
      </w:r>
    </w:p>
    <w:p w14:paraId="0E8F02FB">
      <w:pPr>
        <w:rPr>
          <w:rFonts w:hint="eastAsia" w:ascii="宋体" w:hAnsi="宋体" w:eastAsia="宋体" w:cs="宋体"/>
          <w:color w:val="auto"/>
        </w:rPr>
      </w:pPr>
    </w:p>
    <w:tbl>
      <w:tblPr>
        <w:tblStyle w:val="15"/>
        <w:tblW w:w="83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0"/>
        <w:gridCol w:w="2091"/>
        <w:gridCol w:w="2090"/>
        <w:gridCol w:w="2091"/>
      </w:tblGrid>
      <w:tr w14:paraId="40674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2090" w:type="dxa"/>
            <w:noWrap w:val="0"/>
            <w:vAlign w:val="center"/>
          </w:tcPr>
          <w:p w14:paraId="51238B55">
            <w:pPr>
              <w:jc w:val="center"/>
              <w:rPr>
                <w:rFonts w:hint="eastAsia" w:ascii="宋体" w:hAnsi="宋体" w:eastAsia="宋体" w:cs="宋体"/>
                <w:color w:val="auto"/>
              </w:rPr>
            </w:pPr>
            <w:r>
              <w:rPr>
                <w:rFonts w:hint="eastAsia" w:ascii="宋体" w:hAnsi="宋体" w:eastAsia="宋体" w:cs="宋体"/>
                <w:color w:val="auto"/>
                <w:szCs w:val="21"/>
              </w:rPr>
              <w:t>用途</w:t>
            </w:r>
          </w:p>
        </w:tc>
        <w:tc>
          <w:tcPr>
            <w:tcW w:w="2091" w:type="dxa"/>
            <w:noWrap w:val="0"/>
            <w:vAlign w:val="center"/>
          </w:tcPr>
          <w:p w14:paraId="01E2BB53">
            <w:pPr>
              <w:jc w:val="center"/>
              <w:rPr>
                <w:rFonts w:hint="eastAsia" w:ascii="宋体" w:hAnsi="宋体" w:eastAsia="宋体" w:cs="宋体"/>
                <w:color w:val="auto"/>
              </w:rPr>
            </w:pPr>
            <w:r>
              <w:rPr>
                <w:rFonts w:hint="eastAsia" w:ascii="宋体" w:hAnsi="宋体" w:eastAsia="宋体" w:cs="宋体"/>
                <w:color w:val="auto"/>
                <w:szCs w:val="21"/>
              </w:rPr>
              <w:t>面积（平方米）</w:t>
            </w:r>
          </w:p>
        </w:tc>
        <w:tc>
          <w:tcPr>
            <w:tcW w:w="2090" w:type="dxa"/>
            <w:noWrap w:val="0"/>
            <w:vAlign w:val="center"/>
          </w:tcPr>
          <w:p w14:paraId="1462211D">
            <w:pPr>
              <w:jc w:val="center"/>
              <w:rPr>
                <w:rFonts w:hint="eastAsia" w:ascii="宋体" w:hAnsi="宋体" w:eastAsia="宋体" w:cs="宋体"/>
                <w:color w:val="auto"/>
              </w:rPr>
            </w:pPr>
            <w:r>
              <w:rPr>
                <w:rFonts w:hint="eastAsia" w:ascii="宋体" w:hAnsi="宋体" w:eastAsia="宋体" w:cs="宋体"/>
                <w:color w:val="auto"/>
                <w:szCs w:val="21"/>
              </w:rPr>
              <w:t>位置</w:t>
            </w:r>
          </w:p>
        </w:tc>
        <w:tc>
          <w:tcPr>
            <w:tcW w:w="2091" w:type="dxa"/>
            <w:noWrap w:val="0"/>
            <w:vAlign w:val="center"/>
          </w:tcPr>
          <w:p w14:paraId="6FEB61F5">
            <w:pPr>
              <w:jc w:val="center"/>
              <w:rPr>
                <w:rFonts w:hint="eastAsia" w:ascii="宋体" w:hAnsi="宋体" w:eastAsia="宋体" w:cs="宋体"/>
                <w:color w:val="auto"/>
              </w:rPr>
            </w:pPr>
            <w:r>
              <w:rPr>
                <w:rFonts w:hint="eastAsia" w:ascii="宋体" w:hAnsi="宋体" w:eastAsia="宋体" w:cs="宋体"/>
                <w:color w:val="auto"/>
                <w:szCs w:val="21"/>
              </w:rPr>
              <w:t>需用时间</w:t>
            </w:r>
          </w:p>
        </w:tc>
      </w:tr>
      <w:tr w14:paraId="64EDC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090" w:type="dxa"/>
            <w:noWrap w:val="0"/>
            <w:vAlign w:val="top"/>
          </w:tcPr>
          <w:p w14:paraId="05E4FAE9">
            <w:pPr>
              <w:rPr>
                <w:rFonts w:hint="eastAsia" w:ascii="宋体" w:hAnsi="宋体" w:eastAsia="宋体" w:cs="宋体"/>
                <w:color w:val="auto"/>
              </w:rPr>
            </w:pPr>
          </w:p>
        </w:tc>
        <w:tc>
          <w:tcPr>
            <w:tcW w:w="2091" w:type="dxa"/>
            <w:noWrap w:val="0"/>
            <w:vAlign w:val="top"/>
          </w:tcPr>
          <w:p w14:paraId="5CCA1716">
            <w:pPr>
              <w:rPr>
                <w:rFonts w:hint="eastAsia" w:ascii="宋体" w:hAnsi="宋体" w:eastAsia="宋体" w:cs="宋体"/>
                <w:color w:val="auto"/>
              </w:rPr>
            </w:pPr>
          </w:p>
        </w:tc>
        <w:tc>
          <w:tcPr>
            <w:tcW w:w="2090" w:type="dxa"/>
            <w:noWrap w:val="0"/>
            <w:vAlign w:val="top"/>
          </w:tcPr>
          <w:p w14:paraId="76BEE665">
            <w:pPr>
              <w:rPr>
                <w:rFonts w:hint="eastAsia" w:ascii="宋体" w:hAnsi="宋体" w:eastAsia="宋体" w:cs="宋体"/>
                <w:color w:val="auto"/>
              </w:rPr>
            </w:pPr>
          </w:p>
        </w:tc>
        <w:tc>
          <w:tcPr>
            <w:tcW w:w="2091" w:type="dxa"/>
            <w:noWrap w:val="0"/>
            <w:vAlign w:val="top"/>
          </w:tcPr>
          <w:p w14:paraId="1D64E350">
            <w:pPr>
              <w:rPr>
                <w:rFonts w:hint="eastAsia" w:ascii="宋体" w:hAnsi="宋体" w:eastAsia="宋体" w:cs="宋体"/>
                <w:color w:val="auto"/>
              </w:rPr>
            </w:pPr>
          </w:p>
        </w:tc>
      </w:tr>
      <w:tr w14:paraId="34E33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090" w:type="dxa"/>
            <w:noWrap w:val="0"/>
            <w:vAlign w:val="top"/>
          </w:tcPr>
          <w:p w14:paraId="7F7EF323">
            <w:pPr>
              <w:rPr>
                <w:rFonts w:hint="eastAsia" w:ascii="宋体" w:hAnsi="宋体" w:eastAsia="宋体" w:cs="宋体"/>
                <w:color w:val="auto"/>
              </w:rPr>
            </w:pPr>
          </w:p>
        </w:tc>
        <w:tc>
          <w:tcPr>
            <w:tcW w:w="2091" w:type="dxa"/>
            <w:noWrap w:val="0"/>
            <w:vAlign w:val="top"/>
          </w:tcPr>
          <w:p w14:paraId="1583440C">
            <w:pPr>
              <w:rPr>
                <w:rFonts w:hint="eastAsia" w:ascii="宋体" w:hAnsi="宋体" w:eastAsia="宋体" w:cs="宋体"/>
                <w:color w:val="auto"/>
              </w:rPr>
            </w:pPr>
          </w:p>
        </w:tc>
        <w:tc>
          <w:tcPr>
            <w:tcW w:w="2090" w:type="dxa"/>
            <w:noWrap w:val="0"/>
            <w:vAlign w:val="top"/>
          </w:tcPr>
          <w:p w14:paraId="4A179A0A">
            <w:pPr>
              <w:rPr>
                <w:rFonts w:hint="eastAsia" w:ascii="宋体" w:hAnsi="宋体" w:eastAsia="宋体" w:cs="宋体"/>
                <w:color w:val="auto"/>
              </w:rPr>
            </w:pPr>
          </w:p>
        </w:tc>
        <w:tc>
          <w:tcPr>
            <w:tcW w:w="2091" w:type="dxa"/>
            <w:noWrap w:val="0"/>
            <w:vAlign w:val="top"/>
          </w:tcPr>
          <w:p w14:paraId="1E0C3909">
            <w:pPr>
              <w:rPr>
                <w:rFonts w:hint="eastAsia" w:ascii="宋体" w:hAnsi="宋体" w:eastAsia="宋体" w:cs="宋体"/>
                <w:color w:val="auto"/>
              </w:rPr>
            </w:pPr>
          </w:p>
        </w:tc>
      </w:tr>
      <w:tr w14:paraId="4F1A3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2090" w:type="dxa"/>
            <w:noWrap w:val="0"/>
            <w:vAlign w:val="top"/>
          </w:tcPr>
          <w:p w14:paraId="1FF793BD">
            <w:pPr>
              <w:rPr>
                <w:rFonts w:hint="eastAsia" w:ascii="宋体" w:hAnsi="宋体" w:eastAsia="宋体" w:cs="宋体"/>
                <w:color w:val="auto"/>
              </w:rPr>
            </w:pPr>
          </w:p>
        </w:tc>
        <w:tc>
          <w:tcPr>
            <w:tcW w:w="2091" w:type="dxa"/>
            <w:noWrap w:val="0"/>
            <w:vAlign w:val="top"/>
          </w:tcPr>
          <w:p w14:paraId="494D8B0D">
            <w:pPr>
              <w:rPr>
                <w:rFonts w:hint="eastAsia" w:ascii="宋体" w:hAnsi="宋体" w:eastAsia="宋体" w:cs="宋体"/>
                <w:color w:val="auto"/>
              </w:rPr>
            </w:pPr>
          </w:p>
        </w:tc>
        <w:tc>
          <w:tcPr>
            <w:tcW w:w="2090" w:type="dxa"/>
            <w:noWrap w:val="0"/>
            <w:vAlign w:val="top"/>
          </w:tcPr>
          <w:p w14:paraId="45CD90E6">
            <w:pPr>
              <w:rPr>
                <w:rFonts w:hint="eastAsia" w:ascii="宋体" w:hAnsi="宋体" w:eastAsia="宋体" w:cs="宋体"/>
                <w:color w:val="auto"/>
              </w:rPr>
            </w:pPr>
          </w:p>
        </w:tc>
        <w:tc>
          <w:tcPr>
            <w:tcW w:w="2091" w:type="dxa"/>
            <w:noWrap w:val="0"/>
            <w:vAlign w:val="top"/>
          </w:tcPr>
          <w:p w14:paraId="0C8AFC9A">
            <w:pPr>
              <w:rPr>
                <w:rFonts w:hint="eastAsia" w:ascii="宋体" w:hAnsi="宋体" w:eastAsia="宋体" w:cs="宋体"/>
                <w:color w:val="auto"/>
              </w:rPr>
            </w:pPr>
          </w:p>
        </w:tc>
      </w:tr>
      <w:tr w14:paraId="6D0E6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090" w:type="dxa"/>
            <w:noWrap w:val="0"/>
            <w:vAlign w:val="top"/>
          </w:tcPr>
          <w:p w14:paraId="230D4304">
            <w:pPr>
              <w:rPr>
                <w:rFonts w:hint="eastAsia" w:ascii="宋体" w:hAnsi="宋体" w:eastAsia="宋体" w:cs="宋体"/>
                <w:color w:val="auto"/>
              </w:rPr>
            </w:pPr>
          </w:p>
        </w:tc>
        <w:tc>
          <w:tcPr>
            <w:tcW w:w="2091" w:type="dxa"/>
            <w:noWrap w:val="0"/>
            <w:vAlign w:val="top"/>
          </w:tcPr>
          <w:p w14:paraId="57FDE381">
            <w:pPr>
              <w:rPr>
                <w:rFonts w:hint="eastAsia" w:ascii="宋体" w:hAnsi="宋体" w:eastAsia="宋体" w:cs="宋体"/>
                <w:color w:val="auto"/>
              </w:rPr>
            </w:pPr>
          </w:p>
        </w:tc>
        <w:tc>
          <w:tcPr>
            <w:tcW w:w="2090" w:type="dxa"/>
            <w:noWrap w:val="0"/>
            <w:vAlign w:val="top"/>
          </w:tcPr>
          <w:p w14:paraId="0DFAE818">
            <w:pPr>
              <w:rPr>
                <w:rFonts w:hint="eastAsia" w:ascii="宋体" w:hAnsi="宋体" w:eastAsia="宋体" w:cs="宋体"/>
                <w:color w:val="auto"/>
              </w:rPr>
            </w:pPr>
          </w:p>
        </w:tc>
        <w:tc>
          <w:tcPr>
            <w:tcW w:w="2091" w:type="dxa"/>
            <w:noWrap w:val="0"/>
            <w:vAlign w:val="top"/>
          </w:tcPr>
          <w:p w14:paraId="7C3D322C">
            <w:pPr>
              <w:rPr>
                <w:rFonts w:hint="eastAsia" w:ascii="宋体" w:hAnsi="宋体" w:eastAsia="宋体" w:cs="宋体"/>
                <w:color w:val="auto"/>
              </w:rPr>
            </w:pPr>
          </w:p>
        </w:tc>
      </w:tr>
      <w:tr w14:paraId="268A6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090" w:type="dxa"/>
            <w:noWrap w:val="0"/>
            <w:vAlign w:val="top"/>
          </w:tcPr>
          <w:p w14:paraId="6E22070B">
            <w:pPr>
              <w:rPr>
                <w:rFonts w:hint="eastAsia" w:ascii="宋体" w:hAnsi="宋体" w:eastAsia="宋体" w:cs="宋体"/>
                <w:color w:val="auto"/>
              </w:rPr>
            </w:pPr>
          </w:p>
        </w:tc>
        <w:tc>
          <w:tcPr>
            <w:tcW w:w="2091" w:type="dxa"/>
            <w:noWrap w:val="0"/>
            <w:vAlign w:val="top"/>
          </w:tcPr>
          <w:p w14:paraId="42904337">
            <w:pPr>
              <w:rPr>
                <w:rFonts w:hint="eastAsia" w:ascii="宋体" w:hAnsi="宋体" w:eastAsia="宋体" w:cs="宋体"/>
                <w:color w:val="auto"/>
              </w:rPr>
            </w:pPr>
          </w:p>
        </w:tc>
        <w:tc>
          <w:tcPr>
            <w:tcW w:w="2090" w:type="dxa"/>
            <w:noWrap w:val="0"/>
            <w:vAlign w:val="top"/>
          </w:tcPr>
          <w:p w14:paraId="368B0EC5">
            <w:pPr>
              <w:rPr>
                <w:rFonts w:hint="eastAsia" w:ascii="宋体" w:hAnsi="宋体" w:eastAsia="宋体" w:cs="宋体"/>
                <w:color w:val="auto"/>
              </w:rPr>
            </w:pPr>
          </w:p>
        </w:tc>
        <w:tc>
          <w:tcPr>
            <w:tcW w:w="2091" w:type="dxa"/>
            <w:noWrap w:val="0"/>
            <w:vAlign w:val="top"/>
          </w:tcPr>
          <w:p w14:paraId="29F8B71F">
            <w:pPr>
              <w:rPr>
                <w:rFonts w:hint="eastAsia" w:ascii="宋体" w:hAnsi="宋体" w:eastAsia="宋体" w:cs="宋体"/>
                <w:color w:val="auto"/>
              </w:rPr>
            </w:pPr>
          </w:p>
        </w:tc>
      </w:tr>
    </w:tbl>
    <w:p w14:paraId="6556A52B">
      <w:pPr>
        <w:rPr>
          <w:rFonts w:hint="eastAsia" w:ascii="宋体" w:hAnsi="宋体" w:eastAsia="宋体" w:cs="宋体"/>
          <w:color w:val="4472C4"/>
        </w:rPr>
      </w:pPr>
    </w:p>
    <w:p w14:paraId="7BF3F93B">
      <w:pPr>
        <w:rPr>
          <w:rFonts w:hint="eastAsia" w:ascii="宋体" w:hAnsi="宋体" w:eastAsia="宋体" w:cs="宋体"/>
          <w:color w:val="4472C4"/>
        </w:rPr>
      </w:pPr>
    </w:p>
    <w:p w14:paraId="28B07874">
      <w:pPr>
        <w:rPr>
          <w:rFonts w:hint="eastAsia" w:ascii="宋体" w:hAnsi="宋体" w:eastAsia="宋体" w:cs="宋体"/>
          <w:color w:val="4472C4"/>
        </w:rPr>
      </w:pPr>
    </w:p>
    <w:p w14:paraId="5E01D447">
      <w:pPr>
        <w:rPr>
          <w:rFonts w:hint="eastAsia" w:ascii="宋体" w:hAnsi="宋体" w:eastAsia="宋体" w:cs="宋体"/>
          <w:color w:val="auto"/>
        </w:rPr>
      </w:pPr>
      <w:r>
        <w:rPr>
          <w:rFonts w:hint="eastAsia" w:ascii="宋体" w:hAnsi="宋体" w:eastAsia="宋体" w:cs="宋体"/>
          <w:color w:val="auto"/>
        </w:rPr>
        <w:t>附表七：拟分包计划表</w:t>
      </w:r>
    </w:p>
    <w:p w14:paraId="08ABB6CD">
      <w:pPr>
        <w:jc w:val="left"/>
        <w:rPr>
          <w:rFonts w:hint="eastAsia" w:ascii="宋体" w:hAnsi="宋体" w:eastAsia="宋体" w:cs="宋体"/>
          <w:color w:val="auto"/>
          <w:szCs w:val="21"/>
        </w:rPr>
      </w:pPr>
    </w:p>
    <w:p w14:paraId="69FEE23A">
      <w:pPr>
        <w:rPr>
          <w:rFonts w:hint="eastAsia" w:ascii="宋体" w:hAnsi="宋体" w:eastAsia="宋体" w:cs="宋体"/>
          <w:color w:val="auto"/>
          <w:szCs w:val="21"/>
        </w:rPr>
      </w:pPr>
      <w:r>
        <w:rPr>
          <w:rFonts w:hint="eastAsia" w:ascii="宋体" w:hAnsi="宋体" w:eastAsia="宋体" w:cs="宋体"/>
          <w:color w:val="auto"/>
          <w:szCs w:val="21"/>
        </w:rPr>
        <w:t>如供应商须知注明不允许分包，则本表无须提供，反之须提供。</w:t>
      </w:r>
    </w:p>
    <w:p w14:paraId="1C73FD18">
      <w:pPr>
        <w:pStyle w:val="23"/>
        <w:jc w:val="center"/>
        <w:rPr>
          <w:rFonts w:hint="eastAsia" w:ascii="宋体" w:hAnsi="宋体" w:eastAsia="宋体" w:cs="宋体"/>
          <w:b/>
          <w:color w:val="auto"/>
          <w:sz w:val="28"/>
          <w:szCs w:val="28"/>
        </w:rPr>
      </w:pPr>
    </w:p>
    <w:tbl>
      <w:tblPr>
        <w:tblStyle w:val="15"/>
        <w:tblW w:w="87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8"/>
        <w:gridCol w:w="1843"/>
        <w:gridCol w:w="751"/>
        <w:gridCol w:w="950"/>
        <w:gridCol w:w="1123"/>
        <w:gridCol w:w="1090"/>
        <w:gridCol w:w="1197"/>
        <w:gridCol w:w="1268"/>
      </w:tblGrid>
      <w:tr w14:paraId="1600F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restart"/>
            <w:noWrap w:val="0"/>
            <w:tcMar>
              <w:left w:w="108" w:type="dxa"/>
              <w:right w:w="108" w:type="dxa"/>
            </w:tcMar>
            <w:vAlign w:val="center"/>
          </w:tcPr>
          <w:p w14:paraId="706317A6">
            <w:pPr>
              <w:jc w:val="center"/>
              <w:rPr>
                <w:rFonts w:hint="eastAsia" w:ascii="宋体" w:hAnsi="宋体" w:eastAsia="宋体" w:cs="宋体"/>
                <w:color w:val="auto"/>
                <w:szCs w:val="21"/>
              </w:rPr>
            </w:pPr>
            <w:r>
              <w:rPr>
                <w:rFonts w:hint="eastAsia" w:ascii="宋体" w:hAnsi="宋体" w:eastAsia="宋体" w:cs="宋体"/>
                <w:color w:val="auto"/>
                <w:szCs w:val="21"/>
              </w:rPr>
              <w:t>序</w:t>
            </w:r>
          </w:p>
          <w:p w14:paraId="2B30251F">
            <w:pPr>
              <w:jc w:val="center"/>
              <w:rPr>
                <w:rFonts w:hint="eastAsia" w:ascii="宋体" w:hAnsi="宋体" w:eastAsia="宋体" w:cs="宋体"/>
                <w:color w:val="auto"/>
                <w:szCs w:val="21"/>
              </w:rPr>
            </w:pPr>
            <w:r>
              <w:rPr>
                <w:rFonts w:hint="eastAsia" w:ascii="宋体" w:hAnsi="宋体" w:eastAsia="宋体" w:cs="宋体"/>
                <w:color w:val="auto"/>
                <w:szCs w:val="21"/>
              </w:rPr>
              <w:t>号</w:t>
            </w:r>
          </w:p>
        </w:tc>
        <w:tc>
          <w:tcPr>
            <w:tcW w:w="1843" w:type="dxa"/>
            <w:vMerge w:val="restart"/>
            <w:noWrap w:val="0"/>
            <w:tcMar>
              <w:left w:w="108" w:type="dxa"/>
              <w:right w:w="108" w:type="dxa"/>
            </w:tcMar>
            <w:vAlign w:val="center"/>
          </w:tcPr>
          <w:p w14:paraId="421E3066">
            <w:pPr>
              <w:jc w:val="center"/>
              <w:rPr>
                <w:rFonts w:hint="eastAsia" w:ascii="宋体" w:hAnsi="宋体" w:eastAsia="宋体" w:cs="宋体"/>
                <w:color w:val="auto"/>
                <w:szCs w:val="21"/>
              </w:rPr>
            </w:pPr>
            <w:r>
              <w:rPr>
                <w:rFonts w:hint="eastAsia" w:ascii="宋体" w:hAnsi="宋体" w:eastAsia="宋体" w:cs="宋体"/>
                <w:color w:val="auto"/>
                <w:szCs w:val="21"/>
              </w:rPr>
              <w:t>拟分包项目名称、范围及理由</w:t>
            </w:r>
          </w:p>
        </w:tc>
        <w:tc>
          <w:tcPr>
            <w:tcW w:w="5111" w:type="dxa"/>
            <w:gridSpan w:val="5"/>
            <w:noWrap w:val="0"/>
            <w:tcMar>
              <w:left w:w="108" w:type="dxa"/>
              <w:right w:w="108" w:type="dxa"/>
            </w:tcMar>
            <w:vAlign w:val="center"/>
          </w:tcPr>
          <w:p w14:paraId="046D8C13">
            <w:pPr>
              <w:jc w:val="center"/>
              <w:rPr>
                <w:rFonts w:hint="eastAsia" w:ascii="宋体" w:hAnsi="宋体" w:eastAsia="宋体" w:cs="宋体"/>
                <w:color w:val="auto"/>
                <w:szCs w:val="21"/>
              </w:rPr>
            </w:pPr>
            <w:r>
              <w:rPr>
                <w:rFonts w:hint="eastAsia" w:ascii="宋体" w:hAnsi="宋体" w:eastAsia="宋体" w:cs="宋体"/>
                <w:color w:val="auto"/>
                <w:szCs w:val="21"/>
              </w:rPr>
              <w:t>拟选分包人</w:t>
            </w:r>
          </w:p>
        </w:tc>
        <w:tc>
          <w:tcPr>
            <w:tcW w:w="1268" w:type="dxa"/>
            <w:vMerge w:val="restart"/>
            <w:noWrap w:val="0"/>
            <w:tcMar>
              <w:left w:w="108" w:type="dxa"/>
              <w:right w:w="108" w:type="dxa"/>
            </w:tcMar>
            <w:vAlign w:val="center"/>
          </w:tcPr>
          <w:p w14:paraId="2F9D37B7">
            <w:pPr>
              <w:jc w:val="center"/>
              <w:rPr>
                <w:rFonts w:hint="eastAsia" w:ascii="宋体" w:hAnsi="宋体" w:eastAsia="宋体" w:cs="宋体"/>
                <w:color w:val="auto"/>
                <w:szCs w:val="21"/>
              </w:rPr>
            </w:pPr>
            <w:r>
              <w:rPr>
                <w:rFonts w:hint="eastAsia" w:ascii="宋体" w:hAnsi="宋体" w:eastAsia="宋体" w:cs="宋体"/>
                <w:color w:val="auto"/>
                <w:szCs w:val="21"/>
              </w:rPr>
              <w:t>备注</w:t>
            </w:r>
          </w:p>
        </w:tc>
      </w:tr>
      <w:tr w14:paraId="6AC89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noWrap w:val="0"/>
            <w:tcMar>
              <w:left w:w="108" w:type="dxa"/>
              <w:right w:w="108" w:type="dxa"/>
            </w:tcMar>
            <w:vAlign w:val="center"/>
          </w:tcPr>
          <w:p w14:paraId="72A18363">
            <w:pPr>
              <w:jc w:val="center"/>
              <w:rPr>
                <w:rFonts w:hint="eastAsia" w:ascii="宋体" w:hAnsi="宋体" w:eastAsia="宋体" w:cs="宋体"/>
                <w:color w:val="auto"/>
                <w:szCs w:val="21"/>
              </w:rPr>
            </w:pPr>
          </w:p>
        </w:tc>
        <w:tc>
          <w:tcPr>
            <w:tcW w:w="1843" w:type="dxa"/>
            <w:vMerge w:val="continue"/>
            <w:noWrap w:val="0"/>
            <w:tcMar>
              <w:left w:w="108" w:type="dxa"/>
              <w:right w:w="108" w:type="dxa"/>
            </w:tcMar>
            <w:vAlign w:val="center"/>
          </w:tcPr>
          <w:p w14:paraId="5FAD47E9">
            <w:pPr>
              <w:jc w:val="center"/>
              <w:rPr>
                <w:rFonts w:hint="eastAsia" w:ascii="宋体" w:hAnsi="宋体" w:eastAsia="宋体" w:cs="宋体"/>
                <w:color w:val="auto"/>
                <w:szCs w:val="21"/>
              </w:rPr>
            </w:pPr>
          </w:p>
        </w:tc>
        <w:tc>
          <w:tcPr>
            <w:tcW w:w="1701" w:type="dxa"/>
            <w:gridSpan w:val="2"/>
            <w:noWrap w:val="0"/>
            <w:tcMar>
              <w:left w:w="108" w:type="dxa"/>
              <w:right w:w="108" w:type="dxa"/>
            </w:tcMar>
            <w:vAlign w:val="center"/>
          </w:tcPr>
          <w:p w14:paraId="596D8088">
            <w:pPr>
              <w:jc w:val="center"/>
              <w:rPr>
                <w:rFonts w:hint="eastAsia" w:ascii="宋体" w:hAnsi="宋体" w:eastAsia="宋体" w:cs="宋体"/>
                <w:color w:val="auto"/>
                <w:szCs w:val="21"/>
              </w:rPr>
            </w:pPr>
            <w:r>
              <w:rPr>
                <w:rFonts w:hint="eastAsia" w:ascii="宋体" w:hAnsi="宋体" w:eastAsia="宋体" w:cs="宋体"/>
                <w:color w:val="auto"/>
                <w:szCs w:val="21"/>
              </w:rPr>
              <w:t>拟选分包人名称</w:t>
            </w:r>
          </w:p>
        </w:tc>
        <w:tc>
          <w:tcPr>
            <w:tcW w:w="1123" w:type="dxa"/>
            <w:noWrap w:val="0"/>
            <w:tcMar>
              <w:left w:w="108" w:type="dxa"/>
              <w:right w:w="108" w:type="dxa"/>
            </w:tcMar>
            <w:vAlign w:val="center"/>
          </w:tcPr>
          <w:p w14:paraId="57E060AD">
            <w:pPr>
              <w:jc w:val="center"/>
              <w:rPr>
                <w:rFonts w:hint="eastAsia" w:ascii="宋体" w:hAnsi="宋体" w:eastAsia="宋体" w:cs="宋体"/>
                <w:color w:val="auto"/>
                <w:szCs w:val="21"/>
              </w:rPr>
            </w:pPr>
            <w:r>
              <w:rPr>
                <w:rFonts w:hint="eastAsia" w:ascii="宋体" w:hAnsi="宋体" w:eastAsia="宋体" w:cs="宋体"/>
                <w:color w:val="auto"/>
                <w:szCs w:val="21"/>
              </w:rPr>
              <w:t>注册地点</w:t>
            </w:r>
          </w:p>
        </w:tc>
        <w:tc>
          <w:tcPr>
            <w:tcW w:w="1090" w:type="dxa"/>
            <w:noWrap w:val="0"/>
            <w:tcMar>
              <w:left w:w="108" w:type="dxa"/>
              <w:right w:w="108" w:type="dxa"/>
            </w:tcMar>
            <w:vAlign w:val="center"/>
          </w:tcPr>
          <w:p w14:paraId="4AFB671D">
            <w:pPr>
              <w:jc w:val="center"/>
              <w:rPr>
                <w:rFonts w:hint="eastAsia" w:ascii="宋体" w:hAnsi="宋体" w:eastAsia="宋体" w:cs="宋体"/>
                <w:color w:val="auto"/>
                <w:szCs w:val="21"/>
              </w:rPr>
            </w:pPr>
            <w:r>
              <w:rPr>
                <w:rFonts w:hint="eastAsia" w:ascii="宋体" w:hAnsi="宋体" w:eastAsia="宋体" w:cs="宋体"/>
                <w:color w:val="auto"/>
                <w:szCs w:val="21"/>
              </w:rPr>
              <w:t>企业资质</w:t>
            </w:r>
          </w:p>
        </w:tc>
        <w:tc>
          <w:tcPr>
            <w:tcW w:w="1197" w:type="dxa"/>
            <w:noWrap w:val="0"/>
            <w:tcMar>
              <w:left w:w="108" w:type="dxa"/>
              <w:right w:w="108" w:type="dxa"/>
            </w:tcMar>
            <w:vAlign w:val="center"/>
          </w:tcPr>
          <w:p w14:paraId="0FCC0EFA">
            <w:pPr>
              <w:jc w:val="center"/>
              <w:rPr>
                <w:rFonts w:hint="eastAsia" w:ascii="宋体" w:hAnsi="宋体" w:eastAsia="宋体" w:cs="宋体"/>
                <w:color w:val="auto"/>
                <w:szCs w:val="21"/>
              </w:rPr>
            </w:pPr>
            <w:r>
              <w:rPr>
                <w:rFonts w:hint="eastAsia" w:ascii="宋体" w:hAnsi="宋体" w:eastAsia="宋体" w:cs="宋体"/>
                <w:color w:val="auto"/>
                <w:szCs w:val="21"/>
              </w:rPr>
              <w:t>有关业绩</w:t>
            </w:r>
          </w:p>
        </w:tc>
        <w:tc>
          <w:tcPr>
            <w:tcW w:w="1268" w:type="dxa"/>
            <w:vMerge w:val="continue"/>
            <w:noWrap w:val="0"/>
            <w:tcMar>
              <w:left w:w="108" w:type="dxa"/>
              <w:right w:w="108" w:type="dxa"/>
            </w:tcMar>
            <w:vAlign w:val="center"/>
          </w:tcPr>
          <w:p w14:paraId="5A85A403">
            <w:pPr>
              <w:jc w:val="center"/>
              <w:rPr>
                <w:rFonts w:hint="eastAsia" w:ascii="宋体" w:hAnsi="宋体" w:eastAsia="宋体" w:cs="宋体"/>
                <w:color w:val="auto"/>
                <w:szCs w:val="21"/>
              </w:rPr>
            </w:pPr>
          </w:p>
        </w:tc>
      </w:tr>
      <w:tr w14:paraId="69F7A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restart"/>
            <w:noWrap w:val="0"/>
            <w:tcMar>
              <w:left w:w="108" w:type="dxa"/>
              <w:right w:w="108" w:type="dxa"/>
            </w:tcMar>
            <w:vAlign w:val="center"/>
          </w:tcPr>
          <w:p w14:paraId="3B6ECA2D">
            <w:pPr>
              <w:jc w:val="center"/>
              <w:rPr>
                <w:rFonts w:hint="eastAsia" w:ascii="宋体" w:hAnsi="宋体" w:eastAsia="宋体" w:cs="宋体"/>
                <w:color w:val="auto"/>
                <w:szCs w:val="21"/>
              </w:rPr>
            </w:pPr>
          </w:p>
        </w:tc>
        <w:tc>
          <w:tcPr>
            <w:tcW w:w="1843" w:type="dxa"/>
            <w:vMerge w:val="restart"/>
            <w:noWrap w:val="0"/>
            <w:tcMar>
              <w:left w:w="108" w:type="dxa"/>
              <w:right w:w="108" w:type="dxa"/>
            </w:tcMar>
            <w:vAlign w:val="center"/>
          </w:tcPr>
          <w:p w14:paraId="7D1316D1">
            <w:pPr>
              <w:jc w:val="center"/>
              <w:rPr>
                <w:rFonts w:hint="eastAsia" w:ascii="宋体" w:hAnsi="宋体" w:eastAsia="宋体" w:cs="宋体"/>
                <w:color w:val="auto"/>
                <w:szCs w:val="21"/>
              </w:rPr>
            </w:pPr>
          </w:p>
        </w:tc>
        <w:tc>
          <w:tcPr>
            <w:tcW w:w="751" w:type="dxa"/>
            <w:noWrap w:val="0"/>
            <w:tcMar>
              <w:left w:w="108" w:type="dxa"/>
              <w:right w:w="108" w:type="dxa"/>
            </w:tcMar>
            <w:vAlign w:val="center"/>
          </w:tcPr>
          <w:p w14:paraId="4CFE5F89">
            <w:pPr>
              <w:jc w:val="center"/>
              <w:rPr>
                <w:rFonts w:hint="eastAsia" w:ascii="宋体" w:hAnsi="宋体" w:eastAsia="宋体" w:cs="宋体"/>
                <w:color w:val="auto"/>
                <w:szCs w:val="21"/>
              </w:rPr>
            </w:pPr>
            <w:r>
              <w:rPr>
                <w:rFonts w:hint="eastAsia" w:ascii="宋体" w:hAnsi="宋体" w:eastAsia="宋体" w:cs="宋体"/>
                <w:color w:val="auto"/>
                <w:szCs w:val="21"/>
              </w:rPr>
              <w:t>1</w:t>
            </w:r>
          </w:p>
        </w:tc>
        <w:tc>
          <w:tcPr>
            <w:tcW w:w="950" w:type="dxa"/>
            <w:noWrap w:val="0"/>
            <w:tcMar>
              <w:left w:w="108" w:type="dxa"/>
              <w:right w:w="108" w:type="dxa"/>
            </w:tcMar>
            <w:vAlign w:val="center"/>
          </w:tcPr>
          <w:p w14:paraId="35249348">
            <w:pPr>
              <w:jc w:val="center"/>
              <w:rPr>
                <w:rFonts w:hint="eastAsia" w:ascii="宋体" w:hAnsi="宋体" w:eastAsia="宋体" w:cs="宋体"/>
                <w:color w:val="auto"/>
                <w:szCs w:val="21"/>
              </w:rPr>
            </w:pPr>
          </w:p>
        </w:tc>
        <w:tc>
          <w:tcPr>
            <w:tcW w:w="1123" w:type="dxa"/>
            <w:noWrap w:val="0"/>
            <w:tcMar>
              <w:left w:w="108" w:type="dxa"/>
              <w:right w:w="108" w:type="dxa"/>
            </w:tcMar>
            <w:vAlign w:val="center"/>
          </w:tcPr>
          <w:p w14:paraId="2DD7B04E">
            <w:pPr>
              <w:jc w:val="center"/>
              <w:rPr>
                <w:rFonts w:hint="eastAsia" w:ascii="宋体" w:hAnsi="宋体" w:eastAsia="宋体" w:cs="宋体"/>
                <w:color w:val="auto"/>
                <w:szCs w:val="21"/>
              </w:rPr>
            </w:pPr>
          </w:p>
        </w:tc>
        <w:tc>
          <w:tcPr>
            <w:tcW w:w="1090" w:type="dxa"/>
            <w:noWrap w:val="0"/>
            <w:tcMar>
              <w:left w:w="108" w:type="dxa"/>
              <w:right w:w="108" w:type="dxa"/>
            </w:tcMar>
            <w:vAlign w:val="center"/>
          </w:tcPr>
          <w:p w14:paraId="7E306426">
            <w:pPr>
              <w:jc w:val="center"/>
              <w:rPr>
                <w:rFonts w:hint="eastAsia" w:ascii="宋体" w:hAnsi="宋体" w:eastAsia="宋体" w:cs="宋体"/>
                <w:color w:val="auto"/>
                <w:szCs w:val="21"/>
              </w:rPr>
            </w:pPr>
          </w:p>
        </w:tc>
        <w:tc>
          <w:tcPr>
            <w:tcW w:w="1197" w:type="dxa"/>
            <w:noWrap w:val="0"/>
            <w:tcMar>
              <w:left w:w="108" w:type="dxa"/>
              <w:right w:w="108" w:type="dxa"/>
            </w:tcMar>
            <w:vAlign w:val="center"/>
          </w:tcPr>
          <w:p w14:paraId="5EED02AE">
            <w:pPr>
              <w:jc w:val="center"/>
              <w:rPr>
                <w:rFonts w:hint="eastAsia" w:ascii="宋体" w:hAnsi="宋体" w:eastAsia="宋体" w:cs="宋体"/>
                <w:color w:val="auto"/>
                <w:szCs w:val="21"/>
              </w:rPr>
            </w:pPr>
          </w:p>
        </w:tc>
        <w:tc>
          <w:tcPr>
            <w:tcW w:w="1268" w:type="dxa"/>
            <w:noWrap w:val="0"/>
            <w:tcMar>
              <w:left w:w="108" w:type="dxa"/>
              <w:right w:w="108" w:type="dxa"/>
            </w:tcMar>
            <w:vAlign w:val="center"/>
          </w:tcPr>
          <w:p w14:paraId="010617DC">
            <w:pPr>
              <w:jc w:val="center"/>
              <w:rPr>
                <w:rFonts w:hint="eastAsia" w:ascii="宋体" w:hAnsi="宋体" w:eastAsia="宋体" w:cs="宋体"/>
                <w:color w:val="auto"/>
                <w:szCs w:val="21"/>
              </w:rPr>
            </w:pPr>
          </w:p>
        </w:tc>
      </w:tr>
      <w:tr w14:paraId="1F311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noWrap w:val="0"/>
            <w:tcMar>
              <w:left w:w="108" w:type="dxa"/>
              <w:right w:w="108" w:type="dxa"/>
            </w:tcMar>
            <w:vAlign w:val="center"/>
          </w:tcPr>
          <w:p w14:paraId="58A5D671">
            <w:pPr>
              <w:jc w:val="center"/>
              <w:rPr>
                <w:rFonts w:hint="eastAsia" w:ascii="宋体" w:hAnsi="宋体" w:eastAsia="宋体" w:cs="宋体"/>
                <w:color w:val="auto"/>
                <w:szCs w:val="21"/>
              </w:rPr>
            </w:pPr>
          </w:p>
        </w:tc>
        <w:tc>
          <w:tcPr>
            <w:tcW w:w="1843" w:type="dxa"/>
            <w:vMerge w:val="continue"/>
            <w:noWrap w:val="0"/>
            <w:tcMar>
              <w:left w:w="108" w:type="dxa"/>
              <w:right w:w="108" w:type="dxa"/>
            </w:tcMar>
            <w:vAlign w:val="center"/>
          </w:tcPr>
          <w:p w14:paraId="13C2BC7D">
            <w:pPr>
              <w:jc w:val="center"/>
              <w:rPr>
                <w:rFonts w:hint="eastAsia" w:ascii="宋体" w:hAnsi="宋体" w:eastAsia="宋体" w:cs="宋体"/>
                <w:color w:val="auto"/>
                <w:szCs w:val="21"/>
              </w:rPr>
            </w:pPr>
          </w:p>
        </w:tc>
        <w:tc>
          <w:tcPr>
            <w:tcW w:w="751" w:type="dxa"/>
            <w:noWrap w:val="0"/>
            <w:tcMar>
              <w:left w:w="108" w:type="dxa"/>
              <w:right w:w="108" w:type="dxa"/>
            </w:tcMar>
            <w:vAlign w:val="center"/>
          </w:tcPr>
          <w:p w14:paraId="4A577FC5">
            <w:pPr>
              <w:jc w:val="center"/>
              <w:rPr>
                <w:rFonts w:hint="eastAsia" w:ascii="宋体" w:hAnsi="宋体" w:eastAsia="宋体" w:cs="宋体"/>
                <w:color w:val="auto"/>
                <w:szCs w:val="21"/>
              </w:rPr>
            </w:pPr>
            <w:r>
              <w:rPr>
                <w:rFonts w:hint="eastAsia" w:ascii="宋体" w:hAnsi="宋体" w:eastAsia="宋体" w:cs="宋体"/>
                <w:color w:val="auto"/>
                <w:szCs w:val="21"/>
              </w:rPr>
              <w:t>2</w:t>
            </w:r>
          </w:p>
        </w:tc>
        <w:tc>
          <w:tcPr>
            <w:tcW w:w="950" w:type="dxa"/>
            <w:noWrap w:val="0"/>
            <w:tcMar>
              <w:left w:w="108" w:type="dxa"/>
              <w:right w:w="108" w:type="dxa"/>
            </w:tcMar>
            <w:vAlign w:val="center"/>
          </w:tcPr>
          <w:p w14:paraId="729B6FE4">
            <w:pPr>
              <w:jc w:val="center"/>
              <w:rPr>
                <w:rFonts w:hint="eastAsia" w:ascii="宋体" w:hAnsi="宋体" w:eastAsia="宋体" w:cs="宋体"/>
                <w:color w:val="auto"/>
                <w:szCs w:val="21"/>
              </w:rPr>
            </w:pPr>
          </w:p>
        </w:tc>
        <w:tc>
          <w:tcPr>
            <w:tcW w:w="1123" w:type="dxa"/>
            <w:noWrap w:val="0"/>
            <w:tcMar>
              <w:left w:w="108" w:type="dxa"/>
              <w:right w:w="108" w:type="dxa"/>
            </w:tcMar>
            <w:vAlign w:val="center"/>
          </w:tcPr>
          <w:p w14:paraId="4C70B3BC">
            <w:pPr>
              <w:jc w:val="center"/>
              <w:rPr>
                <w:rFonts w:hint="eastAsia" w:ascii="宋体" w:hAnsi="宋体" w:eastAsia="宋体" w:cs="宋体"/>
                <w:color w:val="auto"/>
                <w:szCs w:val="21"/>
              </w:rPr>
            </w:pPr>
          </w:p>
        </w:tc>
        <w:tc>
          <w:tcPr>
            <w:tcW w:w="1090" w:type="dxa"/>
            <w:noWrap w:val="0"/>
            <w:tcMar>
              <w:left w:w="108" w:type="dxa"/>
              <w:right w:w="108" w:type="dxa"/>
            </w:tcMar>
            <w:vAlign w:val="center"/>
          </w:tcPr>
          <w:p w14:paraId="4E21A88E">
            <w:pPr>
              <w:jc w:val="center"/>
              <w:rPr>
                <w:rFonts w:hint="eastAsia" w:ascii="宋体" w:hAnsi="宋体" w:eastAsia="宋体" w:cs="宋体"/>
                <w:color w:val="auto"/>
                <w:szCs w:val="21"/>
              </w:rPr>
            </w:pPr>
          </w:p>
        </w:tc>
        <w:tc>
          <w:tcPr>
            <w:tcW w:w="1197" w:type="dxa"/>
            <w:noWrap w:val="0"/>
            <w:tcMar>
              <w:left w:w="108" w:type="dxa"/>
              <w:right w:w="108" w:type="dxa"/>
            </w:tcMar>
            <w:vAlign w:val="center"/>
          </w:tcPr>
          <w:p w14:paraId="5FADC61D">
            <w:pPr>
              <w:jc w:val="center"/>
              <w:rPr>
                <w:rFonts w:hint="eastAsia" w:ascii="宋体" w:hAnsi="宋体" w:eastAsia="宋体" w:cs="宋体"/>
                <w:color w:val="auto"/>
                <w:szCs w:val="21"/>
              </w:rPr>
            </w:pPr>
          </w:p>
        </w:tc>
        <w:tc>
          <w:tcPr>
            <w:tcW w:w="1268" w:type="dxa"/>
            <w:noWrap w:val="0"/>
            <w:tcMar>
              <w:left w:w="108" w:type="dxa"/>
              <w:right w:w="108" w:type="dxa"/>
            </w:tcMar>
            <w:vAlign w:val="center"/>
          </w:tcPr>
          <w:p w14:paraId="2116B825">
            <w:pPr>
              <w:jc w:val="center"/>
              <w:rPr>
                <w:rFonts w:hint="eastAsia" w:ascii="宋体" w:hAnsi="宋体" w:eastAsia="宋体" w:cs="宋体"/>
                <w:color w:val="auto"/>
                <w:szCs w:val="21"/>
              </w:rPr>
            </w:pPr>
          </w:p>
        </w:tc>
      </w:tr>
      <w:tr w14:paraId="3FEBE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noWrap w:val="0"/>
            <w:tcMar>
              <w:left w:w="108" w:type="dxa"/>
              <w:right w:w="108" w:type="dxa"/>
            </w:tcMar>
            <w:vAlign w:val="center"/>
          </w:tcPr>
          <w:p w14:paraId="0CCB6B36">
            <w:pPr>
              <w:jc w:val="center"/>
              <w:rPr>
                <w:rFonts w:hint="eastAsia" w:ascii="宋体" w:hAnsi="宋体" w:eastAsia="宋体" w:cs="宋体"/>
                <w:color w:val="auto"/>
                <w:szCs w:val="21"/>
              </w:rPr>
            </w:pPr>
          </w:p>
        </w:tc>
        <w:tc>
          <w:tcPr>
            <w:tcW w:w="1843" w:type="dxa"/>
            <w:vMerge w:val="continue"/>
            <w:noWrap w:val="0"/>
            <w:tcMar>
              <w:left w:w="108" w:type="dxa"/>
              <w:right w:w="108" w:type="dxa"/>
            </w:tcMar>
            <w:vAlign w:val="center"/>
          </w:tcPr>
          <w:p w14:paraId="410CB3AC">
            <w:pPr>
              <w:jc w:val="center"/>
              <w:rPr>
                <w:rFonts w:hint="eastAsia" w:ascii="宋体" w:hAnsi="宋体" w:eastAsia="宋体" w:cs="宋体"/>
                <w:color w:val="auto"/>
                <w:szCs w:val="21"/>
              </w:rPr>
            </w:pPr>
          </w:p>
        </w:tc>
        <w:tc>
          <w:tcPr>
            <w:tcW w:w="751" w:type="dxa"/>
            <w:noWrap w:val="0"/>
            <w:tcMar>
              <w:left w:w="108" w:type="dxa"/>
              <w:right w:w="108" w:type="dxa"/>
            </w:tcMar>
            <w:vAlign w:val="center"/>
          </w:tcPr>
          <w:p w14:paraId="28E3DC57">
            <w:pPr>
              <w:jc w:val="center"/>
              <w:rPr>
                <w:rFonts w:hint="eastAsia" w:ascii="宋体" w:hAnsi="宋体" w:eastAsia="宋体" w:cs="宋体"/>
                <w:color w:val="auto"/>
                <w:szCs w:val="21"/>
              </w:rPr>
            </w:pPr>
            <w:r>
              <w:rPr>
                <w:rFonts w:hint="eastAsia" w:ascii="宋体" w:hAnsi="宋体" w:eastAsia="宋体" w:cs="宋体"/>
                <w:color w:val="auto"/>
                <w:szCs w:val="21"/>
              </w:rPr>
              <w:t>3</w:t>
            </w:r>
          </w:p>
        </w:tc>
        <w:tc>
          <w:tcPr>
            <w:tcW w:w="950" w:type="dxa"/>
            <w:noWrap w:val="0"/>
            <w:tcMar>
              <w:left w:w="108" w:type="dxa"/>
              <w:right w:w="108" w:type="dxa"/>
            </w:tcMar>
            <w:vAlign w:val="center"/>
          </w:tcPr>
          <w:p w14:paraId="51C49F80">
            <w:pPr>
              <w:jc w:val="center"/>
              <w:rPr>
                <w:rFonts w:hint="eastAsia" w:ascii="宋体" w:hAnsi="宋体" w:eastAsia="宋体" w:cs="宋体"/>
                <w:color w:val="auto"/>
                <w:szCs w:val="21"/>
              </w:rPr>
            </w:pPr>
          </w:p>
        </w:tc>
        <w:tc>
          <w:tcPr>
            <w:tcW w:w="1123" w:type="dxa"/>
            <w:noWrap w:val="0"/>
            <w:tcMar>
              <w:left w:w="108" w:type="dxa"/>
              <w:right w:w="108" w:type="dxa"/>
            </w:tcMar>
            <w:vAlign w:val="center"/>
          </w:tcPr>
          <w:p w14:paraId="7320AB37">
            <w:pPr>
              <w:jc w:val="center"/>
              <w:rPr>
                <w:rFonts w:hint="eastAsia" w:ascii="宋体" w:hAnsi="宋体" w:eastAsia="宋体" w:cs="宋体"/>
                <w:color w:val="auto"/>
                <w:szCs w:val="21"/>
              </w:rPr>
            </w:pPr>
          </w:p>
        </w:tc>
        <w:tc>
          <w:tcPr>
            <w:tcW w:w="1090" w:type="dxa"/>
            <w:noWrap w:val="0"/>
            <w:tcMar>
              <w:left w:w="108" w:type="dxa"/>
              <w:right w:w="108" w:type="dxa"/>
            </w:tcMar>
            <w:vAlign w:val="center"/>
          </w:tcPr>
          <w:p w14:paraId="77275A61">
            <w:pPr>
              <w:jc w:val="center"/>
              <w:rPr>
                <w:rFonts w:hint="eastAsia" w:ascii="宋体" w:hAnsi="宋体" w:eastAsia="宋体" w:cs="宋体"/>
                <w:color w:val="auto"/>
                <w:szCs w:val="21"/>
              </w:rPr>
            </w:pPr>
          </w:p>
        </w:tc>
        <w:tc>
          <w:tcPr>
            <w:tcW w:w="1197" w:type="dxa"/>
            <w:noWrap w:val="0"/>
            <w:tcMar>
              <w:left w:w="108" w:type="dxa"/>
              <w:right w:w="108" w:type="dxa"/>
            </w:tcMar>
            <w:vAlign w:val="center"/>
          </w:tcPr>
          <w:p w14:paraId="38DBFCE4">
            <w:pPr>
              <w:jc w:val="center"/>
              <w:rPr>
                <w:rFonts w:hint="eastAsia" w:ascii="宋体" w:hAnsi="宋体" w:eastAsia="宋体" w:cs="宋体"/>
                <w:color w:val="auto"/>
                <w:szCs w:val="21"/>
              </w:rPr>
            </w:pPr>
          </w:p>
        </w:tc>
        <w:tc>
          <w:tcPr>
            <w:tcW w:w="1268" w:type="dxa"/>
            <w:noWrap w:val="0"/>
            <w:tcMar>
              <w:left w:w="108" w:type="dxa"/>
              <w:right w:w="108" w:type="dxa"/>
            </w:tcMar>
            <w:vAlign w:val="center"/>
          </w:tcPr>
          <w:p w14:paraId="2DC09669">
            <w:pPr>
              <w:jc w:val="center"/>
              <w:rPr>
                <w:rFonts w:hint="eastAsia" w:ascii="宋体" w:hAnsi="宋体" w:eastAsia="宋体" w:cs="宋体"/>
                <w:color w:val="auto"/>
                <w:szCs w:val="21"/>
              </w:rPr>
            </w:pPr>
          </w:p>
        </w:tc>
      </w:tr>
      <w:tr w14:paraId="3CA84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restart"/>
            <w:noWrap w:val="0"/>
            <w:tcMar>
              <w:left w:w="108" w:type="dxa"/>
              <w:right w:w="108" w:type="dxa"/>
            </w:tcMar>
            <w:vAlign w:val="center"/>
          </w:tcPr>
          <w:p w14:paraId="614FC7A8">
            <w:pPr>
              <w:jc w:val="center"/>
              <w:rPr>
                <w:rFonts w:hint="eastAsia" w:ascii="宋体" w:hAnsi="宋体" w:eastAsia="宋体" w:cs="宋体"/>
                <w:color w:val="auto"/>
                <w:szCs w:val="21"/>
              </w:rPr>
            </w:pPr>
          </w:p>
        </w:tc>
        <w:tc>
          <w:tcPr>
            <w:tcW w:w="1843" w:type="dxa"/>
            <w:vMerge w:val="restart"/>
            <w:noWrap w:val="0"/>
            <w:tcMar>
              <w:left w:w="108" w:type="dxa"/>
              <w:right w:w="108" w:type="dxa"/>
            </w:tcMar>
            <w:vAlign w:val="center"/>
          </w:tcPr>
          <w:p w14:paraId="72C06DB8">
            <w:pPr>
              <w:jc w:val="center"/>
              <w:rPr>
                <w:rFonts w:hint="eastAsia" w:ascii="宋体" w:hAnsi="宋体" w:eastAsia="宋体" w:cs="宋体"/>
                <w:color w:val="auto"/>
                <w:szCs w:val="21"/>
              </w:rPr>
            </w:pPr>
          </w:p>
        </w:tc>
        <w:tc>
          <w:tcPr>
            <w:tcW w:w="751" w:type="dxa"/>
            <w:noWrap w:val="0"/>
            <w:tcMar>
              <w:left w:w="108" w:type="dxa"/>
              <w:right w:w="108" w:type="dxa"/>
            </w:tcMar>
            <w:vAlign w:val="center"/>
          </w:tcPr>
          <w:p w14:paraId="3688A696">
            <w:pPr>
              <w:jc w:val="center"/>
              <w:rPr>
                <w:rFonts w:hint="eastAsia" w:ascii="宋体" w:hAnsi="宋体" w:eastAsia="宋体" w:cs="宋体"/>
                <w:color w:val="auto"/>
                <w:szCs w:val="21"/>
              </w:rPr>
            </w:pPr>
            <w:r>
              <w:rPr>
                <w:rFonts w:hint="eastAsia" w:ascii="宋体" w:hAnsi="宋体" w:eastAsia="宋体" w:cs="宋体"/>
                <w:color w:val="auto"/>
                <w:szCs w:val="21"/>
              </w:rPr>
              <w:t>1</w:t>
            </w:r>
          </w:p>
        </w:tc>
        <w:tc>
          <w:tcPr>
            <w:tcW w:w="950" w:type="dxa"/>
            <w:noWrap w:val="0"/>
            <w:tcMar>
              <w:left w:w="108" w:type="dxa"/>
              <w:right w:w="108" w:type="dxa"/>
            </w:tcMar>
            <w:vAlign w:val="center"/>
          </w:tcPr>
          <w:p w14:paraId="7F8C5CEF">
            <w:pPr>
              <w:jc w:val="center"/>
              <w:rPr>
                <w:rFonts w:hint="eastAsia" w:ascii="宋体" w:hAnsi="宋体" w:eastAsia="宋体" w:cs="宋体"/>
                <w:color w:val="auto"/>
                <w:szCs w:val="21"/>
              </w:rPr>
            </w:pPr>
          </w:p>
        </w:tc>
        <w:tc>
          <w:tcPr>
            <w:tcW w:w="1123" w:type="dxa"/>
            <w:noWrap w:val="0"/>
            <w:tcMar>
              <w:left w:w="108" w:type="dxa"/>
              <w:right w:w="108" w:type="dxa"/>
            </w:tcMar>
            <w:vAlign w:val="center"/>
          </w:tcPr>
          <w:p w14:paraId="05931A11">
            <w:pPr>
              <w:jc w:val="center"/>
              <w:rPr>
                <w:rFonts w:hint="eastAsia" w:ascii="宋体" w:hAnsi="宋体" w:eastAsia="宋体" w:cs="宋体"/>
                <w:color w:val="auto"/>
                <w:szCs w:val="21"/>
              </w:rPr>
            </w:pPr>
          </w:p>
        </w:tc>
        <w:tc>
          <w:tcPr>
            <w:tcW w:w="1090" w:type="dxa"/>
            <w:noWrap w:val="0"/>
            <w:tcMar>
              <w:left w:w="108" w:type="dxa"/>
              <w:right w:w="108" w:type="dxa"/>
            </w:tcMar>
            <w:vAlign w:val="center"/>
          </w:tcPr>
          <w:p w14:paraId="36CCFF87">
            <w:pPr>
              <w:jc w:val="center"/>
              <w:rPr>
                <w:rFonts w:hint="eastAsia" w:ascii="宋体" w:hAnsi="宋体" w:eastAsia="宋体" w:cs="宋体"/>
                <w:color w:val="auto"/>
                <w:szCs w:val="21"/>
              </w:rPr>
            </w:pPr>
          </w:p>
        </w:tc>
        <w:tc>
          <w:tcPr>
            <w:tcW w:w="1197" w:type="dxa"/>
            <w:noWrap w:val="0"/>
            <w:tcMar>
              <w:left w:w="108" w:type="dxa"/>
              <w:right w:w="108" w:type="dxa"/>
            </w:tcMar>
            <w:vAlign w:val="center"/>
          </w:tcPr>
          <w:p w14:paraId="4B046275">
            <w:pPr>
              <w:jc w:val="center"/>
              <w:rPr>
                <w:rFonts w:hint="eastAsia" w:ascii="宋体" w:hAnsi="宋体" w:eastAsia="宋体" w:cs="宋体"/>
                <w:color w:val="auto"/>
                <w:szCs w:val="21"/>
              </w:rPr>
            </w:pPr>
          </w:p>
        </w:tc>
        <w:tc>
          <w:tcPr>
            <w:tcW w:w="1268" w:type="dxa"/>
            <w:noWrap w:val="0"/>
            <w:tcMar>
              <w:left w:w="108" w:type="dxa"/>
              <w:right w:w="108" w:type="dxa"/>
            </w:tcMar>
            <w:vAlign w:val="center"/>
          </w:tcPr>
          <w:p w14:paraId="185DAA83">
            <w:pPr>
              <w:jc w:val="center"/>
              <w:rPr>
                <w:rFonts w:hint="eastAsia" w:ascii="宋体" w:hAnsi="宋体" w:eastAsia="宋体" w:cs="宋体"/>
                <w:color w:val="auto"/>
                <w:szCs w:val="21"/>
              </w:rPr>
            </w:pPr>
          </w:p>
        </w:tc>
      </w:tr>
      <w:tr w14:paraId="15E21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noWrap w:val="0"/>
            <w:tcMar>
              <w:left w:w="108" w:type="dxa"/>
              <w:right w:w="108" w:type="dxa"/>
            </w:tcMar>
            <w:vAlign w:val="center"/>
          </w:tcPr>
          <w:p w14:paraId="3B9584A5">
            <w:pPr>
              <w:jc w:val="center"/>
              <w:rPr>
                <w:rFonts w:hint="eastAsia" w:ascii="宋体" w:hAnsi="宋体" w:eastAsia="宋体" w:cs="宋体"/>
                <w:color w:val="auto"/>
                <w:szCs w:val="21"/>
              </w:rPr>
            </w:pPr>
          </w:p>
        </w:tc>
        <w:tc>
          <w:tcPr>
            <w:tcW w:w="1843" w:type="dxa"/>
            <w:vMerge w:val="continue"/>
            <w:noWrap w:val="0"/>
            <w:tcMar>
              <w:left w:w="108" w:type="dxa"/>
              <w:right w:w="108" w:type="dxa"/>
            </w:tcMar>
            <w:vAlign w:val="center"/>
          </w:tcPr>
          <w:p w14:paraId="5887722E">
            <w:pPr>
              <w:jc w:val="center"/>
              <w:rPr>
                <w:rFonts w:hint="eastAsia" w:ascii="宋体" w:hAnsi="宋体" w:eastAsia="宋体" w:cs="宋体"/>
                <w:color w:val="auto"/>
                <w:szCs w:val="21"/>
              </w:rPr>
            </w:pPr>
          </w:p>
        </w:tc>
        <w:tc>
          <w:tcPr>
            <w:tcW w:w="751" w:type="dxa"/>
            <w:noWrap w:val="0"/>
            <w:tcMar>
              <w:left w:w="108" w:type="dxa"/>
              <w:right w:w="108" w:type="dxa"/>
            </w:tcMar>
            <w:vAlign w:val="center"/>
          </w:tcPr>
          <w:p w14:paraId="3AC1D024">
            <w:pPr>
              <w:jc w:val="center"/>
              <w:rPr>
                <w:rFonts w:hint="eastAsia" w:ascii="宋体" w:hAnsi="宋体" w:eastAsia="宋体" w:cs="宋体"/>
                <w:color w:val="auto"/>
                <w:szCs w:val="21"/>
              </w:rPr>
            </w:pPr>
            <w:r>
              <w:rPr>
                <w:rFonts w:hint="eastAsia" w:ascii="宋体" w:hAnsi="宋体" w:eastAsia="宋体" w:cs="宋体"/>
                <w:color w:val="auto"/>
                <w:szCs w:val="21"/>
              </w:rPr>
              <w:t>2</w:t>
            </w:r>
          </w:p>
        </w:tc>
        <w:tc>
          <w:tcPr>
            <w:tcW w:w="950" w:type="dxa"/>
            <w:noWrap w:val="0"/>
            <w:tcMar>
              <w:left w:w="108" w:type="dxa"/>
              <w:right w:w="108" w:type="dxa"/>
            </w:tcMar>
            <w:vAlign w:val="center"/>
          </w:tcPr>
          <w:p w14:paraId="29CC749C">
            <w:pPr>
              <w:jc w:val="center"/>
              <w:rPr>
                <w:rFonts w:hint="eastAsia" w:ascii="宋体" w:hAnsi="宋体" w:eastAsia="宋体" w:cs="宋体"/>
                <w:color w:val="auto"/>
                <w:szCs w:val="21"/>
              </w:rPr>
            </w:pPr>
          </w:p>
        </w:tc>
        <w:tc>
          <w:tcPr>
            <w:tcW w:w="1123" w:type="dxa"/>
            <w:noWrap w:val="0"/>
            <w:tcMar>
              <w:left w:w="108" w:type="dxa"/>
              <w:right w:w="108" w:type="dxa"/>
            </w:tcMar>
            <w:vAlign w:val="center"/>
          </w:tcPr>
          <w:p w14:paraId="2DAD1105">
            <w:pPr>
              <w:jc w:val="center"/>
              <w:rPr>
                <w:rFonts w:hint="eastAsia" w:ascii="宋体" w:hAnsi="宋体" w:eastAsia="宋体" w:cs="宋体"/>
                <w:color w:val="auto"/>
                <w:szCs w:val="21"/>
              </w:rPr>
            </w:pPr>
          </w:p>
        </w:tc>
        <w:tc>
          <w:tcPr>
            <w:tcW w:w="1090" w:type="dxa"/>
            <w:noWrap w:val="0"/>
            <w:tcMar>
              <w:left w:w="108" w:type="dxa"/>
              <w:right w:w="108" w:type="dxa"/>
            </w:tcMar>
            <w:vAlign w:val="center"/>
          </w:tcPr>
          <w:p w14:paraId="5D37AA19">
            <w:pPr>
              <w:jc w:val="center"/>
              <w:rPr>
                <w:rFonts w:hint="eastAsia" w:ascii="宋体" w:hAnsi="宋体" w:eastAsia="宋体" w:cs="宋体"/>
                <w:color w:val="auto"/>
                <w:szCs w:val="21"/>
              </w:rPr>
            </w:pPr>
          </w:p>
        </w:tc>
        <w:tc>
          <w:tcPr>
            <w:tcW w:w="1197" w:type="dxa"/>
            <w:noWrap w:val="0"/>
            <w:tcMar>
              <w:left w:w="108" w:type="dxa"/>
              <w:right w:w="108" w:type="dxa"/>
            </w:tcMar>
            <w:vAlign w:val="center"/>
          </w:tcPr>
          <w:p w14:paraId="4052EB46">
            <w:pPr>
              <w:jc w:val="center"/>
              <w:rPr>
                <w:rFonts w:hint="eastAsia" w:ascii="宋体" w:hAnsi="宋体" w:eastAsia="宋体" w:cs="宋体"/>
                <w:color w:val="auto"/>
                <w:szCs w:val="21"/>
              </w:rPr>
            </w:pPr>
          </w:p>
        </w:tc>
        <w:tc>
          <w:tcPr>
            <w:tcW w:w="1268" w:type="dxa"/>
            <w:noWrap w:val="0"/>
            <w:tcMar>
              <w:left w:w="108" w:type="dxa"/>
              <w:right w:w="108" w:type="dxa"/>
            </w:tcMar>
            <w:vAlign w:val="center"/>
          </w:tcPr>
          <w:p w14:paraId="426C6BF8">
            <w:pPr>
              <w:jc w:val="center"/>
              <w:rPr>
                <w:rFonts w:hint="eastAsia" w:ascii="宋体" w:hAnsi="宋体" w:eastAsia="宋体" w:cs="宋体"/>
                <w:color w:val="auto"/>
                <w:szCs w:val="21"/>
              </w:rPr>
            </w:pPr>
          </w:p>
        </w:tc>
      </w:tr>
      <w:tr w14:paraId="2042F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noWrap w:val="0"/>
            <w:tcMar>
              <w:left w:w="108" w:type="dxa"/>
              <w:right w:w="108" w:type="dxa"/>
            </w:tcMar>
            <w:vAlign w:val="center"/>
          </w:tcPr>
          <w:p w14:paraId="7208DCB3">
            <w:pPr>
              <w:jc w:val="center"/>
              <w:rPr>
                <w:rFonts w:hint="eastAsia" w:ascii="宋体" w:hAnsi="宋体" w:eastAsia="宋体" w:cs="宋体"/>
                <w:color w:val="auto"/>
                <w:szCs w:val="21"/>
              </w:rPr>
            </w:pPr>
          </w:p>
        </w:tc>
        <w:tc>
          <w:tcPr>
            <w:tcW w:w="1843" w:type="dxa"/>
            <w:vMerge w:val="continue"/>
            <w:noWrap w:val="0"/>
            <w:tcMar>
              <w:left w:w="108" w:type="dxa"/>
              <w:right w:w="108" w:type="dxa"/>
            </w:tcMar>
            <w:vAlign w:val="center"/>
          </w:tcPr>
          <w:p w14:paraId="4CBBD545">
            <w:pPr>
              <w:jc w:val="center"/>
              <w:rPr>
                <w:rFonts w:hint="eastAsia" w:ascii="宋体" w:hAnsi="宋体" w:eastAsia="宋体" w:cs="宋体"/>
                <w:color w:val="auto"/>
                <w:szCs w:val="21"/>
              </w:rPr>
            </w:pPr>
          </w:p>
        </w:tc>
        <w:tc>
          <w:tcPr>
            <w:tcW w:w="751" w:type="dxa"/>
            <w:noWrap w:val="0"/>
            <w:tcMar>
              <w:left w:w="108" w:type="dxa"/>
              <w:right w:w="108" w:type="dxa"/>
            </w:tcMar>
            <w:vAlign w:val="center"/>
          </w:tcPr>
          <w:p w14:paraId="3B189EBB">
            <w:pPr>
              <w:jc w:val="center"/>
              <w:rPr>
                <w:rFonts w:hint="eastAsia" w:ascii="宋体" w:hAnsi="宋体" w:eastAsia="宋体" w:cs="宋体"/>
                <w:color w:val="auto"/>
                <w:szCs w:val="21"/>
              </w:rPr>
            </w:pPr>
            <w:r>
              <w:rPr>
                <w:rFonts w:hint="eastAsia" w:ascii="宋体" w:hAnsi="宋体" w:eastAsia="宋体" w:cs="宋体"/>
                <w:color w:val="auto"/>
                <w:szCs w:val="21"/>
              </w:rPr>
              <w:t>3</w:t>
            </w:r>
          </w:p>
        </w:tc>
        <w:tc>
          <w:tcPr>
            <w:tcW w:w="950" w:type="dxa"/>
            <w:noWrap w:val="0"/>
            <w:tcMar>
              <w:left w:w="108" w:type="dxa"/>
              <w:right w:w="108" w:type="dxa"/>
            </w:tcMar>
            <w:vAlign w:val="center"/>
          </w:tcPr>
          <w:p w14:paraId="7D1B6D27">
            <w:pPr>
              <w:jc w:val="center"/>
              <w:rPr>
                <w:rFonts w:hint="eastAsia" w:ascii="宋体" w:hAnsi="宋体" w:eastAsia="宋体" w:cs="宋体"/>
                <w:color w:val="auto"/>
                <w:szCs w:val="21"/>
              </w:rPr>
            </w:pPr>
          </w:p>
        </w:tc>
        <w:tc>
          <w:tcPr>
            <w:tcW w:w="1123" w:type="dxa"/>
            <w:noWrap w:val="0"/>
            <w:tcMar>
              <w:left w:w="108" w:type="dxa"/>
              <w:right w:w="108" w:type="dxa"/>
            </w:tcMar>
            <w:vAlign w:val="center"/>
          </w:tcPr>
          <w:p w14:paraId="4172B938">
            <w:pPr>
              <w:jc w:val="center"/>
              <w:rPr>
                <w:rFonts w:hint="eastAsia" w:ascii="宋体" w:hAnsi="宋体" w:eastAsia="宋体" w:cs="宋体"/>
                <w:color w:val="auto"/>
                <w:szCs w:val="21"/>
              </w:rPr>
            </w:pPr>
          </w:p>
        </w:tc>
        <w:tc>
          <w:tcPr>
            <w:tcW w:w="1090" w:type="dxa"/>
            <w:noWrap w:val="0"/>
            <w:tcMar>
              <w:left w:w="108" w:type="dxa"/>
              <w:right w:w="108" w:type="dxa"/>
            </w:tcMar>
            <w:vAlign w:val="center"/>
          </w:tcPr>
          <w:p w14:paraId="76D91C11">
            <w:pPr>
              <w:jc w:val="center"/>
              <w:rPr>
                <w:rFonts w:hint="eastAsia" w:ascii="宋体" w:hAnsi="宋体" w:eastAsia="宋体" w:cs="宋体"/>
                <w:color w:val="auto"/>
                <w:szCs w:val="21"/>
              </w:rPr>
            </w:pPr>
          </w:p>
        </w:tc>
        <w:tc>
          <w:tcPr>
            <w:tcW w:w="1197" w:type="dxa"/>
            <w:noWrap w:val="0"/>
            <w:tcMar>
              <w:left w:w="108" w:type="dxa"/>
              <w:right w:w="108" w:type="dxa"/>
            </w:tcMar>
            <w:vAlign w:val="center"/>
          </w:tcPr>
          <w:p w14:paraId="58F61BC6">
            <w:pPr>
              <w:jc w:val="center"/>
              <w:rPr>
                <w:rFonts w:hint="eastAsia" w:ascii="宋体" w:hAnsi="宋体" w:eastAsia="宋体" w:cs="宋体"/>
                <w:color w:val="auto"/>
                <w:szCs w:val="21"/>
              </w:rPr>
            </w:pPr>
          </w:p>
        </w:tc>
        <w:tc>
          <w:tcPr>
            <w:tcW w:w="1268" w:type="dxa"/>
            <w:noWrap w:val="0"/>
            <w:tcMar>
              <w:left w:w="108" w:type="dxa"/>
              <w:right w:w="108" w:type="dxa"/>
            </w:tcMar>
            <w:vAlign w:val="center"/>
          </w:tcPr>
          <w:p w14:paraId="0068E34A">
            <w:pPr>
              <w:jc w:val="center"/>
              <w:rPr>
                <w:rFonts w:hint="eastAsia" w:ascii="宋体" w:hAnsi="宋体" w:eastAsia="宋体" w:cs="宋体"/>
                <w:color w:val="auto"/>
                <w:szCs w:val="21"/>
              </w:rPr>
            </w:pPr>
          </w:p>
        </w:tc>
      </w:tr>
    </w:tbl>
    <w:p w14:paraId="59CAB371">
      <w:pPr>
        <w:spacing w:line="440" w:lineRule="exact"/>
        <w:ind w:right="420" w:firstLine="420" w:firstLineChars="200"/>
        <w:rPr>
          <w:rFonts w:hint="eastAsia" w:ascii="宋体" w:hAnsi="宋体" w:eastAsia="宋体" w:cs="宋体"/>
          <w:color w:val="auto"/>
          <w:szCs w:val="21"/>
        </w:rPr>
      </w:pPr>
      <w:r>
        <w:rPr>
          <w:rFonts w:hint="eastAsia" w:ascii="宋体" w:hAnsi="宋体" w:eastAsia="宋体" w:cs="宋体"/>
          <w:color w:val="auto"/>
          <w:szCs w:val="21"/>
        </w:rPr>
        <w:t>备注：本表所列分包仅限于承包人自行施工范围内的非主体、非关键工程。</w:t>
      </w:r>
    </w:p>
    <w:p w14:paraId="296C125B">
      <w:pPr>
        <w:wordWrap w:val="0"/>
        <w:spacing w:line="440" w:lineRule="exact"/>
        <w:ind w:right="420"/>
        <w:jc w:val="right"/>
        <w:rPr>
          <w:rFonts w:hint="eastAsia" w:ascii="宋体" w:hAnsi="宋体" w:eastAsia="宋体" w:cs="宋体"/>
          <w:color w:val="auto"/>
        </w:rPr>
      </w:pPr>
      <w:r>
        <w:rPr>
          <w:rFonts w:hint="eastAsia" w:ascii="宋体" w:hAnsi="宋体" w:eastAsia="宋体" w:cs="宋体"/>
          <w:color w:val="auto"/>
        </w:rPr>
        <w:t xml:space="preserve">日期：       年     月 </w:t>
      </w:r>
      <w:r>
        <w:rPr>
          <w:rFonts w:hint="eastAsia" w:ascii="宋体" w:hAnsi="宋体" w:eastAsia="宋体" w:cs="宋体"/>
          <w:color w:val="4472C4"/>
        </w:rPr>
        <w:t xml:space="preserve">  </w:t>
      </w:r>
      <w:r>
        <w:rPr>
          <w:rFonts w:hint="eastAsia" w:ascii="宋体" w:hAnsi="宋体" w:eastAsia="宋体" w:cs="宋体"/>
          <w:color w:val="auto"/>
        </w:rPr>
        <w:t xml:space="preserve">  日</w:t>
      </w:r>
    </w:p>
    <w:p w14:paraId="411EBC46">
      <w:pPr>
        <w:pStyle w:val="11"/>
        <w:tabs>
          <w:tab w:val="left" w:pos="2127"/>
        </w:tabs>
        <w:spacing w:line="340" w:lineRule="exact"/>
        <w:rPr>
          <w:rFonts w:hint="eastAsia" w:ascii="宋体" w:hAnsi="宋体" w:eastAsia="宋体" w:cs="宋体"/>
        </w:rPr>
      </w:pPr>
      <w:r>
        <w:rPr>
          <w:rFonts w:hint="eastAsia" w:ascii="宋体" w:hAnsi="宋体" w:eastAsia="宋体" w:cs="宋体"/>
        </w:rPr>
        <w:br w:type="page"/>
      </w:r>
      <w:r>
        <w:rPr>
          <w:rFonts w:hint="eastAsia" w:ascii="宋体" w:hAnsi="宋体" w:eastAsia="宋体" w:cs="宋体"/>
          <w:lang w:val="en-US" w:eastAsia="zh-CN"/>
        </w:rPr>
        <w:t>3</w:t>
      </w:r>
      <w:r>
        <w:rPr>
          <w:rFonts w:hint="eastAsia" w:ascii="宋体" w:hAnsi="宋体" w:eastAsia="宋体" w:cs="宋体"/>
        </w:rPr>
        <w:t>.近年已完成类似工程一览表</w:t>
      </w:r>
    </w:p>
    <w:tbl>
      <w:tblPr>
        <w:tblStyle w:val="15"/>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701"/>
        <w:gridCol w:w="1417"/>
        <w:gridCol w:w="851"/>
        <w:gridCol w:w="992"/>
        <w:gridCol w:w="1134"/>
        <w:gridCol w:w="1276"/>
        <w:gridCol w:w="1134"/>
      </w:tblGrid>
      <w:tr w14:paraId="08B1C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51" w:type="dxa"/>
            <w:noWrap w:val="0"/>
            <w:vAlign w:val="center"/>
          </w:tcPr>
          <w:p w14:paraId="427D267A">
            <w:pPr>
              <w:jc w:val="center"/>
              <w:rPr>
                <w:rFonts w:hint="eastAsia" w:ascii="宋体" w:hAnsi="宋体" w:eastAsia="宋体" w:cs="宋体"/>
              </w:rPr>
            </w:pPr>
            <w:r>
              <w:rPr>
                <w:rFonts w:hint="eastAsia" w:ascii="宋体" w:hAnsi="宋体" w:eastAsia="宋体" w:cs="宋体"/>
              </w:rPr>
              <w:t>序号</w:t>
            </w:r>
          </w:p>
        </w:tc>
        <w:tc>
          <w:tcPr>
            <w:tcW w:w="1701" w:type="dxa"/>
            <w:noWrap w:val="0"/>
            <w:vAlign w:val="center"/>
          </w:tcPr>
          <w:p w14:paraId="352557EF">
            <w:pPr>
              <w:jc w:val="center"/>
              <w:rPr>
                <w:rFonts w:hint="eastAsia" w:ascii="宋体" w:hAnsi="宋体" w:eastAsia="宋体" w:cs="宋体"/>
              </w:rPr>
            </w:pPr>
            <w:r>
              <w:rPr>
                <w:rFonts w:hint="eastAsia" w:ascii="宋体" w:hAnsi="宋体" w:eastAsia="宋体" w:cs="宋体"/>
              </w:rPr>
              <w:t>发包人名称</w:t>
            </w:r>
          </w:p>
        </w:tc>
        <w:tc>
          <w:tcPr>
            <w:tcW w:w="1417" w:type="dxa"/>
            <w:noWrap w:val="0"/>
            <w:vAlign w:val="center"/>
          </w:tcPr>
          <w:p w14:paraId="536E9808">
            <w:pPr>
              <w:jc w:val="center"/>
              <w:rPr>
                <w:rFonts w:hint="eastAsia" w:ascii="宋体" w:hAnsi="宋体" w:eastAsia="宋体" w:cs="宋体"/>
              </w:rPr>
            </w:pPr>
            <w:r>
              <w:rPr>
                <w:rFonts w:hint="eastAsia" w:ascii="宋体" w:hAnsi="宋体" w:eastAsia="宋体" w:cs="宋体"/>
              </w:rPr>
              <w:t>工程名称</w:t>
            </w:r>
          </w:p>
          <w:p w14:paraId="49C5B634">
            <w:pPr>
              <w:jc w:val="center"/>
              <w:rPr>
                <w:rFonts w:hint="eastAsia" w:ascii="宋体" w:hAnsi="宋体" w:eastAsia="宋体" w:cs="宋体"/>
              </w:rPr>
            </w:pPr>
            <w:r>
              <w:rPr>
                <w:rFonts w:hint="eastAsia" w:ascii="宋体" w:hAnsi="宋体" w:eastAsia="宋体" w:cs="宋体"/>
              </w:rPr>
              <w:t>及建设地点</w:t>
            </w:r>
          </w:p>
        </w:tc>
        <w:tc>
          <w:tcPr>
            <w:tcW w:w="851" w:type="dxa"/>
            <w:noWrap w:val="0"/>
            <w:vAlign w:val="center"/>
          </w:tcPr>
          <w:p w14:paraId="448CC635">
            <w:pPr>
              <w:jc w:val="center"/>
              <w:rPr>
                <w:rFonts w:hint="eastAsia" w:ascii="宋体" w:hAnsi="宋体" w:eastAsia="宋体" w:cs="宋体"/>
              </w:rPr>
            </w:pPr>
            <w:r>
              <w:rPr>
                <w:rFonts w:hint="eastAsia" w:ascii="宋体" w:hAnsi="宋体" w:eastAsia="宋体" w:cs="宋体"/>
              </w:rPr>
              <w:t>结构</w:t>
            </w:r>
          </w:p>
          <w:p w14:paraId="1A6C5314">
            <w:pPr>
              <w:jc w:val="center"/>
              <w:rPr>
                <w:rFonts w:hint="eastAsia" w:ascii="宋体" w:hAnsi="宋体" w:eastAsia="宋体" w:cs="宋体"/>
              </w:rPr>
            </w:pPr>
            <w:r>
              <w:rPr>
                <w:rFonts w:hint="eastAsia" w:ascii="宋体" w:hAnsi="宋体" w:eastAsia="宋体" w:cs="宋体"/>
              </w:rPr>
              <w:t>类型</w:t>
            </w:r>
          </w:p>
        </w:tc>
        <w:tc>
          <w:tcPr>
            <w:tcW w:w="992" w:type="dxa"/>
            <w:noWrap w:val="0"/>
            <w:vAlign w:val="center"/>
          </w:tcPr>
          <w:p w14:paraId="62864803">
            <w:pPr>
              <w:jc w:val="center"/>
              <w:rPr>
                <w:rFonts w:hint="eastAsia" w:ascii="宋体" w:hAnsi="宋体" w:eastAsia="宋体" w:cs="宋体"/>
              </w:rPr>
            </w:pPr>
            <w:r>
              <w:rPr>
                <w:rFonts w:hint="eastAsia" w:ascii="宋体" w:hAnsi="宋体" w:eastAsia="宋体" w:cs="宋体"/>
              </w:rPr>
              <w:t>建设</w:t>
            </w:r>
          </w:p>
          <w:p w14:paraId="6A6FEC45">
            <w:pPr>
              <w:jc w:val="center"/>
              <w:rPr>
                <w:rFonts w:hint="eastAsia" w:ascii="宋体" w:hAnsi="宋体" w:eastAsia="宋体" w:cs="宋体"/>
              </w:rPr>
            </w:pPr>
            <w:r>
              <w:rPr>
                <w:rFonts w:hint="eastAsia" w:ascii="宋体" w:hAnsi="宋体" w:eastAsia="宋体" w:cs="宋体"/>
              </w:rPr>
              <w:t>规模</w:t>
            </w:r>
          </w:p>
        </w:tc>
        <w:tc>
          <w:tcPr>
            <w:tcW w:w="1134" w:type="dxa"/>
            <w:noWrap w:val="0"/>
            <w:vAlign w:val="center"/>
          </w:tcPr>
          <w:p w14:paraId="359D18D9">
            <w:pPr>
              <w:jc w:val="center"/>
              <w:rPr>
                <w:rFonts w:hint="eastAsia" w:ascii="宋体" w:hAnsi="宋体" w:eastAsia="宋体" w:cs="宋体"/>
              </w:rPr>
            </w:pPr>
            <w:r>
              <w:rPr>
                <w:rFonts w:hint="eastAsia" w:ascii="宋体" w:hAnsi="宋体" w:eastAsia="宋体" w:cs="宋体"/>
              </w:rPr>
              <w:t>合同金额</w:t>
            </w:r>
          </w:p>
          <w:p w14:paraId="0088F57B">
            <w:pPr>
              <w:jc w:val="center"/>
              <w:rPr>
                <w:rFonts w:hint="eastAsia" w:ascii="宋体" w:hAnsi="宋体" w:eastAsia="宋体" w:cs="宋体"/>
              </w:rPr>
            </w:pPr>
            <w:r>
              <w:rPr>
                <w:rFonts w:hint="eastAsia" w:ascii="宋体" w:hAnsi="宋体" w:eastAsia="宋体" w:cs="宋体"/>
              </w:rPr>
              <w:t>（万元）</w:t>
            </w:r>
          </w:p>
        </w:tc>
        <w:tc>
          <w:tcPr>
            <w:tcW w:w="1276" w:type="dxa"/>
            <w:noWrap w:val="0"/>
            <w:vAlign w:val="center"/>
          </w:tcPr>
          <w:p w14:paraId="41D03A2D">
            <w:pPr>
              <w:jc w:val="center"/>
              <w:rPr>
                <w:rFonts w:hint="eastAsia" w:ascii="宋体" w:hAnsi="宋体" w:eastAsia="宋体" w:cs="宋体"/>
              </w:rPr>
            </w:pPr>
            <w:r>
              <w:rPr>
                <w:rFonts w:hint="eastAsia" w:ascii="宋体" w:hAnsi="宋体" w:eastAsia="宋体" w:cs="宋体"/>
              </w:rPr>
              <w:t>竣工达到</w:t>
            </w:r>
          </w:p>
          <w:p w14:paraId="1626F04D">
            <w:pPr>
              <w:jc w:val="center"/>
              <w:rPr>
                <w:rFonts w:hint="eastAsia" w:ascii="宋体" w:hAnsi="宋体" w:eastAsia="宋体" w:cs="宋体"/>
              </w:rPr>
            </w:pPr>
            <w:r>
              <w:rPr>
                <w:rFonts w:hint="eastAsia" w:ascii="宋体" w:hAnsi="宋体" w:eastAsia="宋体" w:cs="宋体"/>
              </w:rPr>
              <w:t>质量标准</w:t>
            </w:r>
          </w:p>
        </w:tc>
        <w:tc>
          <w:tcPr>
            <w:tcW w:w="1134" w:type="dxa"/>
            <w:noWrap w:val="0"/>
            <w:vAlign w:val="center"/>
          </w:tcPr>
          <w:p w14:paraId="6BC3DE79">
            <w:pPr>
              <w:jc w:val="center"/>
              <w:rPr>
                <w:rFonts w:hint="eastAsia" w:ascii="宋体" w:hAnsi="宋体" w:eastAsia="宋体" w:cs="宋体"/>
              </w:rPr>
            </w:pPr>
            <w:r>
              <w:rPr>
                <w:rFonts w:hint="eastAsia" w:ascii="宋体" w:hAnsi="宋体" w:eastAsia="宋体" w:cs="宋体"/>
              </w:rPr>
              <w:t>开竣工</w:t>
            </w:r>
          </w:p>
          <w:p w14:paraId="5D20C65E">
            <w:pPr>
              <w:jc w:val="center"/>
              <w:rPr>
                <w:rFonts w:hint="eastAsia" w:ascii="宋体" w:hAnsi="宋体" w:eastAsia="宋体" w:cs="宋体"/>
              </w:rPr>
            </w:pPr>
            <w:r>
              <w:rPr>
                <w:rFonts w:hint="eastAsia" w:ascii="宋体" w:hAnsi="宋体" w:eastAsia="宋体" w:cs="宋体"/>
              </w:rPr>
              <w:t>日  期</w:t>
            </w:r>
          </w:p>
        </w:tc>
      </w:tr>
      <w:tr w14:paraId="4FC5B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51" w:type="dxa"/>
            <w:noWrap w:val="0"/>
            <w:vAlign w:val="center"/>
          </w:tcPr>
          <w:p w14:paraId="097F28C4">
            <w:pPr>
              <w:jc w:val="center"/>
              <w:rPr>
                <w:rFonts w:hint="eastAsia" w:ascii="宋体" w:hAnsi="宋体" w:eastAsia="宋体" w:cs="宋体"/>
              </w:rPr>
            </w:pPr>
            <w:r>
              <w:rPr>
                <w:rFonts w:hint="eastAsia" w:ascii="宋体" w:hAnsi="宋体" w:eastAsia="宋体" w:cs="宋体"/>
              </w:rPr>
              <w:t>1</w:t>
            </w:r>
          </w:p>
        </w:tc>
        <w:tc>
          <w:tcPr>
            <w:tcW w:w="1701" w:type="dxa"/>
            <w:noWrap w:val="0"/>
            <w:vAlign w:val="center"/>
          </w:tcPr>
          <w:p w14:paraId="6E64D7FD">
            <w:pPr>
              <w:jc w:val="center"/>
              <w:rPr>
                <w:rFonts w:hint="eastAsia" w:ascii="宋体" w:hAnsi="宋体" w:eastAsia="宋体" w:cs="宋体"/>
              </w:rPr>
            </w:pPr>
          </w:p>
        </w:tc>
        <w:tc>
          <w:tcPr>
            <w:tcW w:w="1417" w:type="dxa"/>
            <w:noWrap w:val="0"/>
            <w:vAlign w:val="center"/>
          </w:tcPr>
          <w:p w14:paraId="610CDFA3">
            <w:pPr>
              <w:jc w:val="center"/>
              <w:rPr>
                <w:rFonts w:hint="eastAsia" w:ascii="宋体" w:hAnsi="宋体" w:eastAsia="宋体" w:cs="宋体"/>
              </w:rPr>
            </w:pPr>
          </w:p>
        </w:tc>
        <w:tc>
          <w:tcPr>
            <w:tcW w:w="851" w:type="dxa"/>
            <w:noWrap w:val="0"/>
            <w:vAlign w:val="center"/>
          </w:tcPr>
          <w:p w14:paraId="08CB927C">
            <w:pPr>
              <w:jc w:val="center"/>
              <w:rPr>
                <w:rFonts w:hint="eastAsia" w:ascii="宋体" w:hAnsi="宋体" w:eastAsia="宋体" w:cs="宋体"/>
              </w:rPr>
            </w:pPr>
          </w:p>
        </w:tc>
        <w:tc>
          <w:tcPr>
            <w:tcW w:w="992" w:type="dxa"/>
            <w:noWrap w:val="0"/>
            <w:vAlign w:val="center"/>
          </w:tcPr>
          <w:p w14:paraId="4A565223">
            <w:pPr>
              <w:jc w:val="center"/>
              <w:rPr>
                <w:rFonts w:hint="eastAsia" w:ascii="宋体" w:hAnsi="宋体" w:eastAsia="宋体" w:cs="宋体"/>
              </w:rPr>
            </w:pPr>
          </w:p>
        </w:tc>
        <w:tc>
          <w:tcPr>
            <w:tcW w:w="1134" w:type="dxa"/>
            <w:noWrap w:val="0"/>
            <w:vAlign w:val="center"/>
          </w:tcPr>
          <w:p w14:paraId="331A6D83">
            <w:pPr>
              <w:jc w:val="center"/>
              <w:rPr>
                <w:rFonts w:hint="eastAsia" w:ascii="宋体" w:hAnsi="宋体" w:eastAsia="宋体" w:cs="宋体"/>
              </w:rPr>
            </w:pPr>
          </w:p>
        </w:tc>
        <w:tc>
          <w:tcPr>
            <w:tcW w:w="1276" w:type="dxa"/>
            <w:noWrap w:val="0"/>
            <w:vAlign w:val="center"/>
          </w:tcPr>
          <w:p w14:paraId="4F82E07B">
            <w:pPr>
              <w:jc w:val="center"/>
              <w:rPr>
                <w:rFonts w:hint="eastAsia" w:ascii="宋体" w:hAnsi="宋体" w:eastAsia="宋体" w:cs="宋体"/>
              </w:rPr>
            </w:pPr>
          </w:p>
        </w:tc>
        <w:tc>
          <w:tcPr>
            <w:tcW w:w="1134" w:type="dxa"/>
            <w:noWrap w:val="0"/>
            <w:vAlign w:val="center"/>
          </w:tcPr>
          <w:p w14:paraId="279D5083">
            <w:pPr>
              <w:jc w:val="center"/>
              <w:rPr>
                <w:rFonts w:hint="eastAsia" w:ascii="宋体" w:hAnsi="宋体" w:eastAsia="宋体" w:cs="宋体"/>
              </w:rPr>
            </w:pPr>
          </w:p>
        </w:tc>
      </w:tr>
      <w:tr w14:paraId="0F184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51" w:type="dxa"/>
            <w:noWrap w:val="0"/>
            <w:vAlign w:val="center"/>
          </w:tcPr>
          <w:p w14:paraId="1CE38B07">
            <w:pPr>
              <w:jc w:val="center"/>
              <w:rPr>
                <w:rFonts w:hint="eastAsia" w:ascii="宋体" w:hAnsi="宋体" w:eastAsia="宋体" w:cs="宋体"/>
              </w:rPr>
            </w:pPr>
            <w:r>
              <w:rPr>
                <w:rFonts w:hint="eastAsia" w:ascii="宋体" w:hAnsi="宋体" w:eastAsia="宋体" w:cs="宋体"/>
              </w:rPr>
              <w:t>2</w:t>
            </w:r>
          </w:p>
        </w:tc>
        <w:tc>
          <w:tcPr>
            <w:tcW w:w="1701" w:type="dxa"/>
            <w:noWrap w:val="0"/>
            <w:vAlign w:val="center"/>
          </w:tcPr>
          <w:p w14:paraId="68886269">
            <w:pPr>
              <w:jc w:val="center"/>
              <w:rPr>
                <w:rFonts w:hint="eastAsia" w:ascii="宋体" w:hAnsi="宋体" w:eastAsia="宋体" w:cs="宋体"/>
              </w:rPr>
            </w:pPr>
          </w:p>
        </w:tc>
        <w:tc>
          <w:tcPr>
            <w:tcW w:w="1417" w:type="dxa"/>
            <w:noWrap w:val="0"/>
            <w:vAlign w:val="center"/>
          </w:tcPr>
          <w:p w14:paraId="2D98755A">
            <w:pPr>
              <w:jc w:val="center"/>
              <w:rPr>
                <w:rFonts w:hint="eastAsia" w:ascii="宋体" w:hAnsi="宋体" w:eastAsia="宋体" w:cs="宋体"/>
              </w:rPr>
            </w:pPr>
          </w:p>
        </w:tc>
        <w:tc>
          <w:tcPr>
            <w:tcW w:w="851" w:type="dxa"/>
            <w:noWrap w:val="0"/>
            <w:vAlign w:val="center"/>
          </w:tcPr>
          <w:p w14:paraId="58A5498A">
            <w:pPr>
              <w:jc w:val="center"/>
              <w:rPr>
                <w:rFonts w:hint="eastAsia" w:ascii="宋体" w:hAnsi="宋体" w:eastAsia="宋体" w:cs="宋体"/>
              </w:rPr>
            </w:pPr>
          </w:p>
        </w:tc>
        <w:tc>
          <w:tcPr>
            <w:tcW w:w="992" w:type="dxa"/>
            <w:noWrap w:val="0"/>
            <w:vAlign w:val="center"/>
          </w:tcPr>
          <w:p w14:paraId="5E12AF66">
            <w:pPr>
              <w:jc w:val="center"/>
              <w:rPr>
                <w:rFonts w:hint="eastAsia" w:ascii="宋体" w:hAnsi="宋体" w:eastAsia="宋体" w:cs="宋体"/>
              </w:rPr>
            </w:pPr>
          </w:p>
        </w:tc>
        <w:tc>
          <w:tcPr>
            <w:tcW w:w="1134" w:type="dxa"/>
            <w:noWrap w:val="0"/>
            <w:vAlign w:val="center"/>
          </w:tcPr>
          <w:p w14:paraId="4FECBEA0">
            <w:pPr>
              <w:jc w:val="center"/>
              <w:rPr>
                <w:rFonts w:hint="eastAsia" w:ascii="宋体" w:hAnsi="宋体" w:eastAsia="宋体" w:cs="宋体"/>
              </w:rPr>
            </w:pPr>
          </w:p>
        </w:tc>
        <w:tc>
          <w:tcPr>
            <w:tcW w:w="1276" w:type="dxa"/>
            <w:noWrap w:val="0"/>
            <w:vAlign w:val="center"/>
          </w:tcPr>
          <w:p w14:paraId="61E1401B">
            <w:pPr>
              <w:jc w:val="center"/>
              <w:rPr>
                <w:rFonts w:hint="eastAsia" w:ascii="宋体" w:hAnsi="宋体" w:eastAsia="宋体" w:cs="宋体"/>
              </w:rPr>
            </w:pPr>
          </w:p>
        </w:tc>
        <w:tc>
          <w:tcPr>
            <w:tcW w:w="1134" w:type="dxa"/>
            <w:noWrap w:val="0"/>
            <w:vAlign w:val="center"/>
          </w:tcPr>
          <w:p w14:paraId="1133DAF5">
            <w:pPr>
              <w:jc w:val="center"/>
              <w:rPr>
                <w:rFonts w:hint="eastAsia" w:ascii="宋体" w:hAnsi="宋体" w:eastAsia="宋体" w:cs="宋体"/>
              </w:rPr>
            </w:pPr>
          </w:p>
        </w:tc>
      </w:tr>
      <w:tr w14:paraId="3559C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51" w:type="dxa"/>
            <w:noWrap w:val="0"/>
            <w:vAlign w:val="center"/>
          </w:tcPr>
          <w:p w14:paraId="18D94F26">
            <w:pPr>
              <w:jc w:val="center"/>
              <w:rPr>
                <w:rFonts w:hint="eastAsia" w:ascii="宋体" w:hAnsi="宋体" w:eastAsia="宋体" w:cs="宋体"/>
              </w:rPr>
            </w:pPr>
            <w:r>
              <w:rPr>
                <w:rFonts w:hint="eastAsia" w:ascii="宋体" w:hAnsi="宋体" w:eastAsia="宋体" w:cs="宋体"/>
              </w:rPr>
              <w:t>3</w:t>
            </w:r>
          </w:p>
        </w:tc>
        <w:tc>
          <w:tcPr>
            <w:tcW w:w="1701" w:type="dxa"/>
            <w:noWrap w:val="0"/>
            <w:vAlign w:val="center"/>
          </w:tcPr>
          <w:p w14:paraId="6A5A63EE">
            <w:pPr>
              <w:jc w:val="center"/>
              <w:rPr>
                <w:rFonts w:hint="eastAsia" w:ascii="宋体" w:hAnsi="宋体" w:eastAsia="宋体" w:cs="宋体"/>
              </w:rPr>
            </w:pPr>
          </w:p>
        </w:tc>
        <w:tc>
          <w:tcPr>
            <w:tcW w:w="1417" w:type="dxa"/>
            <w:noWrap w:val="0"/>
            <w:vAlign w:val="center"/>
          </w:tcPr>
          <w:p w14:paraId="72E0564B">
            <w:pPr>
              <w:jc w:val="center"/>
              <w:rPr>
                <w:rFonts w:hint="eastAsia" w:ascii="宋体" w:hAnsi="宋体" w:eastAsia="宋体" w:cs="宋体"/>
              </w:rPr>
            </w:pPr>
          </w:p>
        </w:tc>
        <w:tc>
          <w:tcPr>
            <w:tcW w:w="851" w:type="dxa"/>
            <w:noWrap w:val="0"/>
            <w:vAlign w:val="center"/>
          </w:tcPr>
          <w:p w14:paraId="562DECA4">
            <w:pPr>
              <w:jc w:val="center"/>
              <w:rPr>
                <w:rFonts w:hint="eastAsia" w:ascii="宋体" w:hAnsi="宋体" w:eastAsia="宋体" w:cs="宋体"/>
              </w:rPr>
            </w:pPr>
          </w:p>
        </w:tc>
        <w:tc>
          <w:tcPr>
            <w:tcW w:w="992" w:type="dxa"/>
            <w:noWrap w:val="0"/>
            <w:vAlign w:val="center"/>
          </w:tcPr>
          <w:p w14:paraId="55184898">
            <w:pPr>
              <w:jc w:val="center"/>
              <w:rPr>
                <w:rFonts w:hint="eastAsia" w:ascii="宋体" w:hAnsi="宋体" w:eastAsia="宋体" w:cs="宋体"/>
              </w:rPr>
            </w:pPr>
          </w:p>
        </w:tc>
        <w:tc>
          <w:tcPr>
            <w:tcW w:w="1134" w:type="dxa"/>
            <w:noWrap w:val="0"/>
            <w:vAlign w:val="center"/>
          </w:tcPr>
          <w:p w14:paraId="6E5220FF">
            <w:pPr>
              <w:jc w:val="center"/>
              <w:rPr>
                <w:rFonts w:hint="eastAsia" w:ascii="宋体" w:hAnsi="宋体" w:eastAsia="宋体" w:cs="宋体"/>
              </w:rPr>
            </w:pPr>
          </w:p>
        </w:tc>
        <w:tc>
          <w:tcPr>
            <w:tcW w:w="1276" w:type="dxa"/>
            <w:noWrap w:val="0"/>
            <w:vAlign w:val="center"/>
          </w:tcPr>
          <w:p w14:paraId="51FBA2B1">
            <w:pPr>
              <w:jc w:val="center"/>
              <w:rPr>
                <w:rFonts w:hint="eastAsia" w:ascii="宋体" w:hAnsi="宋体" w:eastAsia="宋体" w:cs="宋体"/>
              </w:rPr>
            </w:pPr>
          </w:p>
        </w:tc>
        <w:tc>
          <w:tcPr>
            <w:tcW w:w="1134" w:type="dxa"/>
            <w:noWrap w:val="0"/>
            <w:vAlign w:val="center"/>
          </w:tcPr>
          <w:p w14:paraId="1E3BEF0B">
            <w:pPr>
              <w:jc w:val="center"/>
              <w:rPr>
                <w:rFonts w:hint="eastAsia" w:ascii="宋体" w:hAnsi="宋体" w:eastAsia="宋体" w:cs="宋体"/>
              </w:rPr>
            </w:pPr>
          </w:p>
        </w:tc>
      </w:tr>
      <w:tr w14:paraId="31EDA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51" w:type="dxa"/>
            <w:noWrap w:val="0"/>
            <w:vAlign w:val="center"/>
          </w:tcPr>
          <w:p w14:paraId="4140231F">
            <w:pPr>
              <w:jc w:val="center"/>
              <w:rPr>
                <w:rFonts w:hint="eastAsia" w:ascii="宋体" w:hAnsi="宋体" w:eastAsia="宋体" w:cs="宋体"/>
              </w:rPr>
            </w:pPr>
            <w:r>
              <w:rPr>
                <w:rFonts w:hint="eastAsia" w:ascii="宋体" w:hAnsi="宋体" w:eastAsia="宋体" w:cs="宋体"/>
              </w:rPr>
              <w:t>…</w:t>
            </w:r>
          </w:p>
        </w:tc>
        <w:tc>
          <w:tcPr>
            <w:tcW w:w="1701" w:type="dxa"/>
            <w:noWrap w:val="0"/>
            <w:vAlign w:val="center"/>
          </w:tcPr>
          <w:p w14:paraId="6C14E64A">
            <w:pPr>
              <w:jc w:val="center"/>
              <w:rPr>
                <w:rFonts w:hint="eastAsia" w:ascii="宋体" w:hAnsi="宋体" w:eastAsia="宋体" w:cs="宋体"/>
              </w:rPr>
            </w:pPr>
          </w:p>
        </w:tc>
        <w:tc>
          <w:tcPr>
            <w:tcW w:w="1417" w:type="dxa"/>
            <w:noWrap w:val="0"/>
            <w:vAlign w:val="center"/>
          </w:tcPr>
          <w:p w14:paraId="496CFB76">
            <w:pPr>
              <w:jc w:val="center"/>
              <w:rPr>
                <w:rFonts w:hint="eastAsia" w:ascii="宋体" w:hAnsi="宋体" w:eastAsia="宋体" w:cs="宋体"/>
              </w:rPr>
            </w:pPr>
          </w:p>
        </w:tc>
        <w:tc>
          <w:tcPr>
            <w:tcW w:w="851" w:type="dxa"/>
            <w:noWrap w:val="0"/>
            <w:vAlign w:val="center"/>
          </w:tcPr>
          <w:p w14:paraId="6AB64DD1">
            <w:pPr>
              <w:jc w:val="center"/>
              <w:rPr>
                <w:rFonts w:hint="eastAsia" w:ascii="宋体" w:hAnsi="宋体" w:eastAsia="宋体" w:cs="宋体"/>
              </w:rPr>
            </w:pPr>
          </w:p>
        </w:tc>
        <w:tc>
          <w:tcPr>
            <w:tcW w:w="992" w:type="dxa"/>
            <w:noWrap w:val="0"/>
            <w:vAlign w:val="center"/>
          </w:tcPr>
          <w:p w14:paraId="014EA5C1">
            <w:pPr>
              <w:jc w:val="center"/>
              <w:rPr>
                <w:rFonts w:hint="eastAsia" w:ascii="宋体" w:hAnsi="宋体" w:eastAsia="宋体" w:cs="宋体"/>
              </w:rPr>
            </w:pPr>
          </w:p>
        </w:tc>
        <w:tc>
          <w:tcPr>
            <w:tcW w:w="1134" w:type="dxa"/>
            <w:noWrap w:val="0"/>
            <w:vAlign w:val="center"/>
          </w:tcPr>
          <w:p w14:paraId="219D251F">
            <w:pPr>
              <w:jc w:val="center"/>
              <w:rPr>
                <w:rFonts w:hint="eastAsia" w:ascii="宋体" w:hAnsi="宋体" w:eastAsia="宋体" w:cs="宋体"/>
              </w:rPr>
            </w:pPr>
          </w:p>
        </w:tc>
        <w:tc>
          <w:tcPr>
            <w:tcW w:w="1276" w:type="dxa"/>
            <w:noWrap w:val="0"/>
            <w:vAlign w:val="center"/>
          </w:tcPr>
          <w:p w14:paraId="3329FFF2">
            <w:pPr>
              <w:jc w:val="center"/>
              <w:rPr>
                <w:rFonts w:hint="eastAsia" w:ascii="宋体" w:hAnsi="宋体" w:eastAsia="宋体" w:cs="宋体"/>
              </w:rPr>
            </w:pPr>
          </w:p>
        </w:tc>
        <w:tc>
          <w:tcPr>
            <w:tcW w:w="1134" w:type="dxa"/>
            <w:noWrap w:val="0"/>
            <w:vAlign w:val="center"/>
          </w:tcPr>
          <w:p w14:paraId="7780B3B2">
            <w:pPr>
              <w:jc w:val="center"/>
              <w:rPr>
                <w:rFonts w:hint="eastAsia" w:ascii="宋体" w:hAnsi="宋体" w:eastAsia="宋体" w:cs="宋体"/>
              </w:rPr>
            </w:pPr>
          </w:p>
        </w:tc>
      </w:tr>
    </w:tbl>
    <w:p w14:paraId="35750612">
      <w:pPr>
        <w:pStyle w:val="11"/>
        <w:tabs>
          <w:tab w:val="left" w:pos="2127"/>
        </w:tabs>
        <w:spacing w:line="340" w:lineRule="exact"/>
        <w:rPr>
          <w:rFonts w:hint="eastAsia" w:ascii="宋体" w:hAnsi="宋体" w:eastAsia="宋体" w:cs="宋体"/>
        </w:rPr>
      </w:pPr>
      <w:r>
        <w:rPr>
          <w:rFonts w:hint="eastAsia" w:ascii="宋体" w:hAnsi="宋体" w:eastAsia="宋体" w:cs="宋体"/>
        </w:rPr>
        <w:t>备注：</w:t>
      </w:r>
      <w:bookmarkStart w:id="586" w:name="OLE_LINK26"/>
      <w:r>
        <w:rPr>
          <w:rFonts w:hint="eastAsia" w:ascii="宋体" w:hAnsi="宋体" w:eastAsia="宋体" w:cs="宋体"/>
        </w:rPr>
        <w:t>附以上类似工程的工程合同协议书、工程竣工验收证明材料，</w:t>
      </w:r>
      <w:bookmarkStart w:id="587" w:name="OLE_LINK22"/>
      <w:r>
        <w:rPr>
          <w:rFonts w:hint="eastAsia" w:ascii="宋体" w:hAnsi="宋体" w:eastAsia="宋体" w:cs="宋体"/>
        </w:rPr>
        <w:t>以及供应商认为需要增加的其他证明材料扫描件，以上扫描件均须加盖</w:t>
      </w:r>
      <w:bookmarkEnd w:id="587"/>
      <w:r>
        <w:rPr>
          <w:rFonts w:hint="eastAsia" w:ascii="宋体" w:hAnsi="宋体" w:eastAsia="宋体" w:cs="宋体"/>
        </w:rPr>
        <w:t>供应商电子签章。</w:t>
      </w:r>
      <w:bookmarkEnd w:id="586"/>
    </w:p>
    <w:p w14:paraId="6A6B7487">
      <w:pPr>
        <w:snapToGrid w:val="0"/>
        <w:spacing w:before="50" w:after="120" w:afterLines="50"/>
        <w:jc w:val="left"/>
        <w:rPr>
          <w:rFonts w:hint="eastAsia" w:ascii="宋体" w:hAnsi="宋体" w:eastAsia="宋体" w:cs="宋体"/>
          <w:szCs w:val="21"/>
        </w:rPr>
      </w:pPr>
      <w:r>
        <w:rPr>
          <w:rFonts w:hint="eastAsia" w:ascii="宋体" w:hAnsi="宋体" w:eastAsia="宋体" w:cs="宋体"/>
          <w:szCs w:val="21"/>
        </w:rPr>
        <w:br w:type="page"/>
      </w:r>
    </w:p>
    <w:p w14:paraId="78BFE1C8">
      <w:pPr>
        <w:snapToGrid w:val="0"/>
        <w:spacing w:before="50" w:after="120" w:afterLines="50"/>
        <w:jc w:val="left"/>
        <w:rPr>
          <w:rFonts w:hint="eastAsia" w:ascii="宋体" w:hAnsi="宋体" w:eastAsia="宋体" w:cs="宋体"/>
          <w:b/>
          <w:bCs/>
          <w:szCs w:val="21"/>
        </w:rPr>
      </w:pPr>
      <w:r>
        <w:rPr>
          <w:rFonts w:hint="eastAsia" w:ascii="宋体" w:hAnsi="宋体" w:cs="宋体"/>
          <w:szCs w:val="21"/>
          <w:lang w:val="en-US" w:eastAsia="zh-CN"/>
        </w:rPr>
        <w:t>4</w:t>
      </w:r>
      <w:r>
        <w:rPr>
          <w:rFonts w:hint="eastAsia" w:ascii="宋体" w:hAnsi="宋体" w:eastAsia="宋体" w:cs="宋体"/>
          <w:szCs w:val="21"/>
        </w:rPr>
        <w:t>.</w:t>
      </w:r>
      <w:r>
        <w:rPr>
          <w:rFonts w:hint="eastAsia" w:ascii="宋体" w:hAnsi="宋体" w:eastAsia="宋体" w:cs="宋体"/>
          <w:b/>
          <w:bCs/>
          <w:szCs w:val="21"/>
        </w:rPr>
        <w:t>无串标行为承诺函</w:t>
      </w:r>
    </w:p>
    <w:p w14:paraId="3C67AF9A">
      <w:pPr>
        <w:snapToGrid w:val="0"/>
        <w:spacing w:before="50" w:after="120" w:afterLines="50"/>
        <w:jc w:val="center"/>
        <w:rPr>
          <w:rFonts w:hint="eastAsia" w:ascii="宋体" w:hAnsi="宋体" w:eastAsia="宋体" w:cs="宋体"/>
          <w:szCs w:val="21"/>
        </w:rPr>
      </w:pPr>
    </w:p>
    <w:p w14:paraId="5CF3A9B4">
      <w:pPr>
        <w:snapToGrid w:val="0"/>
        <w:spacing w:before="50" w:after="120" w:afterLines="50"/>
        <w:jc w:val="center"/>
        <w:rPr>
          <w:rFonts w:hint="eastAsia" w:ascii="宋体" w:hAnsi="宋体" w:eastAsia="宋体" w:cs="宋体"/>
          <w:szCs w:val="21"/>
        </w:rPr>
      </w:pPr>
      <w:r>
        <w:rPr>
          <w:rFonts w:hint="eastAsia" w:ascii="宋体" w:hAnsi="宋体" w:eastAsia="宋体" w:cs="宋体"/>
          <w:szCs w:val="21"/>
        </w:rPr>
        <w:t>供应商参加本项目无围标串标行为的承诺函</w:t>
      </w:r>
    </w:p>
    <w:p w14:paraId="37ED52D2">
      <w:pPr>
        <w:snapToGrid w:val="0"/>
        <w:spacing w:before="50" w:after="120" w:afterLines="50"/>
        <w:jc w:val="left"/>
        <w:rPr>
          <w:rFonts w:hint="eastAsia" w:ascii="宋体" w:hAnsi="宋体" w:eastAsia="宋体" w:cs="宋体"/>
          <w:szCs w:val="21"/>
        </w:rPr>
      </w:pPr>
    </w:p>
    <w:p w14:paraId="011A2173">
      <w:pPr>
        <w:snapToGrid w:val="0"/>
        <w:spacing w:before="50" w:after="120" w:afterLines="50"/>
        <w:jc w:val="left"/>
        <w:rPr>
          <w:rFonts w:hint="eastAsia" w:ascii="宋体" w:hAnsi="宋体" w:eastAsia="宋体" w:cs="宋体"/>
          <w:szCs w:val="21"/>
        </w:rPr>
      </w:pPr>
      <w:r>
        <w:rPr>
          <w:rFonts w:hint="eastAsia" w:ascii="宋体" w:hAnsi="宋体" w:eastAsia="宋体" w:cs="宋体"/>
          <w:szCs w:val="21"/>
        </w:rPr>
        <w:t>一、我方承诺无下列相互串通投标的情形：</w:t>
      </w:r>
    </w:p>
    <w:p w14:paraId="5C416DC0">
      <w:pPr>
        <w:snapToGrid w:val="0"/>
        <w:spacing w:before="50" w:after="120" w:afterLines="50"/>
        <w:jc w:val="left"/>
        <w:rPr>
          <w:rFonts w:hint="eastAsia" w:ascii="宋体" w:hAnsi="宋体" w:eastAsia="宋体" w:cs="宋体"/>
          <w:szCs w:val="21"/>
        </w:rPr>
      </w:pPr>
      <w:r>
        <w:rPr>
          <w:rFonts w:hint="eastAsia" w:ascii="宋体" w:hAnsi="宋体" w:eastAsia="宋体" w:cs="宋体"/>
          <w:szCs w:val="21"/>
        </w:rPr>
        <w:t>1.不同供应商的响应文件由同一单位或者个人编制；或者不同供应商报名的IP地址一致的；</w:t>
      </w:r>
    </w:p>
    <w:p w14:paraId="0E041B9F">
      <w:pPr>
        <w:snapToGrid w:val="0"/>
        <w:spacing w:before="50" w:after="120" w:afterLines="50"/>
        <w:jc w:val="left"/>
        <w:rPr>
          <w:rFonts w:hint="eastAsia" w:ascii="宋体" w:hAnsi="宋体" w:eastAsia="宋体" w:cs="宋体"/>
          <w:szCs w:val="21"/>
        </w:rPr>
      </w:pPr>
      <w:r>
        <w:rPr>
          <w:rFonts w:hint="eastAsia" w:ascii="宋体" w:hAnsi="宋体" w:eastAsia="宋体" w:cs="宋体"/>
          <w:szCs w:val="21"/>
        </w:rPr>
        <w:t>2.不同供应商委托同一单位或者个人办理投标事宜；</w:t>
      </w:r>
    </w:p>
    <w:p w14:paraId="304B8F49">
      <w:pPr>
        <w:snapToGrid w:val="0"/>
        <w:spacing w:before="50" w:after="120" w:afterLines="50"/>
        <w:jc w:val="left"/>
        <w:rPr>
          <w:rFonts w:hint="eastAsia" w:ascii="宋体" w:hAnsi="宋体" w:eastAsia="宋体" w:cs="宋体"/>
          <w:szCs w:val="21"/>
        </w:rPr>
      </w:pPr>
      <w:r>
        <w:rPr>
          <w:rFonts w:hint="eastAsia" w:ascii="宋体" w:hAnsi="宋体" w:eastAsia="宋体" w:cs="宋体"/>
          <w:szCs w:val="21"/>
        </w:rPr>
        <w:t>3.不同的供应商的响应文件载明的项目管理员为同一个人；</w:t>
      </w:r>
    </w:p>
    <w:p w14:paraId="17FCFC85">
      <w:pPr>
        <w:snapToGrid w:val="0"/>
        <w:spacing w:before="50" w:after="120" w:afterLines="50"/>
        <w:jc w:val="left"/>
        <w:rPr>
          <w:rFonts w:hint="eastAsia" w:ascii="宋体" w:hAnsi="宋体" w:eastAsia="宋体" w:cs="宋体"/>
          <w:szCs w:val="21"/>
        </w:rPr>
      </w:pPr>
      <w:r>
        <w:rPr>
          <w:rFonts w:hint="eastAsia" w:ascii="宋体" w:hAnsi="宋体" w:eastAsia="宋体" w:cs="宋体"/>
          <w:szCs w:val="21"/>
        </w:rPr>
        <w:t>4.不同供应商的响应文件异常一致或者投标报价呈规律性差异；</w:t>
      </w:r>
    </w:p>
    <w:p w14:paraId="4766AD0F">
      <w:pPr>
        <w:snapToGrid w:val="0"/>
        <w:spacing w:before="50" w:after="120" w:afterLines="50"/>
        <w:jc w:val="left"/>
        <w:rPr>
          <w:rFonts w:hint="eastAsia" w:ascii="宋体" w:hAnsi="宋体" w:eastAsia="宋体" w:cs="宋体"/>
          <w:szCs w:val="21"/>
        </w:rPr>
      </w:pPr>
      <w:r>
        <w:rPr>
          <w:rFonts w:hint="eastAsia" w:ascii="宋体" w:hAnsi="宋体" w:eastAsia="宋体" w:cs="宋体"/>
          <w:szCs w:val="21"/>
        </w:rPr>
        <w:t>5.不同供应商的响应文件相互混装；</w:t>
      </w:r>
    </w:p>
    <w:p w14:paraId="3710A0E5">
      <w:pPr>
        <w:snapToGrid w:val="0"/>
        <w:spacing w:before="50" w:after="120" w:afterLines="50"/>
        <w:jc w:val="left"/>
        <w:rPr>
          <w:rFonts w:hint="eastAsia" w:ascii="宋体" w:hAnsi="宋体" w:eastAsia="宋体" w:cs="宋体"/>
          <w:szCs w:val="21"/>
        </w:rPr>
      </w:pPr>
      <w:r>
        <w:rPr>
          <w:rFonts w:hint="eastAsia" w:ascii="宋体" w:hAnsi="宋体" w:eastAsia="宋体" w:cs="宋体"/>
          <w:szCs w:val="21"/>
        </w:rPr>
        <w:t>6.不同供应商的磋商保证金从同一单位或者个人账户转出。</w:t>
      </w:r>
    </w:p>
    <w:p w14:paraId="031E332B">
      <w:pPr>
        <w:snapToGrid w:val="0"/>
        <w:spacing w:before="50" w:after="120" w:afterLines="50"/>
        <w:jc w:val="left"/>
        <w:rPr>
          <w:rFonts w:hint="eastAsia" w:ascii="宋体" w:hAnsi="宋体" w:eastAsia="宋体" w:cs="宋体"/>
          <w:szCs w:val="21"/>
        </w:rPr>
      </w:pPr>
      <w:r>
        <w:rPr>
          <w:rFonts w:hint="eastAsia" w:ascii="宋体" w:hAnsi="宋体" w:eastAsia="宋体" w:cs="宋体"/>
          <w:szCs w:val="21"/>
        </w:rPr>
        <w:t>二、我方承诺无下列恶意串通的情形：</w:t>
      </w:r>
    </w:p>
    <w:p w14:paraId="5FA47C56">
      <w:pPr>
        <w:snapToGrid w:val="0"/>
        <w:spacing w:before="50" w:after="120" w:afterLines="50"/>
        <w:jc w:val="left"/>
        <w:rPr>
          <w:rFonts w:hint="eastAsia" w:ascii="宋体" w:hAnsi="宋体" w:eastAsia="宋体" w:cs="宋体"/>
          <w:szCs w:val="21"/>
        </w:rPr>
      </w:pPr>
      <w:r>
        <w:rPr>
          <w:rFonts w:hint="eastAsia" w:ascii="宋体" w:hAnsi="宋体" w:eastAsia="宋体" w:cs="宋体"/>
          <w:szCs w:val="21"/>
        </w:rPr>
        <w:t>1.供应商直接或者间接从采购人或者采购代理机构处获得其他供应商的相关信息并修改其响应文件或者响应文件；</w:t>
      </w:r>
    </w:p>
    <w:p w14:paraId="720E1A88">
      <w:pPr>
        <w:snapToGrid w:val="0"/>
        <w:spacing w:before="50" w:after="120" w:afterLines="50"/>
        <w:jc w:val="left"/>
        <w:rPr>
          <w:rFonts w:hint="eastAsia" w:ascii="宋体" w:hAnsi="宋体" w:eastAsia="宋体" w:cs="宋体"/>
          <w:szCs w:val="21"/>
        </w:rPr>
      </w:pPr>
      <w:r>
        <w:rPr>
          <w:rFonts w:hint="eastAsia" w:ascii="宋体" w:hAnsi="宋体" w:eastAsia="宋体" w:cs="宋体"/>
          <w:szCs w:val="21"/>
        </w:rPr>
        <w:t>2.供应商按照采购人或者采购代理机构的授意撤换、修改响应文件或者响应文件；</w:t>
      </w:r>
    </w:p>
    <w:p w14:paraId="46DD1BC8">
      <w:pPr>
        <w:snapToGrid w:val="0"/>
        <w:spacing w:before="50" w:after="120" w:afterLines="50"/>
        <w:jc w:val="left"/>
        <w:rPr>
          <w:rFonts w:hint="eastAsia" w:ascii="宋体" w:hAnsi="宋体" w:eastAsia="宋体" w:cs="宋体"/>
          <w:szCs w:val="21"/>
        </w:rPr>
      </w:pPr>
      <w:r>
        <w:rPr>
          <w:rFonts w:hint="eastAsia" w:ascii="宋体" w:hAnsi="宋体" w:eastAsia="宋体" w:cs="宋体"/>
          <w:szCs w:val="21"/>
        </w:rPr>
        <w:t>3.供应商之间协商报价、技术方案等响应文件或者响应文件的实质性内容；</w:t>
      </w:r>
    </w:p>
    <w:p w14:paraId="619DB4E8">
      <w:pPr>
        <w:snapToGrid w:val="0"/>
        <w:spacing w:before="50" w:after="120" w:afterLines="50"/>
        <w:jc w:val="left"/>
        <w:rPr>
          <w:rFonts w:hint="eastAsia" w:ascii="宋体" w:hAnsi="宋体" w:eastAsia="宋体" w:cs="宋体"/>
          <w:szCs w:val="21"/>
        </w:rPr>
      </w:pPr>
      <w:r>
        <w:rPr>
          <w:rFonts w:hint="eastAsia" w:ascii="宋体" w:hAnsi="宋体" w:eastAsia="宋体" w:cs="宋体"/>
          <w:szCs w:val="21"/>
        </w:rPr>
        <w:t>4.属于同一集团、协会、商会等组织成员的供应商按照该组织要求协同参加政府采购活动；</w:t>
      </w:r>
    </w:p>
    <w:p w14:paraId="24B2A241">
      <w:pPr>
        <w:snapToGrid w:val="0"/>
        <w:spacing w:before="50" w:after="120" w:afterLines="50"/>
        <w:jc w:val="left"/>
        <w:rPr>
          <w:rFonts w:hint="eastAsia" w:ascii="宋体" w:hAnsi="宋体" w:eastAsia="宋体" w:cs="宋体"/>
          <w:szCs w:val="21"/>
        </w:rPr>
      </w:pPr>
      <w:r>
        <w:rPr>
          <w:rFonts w:hint="eastAsia" w:ascii="宋体" w:hAnsi="宋体" w:eastAsia="宋体" w:cs="宋体"/>
          <w:szCs w:val="21"/>
        </w:rPr>
        <w:t>5.供应商之间事先约定一致抬高或者压低投标报价，或者在招标项目中事先约定轮流以高价位或者低价位中标，或者事先约定由某一特定供应商中标，然后再参加投标；</w:t>
      </w:r>
    </w:p>
    <w:p w14:paraId="37747FA2">
      <w:pPr>
        <w:snapToGrid w:val="0"/>
        <w:spacing w:before="50" w:after="120" w:afterLines="50"/>
        <w:jc w:val="left"/>
        <w:rPr>
          <w:rFonts w:hint="eastAsia" w:ascii="宋体" w:hAnsi="宋体" w:eastAsia="宋体" w:cs="宋体"/>
          <w:szCs w:val="21"/>
        </w:rPr>
      </w:pPr>
      <w:r>
        <w:rPr>
          <w:rFonts w:hint="eastAsia" w:ascii="宋体" w:hAnsi="宋体" w:eastAsia="宋体" w:cs="宋体"/>
          <w:szCs w:val="21"/>
        </w:rPr>
        <w:t>6.供应商之间商定部分供应商放弃参加政府采购活动或者放弃中标；</w:t>
      </w:r>
    </w:p>
    <w:p w14:paraId="17EA40DF">
      <w:pPr>
        <w:snapToGrid w:val="0"/>
        <w:spacing w:before="50" w:after="120" w:afterLines="50"/>
        <w:jc w:val="left"/>
        <w:rPr>
          <w:rFonts w:hint="eastAsia" w:ascii="宋体" w:hAnsi="宋体" w:eastAsia="宋体" w:cs="宋体"/>
          <w:szCs w:val="21"/>
        </w:rPr>
      </w:pPr>
      <w:r>
        <w:rPr>
          <w:rFonts w:hint="eastAsia" w:ascii="宋体" w:hAnsi="宋体" w:eastAsia="宋体" w:cs="宋体"/>
          <w:szCs w:val="21"/>
        </w:rPr>
        <w:t>7.供应商与采购人或者采购代理机构之间、供应商相互之间，为谋求特定供应商中标或者排斥其他供应商的其他串通行为。</w:t>
      </w:r>
    </w:p>
    <w:p w14:paraId="56B552D4">
      <w:pPr>
        <w:snapToGrid w:val="0"/>
        <w:spacing w:before="50" w:after="120" w:afterLines="50"/>
        <w:jc w:val="left"/>
        <w:rPr>
          <w:rFonts w:hint="eastAsia" w:ascii="宋体" w:hAnsi="宋体" w:eastAsia="宋体" w:cs="宋体"/>
          <w:szCs w:val="21"/>
        </w:rPr>
      </w:pPr>
      <w:r>
        <w:rPr>
          <w:rFonts w:hint="eastAsia" w:ascii="宋体" w:hAnsi="宋体" w:eastAsia="宋体" w:cs="宋体"/>
          <w:szCs w:val="21"/>
        </w:rPr>
        <w:t>以上情形一经核查属实，我方愿意承担一切后果，并不再寻求任何旨在减轻或者免除法律责任的辩解。</w:t>
      </w:r>
    </w:p>
    <w:p w14:paraId="6B56E15C">
      <w:pPr>
        <w:snapToGrid w:val="0"/>
        <w:spacing w:before="50" w:after="120" w:afterLines="50"/>
        <w:jc w:val="center"/>
        <w:rPr>
          <w:rFonts w:hint="eastAsia" w:ascii="宋体" w:hAnsi="宋体" w:eastAsia="宋体" w:cs="宋体"/>
          <w:szCs w:val="21"/>
        </w:rPr>
      </w:pPr>
      <w:r>
        <w:rPr>
          <w:rFonts w:hint="eastAsia" w:ascii="宋体" w:hAnsi="宋体" w:eastAsia="宋体" w:cs="宋体"/>
          <w:szCs w:val="21"/>
        </w:rPr>
        <w:t xml:space="preserve">  </w:t>
      </w:r>
    </w:p>
    <w:p w14:paraId="026483A0">
      <w:pPr>
        <w:snapToGrid w:val="0"/>
        <w:spacing w:before="50" w:after="120" w:afterLines="50"/>
        <w:jc w:val="center"/>
        <w:rPr>
          <w:rFonts w:hint="eastAsia" w:ascii="宋体" w:hAnsi="宋体" w:eastAsia="宋体" w:cs="宋体"/>
          <w:szCs w:val="21"/>
        </w:rPr>
      </w:pPr>
    </w:p>
    <w:p w14:paraId="1CCDCEEB">
      <w:pPr>
        <w:snapToGrid w:val="0"/>
        <w:spacing w:before="50" w:after="120" w:afterLines="50"/>
        <w:jc w:val="center"/>
        <w:rPr>
          <w:rFonts w:hint="eastAsia" w:ascii="宋体" w:hAnsi="宋体" w:eastAsia="宋体" w:cs="宋体"/>
          <w:szCs w:val="21"/>
        </w:rPr>
      </w:pPr>
    </w:p>
    <w:p w14:paraId="49C6318C">
      <w:pPr>
        <w:snapToGrid w:val="0"/>
        <w:spacing w:before="50" w:after="120" w:afterLines="50"/>
        <w:jc w:val="center"/>
        <w:rPr>
          <w:rFonts w:hint="eastAsia" w:ascii="宋体" w:hAnsi="宋体" w:eastAsia="宋体" w:cs="宋体"/>
          <w:szCs w:val="21"/>
        </w:rPr>
      </w:pPr>
      <w:r>
        <w:rPr>
          <w:rFonts w:hint="eastAsia" w:ascii="宋体" w:hAnsi="宋体" w:eastAsia="宋体" w:cs="宋体"/>
          <w:szCs w:val="21"/>
        </w:rPr>
        <w:t>供应商名称(电子签章)：</w:t>
      </w:r>
    </w:p>
    <w:p w14:paraId="6121F61D">
      <w:pPr>
        <w:snapToGrid w:val="0"/>
        <w:spacing w:before="50" w:after="120" w:afterLines="50"/>
        <w:jc w:val="center"/>
        <w:rPr>
          <w:rFonts w:hint="eastAsia" w:ascii="宋体" w:hAnsi="宋体" w:eastAsia="宋体" w:cs="宋体"/>
          <w:szCs w:val="21"/>
        </w:rPr>
      </w:pPr>
      <w:r>
        <w:rPr>
          <w:rFonts w:hint="eastAsia" w:ascii="宋体" w:hAnsi="宋体" w:eastAsia="宋体" w:cs="宋体"/>
          <w:szCs w:val="21"/>
        </w:rPr>
        <w:t>日期：  年  月   日</w:t>
      </w:r>
    </w:p>
    <w:p w14:paraId="628473F2">
      <w:pPr>
        <w:spacing w:line="360" w:lineRule="exact"/>
        <w:rPr>
          <w:rFonts w:hint="eastAsia" w:ascii="宋体" w:hAnsi="宋体" w:eastAsia="宋体" w:cs="宋体"/>
          <w:szCs w:val="21"/>
        </w:rPr>
      </w:pPr>
    </w:p>
    <w:p w14:paraId="76B0CA5E">
      <w:pPr>
        <w:spacing w:line="360" w:lineRule="exact"/>
        <w:rPr>
          <w:rFonts w:hint="eastAsia" w:ascii="宋体" w:hAnsi="宋体" w:eastAsia="宋体" w:cs="宋体"/>
          <w:b/>
          <w:bCs/>
          <w:szCs w:val="21"/>
        </w:rPr>
      </w:pPr>
      <w:r>
        <w:rPr>
          <w:rFonts w:hint="eastAsia" w:ascii="宋体" w:hAnsi="宋体" w:eastAsia="宋体" w:cs="宋体"/>
          <w:szCs w:val="21"/>
        </w:rPr>
        <w:br w:type="page"/>
      </w:r>
      <w:r>
        <w:rPr>
          <w:rFonts w:hint="eastAsia" w:ascii="宋体" w:hAnsi="宋体" w:cs="宋体"/>
          <w:szCs w:val="21"/>
          <w:lang w:val="en-US" w:eastAsia="zh-CN"/>
        </w:rPr>
        <w:t>5</w:t>
      </w:r>
      <w:r>
        <w:rPr>
          <w:rFonts w:hint="eastAsia" w:ascii="宋体" w:hAnsi="宋体" w:eastAsia="宋体" w:cs="宋体"/>
          <w:szCs w:val="21"/>
        </w:rPr>
        <w:t>.</w:t>
      </w:r>
      <w:r>
        <w:rPr>
          <w:rFonts w:hint="eastAsia" w:ascii="宋体" w:hAnsi="宋体" w:eastAsia="宋体" w:cs="宋体"/>
          <w:b/>
          <w:bCs/>
          <w:szCs w:val="21"/>
        </w:rPr>
        <w:t>代理服务费承诺书</w:t>
      </w:r>
    </w:p>
    <w:p w14:paraId="7D2E5762">
      <w:pPr>
        <w:spacing w:line="360" w:lineRule="exact"/>
        <w:rPr>
          <w:rFonts w:hint="eastAsia" w:ascii="宋体" w:hAnsi="宋体" w:eastAsia="宋体" w:cs="宋体"/>
          <w:szCs w:val="21"/>
        </w:rPr>
      </w:pPr>
      <w:r>
        <w:rPr>
          <w:rFonts w:hint="eastAsia" w:ascii="宋体" w:hAnsi="宋体" w:eastAsia="宋体" w:cs="宋体"/>
          <w:szCs w:val="21"/>
        </w:rPr>
        <w:t>致：广西机电设备招标有限公司</w:t>
      </w:r>
    </w:p>
    <w:p w14:paraId="6651D9D6">
      <w:pPr>
        <w:spacing w:line="360" w:lineRule="exact"/>
        <w:ind w:firstLine="420" w:firstLineChars="200"/>
        <w:rPr>
          <w:rFonts w:hint="eastAsia" w:ascii="宋体" w:hAnsi="宋体" w:eastAsia="宋体" w:cs="宋体"/>
          <w:szCs w:val="21"/>
        </w:rPr>
      </w:pPr>
      <w:r>
        <w:rPr>
          <w:rFonts w:hint="eastAsia" w:ascii="宋体" w:hAnsi="宋体" w:eastAsia="宋体" w:cs="宋体"/>
          <w:szCs w:val="21"/>
        </w:rPr>
        <w:t>我单位参加了贵方组织的磋商项目编号为</w:t>
      </w:r>
      <w:r>
        <w:rPr>
          <w:rFonts w:hint="eastAsia" w:ascii="宋体" w:hAnsi="宋体" w:eastAsia="宋体" w:cs="宋体"/>
          <w:b/>
          <w:szCs w:val="21"/>
        </w:rPr>
        <w:t>（</w:t>
      </w:r>
      <w:r>
        <w:rPr>
          <w:rFonts w:hint="eastAsia" w:ascii="宋体" w:hAnsi="宋体" w:eastAsia="宋体" w:cs="宋体"/>
          <w:szCs w:val="21"/>
          <w:u w:val="single"/>
        </w:rPr>
        <w:t xml:space="preserve">                    )</w:t>
      </w:r>
      <w:r>
        <w:rPr>
          <w:rFonts w:hint="eastAsia" w:ascii="宋体" w:hAnsi="宋体" w:eastAsia="宋体" w:cs="宋体"/>
          <w:szCs w:val="21"/>
        </w:rPr>
        <w:t>的响应，并递交了磋商保证金</w:t>
      </w:r>
      <w:r>
        <w:rPr>
          <w:rFonts w:hint="eastAsia" w:ascii="宋体" w:hAnsi="宋体" w:eastAsia="宋体" w:cs="宋体"/>
          <w:szCs w:val="21"/>
          <w:u w:val="single"/>
        </w:rPr>
        <w:t xml:space="preserve">                  </w:t>
      </w:r>
      <w:r>
        <w:rPr>
          <w:rFonts w:hint="eastAsia" w:ascii="宋体" w:hAnsi="宋体" w:eastAsia="宋体" w:cs="宋体"/>
          <w:szCs w:val="21"/>
        </w:rPr>
        <w:t>（</w:t>
      </w:r>
      <w:r>
        <w:rPr>
          <w:rFonts w:hint="eastAsia" w:ascii="宋体" w:hAnsi="宋体" w:eastAsia="宋体" w:cs="宋体"/>
          <w:kern w:val="0"/>
          <w:szCs w:val="21"/>
        </w:rPr>
        <w:t>¥</w:t>
      </w:r>
      <w:r>
        <w:rPr>
          <w:rFonts w:hint="eastAsia" w:ascii="宋体" w:hAnsi="宋体" w:eastAsia="宋体" w:cs="宋体"/>
          <w:szCs w:val="21"/>
          <w:u w:val="single"/>
        </w:rPr>
        <w:t xml:space="preserve">       </w:t>
      </w:r>
      <w:r>
        <w:rPr>
          <w:rFonts w:hint="eastAsia" w:ascii="宋体" w:hAnsi="宋体" w:eastAsia="宋体" w:cs="宋体"/>
          <w:szCs w:val="21"/>
        </w:rPr>
        <w:t>），在此我方说明如下：</w:t>
      </w:r>
    </w:p>
    <w:p w14:paraId="7E99F000">
      <w:pPr>
        <w:spacing w:line="360" w:lineRule="exact"/>
        <w:ind w:firstLine="420" w:firstLineChars="200"/>
        <w:rPr>
          <w:rFonts w:hint="eastAsia" w:ascii="宋体" w:hAnsi="宋体" w:eastAsia="宋体" w:cs="宋体"/>
          <w:szCs w:val="21"/>
        </w:rPr>
      </w:pPr>
      <w:r>
        <w:rPr>
          <w:rFonts w:hint="eastAsia" w:ascii="宋体" w:hAnsi="宋体" w:eastAsia="宋体" w:cs="宋体"/>
          <w:szCs w:val="21"/>
        </w:rPr>
        <w:t>1．我方承诺，若我单位成交，保证在领取成交通知书之前，按本项目采购文件的规定标准向贵单位支付代理服务费。如我单位未按规定缴纳代理服务费，贵方可不退还我单位提交的磋商保证金，并从中扣除代理服务费，余款按下列账户退回。</w:t>
      </w:r>
    </w:p>
    <w:p w14:paraId="5D6EE522">
      <w:pPr>
        <w:snapToGrid w:val="0"/>
        <w:spacing w:before="50" w:after="120" w:afterLines="50"/>
        <w:ind w:firstLine="420" w:firstLineChars="200"/>
        <w:jc w:val="left"/>
        <w:rPr>
          <w:rFonts w:hint="eastAsia" w:ascii="宋体" w:hAnsi="宋体" w:eastAsia="宋体" w:cs="宋体"/>
          <w:szCs w:val="21"/>
        </w:rPr>
      </w:pPr>
      <w:r>
        <w:rPr>
          <w:rFonts w:hint="eastAsia" w:ascii="宋体" w:hAnsi="宋体" w:eastAsia="宋体" w:cs="宋体"/>
          <w:szCs w:val="21"/>
        </w:rPr>
        <w:t>我公司选择第</w:t>
      </w:r>
      <w:r>
        <w:rPr>
          <w:rFonts w:hint="eastAsia" w:ascii="宋体" w:hAnsi="宋体" w:eastAsia="宋体" w:cs="宋体"/>
          <w:szCs w:val="21"/>
          <w:u w:val="single"/>
        </w:rPr>
        <w:t xml:space="preserve">     </w:t>
      </w:r>
      <w:r>
        <w:rPr>
          <w:rFonts w:hint="eastAsia" w:ascii="宋体" w:hAnsi="宋体" w:eastAsia="宋体" w:cs="宋体"/>
          <w:szCs w:val="21"/>
        </w:rPr>
        <w:t>种方式缴纳代理服务费。</w:t>
      </w:r>
    </w:p>
    <w:p w14:paraId="57167C64">
      <w:pPr>
        <w:spacing w:line="360" w:lineRule="exact"/>
        <w:ind w:firstLine="420" w:firstLineChars="200"/>
        <w:rPr>
          <w:rFonts w:hint="eastAsia" w:ascii="宋体" w:hAnsi="宋体" w:eastAsia="宋体" w:cs="宋体"/>
          <w:szCs w:val="21"/>
        </w:rPr>
      </w:pPr>
      <w:r>
        <w:rPr>
          <w:rFonts w:hint="eastAsia" w:ascii="宋体" w:hAnsi="宋体" w:eastAsia="宋体" w:cs="宋体"/>
          <w:szCs w:val="21"/>
        </w:rPr>
        <w:t>第一种方式：一次性足额缴纳代理服务费。</w:t>
      </w:r>
    </w:p>
    <w:p w14:paraId="53D17AB3">
      <w:pPr>
        <w:spacing w:line="360" w:lineRule="exact"/>
        <w:ind w:firstLine="420" w:firstLineChars="200"/>
        <w:rPr>
          <w:rFonts w:hint="eastAsia" w:ascii="宋体" w:hAnsi="宋体" w:eastAsia="宋体" w:cs="宋体"/>
          <w:szCs w:val="21"/>
        </w:rPr>
      </w:pPr>
      <w:r>
        <w:rPr>
          <w:rFonts w:hint="eastAsia" w:ascii="宋体" w:hAnsi="宋体" w:eastAsia="宋体" w:cs="宋体"/>
          <w:szCs w:val="21"/>
        </w:rPr>
        <w:t>第二种方式：从磋商保证金中抵扣代理服务费，不足部分补交。</w:t>
      </w:r>
    </w:p>
    <w:p w14:paraId="32FBE30E">
      <w:pPr>
        <w:spacing w:line="360" w:lineRule="exact"/>
        <w:ind w:firstLine="420" w:firstLineChars="200"/>
        <w:rPr>
          <w:rFonts w:hint="eastAsia" w:ascii="宋体" w:hAnsi="宋体" w:eastAsia="宋体" w:cs="宋体"/>
          <w:szCs w:val="21"/>
        </w:rPr>
      </w:pPr>
      <w:r>
        <w:rPr>
          <w:rFonts w:hint="eastAsia" w:ascii="宋体" w:hAnsi="宋体" w:eastAsia="宋体" w:cs="宋体"/>
          <w:szCs w:val="21"/>
        </w:rPr>
        <w:t>2．如我单位磋商保证金无法原路返回，请按下表账户信息无息退还。</w:t>
      </w:r>
    </w:p>
    <w:tbl>
      <w:tblPr>
        <w:tblStyle w:val="15"/>
        <w:tblW w:w="89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33"/>
        <w:gridCol w:w="5431"/>
      </w:tblGrid>
      <w:tr w14:paraId="78EDA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3533" w:type="dxa"/>
            <w:noWrap w:val="0"/>
            <w:vAlign w:val="center"/>
          </w:tcPr>
          <w:p w14:paraId="15CDB11C">
            <w:pPr>
              <w:spacing w:line="360" w:lineRule="exact"/>
              <w:jc w:val="center"/>
              <w:rPr>
                <w:rFonts w:hint="eastAsia" w:ascii="宋体" w:hAnsi="宋体" w:eastAsia="宋体" w:cs="宋体"/>
                <w:szCs w:val="21"/>
              </w:rPr>
            </w:pPr>
            <w:r>
              <w:rPr>
                <w:rFonts w:hint="eastAsia" w:ascii="宋体" w:hAnsi="宋体" w:eastAsia="宋体" w:cs="宋体"/>
                <w:szCs w:val="21"/>
              </w:rPr>
              <w:t>收款户名</w:t>
            </w:r>
          </w:p>
        </w:tc>
        <w:tc>
          <w:tcPr>
            <w:tcW w:w="5431" w:type="dxa"/>
            <w:noWrap w:val="0"/>
            <w:vAlign w:val="center"/>
          </w:tcPr>
          <w:p w14:paraId="78445BE5">
            <w:pPr>
              <w:spacing w:line="360" w:lineRule="exact"/>
              <w:jc w:val="center"/>
              <w:rPr>
                <w:rFonts w:hint="eastAsia" w:ascii="宋体" w:hAnsi="宋体" w:eastAsia="宋体" w:cs="宋体"/>
                <w:szCs w:val="21"/>
              </w:rPr>
            </w:pPr>
          </w:p>
        </w:tc>
      </w:tr>
      <w:tr w14:paraId="09687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3533" w:type="dxa"/>
            <w:noWrap w:val="0"/>
            <w:vAlign w:val="center"/>
          </w:tcPr>
          <w:p w14:paraId="6E0859AA">
            <w:pPr>
              <w:spacing w:line="360" w:lineRule="exact"/>
              <w:jc w:val="center"/>
              <w:rPr>
                <w:rFonts w:hint="eastAsia" w:ascii="宋体" w:hAnsi="宋体" w:eastAsia="宋体" w:cs="宋体"/>
                <w:szCs w:val="21"/>
              </w:rPr>
            </w:pPr>
            <w:r>
              <w:rPr>
                <w:rFonts w:hint="eastAsia" w:ascii="宋体" w:hAnsi="宋体" w:eastAsia="宋体" w:cs="宋体"/>
                <w:szCs w:val="21"/>
              </w:rPr>
              <w:t>账    号</w:t>
            </w:r>
          </w:p>
        </w:tc>
        <w:tc>
          <w:tcPr>
            <w:tcW w:w="5431" w:type="dxa"/>
            <w:noWrap w:val="0"/>
            <w:vAlign w:val="center"/>
          </w:tcPr>
          <w:p w14:paraId="130CAEFD">
            <w:pPr>
              <w:spacing w:line="360" w:lineRule="exact"/>
              <w:jc w:val="center"/>
              <w:rPr>
                <w:rFonts w:hint="eastAsia" w:ascii="宋体" w:hAnsi="宋体" w:eastAsia="宋体" w:cs="宋体"/>
                <w:szCs w:val="21"/>
              </w:rPr>
            </w:pPr>
          </w:p>
        </w:tc>
      </w:tr>
      <w:tr w14:paraId="58DED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3533" w:type="dxa"/>
            <w:noWrap w:val="0"/>
            <w:vAlign w:val="center"/>
          </w:tcPr>
          <w:p w14:paraId="2577943F">
            <w:pPr>
              <w:spacing w:line="360" w:lineRule="exact"/>
              <w:jc w:val="center"/>
              <w:rPr>
                <w:rFonts w:hint="eastAsia" w:ascii="宋体" w:hAnsi="宋体" w:eastAsia="宋体" w:cs="宋体"/>
                <w:szCs w:val="21"/>
              </w:rPr>
            </w:pPr>
            <w:r>
              <w:rPr>
                <w:rFonts w:hint="eastAsia" w:ascii="宋体" w:hAnsi="宋体" w:eastAsia="宋体" w:cs="宋体"/>
                <w:szCs w:val="21"/>
              </w:rPr>
              <w:t>开户银行</w:t>
            </w:r>
          </w:p>
        </w:tc>
        <w:tc>
          <w:tcPr>
            <w:tcW w:w="5431" w:type="dxa"/>
            <w:noWrap w:val="0"/>
            <w:vAlign w:val="center"/>
          </w:tcPr>
          <w:p w14:paraId="3A696F23">
            <w:pPr>
              <w:spacing w:line="360" w:lineRule="exact"/>
              <w:jc w:val="center"/>
              <w:rPr>
                <w:rFonts w:hint="eastAsia" w:ascii="宋体" w:hAnsi="宋体" w:eastAsia="宋体" w:cs="宋体"/>
                <w:szCs w:val="21"/>
              </w:rPr>
            </w:pPr>
          </w:p>
        </w:tc>
      </w:tr>
      <w:tr w14:paraId="4F6E9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3533" w:type="dxa"/>
            <w:noWrap w:val="0"/>
            <w:vAlign w:val="center"/>
          </w:tcPr>
          <w:p w14:paraId="1676465E">
            <w:pPr>
              <w:spacing w:line="360" w:lineRule="exact"/>
              <w:jc w:val="center"/>
              <w:rPr>
                <w:rFonts w:hint="eastAsia" w:ascii="宋体" w:hAnsi="宋体" w:eastAsia="宋体" w:cs="宋体"/>
                <w:szCs w:val="21"/>
              </w:rPr>
            </w:pPr>
            <w:r>
              <w:rPr>
                <w:rFonts w:hint="eastAsia" w:ascii="宋体" w:hAnsi="宋体" w:eastAsia="宋体" w:cs="宋体"/>
                <w:szCs w:val="21"/>
              </w:rPr>
              <w:t>银行行号</w:t>
            </w:r>
          </w:p>
        </w:tc>
        <w:tc>
          <w:tcPr>
            <w:tcW w:w="5431" w:type="dxa"/>
            <w:noWrap w:val="0"/>
            <w:vAlign w:val="center"/>
          </w:tcPr>
          <w:p w14:paraId="60ACD178">
            <w:pPr>
              <w:spacing w:line="360" w:lineRule="exact"/>
              <w:jc w:val="center"/>
              <w:rPr>
                <w:rFonts w:hint="eastAsia" w:ascii="宋体" w:hAnsi="宋体" w:eastAsia="宋体" w:cs="宋体"/>
                <w:szCs w:val="21"/>
              </w:rPr>
            </w:pPr>
          </w:p>
        </w:tc>
      </w:tr>
    </w:tbl>
    <w:p w14:paraId="24022A05">
      <w:pPr>
        <w:spacing w:line="360" w:lineRule="exact"/>
        <w:ind w:firstLine="420" w:firstLineChars="200"/>
        <w:rPr>
          <w:rFonts w:hint="eastAsia" w:ascii="宋体" w:hAnsi="宋体" w:eastAsia="宋体" w:cs="宋体"/>
          <w:szCs w:val="21"/>
        </w:rPr>
      </w:pPr>
      <w:r>
        <w:rPr>
          <w:rFonts w:hint="eastAsia" w:ascii="宋体" w:hAnsi="宋体" w:eastAsia="宋体" w:cs="宋体"/>
          <w:szCs w:val="21"/>
        </w:rPr>
        <w:t>3．如果我单位未遵守有关采购文件关于磋商保证金的规定，贵方可以没收我单位磋商保证金。</w:t>
      </w:r>
    </w:p>
    <w:p w14:paraId="34311B18">
      <w:pPr>
        <w:spacing w:line="360" w:lineRule="exact"/>
        <w:ind w:firstLine="420" w:firstLineChars="200"/>
        <w:rPr>
          <w:rFonts w:hint="eastAsia" w:ascii="宋体" w:hAnsi="宋体" w:eastAsia="宋体" w:cs="宋体"/>
          <w:szCs w:val="21"/>
        </w:rPr>
      </w:pPr>
      <w:r>
        <w:rPr>
          <w:rFonts w:hint="eastAsia" w:ascii="宋体" w:hAnsi="宋体" w:eastAsia="宋体" w:cs="宋体"/>
          <w:szCs w:val="21"/>
        </w:rPr>
        <w:t>4. 我单位选择第</w:t>
      </w:r>
      <w:r>
        <w:rPr>
          <w:rFonts w:hint="eastAsia" w:ascii="宋体" w:hAnsi="宋体" w:eastAsia="宋体" w:cs="宋体"/>
          <w:szCs w:val="21"/>
          <w:u w:val="single"/>
        </w:rPr>
        <w:t xml:space="preserve">     </w:t>
      </w:r>
      <w:r>
        <w:rPr>
          <w:rFonts w:hint="eastAsia" w:ascii="宋体" w:hAnsi="宋体" w:eastAsia="宋体" w:cs="宋体"/>
          <w:szCs w:val="21"/>
        </w:rPr>
        <w:t>种方式作为代理服务费开票类型：</w:t>
      </w:r>
    </w:p>
    <w:p w14:paraId="2809A818">
      <w:pPr>
        <w:spacing w:line="360" w:lineRule="exact"/>
        <w:ind w:firstLine="420" w:firstLineChars="200"/>
        <w:rPr>
          <w:rFonts w:hint="eastAsia" w:ascii="宋体" w:hAnsi="宋体" w:eastAsia="宋体" w:cs="宋体"/>
          <w:szCs w:val="21"/>
        </w:rPr>
      </w:pPr>
      <w:r>
        <w:rPr>
          <w:rFonts w:hint="eastAsia" w:ascii="宋体" w:hAnsi="宋体" w:eastAsia="宋体" w:cs="宋体"/>
          <w:szCs w:val="21"/>
        </w:rPr>
        <w:t>第一种方式：开具收据。</w:t>
      </w:r>
    </w:p>
    <w:p w14:paraId="1E311339">
      <w:pPr>
        <w:spacing w:line="360" w:lineRule="exact"/>
        <w:ind w:firstLine="420" w:firstLineChars="200"/>
        <w:rPr>
          <w:rFonts w:hint="eastAsia" w:ascii="宋体" w:hAnsi="宋体" w:eastAsia="宋体" w:cs="宋体"/>
          <w:szCs w:val="21"/>
        </w:rPr>
      </w:pPr>
      <w:r>
        <w:rPr>
          <w:rFonts w:hint="eastAsia" w:ascii="宋体" w:hAnsi="宋体" w:eastAsia="宋体" w:cs="宋体"/>
          <w:szCs w:val="21"/>
        </w:rPr>
        <w:t>第二种方式：开具增值税普通发票。 1.公司名称</w:t>
      </w:r>
      <w:r>
        <w:rPr>
          <w:rFonts w:hint="eastAsia" w:ascii="宋体" w:hAnsi="宋体" w:eastAsia="宋体" w:cs="宋体"/>
          <w:szCs w:val="21"/>
          <w:u w:val="single"/>
        </w:rPr>
        <w:t xml:space="preserve">                      </w:t>
      </w:r>
      <w:r>
        <w:rPr>
          <w:rFonts w:hint="eastAsia" w:ascii="宋体" w:hAnsi="宋体" w:eastAsia="宋体" w:cs="宋体"/>
          <w:szCs w:val="21"/>
        </w:rPr>
        <w:t>；2.纳税人识别号</w:t>
      </w:r>
      <w:r>
        <w:rPr>
          <w:rFonts w:hint="eastAsia" w:ascii="宋体" w:hAnsi="宋体" w:eastAsia="宋体" w:cs="宋体"/>
          <w:szCs w:val="21"/>
          <w:u w:val="single"/>
        </w:rPr>
        <w:t xml:space="preserve">                     </w:t>
      </w:r>
      <w:r>
        <w:rPr>
          <w:rFonts w:hint="eastAsia" w:ascii="宋体" w:hAnsi="宋体" w:eastAsia="宋体" w:cs="宋体"/>
          <w:szCs w:val="21"/>
        </w:rPr>
        <w:t>；</w:t>
      </w:r>
    </w:p>
    <w:p w14:paraId="7A74F90A">
      <w:pPr>
        <w:spacing w:line="360" w:lineRule="exact"/>
        <w:ind w:firstLine="420" w:firstLineChars="200"/>
        <w:rPr>
          <w:rFonts w:hint="eastAsia" w:ascii="宋体" w:hAnsi="宋体" w:eastAsia="宋体" w:cs="宋体"/>
          <w:szCs w:val="21"/>
        </w:rPr>
      </w:pPr>
      <w:r>
        <w:rPr>
          <w:rFonts w:hint="eastAsia" w:ascii="宋体" w:hAnsi="宋体" w:eastAsia="宋体" w:cs="宋体"/>
          <w:szCs w:val="21"/>
        </w:rPr>
        <w:t>第三种方式：开具增值税专用发票，开票信息如下：1.公司名称</w:t>
      </w:r>
      <w:r>
        <w:rPr>
          <w:rFonts w:hint="eastAsia" w:ascii="宋体" w:hAnsi="宋体" w:eastAsia="宋体" w:cs="宋体"/>
          <w:szCs w:val="21"/>
          <w:u w:val="single"/>
        </w:rPr>
        <w:t xml:space="preserve">                      </w:t>
      </w:r>
      <w:r>
        <w:rPr>
          <w:rFonts w:hint="eastAsia" w:ascii="宋体" w:hAnsi="宋体" w:eastAsia="宋体" w:cs="宋体"/>
          <w:szCs w:val="21"/>
        </w:rPr>
        <w:t>；2.纳税人识别号</w:t>
      </w:r>
      <w:r>
        <w:rPr>
          <w:rFonts w:hint="eastAsia" w:ascii="宋体" w:hAnsi="宋体" w:eastAsia="宋体" w:cs="宋体"/>
          <w:szCs w:val="21"/>
          <w:u w:val="single"/>
        </w:rPr>
        <w:t xml:space="preserve">                     </w:t>
      </w:r>
      <w:r>
        <w:rPr>
          <w:rFonts w:hint="eastAsia" w:ascii="宋体" w:hAnsi="宋体" w:eastAsia="宋体" w:cs="宋体"/>
          <w:szCs w:val="21"/>
        </w:rPr>
        <w:t>；3.税局登记地址</w:t>
      </w:r>
      <w:r>
        <w:rPr>
          <w:rFonts w:hint="eastAsia" w:ascii="宋体" w:hAnsi="宋体" w:eastAsia="宋体" w:cs="宋体"/>
          <w:szCs w:val="21"/>
          <w:u w:val="single"/>
        </w:rPr>
        <w:t xml:space="preserve">                     </w:t>
      </w:r>
      <w:r>
        <w:rPr>
          <w:rFonts w:hint="eastAsia" w:ascii="宋体" w:hAnsi="宋体" w:eastAsia="宋体" w:cs="宋体"/>
          <w:szCs w:val="21"/>
        </w:rPr>
        <w:t>；4.税局登记电话</w:t>
      </w:r>
      <w:r>
        <w:rPr>
          <w:rFonts w:hint="eastAsia" w:ascii="宋体" w:hAnsi="宋体" w:eastAsia="宋体" w:cs="宋体"/>
          <w:szCs w:val="21"/>
          <w:u w:val="single"/>
        </w:rPr>
        <w:t xml:space="preserve">             </w:t>
      </w:r>
      <w:r>
        <w:rPr>
          <w:rFonts w:hint="eastAsia" w:ascii="宋体" w:hAnsi="宋体" w:eastAsia="宋体" w:cs="宋体"/>
          <w:szCs w:val="21"/>
        </w:rPr>
        <w:t>；5.开户银行</w:t>
      </w:r>
      <w:r>
        <w:rPr>
          <w:rFonts w:hint="eastAsia" w:ascii="宋体" w:hAnsi="宋体" w:eastAsia="宋体" w:cs="宋体"/>
          <w:szCs w:val="21"/>
          <w:u w:val="single"/>
        </w:rPr>
        <w:t xml:space="preserve">                 </w:t>
      </w:r>
      <w:r>
        <w:rPr>
          <w:rFonts w:hint="eastAsia" w:ascii="宋体" w:hAnsi="宋体" w:eastAsia="宋体" w:cs="宋体"/>
          <w:szCs w:val="21"/>
        </w:rPr>
        <w:t>；6.银行账户</w:t>
      </w:r>
      <w:r>
        <w:rPr>
          <w:rFonts w:hint="eastAsia" w:ascii="宋体" w:hAnsi="宋体" w:eastAsia="宋体" w:cs="宋体"/>
          <w:szCs w:val="21"/>
          <w:u w:val="single"/>
        </w:rPr>
        <w:t xml:space="preserve">                         </w:t>
      </w:r>
      <w:r>
        <w:rPr>
          <w:rFonts w:hint="eastAsia" w:ascii="宋体" w:hAnsi="宋体" w:eastAsia="宋体" w:cs="宋体"/>
          <w:szCs w:val="21"/>
        </w:rPr>
        <w:t>。</w:t>
      </w:r>
    </w:p>
    <w:p w14:paraId="6A0197BF">
      <w:pPr>
        <w:spacing w:before="120" w:beforeLines="50" w:line="360" w:lineRule="auto"/>
        <w:jc w:val="left"/>
        <w:rPr>
          <w:rFonts w:hint="eastAsia" w:ascii="宋体" w:hAnsi="宋体" w:eastAsia="宋体" w:cs="宋体"/>
          <w:szCs w:val="21"/>
        </w:rPr>
      </w:pPr>
    </w:p>
    <w:p w14:paraId="1F65E635">
      <w:pPr>
        <w:spacing w:before="120" w:beforeLines="50" w:line="360" w:lineRule="auto"/>
        <w:jc w:val="left"/>
        <w:rPr>
          <w:rFonts w:hint="eastAsia" w:ascii="宋体" w:hAnsi="宋体" w:eastAsia="宋体" w:cs="宋体"/>
          <w:szCs w:val="21"/>
          <w:u w:val="single"/>
        </w:rPr>
      </w:pPr>
      <w:r>
        <w:rPr>
          <w:rFonts w:hint="eastAsia" w:ascii="宋体" w:hAnsi="宋体" w:eastAsia="宋体" w:cs="宋体"/>
          <w:szCs w:val="21"/>
        </w:rPr>
        <w:t>供应商名称(电子签章)：</w:t>
      </w:r>
      <w:r>
        <w:rPr>
          <w:rFonts w:hint="eastAsia" w:ascii="宋体" w:hAnsi="宋体" w:eastAsia="宋体" w:cs="宋体"/>
          <w:szCs w:val="21"/>
          <w:u w:val="single"/>
        </w:rPr>
        <w:t xml:space="preserve">                              </w:t>
      </w:r>
    </w:p>
    <w:p w14:paraId="087DA824">
      <w:pPr>
        <w:spacing w:before="120" w:beforeLines="50" w:line="360" w:lineRule="auto"/>
        <w:jc w:val="left"/>
        <w:rPr>
          <w:rFonts w:hint="eastAsia" w:ascii="宋体" w:hAnsi="宋体" w:eastAsia="宋体" w:cs="宋体"/>
          <w:szCs w:val="21"/>
        </w:rPr>
      </w:pPr>
      <w:r>
        <w:rPr>
          <w:rFonts w:hint="eastAsia" w:ascii="宋体" w:hAnsi="宋体" w:eastAsia="宋体" w:cs="宋体"/>
          <w:szCs w:val="21"/>
        </w:rPr>
        <w:t>供应商地址：</w:t>
      </w:r>
      <w:r>
        <w:rPr>
          <w:rFonts w:hint="eastAsia" w:ascii="宋体" w:hAnsi="宋体" w:eastAsia="宋体" w:cs="宋体"/>
          <w:szCs w:val="21"/>
          <w:u w:val="single"/>
        </w:rPr>
        <w:t xml:space="preserve">                                     </w:t>
      </w:r>
    </w:p>
    <w:p w14:paraId="53490289">
      <w:pPr>
        <w:wordWrap w:val="0"/>
        <w:spacing w:before="120" w:beforeLines="50" w:line="360" w:lineRule="auto"/>
        <w:jc w:val="right"/>
        <w:rPr>
          <w:rFonts w:hint="eastAsia" w:ascii="宋体" w:hAnsi="宋体" w:eastAsia="宋体" w:cs="宋体"/>
          <w:szCs w:val="21"/>
        </w:rPr>
      </w:pPr>
      <w:r>
        <w:rPr>
          <w:rFonts w:hint="eastAsia" w:ascii="宋体" w:hAnsi="宋体" w:eastAsia="宋体" w:cs="宋体"/>
          <w:szCs w:val="21"/>
        </w:rPr>
        <w:t>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w:t>
      </w:r>
    </w:p>
    <w:p w14:paraId="607659F3">
      <w:pPr>
        <w:spacing w:before="120" w:beforeLines="50"/>
        <w:rPr>
          <w:rFonts w:hint="eastAsia" w:ascii="宋体" w:hAnsi="宋体" w:eastAsia="宋体" w:cs="宋体"/>
          <w:szCs w:val="21"/>
        </w:rPr>
      </w:pPr>
      <w:r>
        <w:rPr>
          <w:rFonts w:hint="eastAsia" w:ascii="宋体" w:hAnsi="宋体" w:eastAsia="宋体" w:cs="宋体"/>
          <w:szCs w:val="21"/>
        </w:rPr>
        <w:t>说明：</w:t>
      </w:r>
    </w:p>
    <w:p w14:paraId="11732A20">
      <w:pPr>
        <w:spacing w:line="340" w:lineRule="exact"/>
        <w:ind w:firstLine="420" w:firstLineChars="200"/>
        <w:rPr>
          <w:rFonts w:hint="eastAsia" w:ascii="宋体" w:hAnsi="宋体" w:eastAsia="宋体" w:cs="宋体"/>
          <w:szCs w:val="21"/>
        </w:rPr>
      </w:pPr>
      <w:r>
        <w:rPr>
          <w:rFonts w:hint="eastAsia" w:ascii="宋体" w:hAnsi="宋体" w:eastAsia="宋体" w:cs="宋体"/>
          <w:szCs w:val="21"/>
        </w:rPr>
        <w:t>（1）为保障资金安全，上述账户不能为私人账户。</w:t>
      </w:r>
    </w:p>
    <w:p w14:paraId="5E3C8853">
      <w:pPr>
        <w:spacing w:line="340" w:lineRule="exact"/>
        <w:ind w:firstLine="420" w:firstLineChars="200"/>
        <w:rPr>
          <w:rFonts w:hint="eastAsia" w:ascii="宋体" w:hAnsi="宋体" w:eastAsia="宋体" w:cs="宋体"/>
          <w:szCs w:val="21"/>
        </w:rPr>
      </w:pPr>
      <w:r>
        <w:rPr>
          <w:rFonts w:hint="eastAsia" w:ascii="宋体" w:hAnsi="宋体" w:eastAsia="宋体" w:cs="宋体"/>
          <w:szCs w:val="21"/>
        </w:rPr>
        <w:t>（2）如因未按要求缴纳磋商保证金，导致磋商保证金无法退还或丢失等可能产生的一切后果由供应商自行负责。如需要，采购代理机构将按上述所填信息办理代理服务费发票事宜。如所填信息有误导致开票信息错误等可能产生的一切后果由供应商自行负责。</w:t>
      </w:r>
    </w:p>
    <w:p w14:paraId="08B8E5D9">
      <w:pPr>
        <w:spacing w:line="340" w:lineRule="exact"/>
        <w:ind w:firstLine="420" w:firstLineChars="200"/>
        <w:rPr>
          <w:rFonts w:hint="eastAsia" w:ascii="宋体" w:hAnsi="宋体" w:eastAsia="宋体" w:cs="宋体"/>
          <w:szCs w:val="21"/>
        </w:rPr>
      </w:pPr>
      <w:r>
        <w:rPr>
          <w:rFonts w:hint="eastAsia" w:ascii="宋体" w:hAnsi="宋体" w:eastAsia="宋体" w:cs="宋体"/>
          <w:szCs w:val="21"/>
        </w:rPr>
        <w:t>（3）如供应商未及时收到退回款项，请与广西机电设备招标有限公司财务部联系。广西机电设备招标有限公司财务部联系方式：联系人：吴茜；电话：0771-2821398；传真：0771-2843545。</w:t>
      </w:r>
    </w:p>
    <w:p w14:paraId="171ED35A">
      <w:pPr>
        <w:spacing w:line="440" w:lineRule="exact"/>
        <w:ind w:right="420"/>
        <w:jc w:val="right"/>
        <w:rPr>
          <w:rFonts w:hint="eastAsia" w:ascii="宋体" w:hAnsi="宋体" w:eastAsia="宋体" w:cs="宋体"/>
          <w:color w:val="4472C4"/>
          <w:szCs w:val="21"/>
        </w:rPr>
      </w:pPr>
      <w:r>
        <w:rPr>
          <w:rFonts w:hint="eastAsia" w:ascii="宋体" w:hAnsi="宋体" w:eastAsia="宋体" w:cs="宋体"/>
          <w:szCs w:val="21"/>
        </w:rPr>
        <w:br w:type="page"/>
      </w:r>
    </w:p>
    <w:p w14:paraId="08C157FE">
      <w:pPr>
        <w:snapToGrid w:val="0"/>
        <w:spacing w:before="120" w:beforeLines="50" w:after="50" w:line="440" w:lineRule="exact"/>
        <w:jc w:val="center"/>
        <w:outlineLvl w:val="1"/>
        <w:rPr>
          <w:rFonts w:hint="eastAsia" w:ascii="宋体" w:hAnsi="宋体" w:eastAsia="宋体" w:cs="宋体"/>
          <w:bCs/>
          <w:sz w:val="24"/>
        </w:rPr>
      </w:pPr>
      <w:r>
        <w:rPr>
          <w:rFonts w:hint="eastAsia" w:ascii="宋体" w:hAnsi="宋体" w:eastAsia="宋体" w:cs="宋体"/>
          <w:bCs/>
          <w:sz w:val="24"/>
        </w:rPr>
        <w:t>第三部分 报价文件</w:t>
      </w:r>
    </w:p>
    <w:p w14:paraId="6FC9A040">
      <w:pPr>
        <w:jc w:val="center"/>
        <w:rPr>
          <w:rFonts w:hint="eastAsia" w:ascii="宋体" w:hAnsi="宋体" w:eastAsia="宋体" w:cs="宋体"/>
          <w:b/>
          <w:bCs/>
          <w:szCs w:val="21"/>
        </w:rPr>
      </w:pPr>
    </w:p>
    <w:p w14:paraId="5299CC34">
      <w:pPr>
        <w:rPr>
          <w:rFonts w:hint="eastAsia" w:ascii="宋体" w:hAnsi="宋体" w:eastAsia="宋体" w:cs="宋体"/>
        </w:rPr>
      </w:pPr>
      <w:r>
        <w:rPr>
          <w:rFonts w:hint="eastAsia" w:ascii="宋体" w:hAnsi="宋体" w:eastAsia="宋体" w:cs="宋体"/>
        </w:rPr>
        <w:t>1．响应函格式：</w:t>
      </w:r>
    </w:p>
    <w:p w14:paraId="1343FA59">
      <w:pPr>
        <w:jc w:val="center"/>
        <w:rPr>
          <w:rFonts w:hint="eastAsia" w:ascii="宋体" w:hAnsi="宋体" w:eastAsia="宋体" w:cs="宋体"/>
          <w:b/>
          <w:bCs/>
          <w:szCs w:val="21"/>
        </w:rPr>
      </w:pPr>
    </w:p>
    <w:p w14:paraId="54171DBF">
      <w:pPr>
        <w:jc w:val="center"/>
        <w:rPr>
          <w:rFonts w:hint="eastAsia" w:ascii="宋体" w:hAnsi="宋体" w:eastAsia="宋体" w:cs="宋体"/>
          <w:b/>
          <w:szCs w:val="21"/>
        </w:rPr>
      </w:pPr>
      <w:r>
        <w:rPr>
          <w:rFonts w:hint="eastAsia" w:ascii="宋体" w:hAnsi="宋体" w:eastAsia="宋体" w:cs="宋体"/>
          <w:b/>
          <w:szCs w:val="21"/>
        </w:rPr>
        <w:t>响 应 函</w:t>
      </w:r>
    </w:p>
    <w:p w14:paraId="5D807159">
      <w:pPr>
        <w:rPr>
          <w:rFonts w:hint="eastAsia" w:ascii="宋体" w:hAnsi="宋体" w:eastAsia="宋体" w:cs="宋体"/>
          <w:b/>
          <w:szCs w:val="21"/>
        </w:rPr>
      </w:pPr>
    </w:p>
    <w:p w14:paraId="4D3B781A">
      <w:pPr>
        <w:snapToGrid w:val="0"/>
        <w:spacing w:before="120" w:beforeLines="50" w:after="50" w:line="360" w:lineRule="exact"/>
        <w:rPr>
          <w:rFonts w:hint="eastAsia" w:ascii="宋体" w:hAnsi="宋体" w:eastAsia="宋体" w:cs="宋体"/>
          <w:szCs w:val="21"/>
        </w:rPr>
      </w:pPr>
      <w:r>
        <w:rPr>
          <w:rFonts w:hint="eastAsia" w:ascii="宋体" w:hAnsi="宋体" w:eastAsia="宋体" w:cs="宋体"/>
          <w:szCs w:val="21"/>
        </w:rPr>
        <w:t>致：</w:t>
      </w:r>
      <w:bookmarkStart w:id="588" w:name="_Hlk19051378"/>
      <w:r>
        <w:rPr>
          <w:rFonts w:hint="eastAsia" w:ascii="宋体" w:hAnsi="宋体" w:eastAsia="宋体" w:cs="宋体"/>
          <w:i/>
          <w:iCs/>
          <w:szCs w:val="21"/>
          <w:u w:val="single"/>
        </w:rPr>
        <w:t>（采购人名称）</w:t>
      </w:r>
      <w:bookmarkEnd w:id="588"/>
      <w:r>
        <w:rPr>
          <w:rFonts w:hint="eastAsia" w:ascii="宋体" w:hAnsi="宋体" w:eastAsia="宋体" w:cs="宋体"/>
          <w:szCs w:val="21"/>
        </w:rPr>
        <w:t>：</w:t>
      </w:r>
    </w:p>
    <w:p w14:paraId="4BBDA0E0">
      <w:pPr>
        <w:rPr>
          <w:rFonts w:hint="eastAsia" w:ascii="宋体" w:hAnsi="宋体" w:eastAsia="宋体" w:cs="宋体"/>
          <w:b/>
          <w:szCs w:val="21"/>
        </w:rPr>
      </w:pPr>
    </w:p>
    <w:p w14:paraId="319001B0">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1.根据你方项目编号为</w:t>
      </w:r>
      <w:r>
        <w:rPr>
          <w:rFonts w:hint="eastAsia" w:ascii="宋体" w:hAnsi="宋体" w:eastAsia="宋体" w:cs="宋体"/>
          <w:szCs w:val="21"/>
          <w:u w:val="single"/>
        </w:rPr>
        <w:t xml:space="preserve">  </w:t>
      </w:r>
      <w:r>
        <w:rPr>
          <w:rFonts w:hint="eastAsia" w:ascii="宋体" w:hAnsi="宋体" w:eastAsia="宋体" w:cs="宋体"/>
          <w:i/>
          <w:iCs/>
          <w:szCs w:val="21"/>
          <w:u w:val="single"/>
        </w:rPr>
        <w:t>（项目编号）</w:t>
      </w:r>
      <w:r>
        <w:rPr>
          <w:rFonts w:hint="eastAsia" w:ascii="宋体" w:hAnsi="宋体" w:eastAsia="宋体" w:cs="宋体"/>
          <w:szCs w:val="21"/>
          <w:u w:val="single"/>
        </w:rPr>
        <w:t xml:space="preserve">  </w:t>
      </w:r>
      <w:r>
        <w:rPr>
          <w:rFonts w:hint="eastAsia" w:ascii="宋体" w:hAnsi="宋体" w:eastAsia="宋体" w:cs="宋体"/>
          <w:szCs w:val="21"/>
        </w:rPr>
        <w:t>的</w:t>
      </w:r>
      <w:r>
        <w:rPr>
          <w:rFonts w:hint="eastAsia" w:ascii="宋体" w:hAnsi="宋体" w:eastAsia="宋体" w:cs="宋体"/>
          <w:szCs w:val="21"/>
          <w:u w:val="single"/>
        </w:rPr>
        <w:t xml:space="preserve">  </w:t>
      </w:r>
      <w:r>
        <w:rPr>
          <w:rFonts w:hint="eastAsia" w:ascii="宋体" w:hAnsi="宋体" w:eastAsia="宋体" w:cs="宋体"/>
          <w:i/>
          <w:iCs/>
          <w:szCs w:val="21"/>
          <w:u w:val="single"/>
        </w:rPr>
        <w:t>（工程项目名称）</w:t>
      </w:r>
      <w:r>
        <w:rPr>
          <w:rFonts w:hint="eastAsia" w:ascii="宋体" w:hAnsi="宋体" w:eastAsia="宋体" w:cs="宋体"/>
          <w:szCs w:val="21"/>
          <w:u w:val="single"/>
        </w:rPr>
        <w:t xml:space="preserve">  </w:t>
      </w:r>
      <w:r>
        <w:rPr>
          <w:rFonts w:hint="eastAsia" w:ascii="宋体" w:hAnsi="宋体" w:eastAsia="宋体" w:cs="宋体"/>
          <w:szCs w:val="21"/>
        </w:rPr>
        <w:t>工程采购文件，遵照《中华人民共和国政府采购法》、《中华人民共和国建筑法》等有关规定，经踏勘项目现场和研究上述采购文件的供应商须知、合同条款、图纸、工程建设内容和工程量清单及其他有关文件后，我方愿以人民币</w:t>
      </w:r>
      <w:r>
        <w:rPr>
          <w:rFonts w:hint="eastAsia" w:ascii="宋体" w:hAnsi="宋体" w:eastAsia="宋体" w:cs="宋体"/>
          <w:szCs w:val="21"/>
          <w:u w:val="single"/>
        </w:rPr>
        <w:t>（大写）    元（RMB￥    元）</w:t>
      </w:r>
      <w:r>
        <w:rPr>
          <w:rFonts w:hint="eastAsia" w:ascii="宋体" w:hAnsi="宋体" w:eastAsia="宋体" w:cs="宋体"/>
          <w:szCs w:val="21"/>
        </w:rPr>
        <w:t>的磋商报价并按上述图纸、合同条款、工程建设内容和工程量清单的条件要求承包上述工程的施工、竣工，并承担任何质量缺陷保修责任。我方保证工程质量达到</w:t>
      </w:r>
      <w:r>
        <w:rPr>
          <w:rFonts w:hint="eastAsia" w:ascii="宋体" w:hAnsi="宋体" w:eastAsia="宋体" w:cs="宋体"/>
          <w:szCs w:val="21"/>
          <w:u w:val="single"/>
        </w:rPr>
        <w:t xml:space="preserve">   </w:t>
      </w:r>
      <w:r>
        <w:rPr>
          <w:rFonts w:hint="eastAsia" w:ascii="宋体" w:hAnsi="宋体" w:cs="宋体"/>
          <w:szCs w:val="21"/>
          <w:u w:val="single"/>
          <w:lang w:val="en-US" w:eastAsia="zh-CN"/>
        </w:rPr>
        <w:t xml:space="preserve"> </w:t>
      </w:r>
      <w:r>
        <w:rPr>
          <w:rFonts w:hint="eastAsia" w:ascii="宋体" w:hAnsi="宋体" w:eastAsia="宋体" w:cs="宋体"/>
          <w:szCs w:val="21"/>
          <w:u w:val="single"/>
        </w:rPr>
        <w:t xml:space="preserve">  </w:t>
      </w:r>
      <w:r>
        <w:rPr>
          <w:rFonts w:hint="eastAsia" w:ascii="宋体" w:hAnsi="宋体" w:eastAsia="宋体" w:cs="宋体"/>
          <w:szCs w:val="21"/>
        </w:rPr>
        <w:t>等级。</w:t>
      </w:r>
    </w:p>
    <w:p w14:paraId="17608A63">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2.我方已详细审核全部采购文件，包括修改文件（如有时）及有关附件。</w:t>
      </w:r>
    </w:p>
    <w:p w14:paraId="3D164C60">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3.我方承认响应函附录是我方响应函的组成部分。</w:t>
      </w:r>
    </w:p>
    <w:p w14:paraId="79E9978F">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4.一旦我方成交，我方保证按合同书中规定的工期</w:t>
      </w:r>
      <w:r>
        <w:rPr>
          <w:rFonts w:hint="eastAsia" w:ascii="宋体" w:hAnsi="宋体" w:eastAsia="宋体" w:cs="宋体"/>
          <w:szCs w:val="21"/>
          <w:u w:val="single"/>
        </w:rPr>
        <w:t xml:space="preserve">        </w:t>
      </w:r>
      <w:r>
        <w:rPr>
          <w:rFonts w:hint="eastAsia" w:ascii="宋体" w:hAnsi="宋体" w:eastAsia="宋体" w:cs="宋体"/>
          <w:szCs w:val="21"/>
        </w:rPr>
        <w:t>日历天内完成并移交全部工程，并承诺不分包及转包他人。</w:t>
      </w:r>
    </w:p>
    <w:p w14:paraId="282907AF">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5.如果我方成交，我方将按照文件规定提交履约保证金作为履约担保。</w:t>
      </w:r>
    </w:p>
    <w:p w14:paraId="6D965FB3">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6.我方同意所提交的响应文件在采购文件的“供应商须知”中规定的响应有效期内有效，在此期间内如果成交，我方将受此约束。</w:t>
      </w:r>
    </w:p>
    <w:p w14:paraId="0BAC6B2C">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7.除非另外达成协议并生效，你方的成交通知书和本响应文件将成为约束双方的合同文件的组成部分。</w:t>
      </w:r>
    </w:p>
    <w:p w14:paraId="5FA6D78B">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8.我方将与本响应函一起，提交人民币</w:t>
      </w:r>
      <w:r>
        <w:rPr>
          <w:rFonts w:hint="eastAsia" w:ascii="宋体" w:hAnsi="宋体" w:eastAsia="宋体" w:cs="宋体"/>
          <w:szCs w:val="21"/>
          <w:u w:val="single"/>
        </w:rPr>
        <w:t>       </w:t>
      </w:r>
      <w:r>
        <w:rPr>
          <w:rFonts w:hint="eastAsia" w:ascii="宋体" w:hAnsi="宋体" w:eastAsia="宋体" w:cs="宋体"/>
          <w:szCs w:val="21"/>
        </w:rPr>
        <w:t>元作为磋商保证金。</w:t>
      </w:r>
    </w:p>
    <w:p w14:paraId="26F4E8E9">
      <w:pPr>
        <w:spacing w:line="360" w:lineRule="auto"/>
        <w:ind w:firstLine="420" w:firstLineChars="200"/>
        <w:rPr>
          <w:rFonts w:hint="eastAsia" w:ascii="宋体" w:hAnsi="宋体" w:eastAsia="宋体" w:cs="宋体"/>
          <w:szCs w:val="21"/>
        </w:rPr>
      </w:pPr>
      <w:bookmarkStart w:id="589" w:name="_Hlk33002211"/>
      <w:r>
        <w:rPr>
          <w:rFonts w:hint="eastAsia" w:ascii="宋体" w:hAnsi="宋体" w:eastAsia="宋体" w:cs="宋体"/>
          <w:szCs w:val="21"/>
        </w:rPr>
        <w:t>9.</w:t>
      </w:r>
      <w:r>
        <w:rPr>
          <w:rFonts w:hint="eastAsia" w:ascii="宋体" w:hAnsi="宋体" w:eastAsia="宋体" w:cs="宋体"/>
        </w:rPr>
        <w:t xml:space="preserve"> </w:t>
      </w:r>
      <w:r>
        <w:rPr>
          <w:rFonts w:hint="eastAsia" w:ascii="宋体" w:hAnsi="宋体" w:eastAsia="宋体" w:cs="宋体"/>
          <w:szCs w:val="21"/>
        </w:rPr>
        <w:t>与本项目有关的一切正式往来信函请寄：</w:t>
      </w:r>
    </w:p>
    <w:p w14:paraId="79F481FD">
      <w:pPr>
        <w:spacing w:line="360" w:lineRule="auto"/>
        <w:ind w:firstLine="420" w:firstLineChars="200"/>
        <w:rPr>
          <w:rFonts w:hint="eastAsia" w:ascii="宋体" w:hAnsi="宋体" w:eastAsia="宋体" w:cs="宋体"/>
          <w:szCs w:val="21"/>
          <w:u w:val="single"/>
        </w:rPr>
      </w:pPr>
      <w:r>
        <w:rPr>
          <w:rFonts w:hint="eastAsia" w:ascii="宋体" w:hAnsi="宋体" w:eastAsia="宋体" w:cs="宋体"/>
          <w:szCs w:val="21"/>
        </w:rPr>
        <w:t>地址：</w:t>
      </w:r>
      <w:r>
        <w:rPr>
          <w:rFonts w:hint="eastAsia" w:ascii="宋体" w:hAnsi="宋体" w:eastAsia="宋体" w:cs="宋体"/>
          <w:szCs w:val="21"/>
          <w:u w:val="single"/>
        </w:rPr>
        <w:t xml:space="preserve">                     </w:t>
      </w:r>
      <w:r>
        <w:rPr>
          <w:rFonts w:hint="eastAsia" w:ascii="宋体" w:hAnsi="宋体" w:eastAsia="宋体" w:cs="宋体"/>
          <w:szCs w:val="21"/>
        </w:rPr>
        <w:t xml:space="preserve"> 邮编：</w:t>
      </w:r>
      <w:r>
        <w:rPr>
          <w:rFonts w:hint="eastAsia" w:ascii="宋体" w:hAnsi="宋体" w:eastAsia="宋体" w:cs="宋体"/>
          <w:szCs w:val="21"/>
          <w:u w:val="single"/>
        </w:rPr>
        <w:t xml:space="preserve">           </w:t>
      </w:r>
      <w:r>
        <w:rPr>
          <w:rFonts w:hint="eastAsia" w:ascii="宋体" w:hAnsi="宋体" w:eastAsia="宋体" w:cs="宋体"/>
          <w:szCs w:val="21"/>
        </w:rPr>
        <w:t>电话：</w:t>
      </w:r>
      <w:r>
        <w:rPr>
          <w:rFonts w:hint="eastAsia" w:ascii="宋体" w:hAnsi="宋体" w:eastAsia="宋体" w:cs="宋体"/>
          <w:szCs w:val="21"/>
          <w:u w:val="single"/>
        </w:rPr>
        <w:t xml:space="preserve">            </w:t>
      </w:r>
    </w:p>
    <w:p w14:paraId="3ADF24F4">
      <w:pPr>
        <w:spacing w:line="360" w:lineRule="auto"/>
        <w:ind w:firstLine="420" w:firstLineChars="200"/>
        <w:rPr>
          <w:rFonts w:hint="eastAsia" w:ascii="宋体" w:hAnsi="宋体" w:eastAsia="宋体" w:cs="宋体"/>
          <w:szCs w:val="21"/>
          <w:u w:val="single"/>
        </w:rPr>
      </w:pPr>
      <w:r>
        <w:rPr>
          <w:rFonts w:hint="eastAsia" w:ascii="宋体" w:hAnsi="宋体" w:eastAsia="宋体" w:cs="宋体"/>
          <w:szCs w:val="21"/>
        </w:rPr>
        <w:t>传真：</w:t>
      </w:r>
      <w:r>
        <w:rPr>
          <w:rFonts w:hint="eastAsia" w:ascii="宋体" w:hAnsi="宋体" w:eastAsia="宋体" w:cs="宋体"/>
          <w:szCs w:val="21"/>
          <w:u w:val="single"/>
        </w:rPr>
        <w:t xml:space="preserve">             </w:t>
      </w:r>
    </w:p>
    <w:p w14:paraId="335B09F2">
      <w:pPr>
        <w:spacing w:line="360" w:lineRule="auto"/>
        <w:ind w:firstLine="420" w:firstLineChars="200"/>
        <w:rPr>
          <w:rFonts w:hint="eastAsia" w:ascii="宋体" w:hAnsi="宋体" w:eastAsia="宋体" w:cs="宋体"/>
          <w:szCs w:val="21"/>
          <w:u w:val="single"/>
        </w:rPr>
      </w:pPr>
      <w:r>
        <w:rPr>
          <w:rFonts w:hint="eastAsia" w:ascii="宋体" w:hAnsi="宋体" w:eastAsia="宋体" w:cs="宋体"/>
          <w:szCs w:val="21"/>
        </w:rPr>
        <w:t>供应商代表姓名</w:t>
      </w:r>
      <w:r>
        <w:rPr>
          <w:rFonts w:hint="eastAsia" w:ascii="宋体" w:hAnsi="宋体" w:eastAsia="宋体" w:cs="宋体"/>
          <w:szCs w:val="21"/>
          <w:u w:val="single"/>
        </w:rPr>
        <w:t xml:space="preserve">          </w:t>
      </w:r>
      <w:r>
        <w:rPr>
          <w:rFonts w:hint="eastAsia" w:ascii="宋体" w:hAnsi="宋体" w:eastAsia="宋体" w:cs="宋体"/>
          <w:szCs w:val="21"/>
        </w:rPr>
        <w:t xml:space="preserve"> 职务：</w:t>
      </w:r>
      <w:r>
        <w:rPr>
          <w:rFonts w:hint="eastAsia" w:ascii="宋体" w:hAnsi="宋体" w:eastAsia="宋体" w:cs="宋体"/>
          <w:szCs w:val="21"/>
          <w:u w:val="single"/>
        </w:rPr>
        <w:t xml:space="preserve">            </w:t>
      </w:r>
      <w:r>
        <w:rPr>
          <w:rFonts w:hint="eastAsia" w:ascii="宋体" w:hAnsi="宋体" w:eastAsia="宋体" w:cs="宋体"/>
          <w:szCs w:val="21"/>
        </w:rPr>
        <w:t>邮箱：</w:t>
      </w:r>
      <w:r>
        <w:rPr>
          <w:rFonts w:hint="eastAsia" w:ascii="宋体" w:hAnsi="宋体" w:eastAsia="宋体" w:cs="宋体"/>
          <w:szCs w:val="21"/>
          <w:u w:val="single"/>
        </w:rPr>
        <w:t xml:space="preserve">              </w:t>
      </w:r>
    </w:p>
    <w:bookmarkEnd w:id="589"/>
    <w:p w14:paraId="11A3797A">
      <w:pPr>
        <w:spacing w:line="360" w:lineRule="auto"/>
        <w:ind w:firstLine="420" w:firstLineChars="200"/>
        <w:rPr>
          <w:rFonts w:hint="eastAsia" w:ascii="宋体" w:hAnsi="宋体" w:eastAsia="宋体" w:cs="宋体"/>
          <w:szCs w:val="21"/>
        </w:rPr>
      </w:pPr>
    </w:p>
    <w:p w14:paraId="195B3D55">
      <w:pPr>
        <w:spacing w:line="360" w:lineRule="auto"/>
        <w:rPr>
          <w:rFonts w:hint="eastAsia" w:ascii="宋体" w:hAnsi="宋体" w:eastAsia="宋体" w:cs="宋体"/>
          <w:szCs w:val="21"/>
        </w:rPr>
      </w:pPr>
    </w:p>
    <w:p w14:paraId="27D108DB">
      <w:pPr>
        <w:spacing w:line="360" w:lineRule="auto"/>
        <w:rPr>
          <w:rFonts w:hint="eastAsia" w:ascii="宋体" w:hAnsi="宋体" w:eastAsia="宋体" w:cs="宋体"/>
          <w:szCs w:val="21"/>
        </w:rPr>
      </w:pPr>
      <w:bookmarkStart w:id="590" w:name="_Hlk89191117"/>
      <w:r>
        <w:rPr>
          <w:rFonts w:hint="eastAsia" w:ascii="宋体" w:hAnsi="宋体" w:eastAsia="宋体" w:cs="宋体"/>
          <w:szCs w:val="21"/>
        </w:rPr>
        <w:t>供应商名称(电子签章)：</w:t>
      </w:r>
      <w:r>
        <w:rPr>
          <w:rFonts w:hint="eastAsia" w:ascii="宋体" w:hAnsi="宋体" w:eastAsia="宋体" w:cs="宋体"/>
          <w:szCs w:val="21"/>
          <w:u w:val="single"/>
        </w:rPr>
        <w:t xml:space="preserve">                  </w:t>
      </w:r>
    </w:p>
    <w:bookmarkEnd w:id="590"/>
    <w:p w14:paraId="10E96772">
      <w:pPr>
        <w:spacing w:line="360" w:lineRule="auto"/>
        <w:rPr>
          <w:rFonts w:hint="eastAsia" w:ascii="宋体" w:hAnsi="宋体" w:eastAsia="宋体" w:cs="宋体"/>
          <w:szCs w:val="21"/>
        </w:rPr>
      </w:pPr>
    </w:p>
    <w:p w14:paraId="5A161ED7">
      <w:pPr>
        <w:spacing w:line="360" w:lineRule="auto"/>
        <w:rPr>
          <w:rFonts w:hint="eastAsia" w:ascii="宋体" w:hAnsi="宋体" w:eastAsia="宋体" w:cs="宋体"/>
          <w:szCs w:val="21"/>
        </w:rPr>
      </w:pPr>
      <w:r>
        <w:rPr>
          <w:rFonts w:hint="eastAsia" w:ascii="宋体" w:hAnsi="宋体" w:eastAsia="宋体" w:cs="宋体"/>
          <w:szCs w:val="21"/>
        </w:rPr>
        <w:t>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w:t>
      </w:r>
    </w:p>
    <w:p w14:paraId="23469805">
      <w:pPr>
        <w:jc w:val="left"/>
        <w:rPr>
          <w:rFonts w:hint="eastAsia" w:ascii="宋体" w:hAnsi="宋体" w:eastAsia="宋体" w:cs="宋体"/>
          <w:b/>
          <w:szCs w:val="21"/>
        </w:rPr>
      </w:pPr>
      <w:r>
        <w:rPr>
          <w:rFonts w:hint="eastAsia" w:ascii="宋体" w:hAnsi="宋体" w:eastAsia="宋体" w:cs="宋体"/>
          <w:b/>
          <w:szCs w:val="21"/>
        </w:rPr>
        <w:br w:type="page"/>
      </w:r>
      <w:r>
        <w:rPr>
          <w:rFonts w:hint="eastAsia" w:ascii="宋体" w:hAnsi="宋体" w:eastAsia="宋体" w:cs="宋体"/>
        </w:rPr>
        <w:t>2．响应函附录格式：</w:t>
      </w:r>
    </w:p>
    <w:p w14:paraId="1E582BB2">
      <w:pPr>
        <w:jc w:val="center"/>
        <w:rPr>
          <w:rFonts w:hint="eastAsia" w:ascii="宋体" w:hAnsi="宋体" w:eastAsia="宋体" w:cs="宋体"/>
          <w:b/>
          <w:szCs w:val="21"/>
        </w:rPr>
      </w:pPr>
      <w:r>
        <w:rPr>
          <w:rFonts w:hint="eastAsia" w:ascii="宋体" w:hAnsi="宋体" w:eastAsia="宋体" w:cs="宋体"/>
          <w:b/>
          <w:szCs w:val="21"/>
        </w:rPr>
        <w:t>响应函附录</w:t>
      </w:r>
    </w:p>
    <w:p w14:paraId="5A0E86B3">
      <w:pPr>
        <w:rPr>
          <w:rFonts w:hint="eastAsia" w:ascii="宋体" w:hAnsi="宋体" w:eastAsia="宋体" w:cs="宋体"/>
          <w:b/>
          <w:szCs w:val="21"/>
        </w:rPr>
      </w:pPr>
    </w:p>
    <w:p w14:paraId="2C1FB21A">
      <w:pPr>
        <w:ind w:firstLine="514" w:firstLineChars="245"/>
        <w:rPr>
          <w:rFonts w:hint="eastAsia" w:ascii="宋体" w:hAnsi="宋体" w:eastAsia="宋体" w:cs="宋体"/>
          <w:szCs w:val="21"/>
        </w:rPr>
      </w:pPr>
      <w:r>
        <w:rPr>
          <w:rFonts w:hint="eastAsia" w:ascii="宋体" w:hAnsi="宋体" w:eastAsia="宋体" w:cs="宋体"/>
          <w:szCs w:val="21"/>
        </w:rPr>
        <w:t>项目名称：</w:t>
      </w:r>
      <w:r>
        <w:rPr>
          <w:rFonts w:hint="eastAsia" w:ascii="宋体" w:hAnsi="宋体" w:eastAsia="宋体" w:cs="宋体"/>
          <w:szCs w:val="21"/>
          <w:u w:val="single"/>
        </w:rPr>
        <w:t xml:space="preserve">                               </w:t>
      </w:r>
      <w:r>
        <w:rPr>
          <w:rFonts w:hint="eastAsia" w:ascii="宋体" w:hAnsi="宋体" w:eastAsia="宋体" w:cs="宋体"/>
          <w:szCs w:val="21"/>
        </w:rPr>
        <w:t xml:space="preserve"> 项目编号：</w:t>
      </w:r>
      <w:r>
        <w:rPr>
          <w:rFonts w:hint="eastAsia" w:ascii="宋体" w:hAnsi="宋体" w:eastAsia="宋体" w:cs="宋体"/>
          <w:szCs w:val="21"/>
          <w:u w:val="single"/>
        </w:rPr>
        <w:t xml:space="preserve">            </w:t>
      </w:r>
    </w:p>
    <w:tbl>
      <w:tblPr>
        <w:tblStyle w:val="15"/>
        <w:tblW w:w="89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2"/>
        <w:gridCol w:w="1985"/>
        <w:gridCol w:w="2126"/>
        <w:gridCol w:w="1984"/>
        <w:gridCol w:w="1843"/>
      </w:tblGrid>
      <w:tr w14:paraId="04F58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74A49C72">
            <w:pPr>
              <w:jc w:val="center"/>
              <w:rPr>
                <w:rFonts w:hint="eastAsia" w:ascii="宋体" w:hAnsi="宋体" w:eastAsia="宋体" w:cs="宋体"/>
                <w:szCs w:val="21"/>
              </w:rPr>
            </w:pPr>
            <w:r>
              <w:rPr>
                <w:rFonts w:hint="eastAsia" w:ascii="宋体" w:hAnsi="宋体" w:eastAsia="宋体" w:cs="宋体"/>
                <w:szCs w:val="21"/>
              </w:rPr>
              <w:t>序 号</w:t>
            </w:r>
          </w:p>
        </w:tc>
        <w:tc>
          <w:tcPr>
            <w:tcW w:w="1985" w:type="dxa"/>
            <w:noWrap w:val="0"/>
            <w:vAlign w:val="center"/>
          </w:tcPr>
          <w:p w14:paraId="238F6D44">
            <w:pPr>
              <w:jc w:val="center"/>
              <w:rPr>
                <w:rFonts w:hint="eastAsia" w:ascii="宋体" w:hAnsi="宋体" w:eastAsia="宋体" w:cs="宋体"/>
                <w:szCs w:val="21"/>
              </w:rPr>
            </w:pPr>
            <w:r>
              <w:rPr>
                <w:rFonts w:hint="eastAsia" w:ascii="宋体" w:hAnsi="宋体" w:eastAsia="宋体" w:cs="宋体"/>
                <w:szCs w:val="21"/>
              </w:rPr>
              <w:t>条款内容</w:t>
            </w:r>
          </w:p>
        </w:tc>
        <w:tc>
          <w:tcPr>
            <w:tcW w:w="2126" w:type="dxa"/>
            <w:noWrap w:val="0"/>
            <w:vAlign w:val="center"/>
          </w:tcPr>
          <w:p w14:paraId="2C3D05F8">
            <w:pPr>
              <w:jc w:val="center"/>
              <w:rPr>
                <w:rFonts w:hint="eastAsia" w:ascii="宋体" w:hAnsi="宋体" w:eastAsia="宋体" w:cs="宋体"/>
                <w:szCs w:val="21"/>
              </w:rPr>
            </w:pPr>
            <w:r>
              <w:rPr>
                <w:rFonts w:hint="eastAsia" w:ascii="宋体" w:hAnsi="宋体" w:eastAsia="宋体" w:cs="宋体"/>
                <w:szCs w:val="21"/>
              </w:rPr>
              <w:t>合同条款号</w:t>
            </w:r>
          </w:p>
        </w:tc>
        <w:tc>
          <w:tcPr>
            <w:tcW w:w="1984" w:type="dxa"/>
            <w:noWrap w:val="0"/>
            <w:vAlign w:val="center"/>
          </w:tcPr>
          <w:p w14:paraId="17327622">
            <w:pPr>
              <w:jc w:val="center"/>
              <w:rPr>
                <w:rFonts w:hint="eastAsia" w:ascii="宋体" w:hAnsi="宋体" w:eastAsia="宋体" w:cs="宋体"/>
                <w:szCs w:val="21"/>
              </w:rPr>
            </w:pPr>
            <w:r>
              <w:rPr>
                <w:rFonts w:hint="eastAsia" w:ascii="宋体" w:hAnsi="宋体" w:eastAsia="宋体" w:cs="宋体"/>
                <w:szCs w:val="21"/>
              </w:rPr>
              <w:t>约定内容</w:t>
            </w:r>
          </w:p>
        </w:tc>
        <w:tc>
          <w:tcPr>
            <w:tcW w:w="1843" w:type="dxa"/>
            <w:noWrap w:val="0"/>
            <w:vAlign w:val="center"/>
          </w:tcPr>
          <w:p w14:paraId="69D23EC3">
            <w:pPr>
              <w:jc w:val="center"/>
              <w:rPr>
                <w:rFonts w:hint="default" w:ascii="宋体" w:hAnsi="宋体" w:eastAsia="宋体" w:cs="宋体"/>
                <w:szCs w:val="21"/>
                <w:lang w:val="en-US" w:eastAsia="zh-CN"/>
              </w:rPr>
            </w:pPr>
            <w:r>
              <w:rPr>
                <w:rFonts w:hint="eastAsia" w:ascii="宋体" w:hAnsi="宋体" w:cs="宋体"/>
                <w:szCs w:val="21"/>
                <w:lang w:val="en-US" w:eastAsia="zh-CN"/>
              </w:rPr>
              <w:t>供应商响应内容</w:t>
            </w:r>
          </w:p>
        </w:tc>
      </w:tr>
      <w:tr w14:paraId="2FC83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3247A16F">
            <w:pPr>
              <w:jc w:val="center"/>
              <w:rPr>
                <w:rFonts w:hint="eastAsia" w:ascii="宋体" w:hAnsi="宋体" w:eastAsia="宋体" w:cs="宋体"/>
                <w:szCs w:val="21"/>
              </w:rPr>
            </w:pPr>
            <w:r>
              <w:rPr>
                <w:rFonts w:hint="eastAsia" w:ascii="宋体" w:hAnsi="宋体" w:eastAsia="宋体" w:cs="宋体"/>
                <w:szCs w:val="21"/>
              </w:rPr>
              <w:t>1</w:t>
            </w:r>
          </w:p>
        </w:tc>
        <w:tc>
          <w:tcPr>
            <w:tcW w:w="1985" w:type="dxa"/>
            <w:noWrap w:val="0"/>
            <w:vAlign w:val="center"/>
          </w:tcPr>
          <w:p w14:paraId="27C8AC90">
            <w:pPr>
              <w:rPr>
                <w:rFonts w:hint="eastAsia" w:ascii="宋体" w:hAnsi="宋体" w:eastAsia="宋体" w:cs="宋体"/>
                <w:szCs w:val="21"/>
              </w:rPr>
            </w:pPr>
            <w:r>
              <w:rPr>
                <w:rFonts w:hint="eastAsia" w:ascii="宋体" w:hAnsi="宋体" w:eastAsia="宋体" w:cs="宋体"/>
                <w:szCs w:val="21"/>
              </w:rPr>
              <w:t>项目经理</w:t>
            </w:r>
          </w:p>
        </w:tc>
        <w:tc>
          <w:tcPr>
            <w:tcW w:w="2126" w:type="dxa"/>
            <w:noWrap w:val="0"/>
            <w:tcMar>
              <w:left w:w="170" w:type="dxa"/>
            </w:tcMar>
            <w:vAlign w:val="center"/>
          </w:tcPr>
          <w:p w14:paraId="59F09401">
            <w:pPr>
              <w:jc w:val="center"/>
              <w:rPr>
                <w:rFonts w:hint="eastAsia" w:ascii="宋体" w:hAnsi="宋体" w:eastAsia="宋体" w:cs="宋体"/>
                <w:szCs w:val="21"/>
              </w:rPr>
            </w:pPr>
            <w:r>
              <w:rPr>
                <w:rFonts w:hint="eastAsia" w:ascii="宋体" w:hAnsi="宋体" w:eastAsia="宋体" w:cs="宋体"/>
                <w:szCs w:val="21"/>
              </w:rPr>
              <w:t>专用条款</w:t>
            </w:r>
          </w:p>
        </w:tc>
        <w:tc>
          <w:tcPr>
            <w:tcW w:w="1984" w:type="dxa"/>
            <w:noWrap w:val="0"/>
            <w:vAlign w:val="center"/>
          </w:tcPr>
          <w:p w14:paraId="17ED4B0A">
            <w:pPr>
              <w:rPr>
                <w:rFonts w:hint="eastAsia" w:ascii="宋体" w:hAnsi="宋体" w:eastAsia="宋体" w:cs="宋体"/>
                <w:szCs w:val="21"/>
              </w:rPr>
            </w:pPr>
            <w:r>
              <w:rPr>
                <w:rFonts w:hint="eastAsia" w:ascii="宋体" w:hAnsi="宋体" w:eastAsia="宋体" w:cs="宋体"/>
                <w:szCs w:val="21"/>
              </w:rPr>
              <w:t>姓名：</w:t>
            </w:r>
          </w:p>
        </w:tc>
        <w:tc>
          <w:tcPr>
            <w:tcW w:w="1843" w:type="dxa"/>
            <w:noWrap w:val="0"/>
            <w:vAlign w:val="center"/>
          </w:tcPr>
          <w:p w14:paraId="7E879936">
            <w:pPr>
              <w:jc w:val="center"/>
              <w:rPr>
                <w:rFonts w:hint="eastAsia" w:ascii="宋体" w:hAnsi="宋体" w:eastAsia="宋体" w:cs="宋体"/>
                <w:szCs w:val="21"/>
              </w:rPr>
            </w:pPr>
          </w:p>
        </w:tc>
      </w:tr>
      <w:tr w14:paraId="32044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03DA7076">
            <w:pPr>
              <w:jc w:val="center"/>
              <w:rPr>
                <w:rFonts w:hint="eastAsia" w:ascii="宋体" w:hAnsi="宋体" w:eastAsia="宋体" w:cs="宋体"/>
                <w:szCs w:val="21"/>
              </w:rPr>
            </w:pPr>
            <w:r>
              <w:rPr>
                <w:rFonts w:hint="eastAsia" w:ascii="宋体" w:hAnsi="宋体" w:eastAsia="宋体" w:cs="宋体"/>
                <w:szCs w:val="21"/>
              </w:rPr>
              <w:t>2</w:t>
            </w:r>
          </w:p>
        </w:tc>
        <w:tc>
          <w:tcPr>
            <w:tcW w:w="1985" w:type="dxa"/>
            <w:noWrap w:val="0"/>
            <w:vAlign w:val="center"/>
          </w:tcPr>
          <w:p w14:paraId="10F90A81">
            <w:pPr>
              <w:rPr>
                <w:rFonts w:hint="eastAsia" w:ascii="宋体" w:hAnsi="宋体" w:eastAsia="宋体" w:cs="宋体"/>
                <w:szCs w:val="21"/>
              </w:rPr>
            </w:pPr>
            <w:r>
              <w:rPr>
                <w:rFonts w:hint="eastAsia" w:ascii="宋体" w:hAnsi="宋体" w:eastAsia="宋体" w:cs="宋体"/>
                <w:szCs w:val="21"/>
              </w:rPr>
              <w:t>响应有效期</w:t>
            </w:r>
          </w:p>
        </w:tc>
        <w:tc>
          <w:tcPr>
            <w:tcW w:w="2126" w:type="dxa"/>
            <w:noWrap w:val="0"/>
            <w:tcMar>
              <w:left w:w="170" w:type="dxa"/>
            </w:tcMar>
            <w:vAlign w:val="center"/>
          </w:tcPr>
          <w:p w14:paraId="54543ECF">
            <w:pPr>
              <w:rPr>
                <w:rFonts w:hint="eastAsia" w:ascii="宋体" w:hAnsi="宋体" w:eastAsia="宋体" w:cs="宋体"/>
                <w:szCs w:val="21"/>
              </w:rPr>
            </w:pPr>
          </w:p>
        </w:tc>
        <w:tc>
          <w:tcPr>
            <w:tcW w:w="1984" w:type="dxa"/>
            <w:noWrap w:val="0"/>
            <w:vAlign w:val="center"/>
          </w:tcPr>
          <w:p w14:paraId="6222D67C">
            <w:pPr>
              <w:jc w:val="center"/>
              <w:rPr>
                <w:rFonts w:hint="eastAsia" w:ascii="宋体" w:hAnsi="宋体" w:eastAsia="宋体" w:cs="宋体"/>
                <w:szCs w:val="21"/>
                <w:u w:val="single"/>
              </w:rPr>
            </w:pPr>
            <w:r>
              <w:rPr>
                <w:rFonts w:hint="eastAsia" w:ascii="宋体" w:hAnsi="宋体" w:eastAsia="宋体" w:cs="宋体"/>
                <w:szCs w:val="21"/>
                <w:u w:val="single"/>
              </w:rPr>
              <w:t xml:space="preserve"> </w:t>
            </w:r>
            <w:r>
              <w:rPr>
                <w:rFonts w:hint="eastAsia" w:ascii="宋体" w:hAnsi="宋体" w:cs="宋体"/>
                <w:szCs w:val="21"/>
                <w:u w:val="single"/>
                <w:lang w:val="en-US" w:eastAsia="zh-CN"/>
              </w:rPr>
              <w:t>90</w:t>
            </w:r>
            <w:r>
              <w:rPr>
                <w:rFonts w:hint="eastAsia" w:ascii="宋体" w:hAnsi="宋体" w:eastAsia="宋体" w:cs="宋体"/>
                <w:szCs w:val="21"/>
                <w:u w:val="single"/>
              </w:rPr>
              <w:t xml:space="preserve"> </w:t>
            </w:r>
            <w:r>
              <w:rPr>
                <w:rFonts w:hint="eastAsia" w:ascii="宋体" w:hAnsi="宋体" w:eastAsia="宋体" w:cs="宋体"/>
                <w:szCs w:val="21"/>
              </w:rPr>
              <w:t>天</w:t>
            </w:r>
          </w:p>
        </w:tc>
        <w:tc>
          <w:tcPr>
            <w:tcW w:w="1843" w:type="dxa"/>
            <w:noWrap w:val="0"/>
            <w:vAlign w:val="center"/>
          </w:tcPr>
          <w:p w14:paraId="4AA4563F">
            <w:pPr>
              <w:jc w:val="center"/>
              <w:rPr>
                <w:rFonts w:hint="eastAsia" w:ascii="宋体" w:hAnsi="宋体" w:eastAsia="宋体" w:cs="宋体"/>
                <w:szCs w:val="21"/>
              </w:rPr>
            </w:pPr>
          </w:p>
        </w:tc>
      </w:tr>
      <w:tr w14:paraId="5D397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6E59F6EB">
            <w:pPr>
              <w:jc w:val="center"/>
              <w:rPr>
                <w:rFonts w:hint="eastAsia" w:ascii="宋体" w:hAnsi="宋体" w:eastAsia="宋体" w:cs="宋体"/>
                <w:szCs w:val="21"/>
              </w:rPr>
            </w:pPr>
            <w:r>
              <w:rPr>
                <w:rFonts w:hint="eastAsia" w:ascii="宋体" w:hAnsi="宋体" w:eastAsia="宋体" w:cs="宋体"/>
                <w:szCs w:val="21"/>
              </w:rPr>
              <w:t>3</w:t>
            </w:r>
          </w:p>
        </w:tc>
        <w:tc>
          <w:tcPr>
            <w:tcW w:w="1985" w:type="dxa"/>
            <w:noWrap w:val="0"/>
            <w:vAlign w:val="center"/>
          </w:tcPr>
          <w:p w14:paraId="6D7EF83A">
            <w:pPr>
              <w:rPr>
                <w:rFonts w:hint="eastAsia" w:ascii="宋体" w:hAnsi="宋体" w:eastAsia="宋体" w:cs="宋体"/>
                <w:szCs w:val="21"/>
              </w:rPr>
            </w:pPr>
            <w:r>
              <w:rPr>
                <w:rFonts w:hint="eastAsia" w:ascii="宋体" w:hAnsi="宋体" w:eastAsia="宋体" w:cs="宋体"/>
                <w:szCs w:val="21"/>
              </w:rPr>
              <w:t>工期</w:t>
            </w:r>
          </w:p>
        </w:tc>
        <w:tc>
          <w:tcPr>
            <w:tcW w:w="2126" w:type="dxa"/>
            <w:noWrap w:val="0"/>
            <w:tcMar>
              <w:left w:w="170" w:type="dxa"/>
            </w:tcMar>
            <w:vAlign w:val="center"/>
          </w:tcPr>
          <w:p w14:paraId="1A0DDC6D">
            <w:pPr>
              <w:jc w:val="center"/>
              <w:rPr>
                <w:rFonts w:hint="eastAsia" w:ascii="宋体" w:hAnsi="宋体" w:eastAsia="宋体" w:cs="宋体"/>
              </w:rPr>
            </w:pPr>
            <w:r>
              <w:rPr>
                <w:rFonts w:hint="eastAsia" w:ascii="宋体" w:hAnsi="宋体" w:eastAsia="宋体" w:cs="宋体"/>
                <w:szCs w:val="21"/>
              </w:rPr>
              <w:t>专用条款</w:t>
            </w:r>
          </w:p>
        </w:tc>
        <w:tc>
          <w:tcPr>
            <w:tcW w:w="1984" w:type="dxa"/>
            <w:noWrap w:val="0"/>
            <w:vAlign w:val="center"/>
          </w:tcPr>
          <w:p w14:paraId="1A4F3BE7">
            <w:pPr>
              <w:jc w:val="center"/>
              <w:rPr>
                <w:rFonts w:hint="eastAsia" w:ascii="宋体" w:hAnsi="宋体" w:eastAsia="宋体" w:cs="宋体"/>
                <w:szCs w:val="21"/>
              </w:rPr>
            </w:pPr>
            <w:r>
              <w:rPr>
                <w:rFonts w:hint="eastAsia" w:ascii="宋体" w:hAnsi="宋体" w:cs="宋体"/>
                <w:szCs w:val="21"/>
                <w:u w:val="single"/>
                <w:lang w:val="en-US" w:eastAsia="zh-CN"/>
              </w:rPr>
              <w:t>100日历</w:t>
            </w:r>
            <w:r>
              <w:rPr>
                <w:rFonts w:hint="eastAsia" w:ascii="宋体" w:hAnsi="宋体" w:eastAsia="宋体" w:cs="宋体"/>
                <w:szCs w:val="21"/>
              </w:rPr>
              <w:t>天</w:t>
            </w:r>
          </w:p>
        </w:tc>
        <w:tc>
          <w:tcPr>
            <w:tcW w:w="1843" w:type="dxa"/>
            <w:noWrap w:val="0"/>
            <w:vAlign w:val="center"/>
          </w:tcPr>
          <w:p w14:paraId="185F8B57">
            <w:pPr>
              <w:jc w:val="center"/>
              <w:rPr>
                <w:rFonts w:hint="eastAsia" w:ascii="宋体" w:hAnsi="宋体" w:eastAsia="宋体" w:cs="宋体"/>
                <w:szCs w:val="21"/>
              </w:rPr>
            </w:pPr>
          </w:p>
        </w:tc>
      </w:tr>
      <w:tr w14:paraId="25626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0A4065FD">
            <w:pPr>
              <w:jc w:val="center"/>
              <w:rPr>
                <w:rFonts w:hint="eastAsia" w:ascii="宋体" w:hAnsi="宋体" w:eastAsia="宋体" w:cs="宋体"/>
                <w:szCs w:val="21"/>
              </w:rPr>
            </w:pPr>
            <w:r>
              <w:rPr>
                <w:rFonts w:hint="eastAsia" w:ascii="宋体" w:hAnsi="宋体" w:eastAsia="宋体" w:cs="宋体"/>
                <w:szCs w:val="21"/>
              </w:rPr>
              <w:t>4</w:t>
            </w:r>
          </w:p>
        </w:tc>
        <w:tc>
          <w:tcPr>
            <w:tcW w:w="1985" w:type="dxa"/>
            <w:noWrap w:val="0"/>
            <w:vAlign w:val="center"/>
          </w:tcPr>
          <w:p w14:paraId="5668A0AE">
            <w:pPr>
              <w:rPr>
                <w:rFonts w:hint="eastAsia" w:ascii="宋体" w:hAnsi="宋体" w:eastAsia="宋体" w:cs="宋体"/>
                <w:szCs w:val="21"/>
              </w:rPr>
            </w:pPr>
            <w:r>
              <w:rPr>
                <w:rFonts w:hint="eastAsia" w:ascii="宋体" w:hAnsi="宋体" w:eastAsia="宋体" w:cs="宋体"/>
                <w:szCs w:val="21"/>
              </w:rPr>
              <w:t>缺陷责任期</w:t>
            </w:r>
          </w:p>
        </w:tc>
        <w:tc>
          <w:tcPr>
            <w:tcW w:w="2126" w:type="dxa"/>
            <w:noWrap w:val="0"/>
            <w:tcMar>
              <w:left w:w="170" w:type="dxa"/>
            </w:tcMar>
            <w:vAlign w:val="center"/>
          </w:tcPr>
          <w:p w14:paraId="48084668">
            <w:pPr>
              <w:jc w:val="center"/>
              <w:rPr>
                <w:rFonts w:hint="eastAsia" w:ascii="宋体" w:hAnsi="宋体" w:eastAsia="宋体" w:cs="宋体"/>
              </w:rPr>
            </w:pPr>
            <w:r>
              <w:rPr>
                <w:rFonts w:hint="eastAsia" w:ascii="宋体" w:hAnsi="宋体" w:eastAsia="宋体" w:cs="宋体"/>
                <w:szCs w:val="21"/>
              </w:rPr>
              <w:t>专用条款</w:t>
            </w:r>
          </w:p>
        </w:tc>
        <w:tc>
          <w:tcPr>
            <w:tcW w:w="1984" w:type="dxa"/>
            <w:noWrap w:val="0"/>
            <w:vAlign w:val="center"/>
          </w:tcPr>
          <w:p w14:paraId="12E7710B">
            <w:pPr>
              <w:jc w:val="center"/>
              <w:rPr>
                <w:rFonts w:hint="default" w:ascii="宋体" w:hAnsi="宋体" w:eastAsia="宋体" w:cs="宋体"/>
                <w:szCs w:val="21"/>
                <w:lang w:val="en-US" w:eastAsia="zh-CN"/>
              </w:rPr>
            </w:pPr>
            <w:r>
              <w:rPr>
                <w:rFonts w:hint="eastAsia" w:ascii="宋体" w:hAnsi="宋体" w:cs="宋体"/>
                <w:szCs w:val="21"/>
                <w:lang w:val="en-US" w:eastAsia="zh-CN"/>
              </w:rPr>
              <w:t>2年</w:t>
            </w:r>
          </w:p>
        </w:tc>
        <w:tc>
          <w:tcPr>
            <w:tcW w:w="1843" w:type="dxa"/>
            <w:noWrap w:val="0"/>
            <w:vAlign w:val="center"/>
          </w:tcPr>
          <w:p w14:paraId="6551C03D">
            <w:pPr>
              <w:jc w:val="center"/>
              <w:rPr>
                <w:rFonts w:hint="eastAsia" w:ascii="宋体" w:hAnsi="宋体" w:eastAsia="宋体" w:cs="宋体"/>
                <w:szCs w:val="21"/>
              </w:rPr>
            </w:pPr>
          </w:p>
        </w:tc>
      </w:tr>
      <w:tr w14:paraId="7A9BF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6910D01C">
            <w:pPr>
              <w:jc w:val="center"/>
              <w:rPr>
                <w:rFonts w:hint="eastAsia" w:ascii="宋体" w:hAnsi="宋体" w:eastAsia="宋体" w:cs="宋体"/>
                <w:szCs w:val="21"/>
              </w:rPr>
            </w:pPr>
            <w:r>
              <w:rPr>
                <w:rFonts w:hint="eastAsia" w:ascii="宋体" w:hAnsi="宋体" w:eastAsia="宋体" w:cs="宋体"/>
                <w:szCs w:val="21"/>
              </w:rPr>
              <w:t>5</w:t>
            </w:r>
          </w:p>
        </w:tc>
        <w:tc>
          <w:tcPr>
            <w:tcW w:w="1985" w:type="dxa"/>
            <w:noWrap w:val="0"/>
            <w:vAlign w:val="center"/>
          </w:tcPr>
          <w:p w14:paraId="2044090E">
            <w:pPr>
              <w:rPr>
                <w:rFonts w:hint="eastAsia" w:ascii="宋体" w:hAnsi="宋体" w:eastAsia="宋体" w:cs="宋体"/>
                <w:szCs w:val="21"/>
              </w:rPr>
            </w:pPr>
            <w:r>
              <w:rPr>
                <w:rFonts w:hint="eastAsia" w:ascii="宋体" w:hAnsi="宋体" w:eastAsia="宋体" w:cs="宋体"/>
                <w:szCs w:val="21"/>
              </w:rPr>
              <w:t>发包人支付担保</w:t>
            </w:r>
          </w:p>
        </w:tc>
        <w:tc>
          <w:tcPr>
            <w:tcW w:w="2126" w:type="dxa"/>
            <w:noWrap w:val="0"/>
            <w:tcMar>
              <w:left w:w="170" w:type="dxa"/>
            </w:tcMar>
            <w:vAlign w:val="center"/>
          </w:tcPr>
          <w:p w14:paraId="1DAC4FDE">
            <w:pPr>
              <w:jc w:val="center"/>
              <w:rPr>
                <w:rFonts w:hint="eastAsia" w:ascii="宋体" w:hAnsi="宋体" w:eastAsia="宋体" w:cs="宋体"/>
              </w:rPr>
            </w:pPr>
            <w:r>
              <w:rPr>
                <w:rFonts w:hint="eastAsia" w:ascii="宋体" w:hAnsi="宋体" w:eastAsia="宋体" w:cs="宋体"/>
                <w:szCs w:val="21"/>
              </w:rPr>
              <w:t>专用条款</w:t>
            </w:r>
          </w:p>
        </w:tc>
        <w:tc>
          <w:tcPr>
            <w:tcW w:w="1984" w:type="dxa"/>
            <w:noWrap w:val="0"/>
            <w:vAlign w:val="center"/>
          </w:tcPr>
          <w:p w14:paraId="43C07C00">
            <w:pPr>
              <w:jc w:val="center"/>
              <w:rPr>
                <w:rFonts w:hint="default" w:ascii="宋体" w:hAnsi="宋体" w:eastAsia="宋体" w:cs="宋体"/>
                <w:szCs w:val="21"/>
                <w:lang w:val="en-US" w:eastAsia="zh-CN"/>
              </w:rPr>
            </w:pPr>
            <w:r>
              <w:rPr>
                <w:rFonts w:hint="eastAsia" w:ascii="宋体" w:hAnsi="宋体" w:cs="宋体"/>
                <w:szCs w:val="21"/>
                <w:lang w:val="en-US" w:eastAsia="zh-CN"/>
              </w:rPr>
              <w:t>详见合同条款</w:t>
            </w:r>
          </w:p>
        </w:tc>
        <w:tc>
          <w:tcPr>
            <w:tcW w:w="1843" w:type="dxa"/>
            <w:noWrap w:val="0"/>
            <w:vAlign w:val="center"/>
          </w:tcPr>
          <w:p w14:paraId="74FAF86B">
            <w:pPr>
              <w:jc w:val="center"/>
              <w:rPr>
                <w:rFonts w:hint="eastAsia" w:ascii="宋体" w:hAnsi="宋体" w:eastAsia="宋体" w:cs="宋体"/>
                <w:szCs w:val="21"/>
              </w:rPr>
            </w:pPr>
          </w:p>
        </w:tc>
      </w:tr>
      <w:tr w14:paraId="1BD3C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32B4399C">
            <w:pPr>
              <w:jc w:val="center"/>
              <w:rPr>
                <w:rFonts w:hint="eastAsia" w:ascii="宋体" w:hAnsi="宋体" w:eastAsia="宋体" w:cs="宋体"/>
                <w:szCs w:val="21"/>
              </w:rPr>
            </w:pPr>
            <w:r>
              <w:rPr>
                <w:rFonts w:hint="eastAsia" w:ascii="宋体" w:hAnsi="宋体" w:eastAsia="宋体" w:cs="宋体"/>
                <w:szCs w:val="21"/>
              </w:rPr>
              <w:t>6</w:t>
            </w:r>
          </w:p>
        </w:tc>
        <w:tc>
          <w:tcPr>
            <w:tcW w:w="1985" w:type="dxa"/>
            <w:noWrap w:val="0"/>
            <w:vAlign w:val="center"/>
          </w:tcPr>
          <w:p w14:paraId="59AB5893">
            <w:pPr>
              <w:rPr>
                <w:rFonts w:hint="eastAsia" w:ascii="宋体" w:hAnsi="宋体" w:eastAsia="宋体" w:cs="宋体"/>
                <w:szCs w:val="21"/>
              </w:rPr>
            </w:pPr>
            <w:r>
              <w:rPr>
                <w:rFonts w:hint="eastAsia" w:ascii="宋体" w:hAnsi="宋体" w:eastAsia="宋体" w:cs="宋体"/>
                <w:szCs w:val="21"/>
              </w:rPr>
              <w:t>承包人履约担保金额</w:t>
            </w:r>
          </w:p>
        </w:tc>
        <w:tc>
          <w:tcPr>
            <w:tcW w:w="2126" w:type="dxa"/>
            <w:noWrap w:val="0"/>
            <w:tcMar>
              <w:left w:w="170" w:type="dxa"/>
            </w:tcMar>
            <w:vAlign w:val="center"/>
          </w:tcPr>
          <w:p w14:paraId="0DD7737B">
            <w:pPr>
              <w:jc w:val="center"/>
              <w:rPr>
                <w:rFonts w:hint="eastAsia" w:ascii="宋体" w:hAnsi="宋体" w:eastAsia="宋体" w:cs="宋体"/>
              </w:rPr>
            </w:pPr>
            <w:r>
              <w:rPr>
                <w:rFonts w:hint="eastAsia" w:ascii="宋体" w:hAnsi="宋体" w:eastAsia="宋体" w:cs="宋体"/>
                <w:szCs w:val="21"/>
              </w:rPr>
              <w:t>专用条款</w:t>
            </w:r>
          </w:p>
        </w:tc>
        <w:tc>
          <w:tcPr>
            <w:tcW w:w="1984" w:type="dxa"/>
            <w:noWrap w:val="0"/>
            <w:vAlign w:val="center"/>
          </w:tcPr>
          <w:p w14:paraId="331FC623">
            <w:pPr>
              <w:jc w:val="center"/>
              <w:rPr>
                <w:rFonts w:hint="default" w:ascii="宋体" w:hAnsi="宋体" w:eastAsia="宋体" w:cs="宋体"/>
                <w:szCs w:val="21"/>
                <w:lang w:val="en-US" w:eastAsia="zh-CN"/>
              </w:rPr>
            </w:pPr>
            <w:r>
              <w:rPr>
                <w:rFonts w:hint="eastAsia" w:ascii="宋体" w:hAnsi="宋体" w:cs="宋体"/>
                <w:szCs w:val="21"/>
                <w:lang w:val="en-US" w:eastAsia="zh-CN"/>
              </w:rPr>
              <w:t>详见合同条款</w:t>
            </w:r>
          </w:p>
        </w:tc>
        <w:tc>
          <w:tcPr>
            <w:tcW w:w="1843" w:type="dxa"/>
            <w:noWrap w:val="0"/>
            <w:vAlign w:val="center"/>
          </w:tcPr>
          <w:p w14:paraId="68A6D1A0">
            <w:pPr>
              <w:jc w:val="center"/>
              <w:rPr>
                <w:rFonts w:hint="eastAsia" w:ascii="宋体" w:hAnsi="宋体" w:eastAsia="宋体" w:cs="宋体"/>
                <w:szCs w:val="21"/>
              </w:rPr>
            </w:pPr>
          </w:p>
        </w:tc>
      </w:tr>
      <w:tr w14:paraId="0B88F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334921CF">
            <w:pPr>
              <w:jc w:val="center"/>
              <w:rPr>
                <w:rFonts w:hint="eastAsia" w:ascii="宋体" w:hAnsi="宋体" w:eastAsia="宋体" w:cs="宋体"/>
                <w:szCs w:val="21"/>
              </w:rPr>
            </w:pPr>
            <w:r>
              <w:rPr>
                <w:rFonts w:hint="eastAsia" w:ascii="宋体" w:hAnsi="宋体" w:eastAsia="宋体" w:cs="宋体"/>
                <w:szCs w:val="21"/>
              </w:rPr>
              <w:t>7</w:t>
            </w:r>
          </w:p>
        </w:tc>
        <w:tc>
          <w:tcPr>
            <w:tcW w:w="1985" w:type="dxa"/>
            <w:noWrap w:val="0"/>
            <w:vAlign w:val="center"/>
          </w:tcPr>
          <w:p w14:paraId="2B688DB2">
            <w:pPr>
              <w:rPr>
                <w:rFonts w:hint="eastAsia" w:ascii="宋体" w:hAnsi="宋体" w:eastAsia="宋体" w:cs="宋体"/>
                <w:szCs w:val="21"/>
              </w:rPr>
            </w:pPr>
            <w:r>
              <w:rPr>
                <w:rFonts w:hint="eastAsia" w:ascii="宋体" w:hAnsi="宋体" w:eastAsia="宋体" w:cs="宋体"/>
                <w:szCs w:val="21"/>
              </w:rPr>
              <w:t>逾期竣工违约金</w:t>
            </w:r>
          </w:p>
        </w:tc>
        <w:tc>
          <w:tcPr>
            <w:tcW w:w="2126" w:type="dxa"/>
            <w:noWrap w:val="0"/>
            <w:tcMar>
              <w:left w:w="170" w:type="dxa"/>
            </w:tcMar>
            <w:vAlign w:val="center"/>
          </w:tcPr>
          <w:p w14:paraId="7E2C2147">
            <w:pPr>
              <w:jc w:val="center"/>
              <w:rPr>
                <w:rFonts w:hint="eastAsia" w:ascii="宋体" w:hAnsi="宋体" w:eastAsia="宋体" w:cs="宋体"/>
              </w:rPr>
            </w:pPr>
            <w:r>
              <w:rPr>
                <w:rFonts w:hint="eastAsia" w:ascii="宋体" w:hAnsi="宋体" w:eastAsia="宋体" w:cs="宋体"/>
                <w:szCs w:val="21"/>
              </w:rPr>
              <w:t>专用条款</w:t>
            </w:r>
          </w:p>
        </w:tc>
        <w:tc>
          <w:tcPr>
            <w:tcW w:w="1984" w:type="dxa"/>
            <w:noWrap w:val="0"/>
            <w:vAlign w:val="center"/>
          </w:tcPr>
          <w:p w14:paraId="652823F4">
            <w:pPr>
              <w:jc w:val="center"/>
              <w:rPr>
                <w:rFonts w:hint="eastAsia" w:ascii="宋体" w:hAnsi="宋体" w:eastAsia="宋体" w:cs="宋体"/>
                <w:szCs w:val="21"/>
              </w:rPr>
            </w:pPr>
            <w:r>
              <w:rPr>
                <w:rFonts w:hint="eastAsia" w:ascii="宋体" w:hAnsi="宋体" w:cs="宋体"/>
                <w:szCs w:val="21"/>
                <w:lang w:val="en-US" w:eastAsia="zh-CN"/>
              </w:rPr>
              <w:t>详见合同条款</w:t>
            </w:r>
          </w:p>
        </w:tc>
        <w:tc>
          <w:tcPr>
            <w:tcW w:w="1843" w:type="dxa"/>
            <w:noWrap w:val="0"/>
            <w:vAlign w:val="center"/>
          </w:tcPr>
          <w:p w14:paraId="6D7A925D">
            <w:pPr>
              <w:jc w:val="center"/>
              <w:rPr>
                <w:rFonts w:hint="eastAsia" w:ascii="宋体" w:hAnsi="宋体" w:eastAsia="宋体" w:cs="宋体"/>
                <w:szCs w:val="21"/>
              </w:rPr>
            </w:pPr>
          </w:p>
        </w:tc>
      </w:tr>
      <w:tr w14:paraId="7BDC8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07AE8B28">
            <w:pPr>
              <w:jc w:val="center"/>
              <w:rPr>
                <w:rFonts w:hint="eastAsia" w:ascii="宋体" w:hAnsi="宋体" w:eastAsia="宋体" w:cs="宋体"/>
                <w:szCs w:val="21"/>
              </w:rPr>
            </w:pPr>
            <w:r>
              <w:rPr>
                <w:rFonts w:hint="eastAsia" w:ascii="宋体" w:hAnsi="宋体" w:eastAsia="宋体" w:cs="宋体"/>
                <w:szCs w:val="21"/>
              </w:rPr>
              <w:t>8</w:t>
            </w:r>
          </w:p>
        </w:tc>
        <w:tc>
          <w:tcPr>
            <w:tcW w:w="1985" w:type="dxa"/>
            <w:noWrap w:val="0"/>
            <w:vAlign w:val="center"/>
          </w:tcPr>
          <w:p w14:paraId="480D6DF2">
            <w:pPr>
              <w:rPr>
                <w:rFonts w:hint="eastAsia" w:ascii="宋体" w:hAnsi="宋体" w:eastAsia="宋体" w:cs="宋体"/>
                <w:szCs w:val="21"/>
              </w:rPr>
            </w:pPr>
            <w:r>
              <w:rPr>
                <w:rFonts w:hint="eastAsia" w:ascii="宋体" w:hAnsi="宋体" w:eastAsia="宋体" w:cs="宋体"/>
                <w:szCs w:val="21"/>
              </w:rPr>
              <w:t>逾期竣工违约金最高限额</w:t>
            </w:r>
          </w:p>
        </w:tc>
        <w:tc>
          <w:tcPr>
            <w:tcW w:w="2126" w:type="dxa"/>
            <w:noWrap w:val="0"/>
            <w:tcMar>
              <w:left w:w="170" w:type="dxa"/>
            </w:tcMar>
            <w:vAlign w:val="center"/>
          </w:tcPr>
          <w:p w14:paraId="3E6C5028">
            <w:pPr>
              <w:jc w:val="center"/>
              <w:rPr>
                <w:rFonts w:hint="eastAsia" w:ascii="宋体" w:hAnsi="宋体" w:eastAsia="宋体" w:cs="宋体"/>
              </w:rPr>
            </w:pPr>
            <w:r>
              <w:rPr>
                <w:rFonts w:hint="eastAsia" w:ascii="宋体" w:hAnsi="宋体" w:eastAsia="宋体" w:cs="宋体"/>
                <w:szCs w:val="21"/>
              </w:rPr>
              <w:t>专用条款</w:t>
            </w:r>
          </w:p>
        </w:tc>
        <w:tc>
          <w:tcPr>
            <w:tcW w:w="1984" w:type="dxa"/>
            <w:noWrap w:val="0"/>
            <w:vAlign w:val="center"/>
          </w:tcPr>
          <w:p w14:paraId="31942E36">
            <w:pPr>
              <w:jc w:val="center"/>
              <w:rPr>
                <w:rFonts w:hint="eastAsia" w:ascii="宋体" w:hAnsi="宋体" w:eastAsia="宋体" w:cs="宋体"/>
                <w:szCs w:val="21"/>
              </w:rPr>
            </w:pPr>
            <w:r>
              <w:rPr>
                <w:rFonts w:hint="eastAsia" w:ascii="宋体" w:hAnsi="宋体" w:cs="宋体"/>
                <w:szCs w:val="21"/>
                <w:lang w:val="en-US" w:eastAsia="zh-CN"/>
              </w:rPr>
              <w:t>详见合同条款</w:t>
            </w:r>
          </w:p>
        </w:tc>
        <w:tc>
          <w:tcPr>
            <w:tcW w:w="1843" w:type="dxa"/>
            <w:noWrap w:val="0"/>
            <w:vAlign w:val="center"/>
          </w:tcPr>
          <w:p w14:paraId="16EE2423">
            <w:pPr>
              <w:jc w:val="center"/>
              <w:rPr>
                <w:rFonts w:hint="eastAsia" w:ascii="宋体" w:hAnsi="宋体" w:eastAsia="宋体" w:cs="宋体"/>
                <w:szCs w:val="21"/>
              </w:rPr>
            </w:pPr>
          </w:p>
        </w:tc>
      </w:tr>
      <w:tr w14:paraId="20F9D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484A4822">
            <w:pPr>
              <w:jc w:val="center"/>
              <w:rPr>
                <w:rFonts w:hint="eastAsia" w:ascii="宋体" w:hAnsi="宋体" w:eastAsia="宋体" w:cs="宋体"/>
                <w:szCs w:val="21"/>
              </w:rPr>
            </w:pPr>
            <w:r>
              <w:rPr>
                <w:rFonts w:hint="eastAsia" w:ascii="宋体" w:hAnsi="宋体" w:eastAsia="宋体" w:cs="宋体"/>
                <w:szCs w:val="21"/>
              </w:rPr>
              <w:t>9</w:t>
            </w:r>
          </w:p>
        </w:tc>
        <w:tc>
          <w:tcPr>
            <w:tcW w:w="1985" w:type="dxa"/>
            <w:noWrap w:val="0"/>
            <w:vAlign w:val="center"/>
          </w:tcPr>
          <w:p w14:paraId="6C592566">
            <w:pPr>
              <w:rPr>
                <w:rFonts w:hint="eastAsia" w:ascii="宋体" w:hAnsi="宋体" w:eastAsia="宋体" w:cs="宋体"/>
                <w:szCs w:val="21"/>
              </w:rPr>
            </w:pPr>
            <w:r>
              <w:rPr>
                <w:rFonts w:hint="eastAsia" w:ascii="宋体" w:hAnsi="宋体" w:eastAsia="宋体" w:cs="宋体"/>
                <w:szCs w:val="21"/>
              </w:rPr>
              <w:t>质量标准</w:t>
            </w:r>
          </w:p>
        </w:tc>
        <w:tc>
          <w:tcPr>
            <w:tcW w:w="2126" w:type="dxa"/>
            <w:noWrap w:val="0"/>
            <w:tcMar>
              <w:left w:w="170" w:type="dxa"/>
            </w:tcMar>
            <w:vAlign w:val="center"/>
          </w:tcPr>
          <w:p w14:paraId="3788CF79">
            <w:pPr>
              <w:jc w:val="center"/>
              <w:rPr>
                <w:rFonts w:hint="eastAsia" w:ascii="宋体" w:hAnsi="宋体" w:eastAsia="宋体" w:cs="宋体"/>
              </w:rPr>
            </w:pPr>
            <w:r>
              <w:rPr>
                <w:rFonts w:hint="eastAsia" w:ascii="宋体" w:hAnsi="宋体" w:eastAsia="宋体" w:cs="宋体"/>
                <w:szCs w:val="21"/>
              </w:rPr>
              <w:t>专用条款</w:t>
            </w:r>
          </w:p>
        </w:tc>
        <w:tc>
          <w:tcPr>
            <w:tcW w:w="1984" w:type="dxa"/>
            <w:noWrap w:val="0"/>
            <w:vAlign w:val="center"/>
          </w:tcPr>
          <w:p w14:paraId="0C648AD3">
            <w:pPr>
              <w:jc w:val="center"/>
              <w:rPr>
                <w:rFonts w:hint="eastAsia" w:ascii="宋体" w:hAnsi="宋体" w:eastAsia="宋体" w:cs="宋体"/>
                <w:szCs w:val="21"/>
              </w:rPr>
            </w:pPr>
            <w:r>
              <w:rPr>
                <w:rFonts w:hint="eastAsia" w:ascii="宋体" w:hAnsi="宋体" w:cs="宋体"/>
                <w:szCs w:val="21"/>
                <w:u w:val="none"/>
                <w:lang w:val="en-US" w:eastAsia="zh-CN"/>
              </w:rPr>
              <w:t>合格</w:t>
            </w:r>
          </w:p>
        </w:tc>
        <w:tc>
          <w:tcPr>
            <w:tcW w:w="1843" w:type="dxa"/>
            <w:noWrap w:val="0"/>
            <w:vAlign w:val="center"/>
          </w:tcPr>
          <w:p w14:paraId="072BE276">
            <w:pPr>
              <w:jc w:val="center"/>
              <w:rPr>
                <w:rFonts w:hint="eastAsia" w:ascii="宋体" w:hAnsi="宋体" w:eastAsia="宋体" w:cs="宋体"/>
                <w:szCs w:val="21"/>
              </w:rPr>
            </w:pPr>
          </w:p>
        </w:tc>
      </w:tr>
      <w:tr w14:paraId="2B530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34F14294">
            <w:pPr>
              <w:jc w:val="center"/>
              <w:rPr>
                <w:rFonts w:hint="eastAsia" w:ascii="宋体" w:hAnsi="宋体" w:eastAsia="宋体" w:cs="宋体"/>
                <w:szCs w:val="21"/>
              </w:rPr>
            </w:pPr>
            <w:r>
              <w:rPr>
                <w:rFonts w:hint="eastAsia" w:ascii="宋体" w:hAnsi="宋体" w:eastAsia="宋体" w:cs="宋体"/>
                <w:szCs w:val="21"/>
              </w:rPr>
              <w:t>10</w:t>
            </w:r>
          </w:p>
        </w:tc>
        <w:tc>
          <w:tcPr>
            <w:tcW w:w="1985" w:type="dxa"/>
            <w:noWrap w:val="0"/>
            <w:vAlign w:val="center"/>
          </w:tcPr>
          <w:p w14:paraId="0144986D">
            <w:pPr>
              <w:rPr>
                <w:rFonts w:hint="eastAsia" w:ascii="宋体" w:hAnsi="宋体" w:eastAsia="宋体" w:cs="宋体"/>
                <w:szCs w:val="21"/>
              </w:rPr>
            </w:pPr>
            <w:r>
              <w:rPr>
                <w:rFonts w:hint="eastAsia" w:ascii="宋体" w:hAnsi="宋体" w:eastAsia="宋体" w:cs="宋体"/>
                <w:szCs w:val="21"/>
              </w:rPr>
              <w:t>预付款额度</w:t>
            </w:r>
          </w:p>
        </w:tc>
        <w:tc>
          <w:tcPr>
            <w:tcW w:w="2126" w:type="dxa"/>
            <w:noWrap w:val="0"/>
            <w:tcMar>
              <w:left w:w="170" w:type="dxa"/>
            </w:tcMar>
            <w:vAlign w:val="center"/>
          </w:tcPr>
          <w:p w14:paraId="45663998">
            <w:pPr>
              <w:jc w:val="center"/>
              <w:rPr>
                <w:rFonts w:hint="eastAsia" w:ascii="宋体" w:hAnsi="宋体" w:eastAsia="宋体" w:cs="宋体"/>
              </w:rPr>
            </w:pPr>
            <w:r>
              <w:rPr>
                <w:rFonts w:hint="eastAsia" w:ascii="宋体" w:hAnsi="宋体" w:eastAsia="宋体" w:cs="宋体"/>
                <w:szCs w:val="21"/>
              </w:rPr>
              <w:t>专用条款</w:t>
            </w:r>
          </w:p>
        </w:tc>
        <w:tc>
          <w:tcPr>
            <w:tcW w:w="1984" w:type="dxa"/>
            <w:noWrap w:val="0"/>
            <w:vAlign w:val="center"/>
          </w:tcPr>
          <w:p w14:paraId="33536DE1">
            <w:pPr>
              <w:jc w:val="both"/>
              <w:rPr>
                <w:rFonts w:hint="eastAsia" w:ascii="宋体" w:hAnsi="宋体" w:eastAsia="宋体" w:cs="宋体"/>
                <w:szCs w:val="21"/>
                <w:lang w:val="en-US" w:eastAsia="zh-CN"/>
              </w:rPr>
            </w:pPr>
            <w:r>
              <w:rPr>
                <w:rFonts w:hint="eastAsia" w:ascii="宋体" w:hAnsi="宋体" w:eastAsia="宋体" w:cs="宋体"/>
                <w:szCs w:val="21"/>
                <w:u w:val="none"/>
              </w:rPr>
              <w:t>签约合同价扣除材料和工程设备暂估价、专业工程暂估价、安全生产责任保险费暂估价、暂列金额后的30%</w:t>
            </w:r>
          </w:p>
        </w:tc>
        <w:tc>
          <w:tcPr>
            <w:tcW w:w="1843" w:type="dxa"/>
            <w:noWrap w:val="0"/>
            <w:vAlign w:val="center"/>
          </w:tcPr>
          <w:p w14:paraId="4653BB38">
            <w:pPr>
              <w:jc w:val="center"/>
              <w:rPr>
                <w:rFonts w:hint="eastAsia" w:ascii="宋体" w:hAnsi="宋体" w:eastAsia="宋体" w:cs="宋体"/>
                <w:szCs w:val="21"/>
              </w:rPr>
            </w:pPr>
          </w:p>
        </w:tc>
      </w:tr>
      <w:tr w14:paraId="3FA38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342670DC">
            <w:pPr>
              <w:jc w:val="center"/>
              <w:rPr>
                <w:rFonts w:hint="eastAsia" w:ascii="宋体" w:hAnsi="宋体" w:eastAsia="宋体" w:cs="宋体"/>
                <w:szCs w:val="21"/>
              </w:rPr>
            </w:pPr>
            <w:r>
              <w:rPr>
                <w:rFonts w:hint="eastAsia" w:ascii="宋体" w:hAnsi="宋体" w:eastAsia="宋体" w:cs="宋体"/>
                <w:szCs w:val="21"/>
              </w:rPr>
              <w:t>12</w:t>
            </w:r>
          </w:p>
        </w:tc>
        <w:tc>
          <w:tcPr>
            <w:tcW w:w="1985" w:type="dxa"/>
            <w:noWrap w:val="0"/>
            <w:vAlign w:val="center"/>
          </w:tcPr>
          <w:p w14:paraId="4E1CB51C">
            <w:pPr>
              <w:rPr>
                <w:rFonts w:hint="eastAsia" w:ascii="宋体" w:hAnsi="宋体" w:eastAsia="宋体" w:cs="宋体"/>
                <w:szCs w:val="21"/>
              </w:rPr>
            </w:pPr>
            <w:r>
              <w:rPr>
                <w:rFonts w:hint="eastAsia" w:ascii="宋体" w:hAnsi="宋体" w:eastAsia="宋体" w:cs="宋体"/>
                <w:szCs w:val="21"/>
              </w:rPr>
              <w:t>质量保证金额度</w:t>
            </w:r>
          </w:p>
        </w:tc>
        <w:tc>
          <w:tcPr>
            <w:tcW w:w="2126" w:type="dxa"/>
            <w:noWrap w:val="0"/>
            <w:tcMar>
              <w:left w:w="170" w:type="dxa"/>
            </w:tcMar>
            <w:vAlign w:val="center"/>
          </w:tcPr>
          <w:p w14:paraId="60489742">
            <w:pPr>
              <w:jc w:val="center"/>
              <w:rPr>
                <w:rFonts w:hint="eastAsia" w:ascii="宋体" w:hAnsi="宋体" w:eastAsia="宋体" w:cs="宋体"/>
              </w:rPr>
            </w:pPr>
            <w:r>
              <w:rPr>
                <w:rFonts w:hint="eastAsia" w:ascii="宋体" w:hAnsi="宋体" w:eastAsia="宋体" w:cs="宋体"/>
                <w:szCs w:val="21"/>
              </w:rPr>
              <w:t>专用条款</w:t>
            </w:r>
          </w:p>
        </w:tc>
        <w:tc>
          <w:tcPr>
            <w:tcW w:w="1984" w:type="dxa"/>
            <w:noWrap w:val="0"/>
            <w:vAlign w:val="center"/>
          </w:tcPr>
          <w:p w14:paraId="751B6439">
            <w:pPr>
              <w:jc w:val="center"/>
              <w:rPr>
                <w:rFonts w:hint="eastAsia" w:ascii="宋体" w:hAnsi="宋体" w:eastAsia="宋体" w:cs="宋体"/>
                <w:szCs w:val="21"/>
              </w:rPr>
            </w:pPr>
            <w:r>
              <w:rPr>
                <w:rFonts w:hint="eastAsia" w:ascii="宋体" w:hAnsi="宋体" w:eastAsia="宋体" w:cs="宋体"/>
                <w:szCs w:val="21"/>
              </w:rPr>
              <w:t>结算价的</w:t>
            </w:r>
            <w:r>
              <w:rPr>
                <w:rFonts w:hint="eastAsia" w:ascii="宋体" w:hAnsi="宋体" w:eastAsia="宋体" w:cs="宋体"/>
                <w:szCs w:val="21"/>
                <w:u w:val="single"/>
              </w:rPr>
              <w:t xml:space="preserve"> </w:t>
            </w:r>
            <w:r>
              <w:rPr>
                <w:rFonts w:hint="eastAsia" w:ascii="宋体" w:hAnsi="宋体" w:cs="宋体"/>
                <w:szCs w:val="21"/>
                <w:u w:val="single"/>
                <w:lang w:val="en-US" w:eastAsia="zh-CN"/>
              </w:rPr>
              <w:t>3</w:t>
            </w:r>
            <w:r>
              <w:rPr>
                <w:rFonts w:hint="eastAsia" w:ascii="宋体" w:hAnsi="宋体" w:eastAsia="宋体" w:cs="宋体"/>
                <w:szCs w:val="21"/>
                <w:u w:val="single"/>
              </w:rPr>
              <w:t xml:space="preserve">  </w:t>
            </w:r>
            <w:r>
              <w:rPr>
                <w:rFonts w:hint="eastAsia" w:ascii="宋体" w:hAnsi="宋体" w:eastAsia="宋体" w:cs="宋体"/>
                <w:szCs w:val="21"/>
              </w:rPr>
              <w:t xml:space="preserve">% </w:t>
            </w:r>
          </w:p>
        </w:tc>
        <w:tc>
          <w:tcPr>
            <w:tcW w:w="1843" w:type="dxa"/>
            <w:noWrap w:val="0"/>
            <w:vAlign w:val="center"/>
          </w:tcPr>
          <w:p w14:paraId="6A9D4F5A">
            <w:pPr>
              <w:jc w:val="center"/>
              <w:rPr>
                <w:rFonts w:hint="eastAsia" w:ascii="宋体" w:hAnsi="宋体" w:eastAsia="宋体" w:cs="宋体"/>
                <w:szCs w:val="21"/>
              </w:rPr>
            </w:pPr>
          </w:p>
        </w:tc>
      </w:tr>
      <w:tr w14:paraId="3601A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59ACD2D4">
            <w:pPr>
              <w:jc w:val="center"/>
              <w:rPr>
                <w:rFonts w:hint="eastAsia" w:ascii="宋体" w:hAnsi="宋体" w:eastAsia="宋体" w:cs="宋体"/>
                <w:szCs w:val="21"/>
              </w:rPr>
            </w:pPr>
            <w:r>
              <w:rPr>
                <w:rFonts w:hint="eastAsia" w:ascii="宋体" w:hAnsi="宋体" w:eastAsia="宋体" w:cs="宋体"/>
                <w:szCs w:val="21"/>
              </w:rPr>
              <w:t>…</w:t>
            </w:r>
          </w:p>
        </w:tc>
        <w:tc>
          <w:tcPr>
            <w:tcW w:w="1985" w:type="dxa"/>
            <w:noWrap w:val="0"/>
            <w:vAlign w:val="center"/>
          </w:tcPr>
          <w:p w14:paraId="52F5B1FB">
            <w:pPr>
              <w:jc w:val="center"/>
              <w:rPr>
                <w:rFonts w:hint="eastAsia" w:ascii="宋体" w:hAnsi="宋体" w:eastAsia="宋体" w:cs="宋体"/>
                <w:szCs w:val="21"/>
              </w:rPr>
            </w:pPr>
            <w:r>
              <w:rPr>
                <w:rFonts w:hint="eastAsia" w:ascii="宋体" w:hAnsi="宋体" w:eastAsia="宋体" w:cs="宋体"/>
                <w:szCs w:val="21"/>
              </w:rPr>
              <w:t>…</w:t>
            </w:r>
          </w:p>
        </w:tc>
        <w:tc>
          <w:tcPr>
            <w:tcW w:w="2126" w:type="dxa"/>
            <w:noWrap w:val="0"/>
            <w:tcMar>
              <w:left w:w="170" w:type="dxa"/>
            </w:tcMar>
            <w:vAlign w:val="center"/>
          </w:tcPr>
          <w:p w14:paraId="158FEE91">
            <w:pPr>
              <w:jc w:val="center"/>
              <w:rPr>
                <w:rFonts w:hint="eastAsia" w:ascii="宋体" w:hAnsi="宋体" w:eastAsia="宋体" w:cs="宋体"/>
                <w:szCs w:val="21"/>
              </w:rPr>
            </w:pPr>
          </w:p>
        </w:tc>
        <w:tc>
          <w:tcPr>
            <w:tcW w:w="1984" w:type="dxa"/>
            <w:noWrap w:val="0"/>
            <w:vAlign w:val="center"/>
          </w:tcPr>
          <w:p w14:paraId="7BD701EE">
            <w:pPr>
              <w:jc w:val="center"/>
              <w:rPr>
                <w:rFonts w:hint="eastAsia" w:ascii="宋体" w:hAnsi="宋体" w:eastAsia="宋体" w:cs="宋体"/>
                <w:szCs w:val="21"/>
              </w:rPr>
            </w:pPr>
          </w:p>
        </w:tc>
        <w:tc>
          <w:tcPr>
            <w:tcW w:w="1843" w:type="dxa"/>
            <w:noWrap w:val="0"/>
            <w:vAlign w:val="center"/>
          </w:tcPr>
          <w:p w14:paraId="117BF354">
            <w:pPr>
              <w:jc w:val="center"/>
              <w:rPr>
                <w:rFonts w:hint="eastAsia" w:ascii="宋体" w:hAnsi="宋体" w:eastAsia="宋体" w:cs="宋体"/>
                <w:szCs w:val="21"/>
              </w:rPr>
            </w:pPr>
          </w:p>
        </w:tc>
      </w:tr>
      <w:tr w14:paraId="63709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8930" w:type="dxa"/>
            <w:gridSpan w:val="5"/>
            <w:noWrap w:val="0"/>
            <w:vAlign w:val="center"/>
          </w:tcPr>
          <w:p w14:paraId="459660A6">
            <w:pPr>
              <w:spacing w:line="360" w:lineRule="auto"/>
              <w:rPr>
                <w:rFonts w:hint="eastAsia" w:ascii="宋体" w:hAnsi="宋体" w:eastAsia="宋体" w:cs="宋体"/>
                <w:szCs w:val="21"/>
              </w:rPr>
            </w:pPr>
            <w:r>
              <w:rPr>
                <w:rFonts w:hint="eastAsia" w:ascii="宋体" w:hAnsi="宋体" w:eastAsia="宋体" w:cs="宋体"/>
                <w:szCs w:val="21"/>
              </w:rPr>
              <w:t>备注：供应商在响应采购文件中规定的实质性要求和条件的基础上，可做出其他有利于采购单位的承诺。此类承诺可在本表中予以补充填写。</w:t>
            </w:r>
          </w:p>
        </w:tc>
      </w:tr>
    </w:tbl>
    <w:p w14:paraId="3763DD22">
      <w:pPr>
        <w:rPr>
          <w:rFonts w:hint="eastAsia" w:ascii="宋体" w:hAnsi="宋体" w:eastAsia="宋体" w:cs="宋体"/>
          <w:spacing w:val="20"/>
          <w:szCs w:val="21"/>
          <w:u w:val="single"/>
        </w:rPr>
      </w:pPr>
    </w:p>
    <w:p w14:paraId="552384E3">
      <w:pPr>
        <w:spacing w:line="360" w:lineRule="auto"/>
        <w:rPr>
          <w:rFonts w:hint="eastAsia" w:ascii="宋体" w:hAnsi="宋体" w:eastAsia="宋体" w:cs="宋体"/>
          <w:spacing w:val="20"/>
          <w:szCs w:val="21"/>
        </w:rPr>
      </w:pPr>
    </w:p>
    <w:p w14:paraId="1AF4963C">
      <w:pPr>
        <w:jc w:val="left"/>
        <w:rPr>
          <w:rFonts w:hint="eastAsia" w:ascii="宋体" w:hAnsi="宋体" w:eastAsia="宋体" w:cs="宋体"/>
          <w:szCs w:val="21"/>
        </w:rPr>
      </w:pPr>
    </w:p>
    <w:p w14:paraId="39AA0BDD">
      <w:pPr>
        <w:spacing w:line="360" w:lineRule="auto"/>
        <w:rPr>
          <w:rFonts w:hint="eastAsia" w:ascii="宋体" w:hAnsi="宋体" w:eastAsia="宋体" w:cs="宋体"/>
          <w:spacing w:val="20"/>
          <w:szCs w:val="21"/>
        </w:rPr>
      </w:pPr>
    </w:p>
    <w:p w14:paraId="0A24B0A2">
      <w:pPr>
        <w:spacing w:line="360" w:lineRule="auto"/>
        <w:rPr>
          <w:rFonts w:hint="eastAsia" w:ascii="宋体" w:hAnsi="宋体" w:eastAsia="宋体" w:cs="宋体"/>
          <w:szCs w:val="21"/>
        </w:rPr>
      </w:pPr>
      <w:bookmarkStart w:id="591" w:name="_Hlk89191140"/>
      <w:r>
        <w:rPr>
          <w:rFonts w:hint="eastAsia" w:ascii="宋体" w:hAnsi="宋体" w:eastAsia="宋体" w:cs="宋体"/>
          <w:szCs w:val="21"/>
        </w:rPr>
        <w:t>供应商名称（电子签章）</w:t>
      </w:r>
      <w:bookmarkEnd w:id="591"/>
      <w:r>
        <w:rPr>
          <w:rFonts w:hint="eastAsia" w:ascii="宋体" w:hAnsi="宋体" w:eastAsia="宋体" w:cs="宋体"/>
          <w:szCs w:val="21"/>
        </w:rPr>
        <w:t>：</w:t>
      </w:r>
      <w:r>
        <w:rPr>
          <w:rFonts w:hint="eastAsia" w:ascii="宋体" w:hAnsi="宋体" w:eastAsia="宋体" w:cs="宋体"/>
          <w:szCs w:val="21"/>
          <w:u w:val="single"/>
        </w:rPr>
        <w:t xml:space="preserve">                          </w:t>
      </w:r>
    </w:p>
    <w:p w14:paraId="7B08D8EC">
      <w:pPr>
        <w:spacing w:line="360" w:lineRule="auto"/>
        <w:rPr>
          <w:rFonts w:hint="eastAsia" w:ascii="宋体" w:hAnsi="宋体" w:eastAsia="宋体" w:cs="宋体"/>
          <w:szCs w:val="21"/>
        </w:rPr>
      </w:pPr>
      <w:r>
        <w:rPr>
          <w:rFonts w:hint="eastAsia" w:ascii="宋体" w:hAnsi="宋体" w:eastAsia="宋体" w:cs="宋体"/>
          <w:szCs w:val="21"/>
        </w:rPr>
        <w:t>日  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 xml:space="preserve">日 </w:t>
      </w:r>
    </w:p>
    <w:p w14:paraId="60E05E84">
      <w:pPr>
        <w:rPr>
          <w:rFonts w:hint="eastAsia" w:ascii="宋体" w:hAnsi="宋体" w:eastAsia="宋体" w:cs="宋体"/>
          <w:b/>
          <w:szCs w:val="21"/>
        </w:rPr>
      </w:pPr>
      <w:r>
        <w:rPr>
          <w:rFonts w:hint="eastAsia" w:ascii="宋体" w:hAnsi="宋体" w:eastAsia="宋体" w:cs="宋体"/>
          <w:szCs w:val="21"/>
        </w:rPr>
        <w:br w:type="page"/>
      </w:r>
      <w:r>
        <w:rPr>
          <w:rFonts w:hint="eastAsia" w:ascii="宋体" w:hAnsi="宋体" w:eastAsia="宋体" w:cs="宋体"/>
        </w:rPr>
        <w:t>3．响应报价表格式：</w:t>
      </w:r>
    </w:p>
    <w:p w14:paraId="2B0F385C">
      <w:pPr>
        <w:jc w:val="center"/>
        <w:rPr>
          <w:rFonts w:hint="eastAsia" w:ascii="宋体" w:hAnsi="宋体" w:eastAsia="宋体" w:cs="宋体"/>
          <w:spacing w:val="20"/>
          <w:szCs w:val="21"/>
          <w:u w:val="single"/>
        </w:rPr>
      </w:pPr>
      <w:r>
        <w:rPr>
          <w:rFonts w:hint="eastAsia" w:ascii="宋体" w:hAnsi="宋体" w:eastAsia="宋体" w:cs="宋体"/>
          <w:b/>
          <w:szCs w:val="21"/>
        </w:rPr>
        <w:t>磋商报价表</w:t>
      </w:r>
    </w:p>
    <w:p w14:paraId="4FE72BBE">
      <w:pPr>
        <w:rPr>
          <w:rFonts w:hint="eastAsia" w:ascii="宋体" w:hAnsi="宋体" w:eastAsia="宋体" w:cs="宋体"/>
          <w:szCs w:val="21"/>
        </w:rPr>
      </w:pPr>
    </w:p>
    <w:p w14:paraId="7FC97116">
      <w:pPr>
        <w:ind w:left="-178" w:leftChars="-85" w:right="-512" w:rightChars="-244" w:firstLine="840" w:firstLineChars="400"/>
        <w:jc w:val="left"/>
        <w:rPr>
          <w:rFonts w:hint="eastAsia" w:ascii="宋体" w:hAnsi="宋体" w:eastAsia="宋体" w:cs="宋体"/>
        </w:rPr>
      </w:pPr>
      <w:r>
        <w:rPr>
          <w:rFonts w:hint="eastAsia" w:ascii="宋体" w:hAnsi="宋体" w:eastAsia="宋体" w:cs="宋体"/>
        </w:rPr>
        <w:t xml:space="preserve">                                             </w:t>
      </w:r>
      <w:r>
        <w:rPr>
          <w:rFonts w:hint="eastAsia" w:ascii="宋体" w:hAnsi="宋体" w:cs="宋体"/>
          <w:lang w:val="en-US" w:eastAsia="zh-CN"/>
        </w:rPr>
        <w:t xml:space="preserve">     </w:t>
      </w:r>
      <w:r>
        <w:rPr>
          <w:rFonts w:hint="eastAsia" w:ascii="宋体" w:hAnsi="宋体" w:eastAsia="宋体" w:cs="宋体"/>
        </w:rPr>
        <w:t xml:space="preserve"> 币种：人民币</w:t>
      </w:r>
    </w:p>
    <w:tbl>
      <w:tblPr>
        <w:tblStyle w:val="15"/>
        <w:tblW w:w="9148"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7"/>
        <w:gridCol w:w="2550"/>
        <w:gridCol w:w="2322"/>
        <w:gridCol w:w="2316"/>
        <w:gridCol w:w="1193"/>
      </w:tblGrid>
      <w:tr w14:paraId="1D2C0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jc w:val="right"/>
        </w:trPr>
        <w:tc>
          <w:tcPr>
            <w:tcW w:w="767" w:type="dxa"/>
            <w:tcBorders>
              <w:top w:val="single" w:color="auto" w:sz="4" w:space="0"/>
              <w:left w:val="single" w:color="auto" w:sz="4" w:space="0"/>
              <w:bottom w:val="single" w:color="auto" w:sz="4" w:space="0"/>
              <w:right w:val="single" w:color="auto" w:sz="4" w:space="0"/>
            </w:tcBorders>
            <w:noWrap/>
            <w:vAlign w:val="center"/>
          </w:tcPr>
          <w:p w14:paraId="6A9CF2D4">
            <w:pPr>
              <w:spacing w:line="360" w:lineRule="auto"/>
              <w:contextualSpacing/>
              <w:jc w:val="center"/>
              <w:rPr>
                <w:rFonts w:ascii="宋体" w:hAnsi="宋体" w:cs="仿宋_GB2312"/>
                <w:color w:val="auto"/>
                <w:sz w:val="21"/>
                <w:szCs w:val="21"/>
                <w:highlight w:val="none"/>
              </w:rPr>
            </w:pPr>
            <w:r>
              <w:rPr>
                <w:rFonts w:ascii="宋体" w:hAnsi="宋体" w:cs="仿宋_GB2312"/>
                <w:color w:val="auto"/>
                <w:sz w:val="21"/>
                <w:szCs w:val="21"/>
                <w:highlight w:val="none"/>
              </w:rPr>
              <w:t>序号</w:t>
            </w:r>
          </w:p>
        </w:tc>
        <w:tc>
          <w:tcPr>
            <w:tcW w:w="2550" w:type="dxa"/>
            <w:tcBorders>
              <w:top w:val="single" w:color="auto" w:sz="4" w:space="0"/>
              <w:left w:val="single" w:color="auto" w:sz="4" w:space="0"/>
              <w:bottom w:val="single" w:color="auto" w:sz="4" w:space="0"/>
              <w:right w:val="single" w:color="auto" w:sz="4" w:space="0"/>
            </w:tcBorders>
            <w:noWrap/>
            <w:vAlign w:val="center"/>
          </w:tcPr>
          <w:p w14:paraId="46491F20">
            <w:pPr>
              <w:spacing w:line="360" w:lineRule="auto"/>
              <w:contextualSpacing/>
              <w:jc w:val="center"/>
              <w:rPr>
                <w:rFonts w:ascii="宋体" w:hAnsi="宋体" w:cs="仿宋_GB2312"/>
                <w:color w:val="auto"/>
                <w:sz w:val="21"/>
                <w:szCs w:val="21"/>
                <w:highlight w:val="none"/>
              </w:rPr>
            </w:pPr>
            <w:r>
              <w:rPr>
                <w:rFonts w:hint="eastAsia" w:ascii="宋体" w:hAnsi="宋体" w:cs="仿宋_GB2312"/>
                <w:color w:val="auto"/>
                <w:sz w:val="21"/>
                <w:szCs w:val="21"/>
                <w:highlight w:val="none"/>
              </w:rPr>
              <w:t>标的</w:t>
            </w:r>
            <w:r>
              <w:rPr>
                <w:rFonts w:ascii="宋体" w:hAnsi="宋体" w:cs="仿宋_GB2312"/>
                <w:color w:val="auto"/>
                <w:sz w:val="21"/>
                <w:szCs w:val="21"/>
                <w:highlight w:val="none"/>
              </w:rPr>
              <w:t>名称</w:t>
            </w:r>
          </w:p>
        </w:tc>
        <w:tc>
          <w:tcPr>
            <w:tcW w:w="2322" w:type="dxa"/>
            <w:tcBorders>
              <w:top w:val="single" w:color="auto" w:sz="4" w:space="0"/>
              <w:left w:val="single" w:color="auto" w:sz="4" w:space="0"/>
              <w:bottom w:val="single" w:color="auto" w:sz="4" w:space="0"/>
              <w:right w:val="single" w:color="auto" w:sz="4" w:space="0"/>
            </w:tcBorders>
            <w:noWrap/>
            <w:vAlign w:val="center"/>
          </w:tcPr>
          <w:p w14:paraId="42CCE323">
            <w:pPr>
              <w:spacing w:line="360" w:lineRule="auto"/>
              <w:contextualSpacing/>
              <w:jc w:val="center"/>
              <w:rPr>
                <w:rFonts w:ascii="宋体" w:hAnsi="宋体" w:cs="仿宋_GB2312"/>
                <w:color w:val="auto"/>
                <w:sz w:val="21"/>
                <w:szCs w:val="21"/>
                <w:highlight w:val="none"/>
              </w:rPr>
            </w:pPr>
            <w:r>
              <w:rPr>
                <w:rFonts w:hint="eastAsia" w:ascii="宋体" w:hAnsi="宋体" w:cs="仿宋_GB2312"/>
                <w:color w:val="auto"/>
                <w:sz w:val="21"/>
                <w:szCs w:val="21"/>
                <w:highlight w:val="none"/>
              </w:rPr>
              <w:t>数量及单位</w:t>
            </w:r>
          </w:p>
        </w:tc>
        <w:tc>
          <w:tcPr>
            <w:tcW w:w="2316" w:type="dxa"/>
            <w:tcBorders>
              <w:top w:val="single" w:color="auto" w:sz="4" w:space="0"/>
              <w:left w:val="single" w:color="auto" w:sz="4" w:space="0"/>
              <w:bottom w:val="single" w:color="auto" w:sz="4" w:space="0"/>
              <w:right w:val="single" w:color="auto" w:sz="4" w:space="0"/>
            </w:tcBorders>
            <w:noWrap/>
            <w:vAlign w:val="center"/>
          </w:tcPr>
          <w:p w14:paraId="250AAD45">
            <w:pPr>
              <w:spacing w:line="360" w:lineRule="auto"/>
              <w:contextualSpacing/>
              <w:jc w:val="center"/>
              <w:rPr>
                <w:rFonts w:ascii="宋体" w:hAnsi="宋体" w:cs="仿宋_GB2312"/>
                <w:color w:val="auto"/>
                <w:sz w:val="21"/>
                <w:szCs w:val="21"/>
                <w:highlight w:val="none"/>
              </w:rPr>
            </w:pPr>
            <w:r>
              <w:rPr>
                <w:rFonts w:hint="eastAsia" w:ascii="宋体" w:hAnsi="宋体" w:cs="仿宋_GB2312"/>
                <w:color w:val="auto"/>
                <w:sz w:val="21"/>
                <w:szCs w:val="21"/>
                <w:highlight w:val="none"/>
                <w:lang w:val="en-US" w:eastAsia="zh-CN"/>
              </w:rPr>
              <w:t>响应</w:t>
            </w:r>
            <w:r>
              <w:rPr>
                <w:rFonts w:hint="eastAsia" w:ascii="宋体" w:hAnsi="宋体" w:cs="仿宋_GB2312"/>
                <w:color w:val="auto"/>
                <w:sz w:val="21"/>
                <w:szCs w:val="21"/>
                <w:highlight w:val="none"/>
              </w:rPr>
              <w:t>总价（元）</w:t>
            </w:r>
          </w:p>
        </w:tc>
        <w:tc>
          <w:tcPr>
            <w:tcW w:w="1193" w:type="dxa"/>
            <w:tcBorders>
              <w:top w:val="single" w:color="auto" w:sz="4" w:space="0"/>
              <w:left w:val="single" w:color="auto" w:sz="4" w:space="0"/>
              <w:bottom w:val="single" w:color="auto" w:sz="4" w:space="0"/>
              <w:right w:val="single" w:color="auto" w:sz="4" w:space="0"/>
            </w:tcBorders>
            <w:noWrap/>
            <w:vAlign w:val="center"/>
          </w:tcPr>
          <w:p w14:paraId="007BC59A">
            <w:pPr>
              <w:spacing w:line="360" w:lineRule="auto"/>
              <w:contextualSpacing/>
              <w:jc w:val="center"/>
              <w:rPr>
                <w:rFonts w:ascii="宋体" w:hAnsi="宋体" w:cs="仿宋_GB2312"/>
                <w:color w:val="auto"/>
                <w:sz w:val="21"/>
                <w:szCs w:val="21"/>
                <w:highlight w:val="none"/>
              </w:rPr>
            </w:pPr>
            <w:r>
              <w:rPr>
                <w:rFonts w:ascii="宋体" w:hAnsi="宋体" w:cs="仿宋_GB2312"/>
                <w:color w:val="auto"/>
                <w:sz w:val="21"/>
                <w:szCs w:val="21"/>
                <w:highlight w:val="none"/>
              </w:rPr>
              <w:t>备注</w:t>
            </w:r>
          </w:p>
        </w:tc>
      </w:tr>
      <w:tr w14:paraId="6BD47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right"/>
        </w:trPr>
        <w:tc>
          <w:tcPr>
            <w:tcW w:w="767" w:type="dxa"/>
            <w:tcBorders>
              <w:top w:val="single" w:color="auto" w:sz="4" w:space="0"/>
              <w:left w:val="single" w:color="auto" w:sz="4" w:space="0"/>
              <w:bottom w:val="single" w:color="auto" w:sz="4" w:space="0"/>
              <w:right w:val="single" w:color="auto" w:sz="4" w:space="0"/>
            </w:tcBorders>
            <w:noWrap/>
            <w:vAlign w:val="center"/>
          </w:tcPr>
          <w:p w14:paraId="5EF0FCED">
            <w:pPr>
              <w:spacing w:line="360" w:lineRule="auto"/>
              <w:contextualSpacing/>
              <w:jc w:val="center"/>
              <w:rPr>
                <w:rFonts w:ascii="宋体" w:hAnsi="宋体" w:cs="仿宋_GB2312"/>
                <w:color w:val="auto"/>
                <w:sz w:val="21"/>
                <w:szCs w:val="21"/>
                <w:highlight w:val="none"/>
              </w:rPr>
            </w:pPr>
            <w:r>
              <w:rPr>
                <w:rFonts w:ascii="宋体" w:hAnsi="宋体" w:cs="仿宋_GB2312"/>
                <w:color w:val="auto"/>
                <w:sz w:val="21"/>
                <w:szCs w:val="21"/>
                <w:highlight w:val="none"/>
              </w:rPr>
              <w:t>1</w:t>
            </w:r>
          </w:p>
        </w:tc>
        <w:tc>
          <w:tcPr>
            <w:tcW w:w="2550" w:type="dxa"/>
            <w:tcBorders>
              <w:top w:val="single" w:color="auto" w:sz="4" w:space="0"/>
              <w:left w:val="single" w:color="auto" w:sz="4" w:space="0"/>
              <w:bottom w:val="single" w:color="auto" w:sz="4" w:space="0"/>
              <w:right w:val="single" w:color="auto" w:sz="4" w:space="0"/>
            </w:tcBorders>
            <w:noWrap/>
            <w:vAlign w:val="center"/>
          </w:tcPr>
          <w:p w14:paraId="0D97EA89">
            <w:pPr>
              <w:spacing w:line="360" w:lineRule="auto"/>
              <w:contextualSpacing/>
              <w:jc w:val="center"/>
              <w:rPr>
                <w:rFonts w:hint="eastAsia" w:ascii="宋体" w:hAnsi="宋体" w:cs="仿宋_GB2312"/>
                <w:color w:val="auto"/>
                <w:sz w:val="21"/>
                <w:szCs w:val="21"/>
                <w:highlight w:val="none"/>
              </w:rPr>
            </w:pPr>
          </w:p>
        </w:tc>
        <w:tc>
          <w:tcPr>
            <w:tcW w:w="2322" w:type="dxa"/>
            <w:tcBorders>
              <w:top w:val="single" w:color="auto" w:sz="4" w:space="0"/>
              <w:left w:val="single" w:color="auto" w:sz="4" w:space="0"/>
              <w:bottom w:val="single" w:color="auto" w:sz="4" w:space="0"/>
              <w:right w:val="single" w:color="auto" w:sz="4" w:space="0"/>
            </w:tcBorders>
            <w:noWrap/>
            <w:vAlign w:val="center"/>
          </w:tcPr>
          <w:p w14:paraId="2807F1A1">
            <w:pPr>
              <w:spacing w:line="360" w:lineRule="auto"/>
              <w:contextualSpacing/>
              <w:jc w:val="center"/>
              <w:rPr>
                <w:rFonts w:ascii="宋体" w:hAnsi="宋体" w:cs="仿宋_GB2312"/>
                <w:color w:val="auto"/>
                <w:sz w:val="21"/>
                <w:szCs w:val="21"/>
                <w:highlight w:val="none"/>
              </w:rPr>
            </w:pPr>
            <w:r>
              <w:rPr>
                <w:rFonts w:hint="eastAsia" w:ascii="宋体" w:hAnsi="宋体" w:cs="仿宋_GB2312"/>
                <w:color w:val="auto"/>
                <w:sz w:val="21"/>
                <w:szCs w:val="21"/>
                <w:highlight w:val="none"/>
              </w:rPr>
              <w:t>1项</w:t>
            </w:r>
          </w:p>
        </w:tc>
        <w:tc>
          <w:tcPr>
            <w:tcW w:w="2316" w:type="dxa"/>
            <w:tcBorders>
              <w:top w:val="single" w:color="auto" w:sz="4" w:space="0"/>
              <w:left w:val="single" w:color="auto" w:sz="4" w:space="0"/>
              <w:bottom w:val="single" w:color="auto" w:sz="4" w:space="0"/>
              <w:right w:val="single" w:color="auto" w:sz="4" w:space="0"/>
            </w:tcBorders>
            <w:noWrap/>
            <w:vAlign w:val="top"/>
          </w:tcPr>
          <w:p w14:paraId="2705C9CC">
            <w:pPr>
              <w:spacing w:line="360" w:lineRule="auto"/>
              <w:contextualSpacing/>
              <w:rPr>
                <w:rFonts w:ascii="宋体" w:hAnsi="宋体" w:cs="仿宋_GB2312"/>
                <w:color w:val="auto"/>
                <w:sz w:val="21"/>
                <w:szCs w:val="21"/>
                <w:highlight w:val="none"/>
              </w:rPr>
            </w:pPr>
          </w:p>
        </w:tc>
        <w:tc>
          <w:tcPr>
            <w:tcW w:w="1193" w:type="dxa"/>
            <w:tcBorders>
              <w:top w:val="single" w:color="auto" w:sz="4" w:space="0"/>
              <w:left w:val="single" w:color="auto" w:sz="4" w:space="0"/>
              <w:bottom w:val="single" w:color="auto" w:sz="4" w:space="0"/>
              <w:right w:val="single" w:color="auto" w:sz="4" w:space="0"/>
            </w:tcBorders>
            <w:noWrap/>
            <w:vAlign w:val="center"/>
          </w:tcPr>
          <w:p w14:paraId="64D7C522">
            <w:pPr>
              <w:spacing w:line="360" w:lineRule="auto"/>
              <w:contextualSpacing/>
              <w:rPr>
                <w:rFonts w:ascii="宋体" w:hAnsi="宋体" w:cs="仿宋_GB2312"/>
                <w:color w:val="auto"/>
                <w:sz w:val="21"/>
                <w:szCs w:val="21"/>
                <w:highlight w:val="none"/>
              </w:rPr>
            </w:pPr>
          </w:p>
        </w:tc>
      </w:tr>
      <w:tr w14:paraId="00EF0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right"/>
        </w:trPr>
        <w:tc>
          <w:tcPr>
            <w:tcW w:w="9148" w:type="dxa"/>
            <w:gridSpan w:val="5"/>
            <w:tcBorders>
              <w:top w:val="single" w:color="auto" w:sz="4" w:space="0"/>
              <w:left w:val="single" w:color="auto" w:sz="4" w:space="0"/>
              <w:bottom w:val="single" w:color="auto" w:sz="4" w:space="0"/>
              <w:right w:val="single" w:color="auto" w:sz="4" w:space="0"/>
            </w:tcBorders>
            <w:noWrap/>
            <w:vAlign w:val="center"/>
          </w:tcPr>
          <w:p w14:paraId="1CBDB6F7">
            <w:pPr>
              <w:wordWrap w:val="0"/>
              <w:spacing w:line="360" w:lineRule="auto"/>
              <w:contextualSpacing/>
              <w:rPr>
                <w:rFonts w:ascii="宋体" w:hAnsi="宋体" w:cs="仿宋_GB2312"/>
                <w:color w:val="auto"/>
                <w:sz w:val="21"/>
                <w:szCs w:val="21"/>
                <w:highlight w:val="none"/>
              </w:rPr>
            </w:pPr>
            <w:r>
              <w:rPr>
                <w:rFonts w:hint="eastAsia" w:ascii="宋体" w:hAnsi="宋体" w:cs="仿宋_GB2312"/>
                <w:color w:val="auto"/>
                <w:sz w:val="21"/>
                <w:szCs w:val="21"/>
                <w:highlight w:val="none"/>
                <w:lang w:val="en-US" w:eastAsia="zh-CN"/>
              </w:rPr>
              <w:t>响应总价</w:t>
            </w:r>
            <w:r>
              <w:rPr>
                <w:rFonts w:hint="eastAsia" w:ascii="宋体" w:hAnsi="宋体" w:cs="仿宋_GB2312"/>
                <w:color w:val="auto"/>
                <w:sz w:val="21"/>
                <w:szCs w:val="21"/>
                <w:highlight w:val="none"/>
              </w:rPr>
              <w:t>（人民币）</w:t>
            </w:r>
            <w:r>
              <w:rPr>
                <w:rFonts w:hint="eastAsia" w:ascii="宋体" w:hAnsi="宋体" w:cs="仿宋_GB2312"/>
                <w:color w:val="auto"/>
                <w:sz w:val="21"/>
                <w:szCs w:val="21"/>
                <w:highlight w:val="none"/>
                <w:u w:val="single"/>
              </w:rPr>
              <w:t xml:space="preserve">大写：                         </w:t>
            </w:r>
            <w:r>
              <w:rPr>
                <w:rFonts w:hint="eastAsia" w:ascii="宋体" w:hAnsi="宋体" w:cs="仿宋_GB2312"/>
                <w:color w:val="auto"/>
                <w:sz w:val="21"/>
                <w:szCs w:val="21"/>
                <w:highlight w:val="none"/>
              </w:rPr>
              <w:t xml:space="preserve"> （</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 xml:space="preserve">           </w:t>
            </w:r>
            <w:r>
              <w:rPr>
                <w:rFonts w:hint="eastAsia" w:ascii="宋体" w:hAnsi="宋体" w:cs="仿宋_GB2312"/>
                <w:color w:val="auto"/>
                <w:sz w:val="21"/>
                <w:szCs w:val="21"/>
                <w:highlight w:val="none"/>
              </w:rPr>
              <w:t>）</w:t>
            </w:r>
          </w:p>
        </w:tc>
      </w:tr>
    </w:tbl>
    <w:p w14:paraId="6EF032E9">
      <w:pPr>
        <w:ind w:left="-178" w:leftChars="-85" w:firstLine="177" w:firstLineChars="74"/>
        <w:rPr>
          <w:rFonts w:hint="eastAsia" w:ascii="宋体" w:hAnsi="宋体" w:eastAsia="宋体" w:cs="宋体"/>
          <w:sz w:val="24"/>
        </w:rPr>
      </w:pPr>
    </w:p>
    <w:p w14:paraId="461B82A0">
      <w:pPr>
        <w:pStyle w:val="8"/>
        <w:rPr>
          <w:rFonts w:hint="eastAsia" w:ascii="宋体" w:hAnsi="宋体" w:eastAsia="宋体" w:cs="宋体"/>
        </w:rPr>
      </w:pPr>
      <w:bookmarkStart w:id="592" w:name="_Hlk89191148"/>
      <w:r>
        <w:rPr>
          <w:rFonts w:hint="eastAsia" w:ascii="宋体" w:hAnsi="宋体" w:eastAsia="宋体" w:cs="宋体"/>
          <w:szCs w:val="21"/>
        </w:rPr>
        <w:t>注：本表如</w:t>
      </w:r>
      <w:r>
        <w:rPr>
          <w:rFonts w:hint="eastAsia" w:ascii="宋体" w:hAnsi="宋体" w:eastAsia="宋体" w:cs="宋体"/>
        </w:rPr>
        <w:t>与</w:t>
      </w:r>
      <w:r>
        <w:rPr>
          <w:rFonts w:hint="eastAsia" w:ascii="宋体" w:hAnsi="宋体" w:eastAsia="宋体" w:cs="宋体"/>
          <w:szCs w:val="21"/>
        </w:rPr>
        <w:t>广西政府采购云平台</w:t>
      </w:r>
      <w:r>
        <w:rPr>
          <w:rFonts w:hint="eastAsia" w:ascii="宋体" w:hAnsi="宋体" w:eastAsia="宋体" w:cs="宋体"/>
        </w:rPr>
        <w:t>不一致的，以</w:t>
      </w:r>
      <w:r>
        <w:rPr>
          <w:rFonts w:hint="eastAsia" w:ascii="宋体" w:hAnsi="宋体" w:eastAsia="宋体" w:cs="宋体"/>
          <w:szCs w:val="21"/>
        </w:rPr>
        <w:t>广西政府采购云平台</w:t>
      </w:r>
      <w:r>
        <w:rPr>
          <w:rFonts w:hint="eastAsia" w:ascii="宋体" w:hAnsi="宋体" w:eastAsia="宋体" w:cs="宋体"/>
        </w:rPr>
        <w:t>为准。</w:t>
      </w:r>
    </w:p>
    <w:bookmarkEnd w:id="592"/>
    <w:p w14:paraId="731705D3">
      <w:pPr>
        <w:jc w:val="left"/>
        <w:rPr>
          <w:rFonts w:hint="eastAsia" w:ascii="宋体" w:hAnsi="宋体" w:eastAsia="宋体" w:cs="宋体"/>
          <w:szCs w:val="21"/>
        </w:rPr>
      </w:pPr>
    </w:p>
    <w:p w14:paraId="22C6CCDB">
      <w:pPr>
        <w:jc w:val="left"/>
        <w:rPr>
          <w:rFonts w:hint="eastAsia" w:ascii="宋体" w:hAnsi="宋体" w:eastAsia="宋体" w:cs="宋体"/>
          <w:szCs w:val="21"/>
        </w:rPr>
      </w:pPr>
    </w:p>
    <w:p w14:paraId="252CEBC3">
      <w:pPr>
        <w:spacing w:line="360" w:lineRule="auto"/>
        <w:rPr>
          <w:rFonts w:hint="eastAsia" w:ascii="宋体" w:hAnsi="宋体" w:eastAsia="宋体" w:cs="宋体"/>
          <w:szCs w:val="21"/>
        </w:rPr>
      </w:pPr>
      <w:bookmarkStart w:id="593" w:name="_Hlk89191156"/>
      <w:r>
        <w:rPr>
          <w:rFonts w:hint="eastAsia" w:ascii="宋体" w:hAnsi="宋体" w:eastAsia="宋体" w:cs="宋体"/>
          <w:szCs w:val="21"/>
        </w:rPr>
        <w:t>供应商名称（电子签章）</w:t>
      </w:r>
      <w:bookmarkEnd w:id="593"/>
      <w:r>
        <w:rPr>
          <w:rFonts w:hint="eastAsia" w:ascii="宋体" w:hAnsi="宋体" w:eastAsia="宋体" w:cs="宋体"/>
          <w:szCs w:val="21"/>
        </w:rPr>
        <w:t>：</w:t>
      </w:r>
      <w:r>
        <w:rPr>
          <w:rFonts w:hint="eastAsia" w:ascii="宋体" w:hAnsi="宋体" w:eastAsia="宋体" w:cs="宋体"/>
          <w:szCs w:val="21"/>
          <w:u w:val="single"/>
        </w:rPr>
        <w:t xml:space="preserve">                          </w:t>
      </w:r>
    </w:p>
    <w:p w14:paraId="14185C2D">
      <w:pPr>
        <w:spacing w:line="360" w:lineRule="auto"/>
        <w:rPr>
          <w:rFonts w:hint="eastAsia" w:ascii="宋体" w:hAnsi="宋体" w:eastAsia="宋体" w:cs="宋体"/>
          <w:szCs w:val="21"/>
        </w:rPr>
      </w:pPr>
      <w:r>
        <w:rPr>
          <w:rFonts w:hint="eastAsia" w:ascii="宋体" w:hAnsi="宋体" w:eastAsia="宋体" w:cs="宋体"/>
          <w:szCs w:val="21"/>
        </w:rPr>
        <w:t>日  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 xml:space="preserve">日 </w:t>
      </w:r>
    </w:p>
    <w:p w14:paraId="269A03F3">
      <w:pPr>
        <w:jc w:val="left"/>
        <w:rPr>
          <w:rFonts w:hint="eastAsia" w:ascii="宋体" w:hAnsi="宋体" w:eastAsia="宋体" w:cs="宋体"/>
          <w:szCs w:val="21"/>
        </w:rPr>
      </w:pPr>
      <w:r>
        <w:rPr>
          <w:rFonts w:hint="eastAsia" w:ascii="宋体" w:hAnsi="宋体" w:eastAsia="宋体" w:cs="宋体"/>
          <w:szCs w:val="21"/>
        </w:rPr>
        <w:br w:type="page"/>
      </w:r>
      <w:r>
        <w:rPr>
          <w:rFonts w:hint="eastAsia" w:ascii="宋体" w:hAnsi="宋体" w:eastAsia="宋体" w:cs="宋体"/>
          <w:szCs w:val="21"/>
        </w:rPr>
        <w:t>4．已标价工程量清单：</w:t>
      </w:r>
    </w:p>
    <w:p w14:paraId="3085BDA3">
      <w:pPr>
        <w:spacing w:line="360" w:lineRule="exact"/>
        <w:ind w:firstLine="420" w:firstLineChars="200"/>
        <w:rPr>
          <w:rFonts w:hint="eastAsia" w:ascii="宋体" w:hAnsi="宋体" w:eastAsia="宋体" w:cs="宋体"/>
          <w:szCs w:val="21"/>
        </w:rPr>
      </w:pPr>
      <w:r>
        <w:rPr>
          <w:rFonts w:hint="eastAsia" w:ascii="宋体" w:hAnsi="宋体" w:eastAsia="宋体" w:cs="宋体"/>
          <w:szCs w:val="21"/>
        </w:rPr>
        <w:t>（1）已标价工程量清单应按</w:t>
      </w:r>
      <w:bookmarkStart w:id="594" w:name="_Hlk89191177"/>
      <w:r>
        <w:rPr>
          <w:rFonts w:hint="eastAsia" w:ascii="宋体" w:hAnsi="宋体" w:eastAsia="宋体" w:cs="宋体"/>
          <w:szCs w:val="21"/>
        </w:rPr>
        <w:t>第</w:t>
      </w:r>
      <w:r>
        <w:rPr>
          <w:rFonts w:hint="eastAsia" w:ascii="宋体" w:hAnsi="宋体" w:cs="宋体"/>
          <w:szCs w:val="21"/>
          <w:lang w:val="en-US" w:eastAsia="zh-CN"/>
        </w:rPr>
        <w:t>三</w:t>
      </w:r>
      <w:r>
        <w:rPr>
          <w:rFonts w:hint="eastAsia" w:ascii="宋体" w:hAnsi="宋体" w:eastAsia="宋体" w:cs="宋体"/>
          <w:szCs w:val="21"/>
        </w:rPr>
        <w:t>章</w:t>
      </w:r>
      <w:bookmarkEnd w:id="594"/>
      <w:r>
        <w:rPr>
          <w:rFonts w:hint="eastAsia" w:ascii="宋体" w:hAnsi="宋体" w:eastAsia="宋体" w:cs="宋体"/>
          <w:szCs w:val="21"/>
        </w:rPr>
        <w:t>“工程量清单”中的相关表格及报价说明填写。构成合同文件的已标价工程量清单包括第</w:t>
      </w:r>
      <w:r>
        <w:rPr>
          <w:rFonts w:hint="eastAsia" w:ascii="宋体" w:hAnsi="宋体" w:cs="宋体"/>
          <w:szCs w:val="21"/>
          <w:lang w:val="en-US" w:eastAsia="zh-CN"/>
        </w:rPr>
        <w:t>三</w:t>
      </w:r>
      <w:r>
        <w:rPr>
          <w:rFonts w:hint="eastAsia" w:ascii="宋体" w:hAnsi="宋体" w:eastAsia="宋体" w:cs="宋体"/>
          <w:szCs w:val="21"/>
        </w:rPr>
        <w:t>章“工程量清单”有关工程量清单、报价以及其他说明的内容。</w:t>
      </w:r>
    </w:p>
    <w:p w14:paraId="0BD6AF65">
      <w:pPr>
        <w:spacing w:line="360" w:lineRule="exact"/>
        <w:ind w:firstLine="420" w:firstLineChars="200"/>
        <w:rPr>
          <w:rFonts w:hint="eastAsia" w:ascii="宋体" w:hAnsi="宋体" w:eastAsia="宋体" w:cs="宋体"/>
          <w:szCs w:val="21"/>
        </w:rPr>
      </w:pPr>
      <w:r>
        <w:rPr>
          <w:rFonts w:hint="eastAsia" w:ascii="宋体" w:hAnsi="宋体" w:eastAsia="宋体" w:cs="宋体"/>
          <w:szCs w:val="21"/>
        </w:rPr>
        <w:t>（2）</w:t>
      </w:r>
      <w:r>
        <w:rPr>
          <w:rFonts w:hint="eastAsia" w:ascii="宋体" w:hAnsi="宋体" w:eastAsia="宋体" w:cs="宋体"/>
          <w:color w:val="000000"/>
        </w:rPr>
        <w:t>一般计税法建设工程已标价工程量清单表格按</w:t>
      </w:r>
      <w:r>
        <w:rPr>
          <w:rFonts w:hint="eastAsia" w:ascii="宋体" w:hAnsi="宋体" w:eastAsia="宋体" w:cs="宋体"/>
          <w:color w:val="000000"/>
          <w:kern w:val="0"/>
        </w:rPr>
        <w:t>《关于建筑业实施营业税改征增值税后广西壮族自治区建设工程计价依据调整的通知》（桂建标〔2016〕17号）</w:t>
      </w:r>
      <w:r>
        <w:rPr>
          <w:rFonts w:hint="eastAsia" w:ascii="宋体" w:hAnsi="宋体" w:eastAsia="宋体" w:cs="宋体"/>
          <w:color w:val="000000"/>
        </w:rPr>
        <w:t>附件“增值税一般计税方法工程计价表”要求提供，简易计税法表格按《&lt;建设工程工程量清单计价规范&gt;（GB5050-2013）广西壮族自治区实施细则》要求的表格提供，但规费和税费按照</w:t>
      </w:r>
      <w:r>
        <w:rPr>
          <w:rFonts w:hint="eastAsia" w:ascii="宋体" w:hAnsi="宋体" w:eastAsia="宋体" w:cs="宋体"/>
          <w:color w:val="000000"/>
          <w:kern w:val="0"/>
        </w:rPr>
        <w:t>《关于建筑业实施营业税改征增值税后广西壮族自治区建设工程计价依据调整的通知》（桂建标〔2016〕17号）、《自治区住房城乡建设厅关于调整建设工程计价增值税税率的通知》（桂建标〔2018〕14号）、《自治区住房城乡建设厅关于调整建设工程计价增值税税率的通知》（桂建标〔2019〕12号）</w:t>
      </w:r>
      <w:r>
        <w:rPr>
          <w:rFonts w:hint="eastAsia" w:ascii="宋体" w:hAnsi="宋体" w:eastAsia="宋体" w:cs="宋体"/>
          <w:color w:val="000000"/>
        </w:rPr>
        <w:t>调整</w:t>
      </w:r>
      <w:r>
        <w:rPr>
          <w:rFonts w:hint="eastAsia" w:ascii="宋体" w:hAnsi="宋体" w:eastAsia="宋体" w:cs="宋体"/>
          <w:szCs w:val="21"/>
        </w:rPr>
        <w:t>。</w:t>
      </w:r>
    </w:p>
    <w:p w14:paraId="5AED8ECA">
      <w:pPr>
        <w:spacing w:line="360" w:lineRule="exact"/>
        <w:ind w:firstLine="420" w:firstLineChars="200"/>
        <w:rPr>
          <w:rFonts w:hint="eastAsia" w:ascii="宋体" w:hAnsi="宋体" w:eastAsia="宋体" w:cs="宋体"/>
          <w:szCs w:val="21"/>
        </w:rPr>
      </w:pPr>
    </w:p>
    <w:p w14:paraId="23F2951D">
      <w:pPr>
        <w:snapToGrid w:val="0"/>
        <w:spacing w:before="50" w:after="120" w:afterLines="50"/>
        <w:jc w:val="left"/>
        <w:rPr>
          <w:rFonts w:hint="eastAsia" w:ascii="宋体" w:hAnsi="宋体" w:eastAsia="宋体" w:cs="宋体"/>
          <w:szCs w:val="21"/>
        </w:rPr>
      </w:pPr>
      <w:bookmarkStart w:id="595" w:name="_Hlk60822154"/>
    </w:p>
    <w:bookmarkEnd w:id="595"/>
    <w:p w14:paraId="70AF3776">
      <w:pPr>
        <w:snapToGrid w:val="0"/>
        <w:spacing w:before="50" w:after="120" w:afterLines="50"/>
        <w:jc w:val="left"/>
        <w:rPr>
          <w:rFonts w:hint="eastAsia" w:ascii="宋体" w:hAnsi="宋体" w:eastAsia="宋体" w:cs="宋体"/>
          <w:szCs w:val="21"/>
        </w:rPr>
      </w:pPr>
      <w:r>
        <w:rPr>
          <w:rFonts w:hint="eastAsia" w:ascii="宋体" w:hAnsi="宋体" w:eastAsia="宋体" w:cs="宋体"/>
          <w:szCs w:val="21"/>
        </w:rPr>
        <w:br w:type="page"/>
      </w:r>
      <w:bookmarkStart w:id="596" w:name="_Hlk89191232"/>
      <w:r>
        <w:rPr>
          <w:rFonts w:hint="eastAsia" w:ascii="宋体" w:hAnsi="宋体" w:eastAsia="宋体" w:cs="宋体"/>
          <w:szCs w:val="21"/>
          <w:lang w:val="en-US" w:eastAsia="zh-CN"/>
        </w:rPr>
        <w:t>5.</w:t>
      </w:r>
      <w:r>
        <w:rPr>
          <w:rFonts w:hint="eastAsia" w:ascii="宋体" w:hAnsi="宋体" w:eastAsia="宋体" w:cs="宋体"/>
          <w:szCs w:val="21"/>
        </w:rPr>
        <w:t>过低报价合理性的说明。（如有）</w:t>
      </w:r>
    </w:p>
    <w:p w14:paraId="34BFCF5E">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评审委员会认为的报价</w:t>
      </w:r>
      <w:r>
        <w:rPr>
          <w:rFonts w:hint="eastAsia" w:ascii="宋体" w:hAnsi="宋体" w:eastAsia="宋体" w:cs="宋体"/>
          <w:szCs w:val="21"/>
          <w:lang w:val="en-US" w:eastAsia="zh-CN"/>
        </w:rPr>
        <w:t>存在异常低价问题的情形</w:t>
      </w:r>
      <w:r>
        <w:rPr>
          <w:rFonts w:hint="eastAsia" w:ascii="宋体" w:hAnsi="宋体" w:eastAsia="宋体" w:cs="宋体"/>
          <w:szCs w:val="21"/>
        </w:rPr>
        <w:t>，供应商将被要求以书面方式提供</w:t>
      </w:r>
      <w:r>
        <w:rPr>
          <w:rFonts w:hint="eastAsia" w:ascii="宋体" w:hAnsi="宋体" w:eastAsia="宋体" w:cs="宋体"/>
          <w:szCs w:val="21"/>
          <w:lang w:val="en-US" w:eastAsia="zh-CN"/>
        </w:rPr>
        <w:t>项目具体成本测算等与报价合理性相关的书面说明及必要的证明材料</w:t>
      </w:r>
      <w:r>
        <w:rPr>
          <w:rFonts w:hint="eastAsia" w:ascii="宋体" w:hAnsi="宋体" w:eastAsia="宋体" w:cs="宋体"/>
          <w:szCs w:val="21"/>
        </w:rPr>
        <w:t>。为避免在评审现场因未能及时提供说明而导致被评审委员会作为无效</w:t>
      </w:r>
      <w:r>
        <w:rPr>
          <w:rFonts w:hint="eastAsia" w:ascii="宋体" w:hAnsi="宋体" w:eastAsia="宋体" w:cs="宋体"/>
          <w:szCs w:val="21"/>
          <w:lang w:eastAsia="zh-CN"/>
        </w:rPr>
        <w:t>响应</w:t>
      </w:r>
      <w:r>
        <w:rPr>
          <w:rFonts w:hint="eastAsia" w:ascii="宋体" w:hAnsi="宋体" w:eastAsia="宋体" w:cs="宋体"/>
          <w:szCs w:val="21"/>
        </w:rPr>
        <w:t>，供应商</w:t>
      </w:r>
      <w:r>
        <w:rPr>
          <w:rFonts w:hint="eastAsia" w:ascii="宋体" w:hAnsi="宋体" w:eastAsia="宋体" w:cs="宋体"/>
        </w:rPr>
        <w:t>自行决定是否</w:t>
      </w:r>
      <w:r>
        <w:rPr>
          <w:rFonts w:hint="eastAsia" w:ascii="宋体" w:hAnsi="宋体" w:eastAsia="宋体" w:cs="宋体"/>
          <w:kern w:val="1"/>
          <w:szCs w:val="21"/>
        </w:rPr>
        <w:t>直接在</w:t>
      </w:r>
      <w:r>
        <w:rPr>
          <w:rFonts w:hint="eastAsia" w:ascii="宋体" w:hAnsi="宋体" w:eastAsia="宋体" w:cs="宋体"/>
          <w:szCs w:val="21"/>
        </w:rPr>
        <w:t>此处进行陈述。格式自拟。（</w:t>
      </w:r>
      <w:r>
        <w:rPr>
          <w:rFonts w:hint="eastAsia" w:ascii="宋体" w:hAnsi="宋体" w:eastAsia="宋体" w:cs="宋体"/>
          <w:kern w:val="1"/>
          <w:szCs w:val="21"/>
        </w:rPr>
        <w:t>具体要求详见第</w:t>
      </w:r>
      <w:r>
        <w:rPr>
          <w:rFonts w:hint="eastAsia" w:ascii="宋体" w:hAnsi="宋体" w:cs="宋体"/>
          <w:kern w:val="1"/>
          <w:szCs w:val="21"/>
          <w:lang w:val="en-US" w:eastAsia="zh-CN"/>
        </w:rPr>
        <w:t>五</w:t>
      </w:r>
      <w:r>
        <w:rPr>
          <w:rFonts w:hint="eastAsia" w:ascii="宋体" w:hAnsi="宋体" w:eastAsia="宋体" w:cs="宋体"/>
          <w:kern w:val="1"/>
          <w:szCs w:val="21"/>
        </w:rPr>
        <w:t>章评审方法及标准“过低报价合理性的审查”</w:t>
      </w:r>
      <w:r>
        <w:rPr>
          <w:rFonts w:hint="eastAsia" w:ascii="宋体" w:hAnsi="宋体" w:eastAsia="宋体" w:cs="宋体"/>
          <w:szCs w:val="21"/>
        </w:rPr>
        <w:t>）</w:t>
      </w:r>
    </w:p>
    <w:p w14:paraId="433377FA">
      <w:pPr>
        <w:snapToGrid w:val="0"/>
        <w:spacing w:before="50" w:after="120" w:afterLines="50"/>
        <w:jc w:val="left"/>
        <w:rPr>
          <w:rFonts w:hint="eastAsia" w:ascii="宋体" w:hAnsi="宋体" w:eastAsia="宋体" w:cs="宋体"/>
          <w:szCs w:val="21"/>
        </w:rPr>
      </w:pPr>
      <w:r>
        <w:rPr>
          <w:rFonts w:hint="eastAsia" w:ascii="宋体" w:hAnsi="宋体" w:eastAsia="宋体" w:cs="宋体"/>
          <w:szCs w:val="21"/>
        </w:rPr>
        <w:br w:type="page"/>
      </w:r>
      <w:r>
        <w:rPr>
          <w:rFonts w:hint="eastAsia" w:ascii="宋体" w:hAnsi="宋体" w:eastAsia="宋体" w:cs="宋体"/>
          <w:szCs w:val="21"/>
          <w:lang w:val="en-US" w:eastAsia="zh-CN"/>
        </w:rPr>
        <w:t>6</w:t>
      </w:r>
      <w:r>
        <w:rPr>
          <w:rFonts w:hint="eastAsia" w:ascii="宋体" w:hAnsi="宋体" w:eastAsia="宋体" w:cs="宋体"/>
          <w:szCs w:val="21"/>
        </w:rPr>
        <w:t>.开标一览表</w:t>
      </w:r>
    </w:p>
    <w:p w14:paraId="6F3254D5">
      <w:pPr>
        <w:widowControl/>
        <w:jc w:val="left"/>
        <w:rPr>
          <w:rFonts w:hint="eastAsia" w:ascii="宋体" w:hAnsi="宋体" w:eastAsia="宋体" w:cs="宋体"/>
          <w:color w:val="4472C4"/>
          <w:szCs w:val="21"/>
        </w:rPr>
      </w:pPr>
    </w:p>
    <w:p w14:paraId="4DDEF506">
      <w:pPr>
        <w:widowControl/>
        <w:jc w:val="left"/>
        <w:rPr>
          <w:rFonts w:hint="eastAsia" w:ascii="宋体" w:hAnsi="宋体" w:eastAsia="宋体" w:cs="宋体"/>
          <w:color w:val="4472C4"/>
          <w:szCs w:val="21"/>
        </w:rPr>
      </w:pPr>
    </w:p>
    <w:p w14:paraId="43809A5D">
      <w:pPr>
        <w:widowControl/>
        <w:jc w:val="left"/>
        <w:rPr>
          <w:rFonts w:hint="eastAsia" w:ascii="宋体" w:hAnsi="宋体" w:eastAsia="宋体" w:cs="宋体"/>
          <w:color w:val="4472C4"/>
          <w:szCs w:val="21"/>
        </w:rPr>
      </w:pPr>
    </w:p>
    <w:p w14:paraId="7EF7E4BA">
      <w:pPr>
        <w:rPr>
          <w:rFonts w:hint="eastAsia" w:ascii="宋体" w:hAnsi="宋体" w:eastAsia="宋体" w:cs="宋体"/>
          <w:b/>
          <w:szCs w:val="21"/>
        </w:rPr>
      </w:pPr>
    </w:p>
    <w:p w14:paraId="6247DADC">
      <w:pPr>
        <w:rPr>
          <w:rFonts w:hint="eastAsia" w:ascii="宋体" w:hAnsi="宋体" w:eastAsia="宋体" w:cs="宋体"/>
          <w:b/>
          <w:szCs w:val="21"/>
        </w:rPr>
      </w:pPr>
    </w:p>
    <w:p w14:paraId="23F8434A">
      <w:pPr>
        <w:rPr>
          <w:rFonts w:hint="eastAsia" w:ascii="宋体" w:hAnsi="宋体" w:eastAsia="宋体" w:cs="宋体"/>
          <w:b/>
          <w:szCs w:val="21"/>
        </w:rPr>
      </w:pPr>
      <w:r>
        <w:rPr>
          <w:rFonts w:hint="eastAsia" w:ascii="宋体" w:hAnsi="宋体" w:eastAsia="宋体" w:cs="宋体"/>
          <w:b/>
          <w:szCs w:val="21"/>
        </w:rPr>
        <w:t>格式详见广西政府采购云平台，且仅在广西政府采购云平台填写即可。</w:t>
      </w:r>
    </w:p>
    <w:bookmarkEnd w:id="596"/>
    <w:p w14:paraId="6307107C">
      <w:pPr>
        <w:rPr>
          <w:rFonts w:hint="eastAsia" w:ascii="宋体" w:hAnsi="宋体" w:eastAsia="宋体" w:cs="宋体"/>
          <w:szCs w:val="21"/>
        </w:rPr>
      </w:pPr>
    </w:p>
    <w:p w14:paraId="14AD6730">
      <w:pPr>
        <w:rPr>
          <w:rFonts w:hint="eastAsia" w:ascii="宋体" w:hAnsi="宋体" w:eastAsia="宋体" w:cs="宋体"/>
        </w:rPr>
      </w:pPr>
    </w:p>
    <w:sectPr>
      <w:headerReference r:id="rId19" w:type="default"/>
      <w:pgSz w:w="11906" w:h="16838"/>
      <w:pgMar w:top="1418" w:right="1417" w:bottom="1418" w:left="1418"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Wingdings 2">
    <w:panose1 w:val="05020102010507070707"/>
    <w:charset w:val="02"/>
    <w:family w:val="roman"/>
    <w:pitch w:val="default"/>
    <w:sig w:usb0="00000000" w:usb1="00000000" w:usb2="00000000" w:usb3="00000000" w:csb0="80000000" w:csb1="00000000"/>
  </w:font>
  <w:font w:name="MingLiU_HKSCS">
    <w:altName w:val="Microsoft JhengHei UI"/>
    <w:panose1 w:val="02020500000000000000"/>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C4EBB8">
    <w:pPr>
      <w:pStyle w:val="12"/>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61F27F">
    <w:pPr>
      <w:pStyle w:val="12"/>
      <w:ind w:right="360"/>
      <w:jc w:val="both"/>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5968DB">
    <w:pPr>
      <w:pStyle w:val="12"/>
      <w:framePr w:wrap="around" w:vAnchor="text" w:hAnchor="margin" w:xAlign="center" w:y="1"/>
      <w:rPr>
        <w:rStyle w:val="17"/>
      </w:rPr>
    </w:pPr>
    <w:r>
      <w:fldChar w:fldCharType="begin"/>
    </w:r>
    <w:r>
      <w:rPr>
        <w:rStyle w:val="17"/>
      </w:rPr>
      <w:instrText xml:space="preserve">PAGE  </w:instrText>
    </w:r>
    <w:r>
      <w:fldChar w:fldCharType="separate"/>
    </w:r>
    <w:r>
      <w:rPr>
        <w:rStyle w:val="17"/>
      </w:rPr>
      <w:t>5</w:t>
    </w:r>
    <w:r>
      <w:fldChar w:fldCharType="end"/>
    </w:r>
  </w:p>
  <w:p w14:paraId="4D947725">
    <w:pPr>
      <w:pStyle w:val="12"/>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8C7D98">
    <w:pPr>
      <w:pStyle w:val="12"/>
      <w:ind w:right="360"/>
      <w:jc w:val="both"/>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1CC67C">
    <w:pPr>
      <w:pStyle w:val="12"/>
      <w:jc w:val="center"/>
      <w:rPr>
        <w:rFonts w:hint="eastAsia"/>
      </w:rPr>
    </w:pPr>
    <w:r>
      <w:fldChar w:fldCharType="begin"/>
    </w:r>
    <w:r>
      <w:instrText xml:space="preserve">PAGE   \* MERGEFORMAT</w:instrText>
    </w:r>
    <w:r>
      <w:fldChar w:fldCharType="separate"/>
    </w:r>
    <w:r>
      <w:rPr>
        <w:lang w:val="zh-CN"/>
      </w:rPr>
      <w:t>4</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0E7E28">
    <w:pPr>
      <w:widowControl w:val="0"/>
      <w:snapToGrid w:val="0"/>
      <w:jc w:val="center"/>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lang w:val="en-US" w:eastAsia="zh-CN" w:bidi="ar-SA"/>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CCAF2AF">
                          <w:pPr>
                            <w:widowControl w:val="0"/>
                            <w:snapToGrid w:val="0"/>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lang w:val="en-US" w:eastAsia="zh-CN" w:bidi="ar-SA"/>
                            </w:rPr>
                            <w:fldChar w:fldCharType="begin"/>
                          </w:r>
                          <w:r>
                            <w:rPr>
                              <w:rFonts w:ascii="Times New Roman" w:hAnsi="Times New Roman" w:eastAsia="宋体" w:cs="Times New Roman"/>
                              <w:kern w:val="0"/>
                              <w:sz w:val="18"/>
                              <w:szCs w:val="18"/>
                              <w:lang w:val="en-US" w:eastAsia="zh-CN" w:bidi="ar-SA"/>
                            </w:rPr>
                            <w:instrText xml:space="preserve"> PAGE  \* MERGEFORMAT </w:instrText>
                          </w:r>
                          <w:r>
                            <w:rPr>
                              <w:rFonts w:ascii="Times New Roman" w:hAnsi="Times New Roman" w:eastAsia="宋体" w:cs="Times New Roman"/>
                              <w:kern w:val="0"/>
                              <w:sz w:val="18"/>
                              <w:szCs w:val="18"/>
                              <w:lang w:val="en-US" w:eastAsia="zh-CN" w:bidi="ar-SA"/>
                            </w:rPr>
                            <w:fldChar w:fldCharType="separate"/>
                          </w:r>
                          <w:r>
                            <w:rPr>
                              <w:rFonts w:ascii="Times New Roman" w:hAnsi="Times New Roman" w:eastAsia="宋体" w:cs="Times New Roman"/>
                              <w:kern w:val="0"/>
                              <w:sz w:val="18"/>
                              <w:szCs w:val="18"/>
                              <w:lang w:val="en-US" w:eastAsia="zh-CN" w:bidi="ar-SA"/>
                            </w:rPr>
                            <w:t>35</w:t>
                          </w:r>
                          <w:r>
                            <w:rPr>
                              <w:rFonts w:ascii="Times New Roman" w:hAnsi="Times New Roman" w:eastAsia="宋体" w:cs="Times New Roman"/>
                              <w:kern w:val="0"/>
                              <w:sz w:val="18"/>
                              <w:szCs w:val="1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9iC+ss0BAACnAwAADgAAAAAAAAABACAAAAAeAQAAZHJzL2Uy&#10;b0RvYy54bWxQSwUGAAAAAAYABgBZAQAAXQUAAAAA&#10;">
              <v:fill on="f" focussize="0,0"/>
              <v:stroke on="f"/>
              <v:imagedata o:title=""/>
              <o:lock v:ext="edit" aspectratio="f"/>
              <v:textbox inset="0mm,0mm,0mm,0mm" style="mso-fit-shape-to-text:t;">
                <w:txbxContent>
                  <w:p w14:paraId="6CCAF2AF">
                    <w:pPr>
                      <w:widowControl w:val="0"/>
                      <w:snapToGrid w:val="0"/>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lang w:val="en-US" w:eastAsia="zh-CN" w:bidi="ar-SA"/>
                      </w:rPr>
                      <w:fldChar w:fldCharType="begin"/>
                    </w:r>
                    <w:r>
                      <w:rPr>
                        <w:rFonts w:ascii="Times New Roman" w:hAnsi="Times New Roman" w:eastAsia="宋体" w:cs="Times New Roman"/>
                        <w:kern w:val="0"/>
                        <w:sz w:val="18"/>
                        <w:szCs w:val="18"/>
                        <w:lang w:val="en-US" w:eastAsia="zh-CN" w:bidi="ar-SA"/>
                      </w:rPr>
                      <w:instrText xml:space="preserve"> PAGE  \* MERGEFORMAT </w:instrText>
                    </w:r>
                    <w:r>
                      <w:rPr>
                        <w:rFonts w:ascii="Times New Roman" w:hAnsi="Times New Roman" w:eastAsia="宋体" w:cs="Times New Roman"/>
                        <w:kern w:val="0"/>
                        <w:sz w:val="18"/>
                        <w:szCs w:val="18"/>
                        <w:lang w:val="en-US" w:eastAsia="zh-CN" w:bidi="ar-SA"/>
                      </w:rPr>
                      <w:fldChar w:fldCharType="separate"/>
                    </w:r>
                    <w:r>
                      <w:rPr>
                        <w:rFonts w:ascii="Times New Roman" w:hAnsi="Times New Roman" w:eastAsia="宋体" w:cs="Times New Roman"/>
                        <w:kern w:val="0"/>
                        <w:sz w:val="18"/>
                        <w:szCs w:val="18"/>
                        <w:lang w:val="en-US" w:eastAsia="zh-CN" w:bidi="ar-SA"/>
                      </w:rPr>
                      <w:t>35</w:t>
                    </w:r>
                    <w:r>
                      <w:rPr>
                        <w:rFonts w:ascii="Times New Roman" w:hAnsi="Times New Roman" w:eastAsia="宋体" w:cs="Times New Roman"/>
                        <w:kern w:val="0"/>
                        <w:sz w:val="18"/>
                        <w:szCs w:val="18"/>
                        <w:lang w:val="en-US" w:eastAsia="zh-CN" w:bidi="ar-SA"/>
                      </w:rPr>
                      <w:fldChar w:fldCharType="end"/>
                    </w:r>
                  </w:p>
                </w:txbxContent>
              </v:textbox>
            </v:shape>
          </w:pict>
        </mc:Fallback>
      </mc:AlternateContent>
    </w:r>
  </w:p>
  <w:p w14:paraId="106AA7DE">
    <w:pPr>
      <w:widowControl w:val="0"/>
      <w:snapToGrid w:val="0"/>
      <w:jc w:val="left"/>
      <w:rPr>
        <w:rFonts w:ascii="Times New Roman" w:hAnsi="Times New Roman" w:eastAsia="宋体" w:cs="Times New Roman"/>
        <w:kern w:val="0"/>
        <w:sz w:val="18"/>
        <w:szCs w:val="18"/>
        <w:lang w:val="en-US" w:eastAsia="zh-CN" w:bidi="ar-S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6D02FF">
    <w:pPr>
      <w:pStyle w:val="13"/>
      <w:pBdr>
        <w:bottom w:val="none" w:color="auto" w:sz="0" w:space="0"/>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EFD8DF">
    <w:pPr>
      <w:widowControl w:val="0"/>
      <w:pBdr>
        <w:bottom w:val="none" w:color="auto" w:sz="0" w:space="0"/>
      </w:pBdr>
      <w:snapToGrid w:val="0"/>
      <w:jc w:val="center"/>
      <w:rPr>
        <w:rFonts w:ascii="Times New Roman" w:hAnsi="Times New Roman" w:eastAsia="宋体" w:cs="Times New Roman"/>
        <w:kern w:val="0"/>
        <w:sz w:val="18"/>
        <w:szCs w:val="18"/>
        <w:lang w:val="en-US" w:eastAsia="zh-CN" w:bidi="ar-SA"/>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28C4A7">
    <w:pPr>
      <w:rPr>
        <w:sz w:val="18"/>
        <w:szCs w:val="18"/>
        <w:u w:val="single"/>
      </w:rPr>
    </w:pPr>
    <w:r>
      <w:rPr>
        <w:rFonts w:hint="eastAsia"/>
        <w:sz w:val="18"/>
        <w:szCs w:val="18"/>
        <w:u w:val="single"/>
      </w:rPr>
      <w:t xml:space="preserve">广西机电设备招标有限公司采购文件                      </w:t>
    </w:r>
    <w:r>
      <w:rPr>
        <w:sz w:val="18"/>
        <w:szCs w:val="18"/>
        <w:u w:val="single"/>
      </w:rPr>
      <w:t xml:space="preserve">             </w:t>
    </w:r>
    <w:r>
      <w:rPr>
        <w:rFonts w:hint="eastAsia"/>
        <w:sz w:val="18"/>
        <w:szCs w:val="18"/>
        <w:u w:val="single"/>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9337E2">
    <w:pPr>
      <w:pStyle w:val="13"/>
      <w:jc w:val="left"/>
    </w:pPr>
    <w:r>
      <w:rPr>
        <w:rFonts w:hint="eastAsia"/>
      </w:rPr>
      <w:t xml:space="preserve">广西机电设备招标有限公司采购文件                                                               </w:t>
    </w:r>
  </w:p>
  <w:p w14:paraId="7E8DA9A6">
    <w:pPr>
      <w:pStyle w:val="13"/>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FD9B57">
    <w:pPr>
      <w:pStyle w:val="13"/>
      <w:pBdr>
        <w:bottom w:val="single" w:color="auto" w:sz="6" w:space="0"/>
      </w:pBdr>
      <w:jc w:val="left"/>
    </w:pPr>
    <w:r>
      <w:rPr>
        <w:rFonts w:hint="eastAsia"/>
      </w:rPr>
      <w:t xml:space="preserve">广西机电设备招标有限公司采购文件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35DAFD">
    <w:pPr>
      <w:pStyle w:val="13"/>
      <w:jc w:val="left"/>
    </w:pPr>
    <w:r>
      <w:rPr>
        <w:rFonts w:hint="eastAsia"/>
      </w:rPr>
      <w:t xml:space="preserve">广西机电设备招标有限公司采购文件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1DE54F">
    <w:pPr>
      <w:pStyle w:val="13"/>
      <w:jc w:val="left"/>
    </w:pPr>
    <w:r>
      <w:rPr>
        <w:rFonts w:hint="eastAsia"/>
      </w:rPr>
      <w:t xml:space="preserve">广西机电设备招标有限公司采购文件                                                           </w:t>
    </w:r>
  </w:p>
  <w:p w14:paraId="23346F8A">
    <w:pPr>
      <w:pStyle w:val="13"/>
      <w:pBdr>
        <w:bottom w:val="none" w:color="auto" w:sz="0" w:space="0"/>
      </w:pBdr>
      <w:jc w:val="lef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EDFF10">
    <w:pPr>
      <w:pStyle w:val="13"/>
      <w:jc w:val="left"/>
    </w:pPr>
    <w:r>
      <w:rPr>
        <w:rFonts w:hint="eastAsia"/>
      </w:rPr>
      <w:t xml:space="preserve">广西机电设备招标有限公司采购文件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DC8B63">
    <w:pPr>
      <w:pStyle w:val="13"/>
      <w:jc w:val="left"/>
    </w:pPr>
    <w:r>
      <w:rPr>
        <w:rFonts w:hint="eastAsia"/>
      </w:rPr>
      <w:t xml:space="preserve">广西机电设备招标有限公司磋商文件                                                    </w:t>
    </w:r>
  </w:p>
  <w:p w14:paraId="642C739F">
    <w:pPr>
      <w:pStyle w:val="13"/>
      <w:pBdr>
        <w:bottom w:val="none" w:color="auto" w:sz="0" w:space="0"/>
      </w:pBdr>
      <w:jc w:val="lef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F9CE29">
    <w:pPr>
      <w:pStyle w:val="13"/>
      <w:jc w:val="left"/>
    </w:pPr>
    <w:r>
      <w:rPr>
        <w:rFonts w:hint="eastAsia"/>
      </w:rPr>
      <w:t xml:space="preserve">广西机电设备招标有限公司采购文件                                                    </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A4F200">
    <w:pPr>
      <w:pStyle w:val="13"/>
      <w:jc w:val="left"/>
    </w:pPr>
    <w:r>
      <w:rPr>
        <w:rFonts w:hint="eastAsia"/>
      </w:rPr>
      <w:t>广西机电设备招标有限公司磋商文件                                                     评审方法及评审标准</w:t>
    </w:r>
  </w:p>
  <w:p w14:paraId="26C96C3F">
    <w:pPr>
      <w:pStyle w:val="13"/>
      <w:pBdr>
        <w:bottom w:val="none" w:color="auto" w:sz="0" w:space="0"/>
      </w:pBdr>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8347EE2"/>
    <w:multiLevelType w:val="singleLevel"/>
    <w:tmpl w:val="E8347EE2"/>
    <w:lvl w:ilvl="0" w:tentative="0">
      <w:start w:val="2"/>
      <w:numFmt w:val="decimal"/>
      <w:lvlText w:val="%1."/>
      <w:lvlJc w:val="left"/>
      <w:pPr>
        <w:tabs>
          <w:tab w:val="left" w:pos="312"/>
        </w:tabs>
      </w:pPr>
    </w:lvl>
  </w:abstractNum>
  <w:abstractNum w:abstractNumId="1">
    <w:nsid w:val="EDA35FC9"/>
    <w:multiLevelType w:val="singleLevel"/>
    <w:tmpl w:val="EDA35FC9"/>
    <w:lvl w:ilvl="0" w:tentative="0">
      <w:start w:val="3"/>
      <w:numFmt w:val="decimal"/>
      <w:suff w:val="nothing"/>
      <w:lvlText w:val="（%1）"/>
      <w:lvlJc w:val="left"/>
      <w:pPr>
        <w:ind w:left="0" w:firstLine="0"/>
      </w:pPr>
    </w:lvl>
  </w:abstractNum>
  <w:abstractNum w:abstractNumId="2">
    <w:nsid w:val="F7A27FF3"/>
    <w:multiLevelType w:val="singleLevel"/>
    <w:tmpl w:val="F7A27FF3"/>
    <w:lvl w:ilvl="0" w:tentative="0">
      <w:start w:val="2"/>
      <w:numFmt w:val="decimal"/>
      <w:suff w:val="nothing"/>
      <w:lvlText w:val="（%1）"/>
      <w:lvlJc w:val="left"/>
    </w:lvl>
  </w:abstractNum>
  <w:abstractNum w:abstractNumId="3">
    <w:nsid w:val="00000013"/>
    <w:multiLevelType w:val="multilevel"/>
    <w:tmpl w:val="00000013"/>
    <w:lvl w:ilvl="0" w:tentative="0">
      <w:start w:val="1"/>
      <w:numFmt w:val="decimal"/>
      <w:lvlText w:val="（%1）"/>
      <w:lvlJc w:val="left"/>
      <w:pPr>
        <w:ind w:left="1140"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4">
    <w:nsid w:val="6EDD6596"/>
    <w:multiLevelType w:val="singleLevel"/>
    <w:tmpl w:val="6EDD6596"/>
    <w:lvl w:ilvl="0" w:tentative="0">
      <w:start w:val="1"/>
      <w:numFmt w:val="decimal"/>
      <w:suff w:val="space"/>
      <w:lvlText w:val="%1."/>
      <w:lvlJc w:val="left"/>
    </w:lvl>
  </w:abstractNum>
  <w:num w:numId="1">
    <w:abstractNumId w:val="3"/>
  </w:num>
  <w:num w:numId="2">
    <w:abstractNumId w:val="0"/>
  </w:num>
  <w:num w:numId="3">
    <w:abstractNumId w:val="2"/>
  </w:num>
  <w:num w:numId="4">
    <w:abstractNumId w:val="1"/>
    <w:lvlOverride w:ilvl="0">
      <w:startOverride w:val="3"/>
    </w:lvlOverride>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0B52EA"/>
    <w:rsid w:val="02883270"/>
    <w:rsid w:val="0B276344"/>
    <w:rsid w:val="10DC6F79"/>
    <w:rsid w:val="11DE79B4"/>
    <w:rsid w:val="169202AD"/>
    <w:rsid w:val="17E10546"/>
    <w:rsid w:val="21BE37E6"/>
    <w:rsid w:val="23E46C65"/>
    <w:rsid w:val="24526F61"/>
    <w:rsid w:val="24E37C5D"/>
    <w:rsid w:val="24F437AA"/>
    <w:rsid w:val="256E30C0"/>
    <w:rsid w:val="28FB618A"/>
    <w:rsid w:val="29657C86"/>
    <w:rsid w:val="29973F8E"/>
    <w:rsid w:val="2B457703"/>
    <w:rsid w:val="32CE52AF"/>
    <w:rsid w:val="33F246D2"/>
    <w:rsid w:val="34AE3D82"/>
    <w:rsid w:val="38223E1B"/>
    <w:rsid w:val="391F00CC"/>
    <w:rsid w:val="3B42099F"/>
    <w:rsid w:val="3F0E2382"/>
    <w:rsid w:val="3FBF22A3"/>
    <w:rsid w:val="42B25919"/>
    <w:rsid w:val="44616A7C"/>
    <w:rsid w:val="467334A0"/>
    <w:rsid w:val="4A331C29"/>
    <w:rsid w:val="4A3A269C"/>
    <w:rsid w:val="4B330896"/>
    <w:rsid w:val="4BDF4280"/>
    <w:rsid w:val="599C148A"/>
    <w:rsid w:val="62312B92"/>
    <w:rsid w:val="66BD09D6"/>
    <w:rsid w:val="683465C7"/>
    <w:rsid w:val="6EAA61C6"/>
    <w:rsid w:val="71D56F7D"/>
    <w:rsid w:val="778D152D"/>
    <w:rsid w:val="7E0025E3"/>
    <w:rsid w:val="7EC73BE3"/>
    <w:rsid w:val="7F955A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3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link w:val="22"/>
    <w:qFormat/>
    <w:uiPriority w:val="99"/>
    <w:pPr>
      <w:keepNext/>
      <w:keepLines/>
      <w:spacing w:before="260" w:beforeLines="0" w:after="260" w:afterLines="0" w:line="413" w:lineRule="auto"/>
      <w:outlineLvl w:val="1"/>
    </w:pPr>
    <w:rPr>
      <w:rFonts w:ascii="Arial" w:hAnsi="Arial" w:eastAsia="黑体"/>
      <w:b/>
      <w:bCs/>
      <w:sz w:val="32"/>
      <w:szCs w:val="32"/>
    </w:rPr>
  </w:style>
  <w:style w:type="paragraph" w:styleId="4">
    <w:name w:val="heading 3"/>
    <w:basedOn w:val="1"/>
    <w:next w:val="1"/>
    <w:qFormat/>
    <w:uiPriority w:val="99"/>
    <w:pPr>
      <w:keepNext/>
      <w:keepLines/>
      <w:spacing w:before="260" w:beforeLines="0" w:after="260" w:afterLines="0" w:line="413" w:lineRule="auto"/>
      <w:outlineLvl w:val="2"/>
    </w:pPr>
    <w:rPr>
      <w:b/>
      <w:bCs/>
      <w:sz w:val="32"/>
      <w:szCs w:val="32"/>
    </w:rPr>
  </w:style>
  <w:style w:type="paragraph" w:styleId="5">
    <w:name w:val="heading 4"/>
    <w:basedOn w:val="1"/>
    <w:next w:val="1"/>
    <w:qFormat/>
    <w:uiPriority w:val="99"/>
    <w:pPr>
      <w:keepNext/>
      <w:keepLines/>
      <w:widowControl/>
      <w:spacing w:before="120" w:beforeLines="0" w:after="120" w:afterLines="0" w:line="360" w:lineRule="auto"/>
      <w:jc w:val="center"/>
      <w:outlineLvl w:val="3"/>
    </w:pPr>
    <w:rPr>
      <w:rFonts w:ascii="Arial" w:hAnsi="Arial" w:eastAsia="黑体"/>
      <w:kern w:val="0"/>
      <w:sz w:val="28"/>
      <w:szCs w:val="20"/>
    </w:rPr>
  </w:style>
  <w:style w:type="character" w:default="1" w:styleId="16">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6">
    <w:name w:val="Normal Indent"/>
    <w:basedOn w:val="1"/>
    <w:qFormat/>
    <w:uiPriority w:val="0"/>
    <w:pPr>
      <w:ind w:firstLine="420"/>
    </w:pPr>
    <w:rPr>
      <w:szCs w:val="20"/>
    </w:rPr>
  </w:style>
  <w:style w:type="paragraph" w:styleId="7">
    <w:name w:val="toa heading"/>
    <w:basedOn w:val="1"/>
    <w:next w:val="1"/>
    <w:qFormat/>
    <w:uiPriority w:val="0"/>
    <w:pPr>
      <w:spacing w:before="120"/>
      <w:jc w:val="center"/>
    </w:pPr>
    <w:rPr>
      <w:rFonts w:ascii="Arial" w:hAnsi="Arial"/>
      <w:b/>
      <w:sz w:val="32"/>
    </w:rPr>
  </w:style>
  <w:style w:type="paragraph" w:styleId="8">
    <w:name w:val="annotation text"/>
    <w:basedOn w:val="1"/>
    <w:qFormat/>
    <w:uiPriority w:val="0"/>
    <w:pPr>
      <w:jc w:val="left"/>
    </w:pPr>
  </w:style>
  <w:style w:type="paragraph" w:styleId="9">
    <w:name w:val="Body Text"/>
    <w:basedOn w:val="1"/>
    <w:next w:val="1"/>
    <w:qFormat/>
    <w:uiPriority w:val="99"/>
    <w:pPr>
      <w:spacing w:line="380" w:lineRule="exact"/>
    </w:pPr>
    <w:rPr>
      <w:sz w:val="24"/>
    </w:rPr>
  </w:style>
  <w:style w:type="paragraph" w:styleId="10">
    <w:name w:val="toc 5"/>
    <w:basedOn w:val="1"/>
    <w:next w:val="1"/>
    <w:qFormat/>
    <w:uiPriority w:val="39"/>
    <w:pPr>
      <w:tabs>
        <w:tab w:val="right" w:leader="dot" w:pos="9185"/>
      </w:tabs>
      <w:adjustRightInd w:val="0"/>
      <w:spacing w:line="312" w:lineRule="atLeast"/>
      <w:ind w:left="1680"/>
      <w:textAlignment w:val="baseline"/>
    </w:pPr>
    <w:rPr>
      <w:kern w:val="0"/>
      <w:szCs w:val="20"/>
    </w:rPr>
  </w:style>
  <w:style w:type="paragraph" w:styleId="11">
    <w:name w:val="Plain Text"/>
    <w:basedOn w:val="1"/>
    <w:qFormat/>
    <w:uiPriority w:val="0"/>
    <w:rPr>
      <w:rFonts w:ascii="宋体" w:hAnsi="Courier New" w:cs="Courier New"/>
      <w:szCs w:val="21"/>
    </w:rPr>
  </w:style>
  <w:style w:type="paragraph" w:styleId="12">
    <w:name w:val="footer"/>
    <w:basedOn w:val="1"/>
    <w:qFormat/>
    <w:uiPriority w:val="99"/>
    <w:pPr>
      <w:tabs>
        <w:tab w:val="center" w:pos="4153"/>
        <w:tab w:val="right" w:pos="8306"/>
      </w:tabs>
      <w:snapToGrid w:val="0"/>
      <w:jc w:val="left"/>
    </w:pPr>
    <w:rPr>
      <w:sz w:val="18"/>
      <w:szCs w:val="18"/>
    </w:rPr>
  </w:style>
  <w:style w:type="paragraph" w:styleId="13">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39"/>
    <w:pPr>
      <w:tabs>
        <w:tab w:val="right" w:leader="dot" w:pos="8398"/>
      </w:tabs>
      <w:spacing w:before="120" w:beforeLines="0" w:after="120" w:afterLines="0"/>
      <w:ind w:firstLine="240" w:firstLineChars="100"/>
      <w:jc w:val="left"/>
    </w:pPr>
    <w:rPr>
      <w:rFonts w:ascii="宋体" w:hAnsi="宋体"/>
      <w:b/>
      <w:bCs/>
      <w:caps/>
      <w:sz w:val="24"/>
    </w:rPr>
  </w:style>
  <w:style w:type="character" w:styleId="17">
    <w:name w:val="page number"/>
    <w:basedOn w:val="16"/>
    <w:qFormat/>
    <w:uiPriority w:val="99"/>
  </w:style>
  <w:style w:type="character" w:styleId="18">
    <w:name w:val="Hyperlink"/>
    <w:qFormat/>
    <w:uiPriority w:val="99"/>
    <w:rPr>
      <w:color w:val="0000FF"/>
      <w:u w:val="single"/>
    </w:rPr>
  </w:style>
  <w:style w:type="character" w:styleId="19">
    <w:name w:val="annotation reference"/>
    <w:qFormat/>
    <w:uiPriority w:val="0"/>
    <w:rPr>
      <w:sz w:val="21"/>
      <w:szCs w:val="21"/>
    </w:rPr>
  </w:style>
  <w:style w:type="paragraph" w:customStyle="1" w:styleId="20">
    <w:name w:val="目录 91"/>
    <w:basedOn w:val="1"/>
    <w:next w:val="1"/>
    <w:semiHidden/>
    <w:qFormat/>
    <w:uiPriority w:val="99"/>
    <w:pPr>
      <w:ind w:left="1680"/>
    </w:pPr>
    <w:rPr>
      <w:sz w:val="18"/>
    </w:rPr>
  </w:style>
  <w:style w:type="paragraph" w:customStyle="1" w:styleId="21">
    <w:name w:val="无间隔1"/>
    <w:qFormat/>
    <w:uiPriority w:val="99"/>
    <w:pPr>
      <w:widowControl w:val="0"/>
      <w:jc w:val="both"/>
    </w:pPr>
    <w:rPr>
      <w:rFonts w:ascii="Times New Roman" w:hAnsi="Times New Roman" w:eastAsia="宋体" w:cs="Times New Roman"/>
      <w:kern w:val="2"/>
      <w:sz w:val="21"/>
      <w:szCs w:val="24"/>
      <w:lang w:val="en-US" w:eastAsia="zh-CN" w:bidi="ar-SA"/>
    </w:rPr>
  </w:style>
  <w:style w:type="character" w:customStyle="1" w:styleId="22">
    <w:name w:val="标题 2 Char"/>
    <w:link w:val="3"/>
    <w:qFormat/>
    <w:uiPriority w:val="99"/>
    <w:rPr>
      <w:rFonts w:ascii="Arial" w:hAnsi="Arial" w:eastAsia="黑体"/>
      <w:b/>
      <w:bCs/>
      <w:sz w:val="32"/>
      <w:szCs w:val="32"/>
    </w:rPr>
  </w:style>
  <w:style w:type="paragraph" w:styleId="23">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24">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
    <w:name w:val="正文_1"/>
    <w:qFormat/>
    <w:uiPriority w:val="99"/>
    <w:pPr>
      <w:widowControl w:val="0"/>
      <w:jc w:val="both"/>
    </w:pPr>
    <w:rPr>
      <w:rFonts w:ascii="Times New Roman" w:hAnsi="Times New Roman" w:eastAsia="宋体" w:cs="Times New Roman"/>
      <w:kern w:val="2"/>
      <w:sz w:val="21"/>
      <w:szCs w:val="24"/>
      <w:lang w:val="en-US" w:eastAsia="zh-CN" w:bidi="ar-SA"/>
    </w:rPr>
  </w:style>
  <w:style w:type="paragraph" w:styleId="26">
    <w:name w:val="List Paragraph"/>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2.png"/><Relationship Id="rId21" Type="http://schemas.openxmlformats.org/officeDocument/2006/relationships/image" Target="media/image1.png"/><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header" Target="header11.xml"/><Relationship Id="rId18" Type="http://schemas.openxmlformats.org/officeDocument/2006/relationships/footer" Target="footer6.xml"/><Relationship Id="rId17" Type="http://schemas.openxmlformats.org/officeDocument/2006/relationships/header" Target="header10.xml"/><Relationship Id="rId16" Type="http://schemas.openxmlformats.org/officeDocument/2006/relationships/header" Target="header9.xml"/><Relationship Id="rId15" Type="http://schemas.openxmlformats.org/officeDocument/2006/relationships/header" Target="header8.xml"/><Relationship Id="rId14" Type="http://schemas.openxmlformats.org/officeDocument/2006/relationships/header" Target="header7.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106</Pages>
  <Words>9270</Words>
  <Characters>10368</Characters>
  <Lines>0</Lines>
  <Paragraphs>0</Paragraphs>
  <TotalTime>1</TotalTime>
  <ScaleCrop>false</ScaleCrop>
  <LinksUpToDate>false</LinksUpToDate>
  <CharactersWithSpaces>10502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2026-06-29T08:17:00Z</dcterms:created>
  <dc:creator>梁玉凤</dc:creator>
  <cp:lastModifiedBy>代理机构</cp:lastModifiedBy>
  <dcterms:modified xsi:type="dcterms:W3CDTF">2026-07-10T02:52:25Z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eyJoZGlkIjoiZDhhNjFmNDhhZWE1MGQ4MDE0ZmFmMzVjMWU2YTMzNzIiLCJ1c2VySWQiOiIxMjg5MzU2MjUxIn0=</vt:lpwstr>
  </property>
  <property fmtid="{D5CDD505-2E9C-101B-9397-08002B2CF9AE}" pid="4" name="ICV">
    <vt:lpwstr>21F16E5F372E460B8FAB398C497A1C71_13</vt:lpwstr>
  </property>
</Properties>
</file>