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A4FF9">
      <w:pPr>
        <w:pStyle w:val="28"/>
        <w:pageBreakBefore w:val="0"/>
        <w:kinsoku/>
        <w:wordWrap w:val="0"/>
        <w:topLinePunct w:val="0"/>
        <w:ind w:firstLine="5"/>
        <w:jc w:val="center"/>
        <w:rPr>
          <w:rFonts w:hint="eastAsia" w:hAnsi="宋体" w:eastAsia="宋体" w:cs="宋体"/>
          <w:b/>
          <w:color w:val="auto"/>
          <w:spacing w:val="30"/>
          <w:kern w:val="52"/>
          <w:sz w:val="48"/>
          <w:szCs w:val="48"/>
          <w:highlight w:val="none"/>
          <w:lang w:eastAsia="zh-CN"/>
        </w:rPr>
      </w:pPr>
      <w:r>
        <w:rPr>
          <w:rFonts w:hint="eastAsia" w:hAnsi="宋体" w:cs="宋体"/>
          <w:b/>
          <w:color w:val="auto"/>
          <w:spacing w:val="30"/>
          <w:kern w:val="52"/>
          <w:sz w:val="60"/>
          <w:szCs w:val="60"/>
          <w:highlight w:val="none"/>
          <w:lang w:eastAsia="zh-CN"/>
        </w:rPr>
        <w:t>广西诚华工程造价咨询有限公司</w:t>
      </w:r>
    </w:p>
    <w:p w14:paraId="67A8D50F">
      <w:pPr>
        <w:pStyle w:val="28"/>
        <w:pageBreakBefore w:val="0"/>
        <w:kinsoku/>
        <w:wordWrap w:val="0"/>
        <w:topLinePunct w:val="0"/>
        <w:rPr>
          <w:rFonts w:hAnsi="宋体" w:cs="宋体"/>
          <w:color w:val="auto"/>
          <w:spacing w:val="28"/>
          <w:sz w:val="32"/>
          <w:highlight w:val="none"/>
        </w:rPr>
      </w:pPr>
      <w:r>
        <w:rPr>
          <w:rFonts w:hint="eastAsia" w:hAnsi="宋体" w:cs="宋体"/>
          <w:b/>
          <w:color w:val="auto"/>
          <w:spacing w:val="-18"/>
          <w:sz w:val="20"/>
          <w:highlight w:val="none"/>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99695</wp:posOffset>
                </wp:positionV>
                <wp:extent cx="5878830" cy="17145"/>
                <wp:effectExtent l="0" t="6350" r="1270" b="14605"/>
                <wp:wrapNone/>
                <wp:docPr id="5" name="直接连接符 5"/>
                <wp:cNvGraphicFramePr/>
                <a:graphic xmlns:a="http://schemas.openxmlformats.org/drawingml/2006/main">
                  <a:graphicData uri="http://schemas.microsoft.com/office/word/2010/wordprocessingShape">
                    <wps:wsp>
                      <wps:cNvCnPr/>
                      <wps:spPr>
                        <a:xfrm flipV="1">
                          <a:off x="0" y="0"/>
                          <a:ext cx="5878830" cy="17145"/>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16.75pt;margin-top:7.85pt;height:1.35pt;width:462.9pt;z-index:251661312;mso-width-relative:page;mso-height-relative:page;" filled="f" stroked="t" coordsize="21600,21600" o:gfxdata="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DAjSU2AAAAAgBAAAPAAAAAAAAAAEAIAAAACIAAABkcnMvZG93bnJldi54bWxQ&#10;SwECFAAUAAAACACHTuJAWS1ya/cBAADnAwAADgAAAAAAAAABACAAAAAnAQAAZHJzL2Uyb0RvYy54&#10;bWxQSwUGAAAAAAYABgBZAQAAkAUAAAAA&#10;">
                <v:fill on="f" focussize="0,0"/>
                <v:stroke weight="1pt" color="#000000" joinstyle="round"/>
                <v:imagedata o:title=""/>
                <o:lock v:ext="edit" aspectratio="f"/>
              </v:line>
            </w:pict>
          </mc:Fallback>
        </mc:AlternateContent>
      </w:r>
      <w:r>
        <w:rPr>
          <w:rFonts w:hint="eastAsia" w:hAnsi="宋体" w:cs="宋体"/>
          <w:color w:val="auto"/>
          <w:spacing w:val="28"/>
          <w:sz w:val="32"/>
          <w:highlight w:val="none"/>
        </w:rPr>
        <w:t xml:space="preserve"> </w:t>
      </w:r>
    </w:p>
    <w:p w14:paraId="58700BFF">
      <w:pPr>
        <w:pStyle w:val="28"/>
        <w:pageBreakBefore w:val="0"/>
        <w:kinsoku/>
        <w:wordWrap w:val="0"/>
        <w:topLinePunct w:val="0"/>
        <w:jc w:val="center"/>
        <w:rPr>
          <w:rFonts w:hAnsi="宋体" w:cs="宋体"/>
          <w:b/>
          <w:color w:val="auto"/>
          <w:spacing w:val="-18"/>
          <w:sz w:val="72"/>
          <w:szCs w:val="18"/>
          <w:highlight w:val="none"/>
        </w:rPr>
      </w:pPr>
    </w:p>
    <w:p w14:paraId="50B89824">
      <w:pPr>
        <w:pStyle w:val="28"/>
        <w:pageBreakBefore w:val="0"/>
        <w:kinsoku/>
        <w:wordWrap w:val="0"/>
        <w:topLinePunct w:val="0"/>
        <w:jc w:val="center"/>
        <w:rPr>
          <w:rFonts w:hAnsi="宋体" w:cs="宋体"/>
          <w:b/>
          <w:color w:val="auto"/>
          <w:spacing w:val="-18"/>
          <w:sz w:val="72"/>
          <w:szCs w:val="18"/>
          <w:highlight w:val="none"/>
        </w:rPr>
      </w:pPr>
    </w:p>
    <w:p w14:paraId="7492FFAF">
      <w:pPr>
        <w:pStyle w:val="28"/>
        <w:pageBreakBefore w:val="0"/>
        <w:kinsoku/>
        <w:wordWrap w:val="0"/>
        <w:topLinePunct w:val="0"/>
        <w:jc w:val="center"/>
        <w:rPr>
          <w:rFonts w:hAnsi="宋体" w:cs="宋体"/>
          <w:b/>
          <w:color w:val="auto"/>
          <w:spacing w:val="-18"/>
          <w:sz w:val="72"/>
          <w:szCs w:val="18"/>
          <w:highlight w:val="none"/>
        </w:rPr>
      </w:pPr>
      <w:r>
        <w:rPr>
          <w:rFonts w:hint="eastAsia" w:hAnsi="宋体" w:cs="宋体"/>
          <w:b/>
          <w:color w:val="auto"/>
          <w:spacing w:val="-18"/>
          <w:sz w:val="72"/>
          <w:szCs w:val="18"/>
          <w:highlight w:val="none"/>
        </w:rPr>
        <w:t>竞争性磋商采购文件</w:t>
      </w:r>
    </w:p>
    <w:p w14:paraId="683E8473">
      <w:pPr>
        <w:pageBreakBefore w:val="0"/>
        <w:kinsoku/>
        <w:wordWrap w:val="0"/>
        <w:topLinePunct w:val="0"/>
        <w:jc w:val="center"/>
        <w:rPr>
          <w:rFonts w:ascii="宋体" w:hAnsi="宋体" w:cs="宋体"/>
          <w:color w:val="auto"/>
          <w:highlight w:val="none"/>
        </w:rPr>
      </w:pPr>
    </w:p>
    <w:p w14:paraId="00DB0284">
      <w:pPr>
        <w:pageBreakBefore w:val="0"/>
        <w:kinsoku/>
        <w:wordWrap w:val="0"/>
        <w:topLinePunct w:val="0"/>
        <w:jc w:val="center"/>
        <w:rPr>
          <w:rFonts w:ascii="宋体" w:hAnsi="宋体" w:cs="宋体"/>
          <w:color w:val="auto"/>
          <w:highlight w:val="none"/>
        </w:rPr>
      </w:pPr>
    </w:p>
    <w:p w14:paraId="447FBDA3">
      <w:pPr>
        <w:pageBreakBefore w:val="0"/>
        <w:kinsoku/>
        <w:wordWrap w:val="0"/>
        <w:topLinePunct w:val="0"/>
        <w:jc w:val="center"/>
        <w:rPr>
          <w:rFonts w:ascii="宋体" w:hAnsi="宋体" w:cs="宋体"/>
          <w:color w:val="auto"/>
          <w:highlight w:val="none"/>
        </w:rPr>
      </w:pPr>
    </w:p>
    <w:p w14:paraId="6D09F7E6">
      <w:pPr>
        <w:pStyle w:val="21"/>
        <w:pageBreakBefore w:val="0"/>
        <w:kinsoku/>
        <w:wordWrap w:val="0"/>
        <w:topLinePunct w:val="0"/>
        <w:rPr>
          <w:color w:val="auto"/>
          <w:highlight w:val="none"/>
        </w:rPr>
      </w:pPr>
    </w:p>
    <w:p w14:paraId="2694A82C">
      <w:pPr>
        <w:pageBreakBefore w:val="0"/>
        <w:kinsoku/>
        <w:wordWrap w:val="0"/>
        <w:topLinePunct w:val="0"/>
        <w:rPr>
          <w:rFonts w:ascii="宋体" w:hAnsi="宋体" w:cs="宋体"/>
          <w:color w:val="auto"/>
          <w:highlight w:val="none"/>
        </w:rPr>
      </w:pPr>
    </w:p>
    <w:p w14:paraId="64A1AA39">
      <w:pPr>
        <w:pageBreakBefore w:val="0"/>
        <w:kinsoku/>
        <w:wordWrap w:val="0"/>
        <w:topLinePunct w:val="0"/>
        <w:jc w:val="center"/>
        <w:rPr>
          <w:rFonts w:ascii="宋体" w:hAnsi="宋体" w:cs="宋体"/>
          <w:color w:val="auto"/>
          <w:highlight w:val="none"/>
        </w:rPr>
      </w:pPr>
    </w:p>
    <w:p w14:paraId="57530AE8">
      <w:pPr>
        <w:pageBreakBefore w:val="0"/>
        <w:kinsoku/>
        <w:wordWrap w:val="0"/>
        <w:topLinePunct w:val="0"/>
        <w:rPr>
          <w:rFonts w:ascii="宋体" w:hAnsi="宋体" w:cs="宋体"/>
          <w:color w:val="auto"/>
          <w:highlight w:val="none"/>
        </w:rPr>
      </w:pPr>
    </w:p>
    <w:p w14:paraId="13DA99FF">
      <w:pPr>
        <w:pageBreakBefore w:val="0"/>
        <w:kinsoku/>
        <w:wordWrap w:val="0"/>
        <w:topLinePunct w:val="0"/>
        <w:rPr>
          <w:rFonts w:ascii="宋体" w:hAnsi="宋体" w:cs="宋体"/>
          <w:color w:val="auto"/>
          <w:highlight w:val="none"/>
        </w:rPr>
      </w:pPr>
    </w:p>
    <w:p w14:paraId="4E31A9D1">
      <w:pPr>
        <w:pageBreakBefore w:val="0"/>
        <w:kinsoku/>
        <w:wordWrap w:val="0"/>
        <w:topLinePunct w:val="0"/>
        <w:ind w:firstLine="1084" w:firstLineChars="300"/>
        <w:rPr>
          <w:rFonts w:hint="default" w:ascii="宋体" w:hAnsi="宋体" w:eastAsia="宋体" w:cs="宋体"/>
          <w:b/>
          <w:color w:val="auto"/>
          <w:sz w:val="36"/>
          <w:szCs w:val="36"/>
          <w:highlight w:val="none"/>
          <w:lang w:val="en-US" w:eastAsia="zh-CN"/>
        </w:rPr>
      </w:pPr>
      <w:r>
        <w:rPr>
          <w:rFonts w:hint="eastAsia" w:ascii="宋体" w:hAnsi="宋体" w:cs="宋体"/>
          <w:b/>
          <w:color w:val="auto"/>
          <w:sz w:val="36"/>
          <w:szCs w:val="36"/>
          <w:highlight w:val="none"/>
        </w:rPr>
        <w:t>项目编号：</w:t>
      </w:r>
      <w:r>
        <w:rPr>
          <w:rFonts w:hint="eastAsia" w:ascii="宋体" w:hAnsi="宋体" w:cs="宋体"/>
          <w:b/>
          <w:color w:val="auto"/>
          <w:sz w:val="36"/>
          <w:szCs w:val="36"/>
          <w:highlight w:val="none"/>
          <w:lang w:eastAsia="zh-CN"/>
        </w:rPr>
        <w:t>GXZC2026-C2-002234-GXCH</w:t>
      </w:r>
      <w:r>
        <w:rPr>
          <w:rFonts w:hint="eastAsia" w:ascii="宋体" w:hAnsi="宋体" w:cs="宋体"/>
          <w:b/>
          <w:color w:val="auto"/>
          <w:sz w:val="36"/>
          <w:szCs w:val="36"/>
          <w:highlight w:val="none"/>
          <w:lang w:val="en-US" w:eastAsia="zh-CN"/>
        </w:rPr>
        <w:t xml:space="preserve">     </w:t>
      </w:r>
    </w:p>
    <w:p w14:paraId="58032A5E">
      <w:pPr>
        <w:pageBreakBefore w:val="0"/>
        <w:kinsoku/>
        <w:wordWrap w:val="0"/>
        <w:topLinePunct w:val="0"/>
        <w:ind w:left="2884" w:leftChars="513" w:hanging="1807" w:hangingChars="500"/>
        <w:rPr>
          <w:rFonts w:hint="eastAsia" w:ascii="宋体" w:hAnsi="宋体" w:eastAsia="宋体" w:cs="宋体"/>
          <w:b/>
          <w:color w:val="auto"/>
          <w:sz w:val="36"/>
          <w:szCs w:val="36"/>
          <w:highlight w:val="none"/>
          <w:lang w:eastAsia="zh-CN"/>
        </w:rPr>
      </w:pPr>
      <w:r>
        <w:rPr>
          <w:rFonts w:hint="eastAsia" w:ascii="宋体" w:hAnsi="宋体" w:cs="宋体"/>
          <w:b/>
          <w:color w:val="auto"/>
          <w:sz w:val="36"/>
          <w:szCs w:val="36"/>
          <w:highlight w:val="none"/>
        </w:rPr>
        <w:t>项目名称：</w:t>
      </w:r>
      <w:r>
        <w:rPr>
          <w:rFonts w:hint="eastAsia" w:ascii="宋体" w:hAnsi="宋体" w:cs="宋体"/>
          <w:b/>
          <w:color w:val="auto"/>
          <w:sz w:val="32"/>
          <w:szCs w:val="32"/>
          <w:highlight w:val="none"/>
          <w:lang w:eastAsia="zh-CN"/>
        </w:rPr>
        <w:t>广西城市建设学校本部校区教学楼、宿舍楼等改造工程</w:t>
      </w:r>
    </w:p>
    <w:p w14:paraId="4A125800">
      <w:pPr>
        <w:pageBreakBefore w:val="0"/>
        <w:kinsoku/>
        <w:wordWrap w:val="0"/>
        <w:topLinePunct w:val="0"/>
        <w:ind w:left="2884" w:leftChars="513" w:hanging="1807" w:hangingChars="500"/>
        <w:rPr>
          <w:rFonts w:ascii="宋体" w:hAnsi="宋体" w:cs="宋体"/>
          <w:b/>
          <w:color w:val="auto"/>
          <w:sz w:val="36"/>
          <w:szCs w:val="36"/>
          <w:highlight w:val="none"/>
        </w:rPr>
      </w:pPr>
    </w:p>
    <w:p w14:paraId="7702E691">
      <w:pPr>
        <w:pageBreakBefore w:val="0"/>
        <w:kinsoku/>
        <w:wordWrap w:val="0"/>
        <w:topLinePunct w:val="0"/>
        <w:ind w:firstLine="1446" w:firstLineChars="400"/>
        <w:rPr>
          <w:rFonts w:ascii="宋体" w:hAnsi="宋体" w:cs="宋体"/>
          <w:b/>
          <w:color w:val="auto"/>
          <w:sz w:val="36"/>
          <w:szCs w:val="36"/>
          <w:highlight w:val="none"/>
        </w:rPr>
      </w:pPr>
    </w:p>
    <w:p w14:paraId="71977789">
      <w:pPr>
        <w:pageBreakBefore w:val="0"/>
        <w:kinsoku/>
        <w:wordWrap w:val="0"/>
        <w:topLinePunct w:val="0"/>
        <w:ind w:firstLine="1669" w:firstLineChars="795"/>
        <w:rPr>
          <w:rFonts w:hAnsi="宋体" w:cs="宋体"/>
          <w:color w:val="auto"/>
          <w:sz w:val="28"/>
          <w:highlight w:val="none"/>
        </w:rPr>
      </w:pPr>
      <w:r>
        <w:rPr>
          <w:rFonts w:hint="eastAsia" w:ascii="宋体" w:hAnsi="宋体" w:cs="宋体"/>
          <w:color w:val="auto"/>
          <w:highlight w:val="none"/>
        </w:rPr>
        <w:cr/>
      </w:r>
    </w:p>
    <w:p w14:paraId="21ED0406">
      <w:pPr>
        <w:pStyle w:val="28"/>
        <w:pageBreakBefore w:val="0"/>
        <w:kinsoku/>
        <w:wordWrap w:val="0"/>
        <w:topLinePunct w:val="0"/>
        <w:spacing w:line="100" w:lineRule="atLeast"/>
        <w:ind w:left="183" w:leftChars="87" w:firstLine="1788" w:firstLineChars="894"/>
        <w:rPr>
          <w:rFonts w:hint="eastAsia" w:hAnsi="宋体" w:eastAsia="宋体" w:cs="宋体"/>
          <w:color w:val="auto"/>
          <w:sz w:val="28"/>
          <w:highlight w:val="none"/>
          <w:lang w:eastAsia="zh-CN"/>
        </w:rPr>
      </w:pPr>
      <w:r>
        <w:rPr>
          <w:rFonts w:hint="eastAsia" w:hAnsi="宋体" w:cs="宋体"/>
          <w:color w:val="auto"/>
          <w:sz w:val="20"/>
          <w:highlight w:val="none"/>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1905</wp:posOffset>
                </wp:positionV>
                <wp:extent cx="6057900" cy="0"/>
                <wp:effectExtent l="0" t="28575" r="0" b="34925"/>
                <wp:wrapNone/>
                <wp:docPr id="1" name="直接连接符 1"/>
                <wp:cNvGraphicFramePr/>
                <a:graphic xmlns:a="http://schemas.openxmlformats.org/drawingml/2006/main">
                  <a:graphicData uri="http://schemas.microsoft.com/office/word/2010/wordprocessingShape">
                    <wps:wsp>
                      <wps:cNvCnPr/>
                      <wps:spPr>
                        <a:xfrm>
                          <a:off x="0" y="0"/>
                          <a:ext cx="6057900" cy="0"/>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75pt;margin-top:0.15pt;height:0pt;width:477pt;z-index:251660288;mso-width-relative:page;mso-height-relative:page;" filled="f" stroked="t" coordsize="21600,21600" o:gfxdata="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o6AttMAAAAEAQAADwAAAAAAAAABACAAAAAiAAAAZHJzL2Rvd25yZXYueG1sUEsBAhQAFAAAAAgA&#10;h07iQJlkDGnxAQAA3wMAAA4AAAAAAAAAAQAgAAAAIgEAAGRycy9lMm9Eb2MueG1sUEsFBgAAAAAG&#10;AAYAWQEAAIUFAAAAAA==&#10;">
                <v:fill on="f" focussize="0,0"/>
                <v:stroke weight="4.5pt" color="#000000" linestyle="thinThick" joinstyle="round"/>
                <v:imagedata o:title=""/>
                <o:lock v:ext="edit" aspectratio="f"/>
              </v:line>
            </w:pict>
          </mc:Fallback>
        </mc:AlternateContent>
      </w:r>
      <w:r>
        <w:rPr>
          <w:rFonts w:hint="eastAsia" w:hAnsi="宋体" w:cs="宋体"/>
          <w:color w:val="auto"/>
          <w:sz w:val="28"/>
          <w:highlight w:val="none"/>
        </w:rPr>
        <w:t>采购单位：</w:t>
      </w:r>
      <w:r>
        <w:rPr>
          <w:rFonts w:hint="eastAsia" w:hAnsi="宋体" w:cs="宋体"/>
          <w:color w:val="auto"/>
          <w:sz w:val="28"/>
          <w:highlight w:val="none"/>
          <w:lang w:eastAsia="zh-CN"/>
        </w:rPr>
        <w:t>广西城市建设学校</w:t>
      </w:r>
    </w:p>
    <w:p w14:paraId="75DF349F">
      <w:pPr>
        <w:pStyle w:val="28"/>
        <w:pageBreakBefore w:val="0"/>
        <w:kinsoku/>
        <w:wordWrap w:val="0"/>
        <w:topLinePunct w:val="0"/>
        <w:spacing w:line="100" w:lineRule="atLeast"/>
        <w:ind w:firstLine="1960" w:firstLineChars="700"/>
        <w:rPr>
          <w:rFonts w:hint="eastAsia" w:hAnsi="宋体" w:eastAsia="宋体" w:cs="宋体"/>
          <w:color w:val="auto"/>
          <w:sz w:val="28"/>
          <w:highlight w:val="none"/>
          <w:lang w:eastAsia="zh-CN"/>
        </w:rPr>
      </w:pPr>
      <w:r>
        <w:rPr>
          <w:rFonts w:hint="eastAsia" w:hAnsi="宋体" w:cs="宋体"/>
          <w:color w:val="auto"/>
          <w:sz w:val="28"/>
          <w:highlight w:val="none"/>
        </w:rPr>
        <w:t>采购代理机构：</w:t>
      </w:r>
      <w:r>
        <w:rPr>
          <w:rFonts w:hint="eastAsia" w:hAnsi="宋体" w:cs="宋体"/>
          <w:color w:val="auto"/>
          <w:sz w:val="28"/>
          <w:highlight w:val="none"/>
          <w:lang w:eastAsia="zh-CN"/>
        </w:rPr>
        <w:t>广西诚华工程造价咨询有限公司</w:t>
      </w:r>
    </w:p>
    <w:p w14:paraId="6194DF69">
      <w:pPr>
        <w:pStyle w:val="28"/>
        <w:pageBreakBefore w:val="0"/>
        <w:kinsoku/>
        <w:wordWrap w:val="0"/>
        <w:topLinePunct w:val="0"/>
        <w:spacing w:line="100" w:lineRule="atLeast"/>
        <w:ind w:firstLine="4200" w:firstLineChars="1500"/>
        <w:rPr>
          <w:rFonts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7</w:t>
      </w:r>
      <w:r>
        <w:rPr>
          <w:rFonts w:hint="eastAsia" w:hAnsi="宋体" w:cs="宋体"/>
          <w:color w:val="auto"/>
          <w:sz w:val="28"/>
          <w:highlight w:val="none"/>
        </w:rPr>
        <w:t>月</w:t>
      </w:r>
    </w:p>
    <w:p w14:paraId="3CB8B090">
      <w:pPr>
        <w:pageBreakBefore w:val="0"/>
        <w:kinsoku/>
        <w:wordWrap w:val="0"/>
        <w:topLinePunct w:val="0"/>
        <w:snapToGrid w:val="0"/>
        <w:spacing w:beforeLines="50" w:line="400" w:lineRule="atLeast"/>
        <w:jc w:val="center"/>
        <w:rPr>
          <w:rFonts w:ascii="宋体" w:hAnsi="宋体" w:cs="宋体"/>
          <w:b/>
          <w:bCs/>
          <w:color w:val="auto"/>
          <w:sz w:val="30"/>
          <w:szCs w:val="30"/>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851" w:footer="567" w:gutter="0"/>
          <w:pgNumType w:start="0"/>
          <w:cols w:space="720" w:num="1"/>
          <w:titlePg/>
          <w:docGrid w:type="lines" w:linePitch="312" w:charSpace="0"/>
        </w:sectPr>
      </w:pPr>
    </w:p>
    <w:sdt>
      <w:sdtPr>
        <w:rPr>
          <w:rFonts w:ascii="宋体" w:hAnsi="宋体"/>
          <w:color w:val="auto"/>
          <w:sz w:val="48"/>
          <w:szCs w:val="48"/>
          <w:highlight w:val="none"/>
        </w:rPr>
        <w:id w:val="147475236"/>
      </w:sdtPr>
      <w:sdtEndPr>
        <w:rPr>
          <w:rFonts w:ascii="宋体" w:hAnsi="宋体"/>
          <w:color w:val="auto"/>
          <w:sz w:val="48"/>
          <w:szCs w:val="48"/>
          <w:highlight w:val="none"/>
        </w:rPr>
      </w:sdtEndPr>
      <w:sdtContent>
        <w:p w14:paraId="2ABDEA82">
          <w:pPr>
            <w:pageBreakBefore w:val="0"/>
            <w:kinsoku/>
            <w:wordWrap w:val="0"/>
            <w:topLinePunct w:val="0"/>
            <w:jc w:val="center"/>
            <w:rPr>
              <w:color w:val="auto"/>
              <w:sz w:val="48"/>
              <w:szCs w:val="48"/>
              <w:highlight w:val="none"/>
            </w:rPr>
          </w:pPr>
          <w:bookmarkStart w:id="0" w:name="_Toc27845"/>
          <w:bookmarkStart w:id="1" w:name="_Toc8901"/>
          <w:bookmarkStart w:id="2" w:name="_Toc14788"/>
          <w:bookmarkStart w:id="3" w:name="_Toc22939"/>
          <w:r>
            <w:rPr>
              <w:rFonts w:ascii="宋体" w:hAnsi="宋体"/>
              <w:color w:val="auto"/>
              <w:sz w:val="48"/>
              <w:szCs w:val="48"/>
              <w:highlight w:val="none"/>
            </w:rPr>
            <w:t>目录</w:t>
          </w:r>
        </w:p>
        <w:p w14:paraId="18EE9DE7">
          <w:pPr>
            <w:pStyle w:val="162"/>
            <w:pageBreakBefore w:val="0"/>
            <w:tabs>
              <w:tab w:val="right" w:leader="dot" w:pos="9880"/>
            </w:tabs>
            <w:kinsoku/>
            <w:wordWrap w:val="0"/>
            <w:topLinePunct w:val="0"/>
            <w:rPr>
              <w:color w:val="auto"/>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p>
        <w:p w14:paraId="38E86D24">
          <w:pPr>
            <w:pStyle w:val="162"/>
            <w:pageBreakBefore w:val="0"/>
            <w:tabs>
              <w:tab w:val="right" w:leader="dot" w:pos="9880"/>
            </w:tabs>
            <w:kinsoku/>
            <w:wordWrap w:val="0"/>
            <w:topLinePunct w:val="0"/>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"_Toc21657" </w:instrText>
          </w:r>
          <w:r>
            <w:rPr>
              <w:color w:val="auto"/>
              <w:highlight w:val="none"/>
            </w:rPr>
            <w:fldChar w:fldCharType="separate"/>
          </w:r>
          <w:r>
            <w:rPr>
              <w:rFonts w:hint="eastAsia" w:ascii="宋体" w:hAnsi="宋体" w:cs="宋体"/>
              <w:color w:val="auto"/>
              <w:sz w:val="28"/>
              <w:szCs w:val="28"/>
              <w:highlight w:val="none"/>
            </w:rPr>
            <w:t>第一章 竞争性磋商采购公告</w:t>
          </w: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_Toc21657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62764304">
          <w:pPr>
            <w:pStyle w:val="162"/>
            <w:pageBreakBefore w:val="0"/>
            <w:tabs>
              <w:tab w:val="right" w:leader="dot" w:pos="9880"/>
            </w:tabs>
            <w:kinsoku/>
            <w:wordWrap w:val="0"/>
            <w:topLinePunct w:val="0"/>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"_Toc23353" </w:instrText>
          </w:r>
          <w:r>
            <w:rPr>
              <w:color w:val="auto"/>
              <w:highlight w:val="none"/>
            </w:rPr>
            <w:fldChar w:fldCharType="separate"/>
          </w:r>
          <w:r>
            <w:rPr>
              <w:rFonts w:hint="eastAsia" w:ascii="宋体" w:hAnsi="宋体" w:cs="宋体"/>
              <w:color w:val="auto"/>
              <w:sz w:val="28"/>
              <w:szCs w:val="28"/>
              <w:highlight w:val="none"/>
            </w:rPr>
            <w:t>第二章 供应商须知</w:t>
          </w: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_Toc23353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5</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023085C4">
          <w:pPr>
            <w:pStyle w:val="162"/>
            <w:pageBreakBefore w:val="0"/>
            <w:tabs>
              <w:tab w:val="right" w:leader="dot" w:pos="9880"/>
            </w:tabs>
            <w:kinsoku/>
            <w:wordWrap w:val="0"/>
            <w:topLinePunct w:val="0"/>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"_Toc12807" </w:instrText>
          </w:r>
          <w:r>
            <w:rPr>
              <w:color w:val="auto"/>
              <w:highlight w:val="none"/>
            </w:rPr>
            <w:fldChar w:fldCharType="separate"/>
          </w:r>
          <w:r>
            <w:rPr>
              <w:rFonts w:hint="eastAsia" w:ascii="宋体" w:hAnsi="宋体" w:cs="宋体"/>
              <w:bCs/>
              <w:color w:val="auto"/>
              <w:sz w:val="28"/>
              <w:szCs w:val="28"/>
              <w:highlight w:val="none"/>
            </w:rPr>
            <w:t>第三章 项目需求</w:t>
          </w:r>
          <w:r>
            <w:rPr>
              <w:rFonts w:hint="eastAsia" w:ascii="宋体" w:hAnsi="宋体" w:cs="宋体"/>
              <w:bCs/>
              <w:color w:val="auto"/>
              <w:sz w:val="28"/>
              <w:szCs w:val="28"/>
              <w:highlight w:val="none"/>
              <w:lang w:val="en-US" w:eastAsia="zh-CN"/>
            </w:rPr>
            <w:t>..........................................</w:t>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_Toc12807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24</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363BE1B0">
          <w:pPr>
            <w:pStyle w:val="162"/>
            <w:pageBreakBefore w:val="0"/>
            <w:tabs>
              <w:tab w:val="right" w:leader="dot" w:pos="9880"/>
            </w:tabs>
            <w:kinsoku/>
            <w:wordWrap w:val="0"/>
            <w:topLinePunct w:val="0"/>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"_Toc12767" </w:instrText>
          </w:r>
          <w:r>
            <w:rPr>
              <w:color w:val="auto"/>
              <w:highlight w:val="none"/>
            </w:rPr>
            <w:fldChar w:fldCharType="separate"/>
          </w:r>
          <w:r>
            <w:rPr>
              <w:rFonts w:hint="eastAsia" w:ascii="宋体" w:hAnsi="宋体" w:cs="宋体"/>
              <w:bCs/>
              <w:color w:val="auto"/>
              <w:sz w:val="28"/>
              <w:szCs w:val="28"/>
              <w:highlight w:val="none"/>
            </w:rPr>
            <w:t>第四章 工程量清单</w:t>
          </w:r>
          <w:r>
            <w:rPr>
              <w:rFonts w:hint="eastAsia" w:ascii="宋体" w:hAnsi="宋体" w:cs="宋体"/>
              <w:bCs/>
              <w:color w:val="auto"/>
              <w:sz w:val="28"/>
              <w:szCs w:val="28"/>
              <w:highlight w:val="none"/>
              <w:lang w:val="en-US" w:eastAsia="zh-CN"/>
            </w:rPr>
            <w:t>........................................</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5</w:t>
          </w:r>
          <w:r>
            <w:rPr>
              <w:color w:val="auto"/>
              <w:highlight w:val="none"/>
            </w:rPr>
            <w:fldChar w:fldCharType="begin"/>
          </w:r>
          <w:r>
            <w:rPr>
              <w:color w:val="auto"/>
              <w:highlight w:val="none"/>
            </w:rPr>
            <w:instrText xml:space="preserve"> HYPERLINK \l "_Toc16324" </w:instrText>
          </w:r>
          <w:r>
            <w:rPr>
              <w:color w:val="auto"/>
              <w:highlight w:val="none"/>
            </w:rPr>
            <w:fldChar w:fldCharType="separate"/>
          </w:r>
          <w:r>
            <w:rPr>
              <w:rFonts w:hint="eastAsia" w:ascii="宋体" w:hAnsi="宋体" w:cs="宋体"/>
              <w:bCs/>
              <w:color w:val="auto"/>
              <w:sz w:val="28"/>
              <w:szCs w:val="28"/>
              <w:highlight w:val="none"/>
            </w:rPr>
            <w:t>第五章 评审程序、评审方法和评审标准</w:t>
          </w:r>
          <w:r>
            <w:rPr>
              <w:rFonts w:hint="eastAsia" w:ascii="宋体" w:hAnsi="宋体" w:cs="宋体"/>
              <w:bCs/>
              <w:color w:val="auto"/>
              <w:sz w:val="28"/>
              <w:szCs w:val="28"/>
              <w:highlight w:val="none"/>
              <w:lang w:val="en-US" w:eastAsia="zh-CN"/>
            </w:rPr>
            <w:t>......................</w:t>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_Toc16324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26</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77BA6C94">
          <w:pPr>
            <w:pStyle w:val="162"/>
            <w:pageBreakBefore w:val="0"/>
            <w:tabs>
              <w:tab w:val="right" w:leader="dot" w:pos="9880"/>
            </w:tabs>
            <w:kinsoku/>
            <w:wordWrap w:val="0"/>
            <w:topLinePunct w:val="0"/>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"_Toc4372" </w:instrText>
          </w:r>
          <w:r>
            <w:rPr>
              <w:color w:val="auto"/>
              <w:highlight w:val="none"/>
            </w:rPr>
            <w:fldChar w:fldCharType="separate"/>
          </w:r>
          <w:r>
            <w:rPr>
              <w:rFonts w:hint="eastAsia" w:ascii="宋体" w:hAnsi="宋体" w:cs="宋体"/>
              <w:bCs/>
              <w:color w:val="auto"/>
              <w:sz w:val="28"/>
              <w:szCs w:val="28"/>
              <w:highlight w:val="none"/>
            </w:rPr>
            <w:t>第六章 响应文件格式</w:t>
          </w:r>
          <w:r>
            <w:rPr>
              <w:rFonts w:hint="eastAsia" w:ascii="宋体" w:hAnsi="宋体" w:cs="宋体"/>
              <w:bCs/>
              <w:color w:val="auto"/>
              <w:sz w:val="28"/>
              <w:szCs w:val="28"/>
              <w:highlight w:val="none"/>
              <w:lang w:val="en-US" w:eastAsia="zh-CN"/>
            </w:rPr>
            <w:t>......................................</w:t>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_Toc4372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37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31F69E17">
          <w:pPr>
            <w:pStyle w:val="162"/>
            <w:pageBreakBefore w:val="0"/>
            <w:tabs>
              <w:tab w:val="right" w:leader="dot" w:pos="9880"/>
            </w:tabs>
            <w:kinsoku/>
            <w:wordWrap w:val="0"/>
            <w:topLinePunct w:val="0"/>
            <w:rPr>
              <w:rFonts w:hint="eastAsia" w:ascii="宋体" w:hAnsi="宋体" w:eastAsia="宋体" w:cs="宋体"/>
              <w:color w:val="auto"/>
              <w:sz w:val="28"/>
              <w:szCs w:val="28"/>
              <w:highlight w:val="none"/>
              <w:lang w:val="en-US" w:eastAsia="zh-CN"/>
            </w:rPr>
          </w:pPr>
          <w:r>
            <w:rPr>
              <w:color w:val="auto"/>
              <w:highlight w:val="none"/>
            </w:rPr>
            <w:fldChar w:fldCharType="begin"/>
          </w:r>
          <w:r>
            <w:rPr>
              <w:color w:val="auto"/>
              <w:highlight w:val="none"/>
            </w:rPr>
            <w:instrText xml:space="preserve"> HYPERLINK \l "_Toc18374" </w:instrText>
          </w:r>
          <w:r>
            <w:rPr>
              <w:color w:val="auto"/>
              <w:highlight w:val="none"/>
            </w:rPr>
            <w:fldChar w:fldCharType="separate"/>
          </w:r>
          <w:r>
            <w:rPr>
              <w:rFonts w:hint="eastAsia" w:ascii="宋体" w:hAnsi="宋体" w:cs="宋体"/>
              <w:bCs/>
              <w:color w:val="auto"/>
              <w:sz w:val="28"/>
              <w:szCs w:val="28"/>
              <w:highlight w:val="none"/>
            </w:rPr>
            <w:t>第七章 合同文本</w:t>
          </w:r>
          <w:r>
            <w:rPr>
              <w:rFonts w:hint="eastAsia" w:ascii="宋体" w:hAnsi="宋体" w:cs="宋体"/>
              <w:bCs/>
              <w:color w:val="auto"/>
              <w:sz w:val="28"/>
              <w:szCs w:val="28"/>
              <w:highlight w:val="none"/>
              <w:lang w:val="en-US" w:eastAsia="zh-CN"/>
            </w:rPr>
            <w:t>..........................................</w:t>
          </w:r>
          <w:r>
            <w:rPr>
              <w:rFonts w:hint="eastAsia" w:ascii="宋体" w:hAnsi="宋体" w:cs="宋体"/>
              <w:color w:val="auto"/>
              <w:sz w:val="28"/>
              <w:szCs w:val="28"/>
              <w:highlight w:val="none"/>
              <w:lang w:val="en-US" w:eastAsia="zh-CN"/>
            </w:rPr>
            <w:t>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lang w:val="en-US" w:eastAsia="zh-CN"/>
            </w:rPr>
            <w:t>2</w:t>
          </w:r>
        </w:p>
        <w:p w14:paraId="737A72D5">
          <w:pPr>
            <w:pageBreakBefore w:val="0"/>
            <w:kinsoku/>
            <w:wordWrap w:val="0"/>
            <w:topLinePunct w:val="0"/>
            <w:rPr>
              <w:color w:val="auto"/>
              <w:highlight w:val="none"/>
            </w:rPr>
          </w:pPr>
          <w:r>
            <w:rPr>
              <w:color w:val="auto"/>
              <w:highlight w:val="none"/>
            </w:rPr>
            <w:fldChar w:fldCharType="end"/>
          </w:r>
        </w:p>
      </w:sdtContent>
    </w:sdt>
    <w:p w14:paraId="385880DD">
      <w:pPr>
        <w:pageBreakBefore w:val="0"/>
        <w:kinsoku/>
        <w:wordWrap w:val="0"/>
        <w:topLinePunct w:val="0"/>
        <w:rPr>
          <w:color w:val="auto"/>
          <w:highlight w:val="none"/>
        </w:rPr>
      </w:pPr>
      <w:bookmarkStart w:id="4" w:name="_Toc21657"/>
      <w:r>
        <w:rPr>
          <w:rFonts w:hint="eastAsia"/>
          <w:color w:val="auto"/>
          <w:highlight w:val="none"/>
        </w:rPr>
        <w:br w:type="page"/>
      </w:r>
    </w:p>
    <w:p w14:paraId="714F78B3">
      <w:pPr>
        <w:pStyle w:val="3"/>
        <w:pageBreakBefore w:val="0"/>
        <w:numPr>
          <w:ilvl w:val="0"/>
          <w:numId w:val="0"/>
        </w:numPr>
        <w:kinsoku/>
        <w:wordWrap w:val="0"/>
        <w:topLinePunct w:val="0"/>
        <w:spacing w:line="240" w:lineRule="auto"/>
        <w:jc w:val="center"/>
        <w:rPr>
          <w:color w:val="auto"/>
          <w:highlight w:val="none"/>
        </w:rPr>
      </w:pPr>
      <w:r>
        <w:rPr>
          <w:rFonts w:hint="eastAsia"/>
          <w:color w:val="auto"/>
          <w:highlight w:val="none"/>
        </w:rPr>
        <w:t>第一章竞争性磋商采购公告</w:t>
      </w:r>
      <w:bookmarkEnd w:id="0"/>
      <w:bookmarkEnd w:id="1"/>
      <w:bookmarkEnd w:id="2"/>
      <w:bookmarkEnd w:id="4"/>
    </w:p>
    <w:p w14:paraId="26E35235">
      <w:pPr>
        <w:pageBreakBefore w:val="0"/>
        <w:kinsoku/>
        <w:wordWrap w:val="0"/>
        <w:topLinePunct w:val="0"/>
        <w:spacing w:line="500" w:lineRule="exact"/>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广西诚华工程造价咨询有限公司</w:t>
      </w:r>
    </w:p>
    <w:p w14:paraId="2FC218CB">
      <w:pPr>
        <w:pageBreakBefore w:val="0"/>
        <w:kinsoku/>
        <w:wordWrap w:val="0"/>
        <w:topLinePunct w:val="0"/>
        <w:spacing w:line="500" w:lineRule="exact"/>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rPr>
        <w:t>关于</w:t>
      </w:r>
      <w:r>
        <w:rPr>
          <w:rFonts w:hint="eastAsia" w:ascii="宋体" w:hAnsi="宋体" w:cs="宋体"/>
          <w:b/>
          <w:color w:val="auto"/>
          <w:sz w:val="28"/>
          <w:szCs w:val="28"/>
          <w:highlight w:val="none"/>
          <w:lang w:eastAsia="zh-CN"/>
        </w:rPr>
        <w:t>广西城市建设学校本部校区教学楼、宿舍楼等改造工程</w:t>
      </w:r>
    </w:p>
    <w:p w14:paraId="06B1CA31">
      <w:pPr>
        <w:pageBreakBefore w:val="0"/>
        <w:kinsoku/>
        <w:wordWrap w:val="0"/>
        <w:topLinePunct w:val="0"/>
        <w:spacing w:line="500" w:lineRule="exact"/>
        <w:jc w:val="center"/>
        <w:rPr>
          <w:rFonts w:ascii="宋体" w:hAnsi="宋体" w:cs="宋体"/>
          <w:color w:val="auto"/>
          <w:highlight w:val="none"/>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GXZC2026-C2-002234-GXCH</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）竞争性磋商采购公告</w:t>
      </w:r>
    </w:p>
    <w:p w14:paraId="3B3664FB">
      <w:pPr>
        <w:pageBreakBefore w:val="0"/>
        <w:pBdr>
          <w:top w:val="single" w:color="auto" w:sz="4" w:space="1"/>
          <w:left w:val="single" w:color="auto" w:sz="4" w:space="4"/>
          <w:bottom w:val="single" w:color="auto" w:sz="4" w:space="1"/>
          <w:right w:val="single" w:color="auto" w:sz="4" w:space="4"/>
        </w:pBdr>
        <w:kinsoku/>
        <w:wordWrap w:val="0"/>
        <w:topLinePunct w:val="0"/>
        <w:rPr>
          <w:rFonts w:ascii="宋体" w:hAnsi="宋体" w:cs="宋体"/>
          <w:color w:val="auto"/>
          <w:highlight w:val="none"/>
        </w:rPr>
      </w:pPr>
      <w:bookmarkStart w:id="5" w:name="OLE_LINK4"/>
      <w:bookmarkStart w:id="6" w:name="OLE_LINK2"/>
      <w:r>
        <w:rPr>
          <w:rFonts w:hint="eastAsia" w:ascii="宋体" w:hAnsi="宋体" w:cs="宋体"/>
          <w:color w:val="auto"/>
          <w:highlight w:val="none"/>
        </w:rPr>
        <w:t>项目概况</w:t>
      </w:r>
    </w:p>
    <w:p w14:paraId="39AE1ECB">
      <w:pPr>
        <w:pageBreakBefore w:val="0"/>
        <w:pBdr>
          <w:top w:val="single" w:color="auto" w:sz="4" w:space="1"/>
          <w:left w:val="single" w:color="auto" w:sz="4" w:space="4"/>
          <w:bottom w:val="single" w:color="auto" w:sz="4" w:space="1"/>
          <w:right w:val="single" w:color="auto" w:sz="4" w:space="4"/>
        </w:pBdr>
        <w:kinsoku/>
        <w:wordWrap w:val="0"/>
        <w:topLinePunct w:val="0"/>
        <w:ind w:firstLine="420" w:firstLineChars="200"/>
        <w:rPr>
          <w:rFonts w:ascii="宋体" w:hAnsi="宋体" w:cs="宋体"/>
          <w:color w:val="auto"/>
          <w:highlight w:val="none"/>
        </w:rPr>
      </w:pPr>
      <w:r>
        <w:rPr>
          <w:rFonts w:hint="eastAsia" w:ascii="宋体" w:hAnsi="宋体" w:cs="宋体"/>
          <w:color w:val="auto"/>
          <w:highlight w:val="none"/>
          <w:lang w:eastAsia="zh-CN"/>
        </w:rPr>
        <w:t>广西城市建设学校本部校区教学楼、宿舍楼等改造工程</w:t>
      </w:r>
      <w:r>
        <w:rPr>
          <w:rFonts w:hint="eastAsia" w:ascii="宋体" w:hAnsi="宋体" w:cs="宋体"/>
          <w:color w:val="auto"/>
          <w:highlight w:val="none"/>
        </w:rPr>
        <w:t>（项目编号：</w:t>
      </w:r>
      <w:r>
        <w:rPr>
          <w:rFonts w:hint="eastAsia" w:ascii="宋体" w:hAnsi="宋体" w:cs="宋体"/>
          <w:color w:val="auto"/>
          <w:highlight w:val="none"/>
          <w:lang w:eastAsia="zh-CN"/>
        </w:rPr>
        <w:t>GGZC202</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-C2</w:t>
      </w:r>
      <w:r>
        <w:rPr>
          <w:rFonts w:hint="eastAsia" w:ascii="宋体" w:hAnsi="宋体" w:cs="宋体"/>
          <w:color w:val="auto"/>
          <w:highlight w:val="none"/>
          <w:lang w:val="en-US" w:eastAsia="zh-CN"/>
        </w:rPr>
        <w:t xml:space="preserve">    </w:t>
      </w:r>
      <w:r>
        <w:rPr>
          <w:rFonts w:hint="eastAsia" w:ascii="宋体" w:hAnsi="宋体" w:cs="宋体"/>
          <w:color w:val="auto"/>
          <w:highlight w:val="none"/>
        </w:rPr>
        <w:t>）项目的潜在供应商应在广西政府采购云平台（https://www.gcy.zfcg.gxzf.gov.cn/）获取采购文件，并于202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月</w:t>
      </w:r>
      <w:r>
        <w:rPr>
          <w:rFonts w:hint="eastAsia" w:ascii="宋体" w:hAnsi="宋体" w:cs="宋体"/>
          <w:color w:val="auto"/>
          <w:highlight w:val="none"/>
          <w:lang w:val="en-US" w:eastAsia="zh-CN"/>
        </w:rPr>
        <w:t>24</w:t>
      </w:r>
      <w:r>
        <w:rPr>
          <w:rFonts w:hint="eastAsia" w:ascii="宋体" w:hAnsi="宋体" w:cs="宋体"/>
          <w:color w:val="auto"/>
          <w:highlight w:val="none"/>
          <w:lang w:eastAsia="zh-CN"/>
        </w:rPr>
        <w:t>日</w:t>
      </w:r>
      <w:r>
        <w:rPr>
          <w:rFonts w:hint="eastAsia" w:ascii="宋体" w:hAnsi="宋体" w:cs="宋体"/>
          <w:color w:val="auto"/>
          <w:highlight w:val="none"/>
          <w:lang w:val="en-US" w:eastAsia="zh-CN"/>
        </w:rPr>
        <w:t>9</w:t>
      </w:r>
      <w:r>
        <w:rPr>
          <w:rFonts w:hint="eastAsia" w:ascii="宋体" w:hAnsi="宋体" w:cs="宋体"/>
          <w:color w:val="auto"/>
          <w:highlight w:val="none"/>
          <w:lang w:eastAsia="zh-CN"/>
        </w:rPr>
        <w:t>时</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0分</w:t>
      </w:r>
      <w:r>
        <w:rPr>
          <w:rFonts w:hint="eastAsia" w:ascii="宋体" w:hAnsi="宋体" w:cs="宋体"/>
          <w:color w:val="auto"/>
          <w:highlight w:val="none"/>
        </w:rPr>
        <w:t>（北京时间）前提交响应文件。</w:t>
      </w:r>
    </w:p>
    <w:p w14:paraId="02F1B58C">
      <w:pPr>
        <w:pageBreakBefore w:val="0"/>
        <w:kinsoku/>
        <w:wordWrap w:val="0"/>
        <w:topLinePunct w:val="0"/>
        <w:spacing w:line="400" w:lineRule="exact"/>
        <w:ind w:firstLine="422" w:firstLineChars="200"/>
        <w:rPr>
          <w:rFonts w:ascii="宋体" w:hAnsi="宋体" w:cs="宋体"/>
          <w:b/>
          <w:color w:val="auto"/>
          <w:highlight w:val="none"/>
        </w:rPr>
      </w:pPr>
      <w:r>
        <w:rPr>
          <w:rFonts w:hint="eastAsia" w:ascii="宋体" w:hAnsi="宋体" w:cs="宋体"/>
          <w:b/>
          <w:color w:val="auto"/>
          <w:highlight w:val="none"/>
        </w:rPr>
        <w:t>一、项目基本情况</w:t>
      </w:r>
    </w:p>
    <w:p w14:paraId="16D2FDA2">
      <w:pPr>
        <w:pageBreakBefore w:val="0"/>
        <w:kinsoku/>
        <w:wordWrap w:val="0"/>
        <w:topLinePunct w:val="0"/>
        <w:spacing w:line="360" w:lineRule="exact"/>
        <w:ind w:left="420" w:leftChars="200"/>
        <w:rPr>
          <w:rFonts w:hint="default" w:eastAsia="宋体"/>
          <w:color w:val="auto"/>
          <w:szCs w:val="21"/>
          <w:highlight w:val="none"/>
          <w:lang w:val="en-US" w:eastAsia="zh-CN"/>
        </w:rPr>
      </w:pPr>
      <w:r>
        <w:rPr>
          <w:rFonts w:hint="eastAsia"/>
          <w:color w:val="auto"/>
          <w:szCs w:val="21"/>
          <w:highlight w:val="none"/>
        </w:rPr>
        <w:t>1.项目编号：</w:t>
      </w:r>
      <w:r>
        <w:rPr>
          <w:rFonts w:hint="eastAsia"/>
          <w:color w:val="auto"/>
          <w:szCs w:val="21"/>
          <w:highlight w:val="none"/>
          <w:lang w:eastAsia="zh-CN"/>
        </w:rPr>
        <w:t>GXZC2026-C2-002234-GXCH</w:t>
      </w:r>
      <w:r>
        <w:rPr>
          <w:rFonts w:hint="eastAsia"/>
          <w:color w:val="auto"/>
          <w:szCs w:val="21"/>
          <w:highlight w:val="none"/>
          <w:lang w:val="en-US" w:eastAsia="zh-CN"/>
        </w:rPr>
        <w:t xml:space="preserve"> </w:t>
      </w:r>
    </w:p>
    <w:p w14:paraId="240A690B">
      <w:pPr>
        <w:pageBreakBefore w:val="0"/>
        <w:kinsoku/>
        <w:wordWrap w:val="0"/>
        <w:topLinePunct w:val="0"/>
        <w:spacing w:line="360" w:lineRule="exact"/>
        <w:ind w:left="1680" w:leftChars="200" w:hanging="1260" w:hangingChars="600"/>
        <w:rPr>
          <w:rFonts w:hint="eastAsia" w:eastAsia="宋体"/>
          <w:color w:val="auto"/>
          <w:szCs w:val="21"/>
          <w:highlight w:val="none"/>
          <w:lang w:eastAsia="zh-CN"/>
        </w:rPr>
      </w:pPr>
      <w:r>
        <w:rPr>
          <w:rFonts w:hint="eastAsia"/>
          <w:color w:val="auto"/>
          <w:szCs w:val="21"/>
          <w:highlight w:val="none"/>
        </w:rPr>
        <w:t>2.项目名称：</w:t>
      </w:r>
      <w:r>
        <w:rPr>
          <w:rFonts w:hint="eastAsia"/>
          <w:color w:val="auto"/>
          <w:szCs w:val="21"/>
          <w:highlight w:val="none"/>
          <w:lang w:eastAsia="zh-CN"/>
        </w:rPr>
        <w:t>广西城市建设学校本部校区教学楼、宿舍楼等改造工程</w:t>
      </w:r>
    </w:p>
    <w:p w14:paraId="40420B00">
      <w:pPr>
        <w:pageBreakBefore w:val="0"/>
        <w:kinsoku/>
        <w:wordWrap w:val="0"/>
        <w:topLinePunct w:val="0"/>
        <w:spacing w:line="360" w:lineRule="exact"/>
        <w:ind w:left="420" w:leftChars="200"/>
        <w:rPr>
          <w:rFonts w:hint="eastAsia"/>
          <w:color w:val="auto"/>
          <w:szCs w:val="21"/>
          <w:highlight w:val="none"/>
        </w:rPr>
      </w:pPr>
      <w:r>
        <w:rPr>
          <w:rFonts w:hint="eastAsia"/>
          <w:color w:val="auto"/>
          <w:szCs w:val="21"/>
          <w:highlight w:val="none"/>
        </w:rPr>
        <w:t>3.采购方式：竞争性磋商</w:t>
      </w:r>
    </w:p>
    <w:p w14:paraId="522EB822">
      <w:pPr>
        <w:pageBreakBefore w:val="0"/>
        <w:kinsoku/>
        <w:wordWrap w:val="0"/>
        <w:topLinePunct w:val="0"/>
        <w:spacing w:line="360" w:lineRule="exact"/>
        <w:ind w:left="420" w:leftChars="200"/>
        <w:rPr>
          <w:rFonts w:hint="default" w:ascii="宋体" w:hAnsi="宋体" w:eastAsia="宋体" w:cs="宋体"/>
          <w:color w:val="auto"/>
          <w:szCs w:val="21"/>
          <w:highlight w:val="none"/>
          <w:lang w:val="en-US" w:eastAsia="zh-CN"/>
        </w:rPr>
      </w:pPr>
      <w:r>
        <w:rPr>
          <w:rFonts w:hint="eastAsia"/>
          <w:color w:val="auto"/>
          <w:szCs w:val="21"/>
          <w:highlight w:val="none"/>
        </w:rPr>
        <w:t>4.预算金额：</w:t>
      </w:r>
      <w:r>
        <w:rPr>
          <w:rFonts w:hint="eastAsia"/>
          <w:color w:val="auto"/>
          <w:szCs w:val="21"/>
          <w:highlight w:val="none"/>
          <w:lang w:val="en-US" w:eastAsia="zh-CN"/>
        </w:rPr>
        <w:t>1398100.00元</w:t>
      </w:r>
    </w:p>
    <w:p w14:paraId="221C81DB">
      <w:pPr>
        <w:pageBreakBefore w:val="0"/>
        <w:kinsoku/>
        <w:wordWrap w:val="0"/>
        <w:topLinePunct w:val="0"/>
        <w:spacing w:line="360" w:lineRule="exact"/>
        <w:ind w:firstLine="420" w:firstLineChars="200"/>
        <w:rPr>
          <w:rFonts w:hint="eastAsia" w:eastAsia="宋体"/>
          <w:color w:val="auto"/>
          <w:szCs w:val="21"/>
          <w:highlight w:val="none"/>
          <w:lang w:eastAsia="zh-CN"/>
        </w:rPr>
      </w:pPr>
      <w:r>
        <w:rPr>
          <w:rFonts w:hint="eastAsia"/>
          <w:color w:val="auto"/>
          <w:szCs w:val="21"/>
          <w:highlight w:val="none"/>
        </w:rPr>
        <w:t>5.最高限价：</w:t>
      </w:r>
      <w:r>
        <w:rPr>
          <w:rFonts w:hint="eastAsia"/>
          <w:color w:val="auto"/>
          <w:szCs w:val="21"/>
          <w:highlight w:val="none"/>
          <w:lang w:val="en-US" w:eastAsia="zh-CN"/>
        </w:rPr>
        <w:t>1398100.00元</w:t>
      </w:r>
    </w:p>
    <w:p w14:paraId="61B99270">
      <w:pPr>
        <w:pageBreakBefore w:val="0"/>
        <w:kinsoku/>
        <w:wordWrap w:val="0"/>
        <w:topLinePunct w:val="0"/>
        <w:spacing w:line="360" w:lineRule="exact"/>
        <w:ind w:firstLine="420" w:firstLineChars="200"/>
        <w:rPr>
          <w:color w:val="auto"/>
          <w:szCs w:val="21"/>
          <w:highlight w:val="none"/>
        </w:rPr>
      </w:pPr>
      <w:r>
        <w:rPr>
          <w:rFonts w:hint="eastAsia"/>
          <w:color w:val="auto"/>
          <w:szCs w:val="21"/>
          <w:highlight w:val="none"/>
        </w:rPr>
        <w:t>6.</w:t>
      </w:r>
      <w:r>
        <w:rPr>
          <w:rFonts w:hint="eastAsia" w:ascii="宋体" w:hAnsi="宋体" w:cs="宋体"/>
          <w:color w:val="auto"/>
          <w:szCs w:val="21"/>
          <w:highlight w:val="none"/>
          <w:lang w:eastAsia="zh-CN"/>
        </w:rPr>
        <w:t>工程规模及主要建设内容：拟对办公实验楼、教学楼及宿舍楼进行翻新改造</w:t>
      </w:r>
      <w:r>
        <w:rPr>
          <w:rFonts w:hint="eastAsia"/>
          <w:color w:val="auto"/>
          <w:szCs w:val="21"/>
          <w:highlight w:val="none"/>
        </w:rPr>
        <w:t>；详见工程量清单文件及施工图纸。</w:t>
      </w:r>
    </w:p>
    <w:p w14:paraId="048ACB48">
      <w:pPr>
        <w:pageBreakBefore w:val="0"/>
        <w:kinsoku/>
        <w:wordWrap w:val="0"/>
        <w:topLinePunct w:val="0"/>
        <w:spacing w:line="360" w:lineRule="exact"/>
        <w:ind w:left="420" w:leftChars="200"/>
        <w:rPr>
          <w:rFonts w:ascii="宋体" w:hAnsi="宋体" w:cs="宋体"/>
          <w:color w:val="auto"/>
          <w:szCs w:val="21"/>
          <w:highlight w:val="none"/>
        </w:rPr>
      </w:pPr>
      <w:r>
        <w:rPr>
          <w:rFonts w:hint="eastAsia" w:ascii="宋体" w:hAnsi="宋体" w:cs="宋体"/>
          <w:color w:val="auto"/>
          <w:szCs w:val="21"/>
          <w:highlight w:val="none"/>
        </w:rPr>
        <w:t>7.工期：</w:t>
      </w:r>
      <w:r>
        <w:rPr>
          <w:rFonts w:hint="eastAsia" w:hAnsi="宋体" w:cs="宋体"/>
          <w:bCs/>
          <w:color w:val="auto"/>
          <w:szCs w:val="21"/>
          <w:highlight w:val="none"/>
          <w:lang w:val="en-US" w:eastAsia="zh-CN"/>
        </w:rPr>
        <w:t>9</w:t>
      </w:r>
      <w:r>
        <w:rPr>
          <w:rFonts w:hint="eastAsia" w:hAnsi="宋体" w:cs="宋体"/>
          <w:bCs/>
          <w:color w:val="auto"/>
          <w:szCs w:val="21"/>
          <w:highlight w:val="none"/>
        </w:rPr>
        <w:t>0天（日历天）</w:t>
      </w:r>
    </w:p>
    <w:p w14:paraId="636AF94B">
      <w:pPr>
        <w:pageBreakBefore w:val="0"/>
        <w:kinsoku/>
        <w:wordWrap w:val="0"/>
        <w:topLinePunct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8.工程质量要求：</w:t>
      </w:r>
      <w:r>
        <w:rPr>
          <w:rFonts w:hint="eastAsia" w:hAnsi="宋体" w:cs="宋体"/>
          <w:bCs/>
          <w:color w:val="auto"/>
          <w:szCs w:val="21"/>
          <w:highlight w:val="none"/>
        </w:rPr>
        <w:t>符合国家施工验收规范合格标准。</w:t>
      </w:r>
    </w:p>
    <w:p w14:paraId="25B93504">
      <w:pPr>
        <w:pageBreakBefore w:val="0"/>
        <w:kinsoku/>
        <w:wordWrap w:val="0"/>
        <w:topLinePunct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9.本项目（否）接受联合体</w:t>
      </w:r>
    </w:p>
    <w:p w14:paraId="455AEB13">
      <w:pPr>
        <w:pageBreakBefore w:val="0"/>
        <w:kinsoku/>
        <w:wordWrap w:val="0"/>
        <w:topLinePunct w:val="0"/>
        <w:spacing w:line="400" w:lineRule="exact"/>
        <w:ind w:firstLine="422" w:firstLineChars="200"/>
        <w:rPr>
          <w:rFonts w:ascii="宋体" w:hAnsi="宋体" w:cs="宋体"/>
          <w:b/>
          <w:color w:val="auto"/>
          <w:highlight w:val="none"/>
        </w:rPr>
      </w:pPr>
      <w:r>
        <w:rPr>
          <w:rFonts w:hint="eastAsia" w:ascii="宋体" w:hAnsi="宋体" w:cs="宋体"/>
          <w:b/>
          <w:color w:val="auto"/>
          <w:highlight w:val="none"/>
        </w:rPr>
        <w:t>二、申请人的资格要求：</w:t>
      </w:r>
    </w:p>
    <w:p w14:paraId="2D536DEE">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1.满足《中华人民共和国政府采购法》第二十二条规定；</w:t>
      </w:r>
    </w:p>
    <w:p w14:paraId="42C4207D">
      <w:pPr>
        <w:pageBreakBefore w:val="0"/>
        <w:kinsoku/>
        <w:wordWrap w:val="0"/>
        <w:topLinePunct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2.落实采购政策需满足的资格要求：本项目为专门面向中小企业采购的项目（供应商应为中小微企业/监狱企业/残疾人福利性单位)。</w:t>
      </w:r>
    </w:p>
    <w:p w14:paraId="6115315E">
      <w:pPr>
        <w:pageBreakBefore w:val="0"/>
        <w:kinsoku/>
        <w:wordWrap w:val="0"/>
        <w:topLinePunct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3.本项目的特定资格要求：具备建筑工程施工总承包叁级以上（含叁级）资质的企业，具有省级及以上建设行政主管部门颁发的安全生产许可证；在人员、设备、资金等方面具备相应的施工能力；其中，</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拟派项目经理须具备建筑工程二级以上（含本级）专业注册建造师执业资格，具备有效的安全生产考核合格证书（B类）。</w:t>
      </w:r>
    </w:p>
    <w:p w14:paraId="73516094">
      <w:pPr>
        <w:pageBreakBefore w:val="0"/>
        <w:kinsoku/>
        <w:wordWrap w:val="0"/>
        <w:topLinePunct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7F8967D">
      <w:pPr>
        <w:pageBreakBefore w:val="0"/>
        <w:kinsoku/>
        <w:wordWrap w:val="0"/>
        <w:topLinePunct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579B117">
      <w:pPr>
        <w:pageBreakBefore w:val="0"/>
        <w:kinsoku/>
        <w:wordWrap w:val="0"/>
        <w:topLinePunct w:val="0"/>
        <w:spacing w:line="400" w:lineRule="exact"/>
        <w:ind w:firstLine="420" w:firstLineChars="200"/>
        <w:rPr>
          <w:rFonts w:ascii="宋体" w:hAnsi="宋体" w:cs="宋体"/>
          <w:color w:val="auto"/>
          <w:highlight w:val="none"/>
        </w:rPr>
      </w:pPr>
    </w:p>
    <w:p w14:paraId="4E4A7E61">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三、获取采购文件</w:t>
      </w:r>
    </w:p>
    <w:p w14:paraId="7F61FC2F">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时间：202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7</w:t>
      </w:r>
      <w:r>
        <w:rPr>
          <w:rFonts w:hint="eastAsia" w:ascii="宋体" w:hAnsi="宋体" w:cs="宋体"/>
          <w:color w:val="auto"/>
          <w:highlight w:val="none"/>
        </w:rPr>
        <w:t>月</w:t>
      </w:r>
      <w:r>
        <w:rPr>
          <w:rFonts w:hint="eastAsia" w:ascii="宋体" w:hAnsi="宋体" w:cs="宋体"/>
          <w:color w:val="auto"/>
          <w:highlight w:val="none"/>
          <w:lang w:val="en-US" w:eastAsia="zh-CN"/>
        </w:rPr>
        <w:t>13</w:t>
      </w:r>
      <w:r>
        <w:rPr>
          <w:rFonts w:hint="eastAsia" w:ascii="宋体" w:hAnsi="宋体" w:cs="宋体"/>
          <w:color w:val="auto"/>
          <w:highlight w:val="none"/>
        </w:rPr>
        <w:t>日至磋商文件递交的截止时间止。</w:t>
      </w:r>
    </w:p>
    <w:p w14:paraId="0FEA3401">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地点：广西政府采购云平台（https://www.gcy.zfcg.gxzf.gov.cn/）</w:t>
      </w:r>
    </w:p>
    <w:p w14:paraId="0E80376C">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方式：供应商通过广西政府采购网（http://zfcg.gxzf.gov.cn/）“供应商注册”完成账号注册后，登录云平台（简称新平台）“项目采购”应用，在获取采购文件菜单中选择项目，申请获取采购文件。如在操作过程中遇到问题或需技术支持，请致电平台客服，客服电话：95763。 售价：0元</w:t>
      </w:r>
      <w:bookmarkStart w:id="7" w:name="_Toc28359007"/>
      <w:bookmarkStart w:id="8" w:name="_Toc28359084"/>
      <w:bookmarkStart w:id="9" w:name="_Toc35393625"/>
      <w:bookmarkStart w:id="10" w:name="_Toc35393794"/>
    </w:p>
    <w:p w14:paraId="48FA02D6">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四、响应文件提交</w:t>
      </w:r>
    </w:p>
    <w:p w14:paraId="3999B5BF">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截止时间：202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月</w:t>
      </w:r>
      <w:r>
        <w:rPr>
          <w:rFonts w:hint="eastAsia" w:ascii="宋体" w:hAnsi="宋体" w:cs="宋体"/>
          <w:color w:val="auto"/>
          <w:highlight w:val="none"/>
          <w:lang w:val="en-US" w:eastAsia="zh-CN"/>
        </w:rPr>
        <w:t xml:space="preserve"> 24</w:t>
      </w:r>
      <w:r>
        <w:rPr>
          <w:rFonts w:hint="eastAsia" w:ascii="宋体" w:hAnsi="宋体" w:cs="宋体"/>
          <w:color w:val="auto"/>
          <w:highlight w:val="none"/>
          <w:lang w:eastAsia="zh-CN"/>
        </w:rPr>
        <w:t>日</w:t>
      </w:r>
      <w:r>
        <w:rPr>
          <w:rFonts w:hint="eastAsia" w:ascii="宋体" w:hAnsi="宋体" w:cs="宋体"/>
          <w:color w:val="auto"/>
          <w:highlight w:val="none"/>
          <w:lang w:val="en-US" w:eastAsia="zh-CN"/>
        </w:rPr>
        <w:t>9</w:t>
      </w:r>
      <w:r>
        <w:rPr>
          <w:rFonts w:hint="eastAsia" w:ascii="宋体" w:hAnsi="宋体" w:cs="宋体"/>
          <w:color w:val="auto"/>
          <w:highlight w:val="none"/>
          <w:lang w:eastAsia="zh-CN"/>
        </w:rPr>
        <w:t>时</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0分</w:t>
      </w:r>
      <w:r>
        <w:rPr>
          <w:rFonts w:hint="eastAsia" w:ascii="宋体" w:hAnsi="宋体" w:cs="宋体"/>
          <w:color w:val="auto"/>
          <w:highlight w:val="none"/>
        </w:rPr>
        <w:t>（北京时间）。</w:t>
      </w:r>
    </w:p>
    <w:p w14:paraId="44A7333B">
      <w:pPr>
        <w:pageBreakBefore w:val="0"/>
        <w:kinsoku/>
        <w:wordWrap w:val="0"/>
        <w:topLinePunct w:val="0"/>
        <w:spacing w:line="400" w:lineRule="exact"/>
        <w:ind w:firstLine="420" w:firstLineChars="200"/>
        <w:rPr>
          <w:color w:val="auto"/>
          <w:highlight w:val="none"/>
        </w:rPr>
      </w:pPr>
      <w:r>
        <w:rPr>
          <w:rFonts w:hint="eastAsia" w:ascii="宋体" w:hAnsi="宋体" w:cs="宋体"/>
          <w:color w:val="auto"/>
          <w:highlight w:val="none"/>
        </w:rPr>
        <w:t>地点：通过广西政府采购云平台（https://www.gcy.zfcg.gxzf.gov.cn/）实行在线投标（本项目不要求投标供应商到达开标现场，但供应商应派法定代表人（或负责人）或委托代理人准时在线出席电子开评标会议，随时关注开评标进度，如在开评标过程中有电子询标，应在规定的时间内对电子询标函进行澄清回复。） </w:t>
      </w:r>
    </w:p>
    <w:p w14:paraId="2E5C19D5">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五、开启</w:t>
      </w:r>
    </w:p>
    <w:p w14:paraId="26A2175B">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时间：202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月</w:t>
      </w:r>
      <w:r>
        <w:rPr>
          <w:rFonts w:hint="eastAsia" w:ascii="宋体" w:hAnsi="宋体" w:cs="宋体"/>
          <w:color w:val="auto"/>
          <w:highlight w:val="none"/>
          <w:lang w:val="en-US" w:eastAsia="zh-CN"/>
        </w:rPr>
        <w:t xml:space="preserve">24 </w:t>
      </w:r>
      <w:r>
        <w:rPr>
          <w:rFonts w:hint="eastAsia" w:ascii="宋体" w:hAnsi="宋体" w:cs="宋体"/>
          <w:color w:val="auto"/>
          <w:highlight w:val="none"/>
          <w:lang w:eastAsia="zh-CN"/>
        </w:rPr>
        <w:t>日</w:t>
      </w:r>
      <w:r>
        <w:rPr>
          <w:rFonts w:hint="eastAsia" w:ascii="宋体" w:hAnsi="宋体" w:cs="宋体"/>
          <w:color w:val="auto"/>
          <w:highlight w:val="none"/>
          <w:lang w:val="en-US" w:eastAsia="zh-CN"/>
        </w:rPr>
        <w:t>9</w:t>
      </w:r>
      <w:r>
        <w:rPr>
          <w:rFonts w:hint="eastAsia" w:ascii="宋体" w:hAnsi="宋体" w:cs="宋体"/>
          <w:color w:val="auto"/>
          <w:highlight w:val="none"/>
          <w:lang w:eastAsia="zh-CN"/>
        </w:rPr>
        <w:t>时</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0分</w:t>
      </w:r>
      <w:r>
        <w:rPr>
          <w:rFonts w:hint="eastAsia" w:ascii="宋体" w:hAnsi="宋体" w:cs="宋体"/>
          <w:color w:val="auto"/>
          <w:highlight w:val="none"/>
        </w:rPr>
        <w:t>（北京时间）。</w:t>
      </w:r>
    </w:p>
    <w:p w14:paraId="0358D525">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地点：广西</w:t>
      </w:r>
      <w:r>
        <w:rPr>
          <w:rFonts w:hint="eastAsia" w:ascii="宋体" w:hAnsi="宋体" w:eastAsia="宋体" w:cs="宋体"/>
          <w:color w:val="auto"/>
          <w:szCs w:val="21"/>
          <w:highlight w:val="none"/>
          <w:u w:val="single"/>
        </w:rPr>
        <w:t>政府采购云平台远程开标大厅</w:t>
      </w:r>
    </w:p>
    <w:p w14:paraId="2D8CE724">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六、公告期限</w:t>
      </w:r>
      <w:bookmarkEnd w:id="7"/>
      <w:bookmarkEnd w:id="8"/>
      <w:bookmarkEnd w:id="9"/>
      <w:bookmarkEnd w:id="10"/>
      <w:r>
        <w:rPr>
          <w:rFonts w:hint="eastAsia" w:ascii="宋体" w:hAnsi="宋体" w:cs="宋体"/>
          <w:color w:val="auto"/>
          <w:highlight w:val="none"/>
        </w:rPr>
        <w:t>：</w:t>
      </w:r>
      <w:bookmarkStart w:id="11" w:name="_Toc35393795"/>
      <w:bookmarkStart w:id="12" w:name="_Toc35393626"/>
      <w:r>
        <w:rPr>
          <w:rFonts w:hint="eastAsia" w:ascii="宋体" w:hAnsi="宋体" w:cs="宋体"/>
          <w:color w:val="auto"/>
          <w:highlight w:val="none"/>
        </w:rPr>
        <w:t>自本公告发布之日起5个工作日。</w:t>
      </w:r>
    </w:p>
    <w:p w14:paraId="21B33EA1">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 xml:space="preserve">    七、其他补充事宜</w:t>
      </w:r>
      <w:bookmarkEnd w:id="11"/>
      <w:bookmarkEnd w:id="12"/>
    </w:p>
    <w:p w14:paraId="37026D34">
      <w:pPr>
        <w:pageBreakBefore w:val="0"/>
        <w:kinsoku/>
        <w:wordWrap w:val="0"/>
        <w:topLinePunct w:val="0"/>
        <w:spacing w:line="400" w:lineRule="exact"/>
        <w:ind w:firstLine="420" w:firstLineChars="200"/>
        <w:rPr>
          <w:rFonts w:ascii="宋体" w:hAnsi="宋体" w:cs="宋体"/>
          <w:color w:val="auto"/>
          <w:highlight w:val="none"/>
        </w:rPr>
      </w:pPr>
      <w:bookmarkStart w:id="13" w:name="_Toc28359085"/>
      <w:bookmarkStart w:id="14" w:name="_Toc35393796"/>
      <w:bookmarkStart w:id="15" w:name="_Toc28359008"/>
      <w:bookmarkStart w:id="16" w:name="_Toc35393627"/>
      <w:r>
        <w:rPr>
          <w:rFonts w:hint="eastAsia" w:ascii="宋体" w:hAnsi="宋体" w:cs="宋体"/>
          <w:color w:val="auto"/>
          <w:highlight w:val="none"/>
        </w:rPr>
        <w:t>1.本项目需要落实的政府采购政策：</w:t>
      </w:r>
    </w:p>
    <w:p w14:paraId="4B0DB719">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1）政府采购促进中小企业发展；（2）政府采购支持采用本国产品的政策；（3）强制采购节能产品；优先采购节能产品、环境标志产品；（4）政府采购促进残疾人就业政策；（5）政府采购支持监狱企业发展；（6）政府采购扶持不发达地区和少数民族地区政策。</w:t>
      </w:r>
    </w:p>
    <w:p w14:paraId="4859A084">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2.磋商保证金及履约保证金：无。</w:t>
      </w:r>
    </w:p>
    <w:p w14:paraId="6DCE6F8C">
      <w:pPr>
        <w:pageBreakBefore w:val="0"/>
        <w:kinsoku/>
        <w:wordWrap w:val="0"/>
        <w:topLinePunct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highlight w:val="none"/>
        </w:rPr>
        <w:t>3.网上查询地址：</w:t>
      </w:r>
      <w:r>
        <w:rPr>
          <w:rFonts w:hint="eastAsia" w:ascii="宋体" w:hAnsi="宋体" w:eastAsia="宋体" w:cs="宋体"/>
          <w:color w:val="auto"/>
          <w:kern w:val="0"/>
          <w:szCs w:val="21"/>
          <w:highlight w:val="none"/>
        </w:rPr>
        <w:t>中国政府采购网（http://www.ccgp.gov.cn）、广西壮族自治区政府采购网（http://zfcg.gxzf.gov.cn）、</w:t>
      </w:r>
      <w:r>
        <w:rPr>
          <w:rFonts w:hint="eastAsia" w:ascii="宋体" w:hAnsi="宋体" w:eastAsia="宋体" w:cs="宋体"/>
          <w:color w:val="auto"/>
          <w:kern w:val="0"/>
          <w:szCs w:val="21"/>
          <w:highlight w:val="none"/>
          <w:lang w:val="en-US" w:eastAsia="zh-CN"/>
        </w:rPr>
        <w:t>全国</w:t>
      </w:r>
      <w:r>
        <w:rPr>
          <w:rFonts w:hint="eastAsia" w:ascii="宋体" w:hAnsi="宋体" w:eastAsia="宋体" w:cs="宋体"/>
          <w:color w:val="auto"/>
          <w:kern w:val="0"/>
          <w:szCs w:val="21"/>
          <w:highlight w:val="none"/>
        </w:rPr>
        <w:t>公共资源交易</w:t>
      </w:r>
      <w:r>
        <w:rPr>
          <w:rFonts w:hint="eastAsia" w:ascii="宋体" w:hAnsi="宋体" w:eastAsia="宋体" w:cs="宋体"/>
          <w:color w:val="auto"/>
          <w:kern w:val="0"/>
          <w:szCs w:val="21"/>
          <w:highlight w:val="none"/>
          <w:lang w:val="en-US" w:eastAsia="zh-CN"/>
        </w:rPr>
        <w:t>平台（广西</w:t>
      </w:r>
      <w:r>
        <w:rPr>
          <w:rFonts w:hint="eastAsia" w:ascii="宋体" w:hAnsi="宋体" w:eastAsia="宋体" w:cs="宋体"/>
          <w:i w:val="0"/>
          <w:iCs w:val="0"/>
          <w:caps w:val="0"/>
          <w:color w:val="333333"/>
          <w:spacing w:val="0"/>
          <w:kern w:val="0"/>
          <w:sz w:val="24"/>
          <w:szCs w:val="24"/>
          <w:shd w:val="clear" w:color="auto" w:fill="FFFFFF"/>
          <w:lang w:val="en-US" w:eastAsia="zh-CN" w:bidi="ar"/>
        </w:rPr>
        <w:t>•</w:t>
      </w:r>
      <w:r>
        <w:rPr>
          <w:rFonts w:hint="eastAsia" w:ascii="宋体" w:hAnsi="宋体" w:eastAsia="宋体" w:cs="宋体"/>
          <w:color w:val="auto"/>
          <w:kern w:val="0"/>
          <w:szCs w:val="21"/>
          <w:highlight w:val="none"/>
          <w:lang w:val="en-US" w:eastAsia="zh-CN"/>
        </w:rPr>
        <w:t>桂林）</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http://ggzy.jgswj.gxzf.gov.cn/glggzy/</w:t>
      </w:r>
      <w:r>
        <w:rPr>
          <w:rFonts w:hint="eastAsia" w:ascii="宋体" w:hAnsi="宋体" w:eastAsia="宋体" w:cs="宋体"/>
          <w:color w:val="auto"/>
          <w:kern w:val="0"/>
          <w:szCs w:val="21"/>
          <w:highlight w:val="none"/>
        </w:rPr>
        <w:t>）。</w:t>
      </w:r>
    </w:p>
    <w:p w14:paraId="462C0EB4">
      <w:pPr>
        <w:pageBreakBefore w:val="0"/>
        <w:kinsoku/>
        <w:wordWrap w:val="0"/>
        <w:topLinePunct w:val="0"/>
        <w:spacing w:line="400" w:lineRule="exact"/>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 本项目所属行业：“建筑业 ”</w:t>
      </w:r>
    </w:p>
    <w:p w14:paraId="1614CF32">
      <w:pPr>
        <w:pageBreakBefore w:val="0"/>
        <w:kinsoku/>
        <w:wordWrap w:val="0"/>
        <w:topLinePunct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.供应商竞标注意事项：</w:t>
      </w:r>
    </w:p>
    <w:p w14:paraId="1EC30273">
      <w:pPr>
        <w:pageBreakBefore w:val="0"/>
        <w:kinsoku/>
        <w:wordWrap w:val="0"/>
        <w:topLinePunct w:val="0"/>
        <w:spacing w:line="400" w:lineRule="exact"/>
        <w:ind w:left="210" w:leftChars="100" w:firstLine="210" w:firstLineChars="100"/>
        <w:jc w:val="left"/>
        <w:rPr>
          <w:rFonts w:ascii="宋体" w:hAnsi="宋体" w:cs="宋体"/>
          <w:color w:val="auto"/>
          <w:highlight w:val="none"/>
        </w:rPr>
      </w:pPr>
      <w:r>
        <w:rPr>
          <w:rFonts w:hint="eastAsia" w:ascii="宋体" w:hAnsi="宋体" w:cs="宋体"/>
          <w:color w:val="auto"/>
          <w:highlight w:val="none"/>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w:t>
      </w:r>
    </w:p>
    <w:p w14:paraId="21A70B85">
      <w:pPr>
        <w:keepNext w:val="0"/>
        <w:keepLines w:val="0"/>
        <w:pageBreakBefore w:val="0"/>
        <w:widowControl w:val="0"/>
        <w:kinsoku/>
        <w:wordWrap w:val="0"/>
        <w:overflowPunct/>
        <w:topLinePunct w:val="0"/>
        <w:autoSpaceDE/>
        <w:autoSpaceDN/>
        <w:bidi w:val="0"/>
        <w:adjustRightInd/>
        <w:snapToGrid/>
        <w:spacing w:line="400" w:lineRule="exact"/>
        <w:ind w:left="210" w:leftChars="100" w:firstLine="210" w:firstLineChars="100"/>
        <w:textAlignment w:val="auto"/>
        <w:rPr>
          <w:rFonts w:ascii="宋体" w:hAnsi="宋体" w:cs="宋体"/>
          <w:color w:val="auto"/>
          <w:highlight w:val="none"/>
        </w:rPr>
      </w:pPr>
      <w:r>
        <w:rPr>
          <w:rFonts w:hint="eastAsia" w:ascii="宋体" w:hAnsi="宋体" w:cs="宋体"/>
          <w:color w:val="auto"/>
          <w:highlight w:val="none"/>
        </w:rPr>
        <w:t>（2）供应商应及时熟悉掌握电子标系统操作指南（见政采云电子卖场首页右上角—服务中心—帮助文档—项目采购）：https://service.zcygov.cn/#/knowledges/tree?tag=AG1DtGwBFdiHxlNdhY0r；及时完成CA申领和绑定（见广西壮族自治区政府采购网—办事服务—下载专区-政采云CA证书办理操作指南）。</w:t>
      </w:r>
    </w:p>
    <w:p w14:paraId="491E5859">
      <w:pPr>
        <w:pageBreakBefore w:val="0"/>
        <w:kinsoku/>
        <w:wordWrap w:val="0"/>
        <w:topLinePunct w:val="0"/>
        <w:spacing w:line="400" w:lineRule="exact"/>
        <w:ind w:left="210" w:leftChars="100" w:firstLine="210" w:firstLineChars="100"/>
        <w:rPr>
          <w:rFonts w:ascii="宋体" w:hAnsi="宋体" w:cs="宋体"/>
          <w:color w:val="auto"/>
          <w:highlight w:val="none"/>
        </w:rPr>
      </w:pPr>
      <w:r>
        <w:rPr>
          <w:rFonts w:hint="eastAsia" w:ascii="宋体" w:hAnsi="宋体" w:cs="宋体"/>
          <w:color w:val="auto"/>
          <w:highlight w:val="none"/>
        </w:rPr>
        <w:t xml:space="preserve">  （3）未进行网上注册并办理数字证书（CA认证）的供应商将无法参与本项目政府采购活动，供应商应当在提交响应文件截止时间前，完成电子交易平台上的CA数字证书办理及响应文件的提交。完成CA数字证书办理预计7日左右，供应商只需办理其中一家CA数字证书及签章，建议各供应商抓紧时间办理。（供应商可登录“广西政府采购网”，依次进入“办事服务-下载专区”或者登录广西政府采购云平台，依次进入“服务中心-入驻与配置”中查看CA数字证书办理操作流程。如在操作过程中遇到问题或者需要技术支持，请致电政采云客服热线：95763。</w:t>
      </w:r>
    </w:p>
    <w:p w14:paraId="1F6F9A9B">
      <w:pPr>
        <w:pageBreakBefore w:val="0"/>
        <w:kinsoku/>
        <w:wordWrap w:val="0"/>
        <w:topLinePunct w:val="0"/>
        <w:spacing w:line="400" w:lineRule="exact"/>
        <w:ind w:left="210" w:leftChars="100" w:firstLine="210" w:firstLineChars="100"/>
        <w:rPr>
          <w:rFonts w:ascii="宋体" w:hAnsi="宋体" w:cs="宋体"/>
          <w:color w:val="auto"/>
          <w:highlight w:val="none"/>
        </w:rPr>
      </w:pPr>
      <w:r>
        <w:rPr>
          <w:rFonts w:hint="eastAsia" w:ascii="宋体" w:hAnsi="宋体" w:cs="宋体"/>
          <w:color w:val="auto"/>
          <w:highlight w:val="none"/>
        </w:rPr>
        <w:t xml:space="preserve">  （4）CA证书在线解密：首次响应文件开启时，需携带制作响应文件时用来加密的有效数字证书（CA认证）登录广西政府采购云平台电子开标大厅现场按规定时间对加密的响应文件进行解密，否则后果自负。</w:t>
      </w:r>
    </w:p>
    <w:p w14:paraId="1ED0DE4C">
      <w:pPr>
        <w:pageBreakBefore w:val="0"/>
        <w:kinsoku/>
        <w:wordWrap w:val="0"/>
        <w:topLinePunct w:val="0"/>
        <w:spacing w:line="400" w:lineRule="exact"/>
        <w:ind w:left="210" w:leftChars="100" w:firstLine="210" w:firstLineChars="100"/>
        <w:rPr>
          <w:rFonts w:ascii="宋体" w:hAnsi="宋体" w:cs="宋体"/>
          <w:color w:val="auto"/>
          <w:highlight w:val="none"/>
        </w:rPr>
      </w:pPr>
      <w:r>
        <w:rPr>
          <w:rFonts w:hint="eastAsia" w:ascii="宋体" w:hAnsi="宋体" w:cs="宋体"/>
          <w:color w:val="auto"/>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A76BF80">
      <w:pPr>
        <w:pageBreakBefore w:val="0"/>
        <w:kinsoku/>
        <w:wordWrap w:val="0"/>
        <w:topLinePunct w:val="0"/>
        <w:spacing w:line="400" w:lineRule="exact"/>
        <w:ind w:left="210" w:leftChars="100" w:firstLine="210" w:firstLineChars="100"/>
        <w:rPr>
          <w:rFonts w:hAnsi="宋体" w:cs="宋体"/>
          <w:color w:val="auto"/>
          <w:szCs w:val="21"/>
          <w:highlight w:val="none"/>
        </w:rPr>
      </w:pPr>
      <w:r>
        <w:rPr>
          <w:rFonts w:hint="eastAsia" w:ascii="宋体" w:hAnsi="宋体" w:cs="宋体"/>
          <w:color w:val="auto"/>
          <w:highlight w:val="none"/>
        </w:rPr>
        <w:t xml:space="preserve">  </w:t>
      </w:r>
      <w:r>
        <w:rPr>
          <w:rFonts w:hint="eastAsia" w:hAnsi="宋体" w:cs="宋体"/>
          <w:color w:val="auto"/>
          <w:szCs w:val="21"/>
          <w:highlight w:val="none"/>
        </w:rPr>
        <w:t>八、对本次采购提出询问，请按以下方式联系。</w:t>
      </w:r>
      <w:bookmarkEnd w:id="13"/>
      <w:bookmarkEnd w:id="14"/>
      <w:bookmarkEnd w:id="15"/>
      <w:bookmarkEnd w:id="16"/>
    </w:p>
    <w:p w14:paraId="4FBC857E">
      <w:pPr>
        <w:pStyle w:val="28"/>
        <w:pageBreakBefore w:val="0"/>
        <w:tabs>
          <w:tab w:val="left" w:pos="455"/>
        </w:tabs>
        <w:kinsoku/>
        <w:wordWrap w:val="0"/>
        <w:topLinePunct w:val="0"/>
        <w:spacing w:line="340" w:lineRule="exact"/>
        <w:ind w:firstLine="630" w:firstLineChars="300"/>
        <w:rPr>
          <w:rFonts w:hAnsi="宋体" w:cs="宋体"/>
          <w:color w:val="auto"/>
          <w:szCs w:val="21"/>
          <w:highlight w:val="none"/>
          <w:lang w:val="zh-CN"/>
        </w:rPr>
      </w:pPr>
      <w:r>
        <w:rPr>
          <w:rFonts w:hint="eastAsia" w:hAnsi="宋体" w:cs="宋体"/>
          <w:color w:val="auto"/>
          <w:szCs w:val="21"/>
          <w:highlight w:val="none"/>
          <w:lang w:val="zh-CN"/>
        </w:rPr>
        <w:t>1.采购人信息</w:t>
      </w:r>
    </w:p>
    <w:p w14:paraId="7CF19B13">
      <w:pPr>
        <w:pStyle w:val="28"/>
        <w:pageBreakBefore w:val="0"/>
        <w:tabs>
          <w:tab w:val="left" w:pos="455"/>
        </w:tabs>
        <w:kinsoku/>
        <w:wordWrap w:val="0"/>
        <w:topLinePunct w:val="0"/>
        <w:spacing w:line="340" w:lineRule="exact"/>
        <w:ind w:firstLine="630" w:firstLineChars="300"/>
        <w:rPr>
          <w:rFonts w:hAnsi="宋体" w:cs="宋体"/>
          <w:color w:val="auto"/>
          <w:szCs w:val="21"/>
          <w:highlight w:val="none"/>
          <w:lang w:val="zh-CN"/>
        </w:rPr>
      </w:pPr>
      <w:r>
        <w:rPr>
          <w:rFonts w:hint="eastAsia" w:hAnsi="宋体" w:cs="宋体"/>
          <w:color w:val="auto"/>
          <w:szCs w:val="21"/>
          <w:highlight w:val="none"/>
          <w:lang w:val="zh-CN"/>
        </w:rPr>
        <w:t>名    称：广西城市建设学校　</w:t>
      </w:r>
    </w:p>
    <w:p w14:paraId="6C48AEF9">
      <w:pPr>
        <w:pStyle w:val="28"/>
        <w:pageBreakBefore w:val="0"/>
        <w:tabs>
          <w:tab w:val="left" w:pos="455"/>
        </w:tabs>
        <w:kinsoku/>
        <w:wordWrap w:val="0"/>
        <w:topLinePunct w:val="0"/>
        <w:spacing w:line="340" w:lineRule="exact"/>
        <w:ind w:firstLine="630" w:firstLineChars="300"/>
        <w:rPr>
          <w:rFonts w:hint="eastAsia" w:hAnsi="宋体" w:cs="宋体"/>
          <w:color w:val="auto"/>
          <w:szCs w:val="21"/>
          <w:highlight w:val="none"/>
          <w:lang w:val="zh-CN" w:eastAsia="zh-CN"/>
        </w:rPr>
      </w:pPr>
      <w:r>
        <w:rPr>
          <w:rFonts w:hint="eastAsia" w:hAnsi="宋体" w:cs="宋体"/>
          <w:color w:val="auto"/>
          <w:szCs w:val="21"/>
          <w:highlight w:val="none"/>
          <w:lang w:val="zh-CN"/>
        </w:rPr>
        <w:t>地址：</w:t>
      </w:r>
      <w:r>
        <w:rPr>
          <w:rFonts w:hint="eastAsia" w:hAnsi="宋体" w:cs="宋体"/>
          <w:color w:val="auto"/>
          <w:szCs w:val="21"/>
          <w:highlight w:val="none"/>
          <w:lang w:val="zh-CN" w:eastAsia="zh-CN"/>
        </w:rPr>
        <w:t>桂林市环城南二路121号</w:t>
      </w:r>
    </w:p>
    <w:p w14:paraId="477622C9">
      <w:pPr>
        <w:pStyle w:val="28"/>
        <w:pageBreakBefore w:val="0"/>
        <w:tabs>
          <w:tab w:val="left" w:pos="455"/>
        </w:tabs>
        <w:kinsoku/>
        <w:wordWrap w:val="0"/>
        <w:topLinePunct w:val="0"/>
        <w:spacing w:line="340" w:lineRule="exact"/>
        <w:ind w:firstLine="630" w:firstLineChars="300"/>
        <w:rPr>
          <w:rFonts w:hint="eastAsia" w:hAnsi="宋体" w:cs="宋体"/>
          <w:color w:val="auto"/>
          <w:szCs w:val="21"/>
          <w:highlight w:val="none"/>
          <w:lang w:val="zh-CN" w:eastAsia="zh-CN"/>
        </w:rPr>
      </w:pPr>
      <w:r>
        <w:rPr>
          <w:rFonts w:hint="eastAsia" w:hAnsi="宋体" w:cs="宋体"/>
          <w:color w:val="auto"/>
          <w:szCs w:val="21"/>
          <w:highlight w:val="none"/>
          <w:lang w:val="zh-CN"/>
        </w:rPr>
        <w:t>项目联系人：</w:t>
      </w:r>
      <w:r>
        <w:rPr>
          <w:rFonts w:hint="eastAsia" w:hAnsi="宋体" w:cs="宋体"/>
          <w:color w:val="auto"/>
          <w:szCs w:val="21"/>
          <w:highlight w:val="none"/>
          <w:lang w:val="zh-CN" w:eastAsia="zh-CN"/>
        </w:rPr>
        <w:t xml:space="preserve"> 吴</w:t>
      </w:r>
      <w:r>
        <w:rPr>
          <w:rFonts w:hint="eastAsia" w:hAnsi="宋体" w:cs="宋体"/>
          <w:color w:val="auto"/>
          <w:szCs w:val="21"/>
          <w:highlight w:val="none"/>
          <w:lang w:val="en-US" w:eastAsia="zh-CN"/>
        </w:rPr>
        <w:t>老师</w:t>
      </w:r>
      <w:r>
        <w:rPr>
          <w:rFonts w:hint="eastAsia" w:hAnsi="宋体" w:cs="宋体"/>
          <w:color w:val="auto"/>
          <w:szCs w:val="21"/>
          <w:highlight w:val="none"/>
          <w:lang w:val="zh-CN" w:eastAsia="zh-CN"/>
        </w:rPr>
        <w:t xml:space="preserve"> </w:t>
      </w:r>
      <w:r>
        <w:rPr>
          <w:rFonts w:hint="eastAsia" w:hAnsi="宋体" w:cs="宋体"/>
          <w:color w:val="auto"/>
          <w:szCs w:val="21"/>
          <w:highlight w:val="none"/>
          <w:lang w:val="en-US" w:eastAsia="zh-CN"/>
        </w:rPr>
        <w:t xml:space="preserve">    </w:t>
      </w:r>
      <w:r>
        <w:rPr>
          <w:rFonts w:hint="eastAsia" w:hAnsi="宋体" w:cs="宋体"/>
          <w:color w:val="auto"/>
          <w:szCs w:val="21"/>
          <w:highlight w:val="none"/>
          <w:lang w:val="zh-CN"/>
        </w:rPr>
        <w:t>联系电话：</w:t>
      </w:r>
      <w:r>
        <w:rPr>
          <w:rFonts w:hint="eastAsia" w:hAnsi="宋体" w:cs="宋体"/>
          <w:color w:val="auto"/>
          <w:szCs w:val="21"/>
          <w:highlight w:val="none"/>
          <w:lang w:val="zh-CN" w:eastAsia="zh-CN"/>
        </w:rPr>
        <w:t>0773-3620401</w:t>
      </w:r>
    </w:p>
    <w:p w14:paraId="37EFF3EE">
      <w:pPr>
        <w:pStyle w:val="28"/>
        <w:pageBreakBefore w:val="0"/>
        <w:tabs>
          <w:tab w:val="left" w:pos="455"/>
        </w:tabs>
        <w:kinsoku/>
        <w:wordWrap w:val="0"/>
        <w:topLinePunct w:val="0"/>
        <w:spacing w:line="340" w:lineRule="exact"/>
        <w:ind w:firstLine="630" w:firstLineChars="300"/>
        <w:rPr>
          <w:rFonts w:hAnsi="宋体" w:cs="宋体"/>
          <w:color w:val="auto"/>
          <w:szCs w:val="21"/>
          <w:highlight w:val="none"/>
          <w:lang w:val="zh-CN"/>
        </w:rPr>
      </w:pPr>
      <w:r>
        <w:rPr>
          <w:rFonts w:hint="eastAsia" w:hAnsi="宋体" w:cs="宋体"/>
          <w:color w:val="auto"/>
          <w:szCs w:val="21"/>
          <w:highlight w:val="none"/>
          <w:lang w:val="zh-CN"/>
        </w:rPr>
        <w:t>2.采购代理机构信息</w:t>
      </w:r>
    </w:p>
    <w:p w14:paraId="1B4144A5">
      <w:pPr>
        <w:pStyle w:val="28"/>
        <w:pageBreakBefore w:val="0"/>
        <w:tabs>
          <w:tab w:val="left" w:pos="455"/>
        </w:tabs>
        <w:kinsoku/>
        <w:wordWrap w:val="0"/>
        <w:topLinePunct w:val="0"/>
        <w:spacing w:line="340" w:lineRule="exact"/>
        <w:ind w:firstLine="630" w:firstLineChars="300"/>
        <w:rPr>
          <w:rFonts w:hAnsi="宋体" w:cs="宋体"/>
          <w:color w:val="auto"/>
          <w:szCs w:val="21"/>
          <w:highlight w:val="none"/>
          <w:lang w:val="zh-CN"/>
        </w:rPr>
      </w:pPr>
      <w:r>
        <w:rPr>
          <w:rFonts w:hint="eastAsia" w:hAnsi="宋体" w:cs="宋体"/>
          <w:color w:val="auto"/>
          <w:szCs w:val="21"/>
          <w:highlight w:val="none"/>
          <w:lang w:val="zh-CN"/>
        </w:rPr>
        <w:t>名    称：广西诚华工程造价咨询有限公司　</w:t>
      </w:r>
    </w:p>
    <w:p w14:paraId="566E46D4">
      <w:pPr>
        <w:pStyle w:val="28"/>
        <w:pageBreakBefore w:val="0"/>
        <w:tabs>
          <w:tab w:val="left" w:pos="455"/>
        </w:tabs>
        <w:kinsoku/>
        <w:wordWrap w:val="0"/>
        <w:topLinePunct w:val="0"/>
        <w:spacing w:line="340" w:lineRule="exact"/>
        <w:ind w:firstLine="630" w:firstLineChars="300"/>
        <w:rPr>
          <w:rFonts w:hAnsi="宋体" w:cs="宋体"/>
          <w:color w:val="auto"/>
          <w:szCs w:val="21"/>
          <w:highlight w:val="none"/>
          <w:lang w:val="zh-CN"/>
        </w:rPr>
      </w:pPr>
      <w:r>
        <w:rPr>
          <w:rFonts w:hint="eastAsia" w:hAnsi="宋体" w:cs="宋体"/>
          <w:color w:val="auto"/>
          <w:szCs w:val="21"/>
          <w:highlight w:val="none"/>
          <w:lang w:val="zh-CN"/>
        </w:rPr>
        <w:t>地　　址：南宁市江南区天元国际3栋709室</w:t>
      </w:r>
    </w:p>
    <w:p w14:paraId="7CA138F5">
      <w:pPr>
        <w:pStyle w:val="28"/>
        <w:pageBreakBefore w:val="0"/>
        <w:tabs>
          <w:tab w:val="left" w:pos="455"/>
        </w:tabs>
        <w:kinsoku/>
        <w:wordWrap w:val="0"/>
        <w:topLinePunct w:val="0"/>
        <w:spacing w:line="340" w:lineRule="exact"/>
        <w:ind w:firstLine="630" w:firstLineChars="300"/>
        <w:rPr>
          <w:rFonts w:hAnsi="宋体" w:cs="宋体"/>
          <w:color w:val="auto"/>
          <w:szCs w:val="21"/>
          <w:highlight w:val="yellow"/>
          <w:lang w:val="zh-CN"/>
        </w:rPr>
      </w:pPr>
      <w:r>
        <w:rPr>
          <w:rFonts w:hint="eastAsia" w:hAnsi="宋体" w:cs="宋体"/>
          <w:color w:val="auto"/>
          <w:szCs w:val="21"/>
          <w:highlight w:val="none"/>
          <w:lang w:val="zh-CN"/>
        </w:rPr>
        <w:t>项目联系方式</w:t>
      </w:r>
      <w:r>
        <w:rPr>
          <w:rFonts w:hint="eastAsia" w:ascii="宋体" w:hAnsi="宋体" w:eastAsia="宋体" w:cs="宋体"/>
          <w:color w:val="auto"/>
          <w:szCs w:val="21"/>
          <w:highlight w:val="none"/>
          <w:lang w:val="zh-CN"/>
        </w:rPr>
        <w:t>：0771-5892559</w:t>
      </w:r>
    </w:p>
    <w:p w14:paraId="2BE6D8C9">
      <w:pPr>
        <w:pStyle w:val="28"/>
        <w:pageBreakBefore w:val="0"/>
        <w:tabs>
          <w:tab w:val="left" w:pos="455"/>
        </w:tabs>
        <w:kinsoku/>
        <w:wordWrap w:val="0"/>
        <w:topLinePunct w:val="0"/>
        <w:spacing w:line="340" w:lineRule="exact"/>
        <w:ind w:firstLine="630" w:firstLineChars="300"/>
        <w:rPr>
          <w:rFonts w:hAnsi="宋体" w:cs="宋体"/>
          <w:color w:val="auto"/>
          <w:szCs w:val="21"/>
          <w:highlight w:val="none"/>
          <w:lang w:val="zh-CN"/>
        </w:rPr>
      </w:pPr>
      <w:r>
        <w:rPr>
          <w:rFonts w:hint="eastAsia" w:hAnsi="宋体" w:cs="宋体"/>
          <w:color w:val="auto"/>
          <w:szCs w:val="21"/>
          <w:highlight w:val="none"/>
          <w:lang w:val="zh-CN"/>
        </w:rPr>
        <w:t>3.项目联系方式</w:t>
      </w:r>
    </w:p>
    <w:p w14:paraId="7DFA5AC5">
      <w:pPr>
        <w:pStyle w:val="28"/>
        <w:pageBreakBefore w:val="0"/>
        <w:tabs>
          <w:tab w:val="left" w:pos="455"/>
        </w:tabs>
        <w:kinsoku/>
        <w:wordWrap w:val="0"/>
        <w:topLinePunct w:val="0"/>
        <w:spacing w:line="340" w:lineRule="exact"/>
        <w:ind w:firstLine="630" w:firstLineChars="300"/>
        <w:rPr>
          <w:rFonts w:hint="eastAsia" w:eastAsia="宋体"/>
          <w:color w:val="auto"/>
          <w:sz w:val="21"/>
          <w:szCs w:val="21"/>
          <w:highlight w:val="none"/>
          <w:shd w:val="clear" w:color="auto" w:fill="FFFFFF"/>
          <w:lang w:val="en-US" w:eastAsia="zh-CN"/>
        </w:rPr>
      </w:pPr>
      <w:r>
        <w:rPr>
          <w:rFonts w:hint="eastAsia" w:hAnsi="宋体" w:cs="宋体"/>
          <w:color w:val="auto"/>
          <w:szCs w:val="21"/>
          <w:highlight w:val="none"/>
          <w:lang w:val="zh-CN"/>
        </w:rPr>
        <w:t>项目联系人：</w:t>
      </w:r>
      <w:r>
        <w:rPr>
          <w:rFonts w:hint="eastAsia" w:hAnsi="宋体" w:cs="宋体"/>
          <w:color w:val="auto"/>
          <w:szCs w:val="21"/>
          <w:highlight w:val="none"/>
          <w:lang w:eastAsia="zh-CN"/>
        </w:rPr>
        <w:t>万</w:t>
      </w:r>
      <w:r>
        <w:rPr>
          <w:rFonts w:hint="eastAsia" w:hAnsi="宋体" w:cs="宋体"/>
          <w:color w:val="auto"/>
          <w:szCs w:val="21"/>
          <w:highlight w:val="none"/>
          <w:lang w:val="en-US" w:eastAsia="zh-CN"/>
        </w:rPr>
        <w:t xml:space="preserve">工      </w:t>
      </w:r>
      <w:r>
        <w:rPr>
          <w:rFonts w:hint="eastAsia" w:hAnsi="宋体" w:cs="宋体"/>
          <w:color w:val="auto"/>
          <w:szCs w:val="21"/>
          <w:highlight w:val="none"/>
          <w:lang w:val="zh-CN"/>
        </w:rPr>
        <w:t>电　话：0771-5892559</w:t>
      </w:r>
    </w:p>
    <w:p w14:paraId="1162BE37">
      <w:pPr>
        <w:pStyle w:val="45"/>
        <w:pageBreakBefore w:val="0"/>
        <w:kinsoku/>
        <w:wordWrap w:val="0"/>
        <w:topLinePunct w:val="0"/>
        <w:spacing w:before="75" w:beforeAutospacing="0" w:after="75" w:afterAutospacing="0" w:line="420" w:lineRule="exact"/>
        <w:jc w:val="right"/>
        <w:rPr>
          <w:rFonts w:hint="eastAsia"/>
          <w:color w:val="auto"/>
          <w:sz w:val="21"/>
          <w:szCs w:val="21"/>
          <w:highlight w:val="none"/>
          <w:shd w:val="clear" w:color="auto" w:fill="FFFFFF"/>
          <w:lang w:eastAsia="zh-CN"/>
        </w:rPr>
      </w:pPr>
      <w:r>
        <w:rPr>
          <w:rFonts w:hint="eastAsia"/>
          <w:color w:val="auto"/>
          <w:sz w:val="21"/>
          <w:szCs w:val="21"/>
          <w:highlight w:val="none"/>
          <w:shd w:val="clear" w:color="auto" w:fill="FFFFFF"/>
          <w:lang w:eastAsia="zh-CN"/>
        </w:rPr>
        <w:t>广西诚华工程造价咨询有限公司</w:t>
      </w:r>
    </w:p>
    <w:p w14:paraId="60106BAD">
      <w:pPr>
        <w:pStyle w:val="45"/>
        <w:pageBreakBefore w:val="0"/>
        <w:kinsoku/>
        <w:wordWrap w:val="0"/>
        <w:topLinePunct w:val="0"/>
        <w:spacing w:before="75" w:beforeAutospacing="0" w:after="75" w:afterAutospacing="0" w:line="420" w:lineRule="exact"/>
        <w:jc w:val="right"/>
        <w:rPr>
          <w:rFonts w:hint="eastAsia"/>
          <w:color w:val="auto"/>
          <w:sz w:val="21"/>
          <w:szCs w:val="21"/>
          <w:highlight w:val="none"/>
          <w:shd w:val="clear" w:color="auto" w:fill="FFFFFF"/>
          <w:lang w:val="en-US" w:eastAsia="zh-CN"/>
        </w:rPr>
      </w:pPr>
      <w:r>
        <w:rPr>
          <w:rFonts w:hint="eastAsia"/>
          <w:color w:val="auto"/>
          <w:sz w:val="21"/>
          <w:szCs w:val="21"/>
          <w:highlight w:val="none"/>
          <w:shd w:val="clear" w:color="auto" w:fill="FFFFFF"/>
          <w:lang w:val="en-US" w:eastAsia="zh-CN"/>
        </w:rPr>
        <w:t>2026年7月13 日</w:t>
      </w:r>
    </w:p>
    <w:p w14:paraId="754ED7FE">
      <w:pPr>
        <w:pStyle w:val="45"/>
        <w:pageBreakBefore w:val="0"/>
        <w:kinsoku/>
        <w:wordWrap w:val="0"/>
        <w:topLinePunct w:val="0"/>
        <w:spacing w:before="75" w:beforeAutospacing="0" w:after="75" w:afterAutospacing="0" w:line="420" w:lineRule="exact"/>
        <w:jc w:val="right"/>
        <w:rPr>
          <w:rFonts w:hint="default"/>
          <w:color w:val="auto"/>
          <w:sz w:val="21"/>
          <w:szCs w:val="21"/>
          <w:highlight w:val="none"/>
          <w:shd w:val="clear" w:color="auto" w:fill="FFFFFF"/>
          <w:lang w:val="en-US" w:eastAsia="zh-CN"/>
        </w:rPr>
      </w:pPr>
    </w:p>
    <w:p w14:paraId="6046BAF8">
      <w:pPr>
        <w:pStyle w:val="3"/>
        <w:pageBreakBefore w:val="0"/>
        <w:numPr>
          <w:ilvl w:val="0"/>
          <w:numId w:val="0"/>
        </w:numPr>
        <w:kinsoku/>
        <w:wordWrap w:val="0"/>
        <w:topLinePunct w:val="0"/>
        <w:jc w:val="center"/>
        <w:rPr>
          <w:color w:val="auto"/>
          <w:highlight w:val="none"/>
        </w:rPr>
      </w:pPr>
      <w:bookmarkStart w:id="17" w:name="_Toc23353"/>
      <w:bookmarkStart w:id="18" w:name="_Toc22206"/>
      <w:bookmarkStart w:id="19" w:name="_Toc17960"/>
      <w:bookmarkStart w:id="20" w:name="_Toc25959"/>
      <w:bookmarkStart w:id="21" w:name="_Toc18978"/>
      <w:bookmarkStart w:id="22" w:name="_Toc9891"/>
      <w:bookmarkStart w:id="23" w:name="_Toc18892"/>
      <w:bookmarkStart w:id="24" w:name="_Toc12916"/>
      <w:bookmarkStart w:id="25" w:name="_Toc20217"/>
      <w:r>
        <w:rPr>
          <w:rFonts w:hint="eastAsia"/>
          <w:color w:val="auto"/>
          <w:highlight w:val="none"/>
        </w:rPr>
        <w:t>第二章 供应商须知</w:t>
      </w:r>
      <w:bookmarkEnd w:id="17"/>
      <w:bookmarkEnd w:id="18"/>
    </w:p>
    <w:p w14:paraId="498873B4">
      <w:pPr>
        <w:pageBreakBefore w:val="0"/>
        <w:kinsoku/>
        <w:wordWrap w:val="0"/>
        <w:topLinePunct w:val="0"/>
        <w:spacing w:line="500" w:lineRule="exact"/>
        <w:jc w:val="center"/>
        <w:rPr>
          <w:color w:val="auto"/>
          <w:highlight w:val="none"/>
        </w:rPr>
      </w:pPr>
      <w:r>
        <w:rPr>
          <w:rFonts w:hint="eastAsia" w:ascii="宋体" w:hAnsi="宋体"/>
          <w:b/>
          <w:color w:val="auto"/>
          <w:sz w:val="32"/>
          <w:szCs w:val="32"/>
          <w:highlight w:val="none"/>
        </w:rPr>
        <w:t>供应商须知前附表</w:t>
      </w:r>
    </w:p>
    <w:tbl>
      <w:tblPr>
        <w:tblStyle w:val="48"/>
        <w:tblW w:w="96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27"/>
      </w:tblGrid>
      <w:tr w14:paraId="075DF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491C10A2">
            <w:pPr>
              <w:pageBreakBefore w:val="0"/>
              <w:kinsoku/>
              <w:wordWrap w:val="0"/>
              <w:topLinePunct w:val="0"/>
              <w:spacing w:line="400" w:lineRule="exact"/>
              <w:jc w:val="center"/>
              <w:rPr>
                <w:rFonts w:ascii="宋体" w:hAnsi="宋体" w:cs="宋体"/>
                <w:b/>
                <w:color w:val="auto"/>
                <w:highlight w:val="none"/>
              </w:rPr>
            </w:pPr>
            <w:r>
              <w:rPr>
                <w:rFonts w:hint="eastAsia" w:ascii="宋体" w:hAnsi="宋体" w:cs="宋体"/>
                <w:b/>
                <w:color w:val="auto"/>
                <w:highlight w:val="none"/>
              </w:rPr>
              <w:t>条款号</w:t>
            </w:r>
          </w:p>
        </w:tc>
        <w:tc>
          <w:tcPr>
            <w:tcW w:w="8627" w:type="dxa"/>
          </w:tcPr>
          <w:p w14:paraId="4D55B23D">
            <w:pPr>
              <w:pageBreakBefore w:val="0"/>
              <w:kinsoku/>
              <w:wordWrap w:val="0"/>
              <w:topLinePunct w:val="0"/>
              <w:spacing w:line="400" w:lineRule="exact"/>
              <w:jc w:val="center"/>
              <w:rPr>
                <w:rFonts w:ascii="宋体" w:hAnsi="宋体" w:cs="宋体"/>
                <w:b/>
                <w:color w:val="auto"/>
                <w:highlight w:val="none"/>
              </w:rPr>
            </w:pPr>
            <w:r>
              <w:rPr>
                <w:rFonts w:hint="eastAsia" w:ascii="宋体" w:hAnsi="宋体" w:cs="宋体"/>
                <w:b/>
                <w:color w:val="auto"/>
                <w:highlight w:val="none"/>
              </w:rPr>
              <w:t>内    容</w:t>
            </w:r>
          </w:p>
        </w:tc>
      </w:tr>
      <w:tr w14:paraId="770E1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789E66A">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3</w:t>
            </w:r>
          </w:p>
        </w:tc>
        <w:tc>
          <w:tcPr>
            <w:tcW w:w="8627" w:type="dxa"/>
            <w:vAlign w:val="center"/>
          </w:tcPr>
          <w:p w14:paraId="7679CE6F">
            <w:pPr>
              <w:pageBreakBefore w:val="0"/>
              <w:kinsoku/>
              <w:wordWrap w:val="0"/>
              <w:topLinePunct w:val="0"/>
              <w:spacing w:line="400" w:lineRule="exact"/>
              <w:rPr>
                <w:rFonts w:ascii="宋体" w:hAnsi="宋体" w:cs="宋体"/>
                <w:color w:val="auto"/>
                <w:highlight w:val="none"/>
              </w:rPr>
            </w:pPr>
            <w:r>
              <w:rPr>
                <w:rFonts w:hint="eastAsia" w:ascii="宋体" w:hAnsi="宋体" w:cs="宋体"/>
                <w:bCs/>
                <w:color w:val="auto"/>
                <w:highlight w:val="none"/>
              </w:rPr>
              <w:t>供应商的资格条件</w:t>
            </w:r>
            <w:r>
              <w:rPr>
                <w:rFonts w:hint="eastAsia" w:ascii="宋体" w:hAnsi="宋体" w:cs="宋体"/>
                <w:color w:val="auto"/>
                <w:highlight w:val="none"/>
              </w:rPr>
              <w:t>：详见竞争性磋商公告</w:t>
            </w:r>
          </w:p>
        </w:tc>
      </w:tr>
      <w:tr w14:paraId="7F775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1C7082">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5.1</w:t>
            </w:r>
          </w:p>
        </w:tc>
        <w:tc>
          <w:tcPr>
            <w:tcW w:w="8627" w:type="dxa"/>
            <w:vAlign w:val="center"/>
          </w:tcPr>
          <w:p w14:paraId="557DD464">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是否接受联合体竞标：详见竞争性磋商公告</w:t>
            </w:r>
          </w:p>
        </w:tc>
      </w:tr>
      <w:tr w14:paraId="0F8FF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D1DF33">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5.2</w:t>
            </w:r>
          </w:p>
        </w:tc>
        <w:tc>
          <w:tcPr>
            <w:tcW w:w="8627" w:type="dxa"/>
            <w:vAlign w:val="center"/>
          </w:tcPr>
          <w:p w14:paraId="0EF3CEDC">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如接受联合体竞标，联合体竞标要求如下：</w:t>
            </w:r>
          </w:p>
          <w:p w14:paraId="51300328">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1、两个以上供应商可以组成一个竞标联合体，以一个供应商的身份共同参加竞标，联合体供应商的名称应统一按“XXX 公司与 XXX 公司的联合体”的规则填写。</w:t>
            </w:r>
            <w:r>
              <w:rPr>
                <w:rFonts w:hint="eastAsia" w:ascii="宋体" w:hAnsi="宋体" w:cs="宋体"/>
                <w:color w:val="auto"/>
                <w:highlight w:val="none"/>
              </w:rPr>
              <w:tab/>
            </w:r>
          </w:p>
          <w:p w14:paraId="7D97ED16">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磋商公告“申请人的资格条件”第3点 “3、本项目的特定资格要求”的要求。</w:t>
            </w:r>
          </w:p>
          <w:p w14:paraId="77B7741B">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3、联合体竞标的，须提供《联合体竞标协议书》（格式后附），协议书必须明确主体方（或者牵头方）并明确约定联合体各方承担的工作和相应的责任（各方承担责任与义务的分工必须符合采购需求，否则，联合体响应无效），并将联合竞标协议放入响应文件。联合体各方必须共同与采购人签订采购合同，就采购合同约定的事项对采购人承担连带责任。</w:t>
            </w:r>
            <w:r>
              <w:rPr>
                <w:rFonts w:hint="eastAsia" w:ascii="宋体" w:hAnsi="宋体" w:cs="宋体"/>
                <w:color w:val="auto"/>
                <w:highlight w:val="none"/>
              </w:rPr>
              <w:tab/>
            </w:r>
          </w:p>
          <w:p w14:paraId="7A044289">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4、以联合体形式参加政府采购活动的，联合体各方不得再单独参加或者与其他供应商另外组成联合体参加同一合同项下的政府采购活动，否则与之相关的响应文件作废。</w:t>
            </w:r>
            <w:r>
              <w:rPr>
                <w:rFonts w:hint="eastAsia" w:ascii="宋体" w:hAnsi="宋体" w:cs="宋体"/>
                <w:color w:val="auto"/>
                <w:highlight w:val="none"/>
              </w:rPr>
              <w:tab/>
            </w:r>
            <w:r>
              <w:rPr>
                <w:rFonts w:hint="eastAsia" w:ascii="宋体" w:hAnsi="宋体" w:cs="宋体"/>
                <w:color w:val="auto"/>
                <w:highlight w:val="none"/>
              </w:rPr>
              <w:tab/>
            </w:r>
          </w:p>
          <w:p w14:paraId="3B5DE09E">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5、联合体中有同类资质的供应商按照联合体分工承担相同工作的，应当按照资质等级较低的供应商确定资质等级。</w:t>
            </w:r>
            <w:r>
              <w:rPr>
                <w:rFonts w:hint="eastAsia" w:ascii="宋体" w:hAnsi="宋体" w:cs="宋体"/>
                <w:color w:val="auto"/>
                <w:highlight w:val="none"/>
              </w:rPr>
              <w:tab/>
            </w:r>
            <w:r>
              <w:rPr>
                <w:rFonts w:hint="eastAsia" w:ascii="宋体" w:hAnsi="宋体" w:cs="宋体"/>
                <w:color w:val="auto"/>
                <w:highlight w:val="none"/>
              </w:rPr>
              <w:tab/>
            </w:r>
          </w:p>
          <w:p w14:paraId="3E79FD34">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6、联合体竞标业绩、履约能力按照联合体各方其中较高的一方认定并计算（竞争性磋商文件另有规定的除外）。</w:t>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ab/>
            </w:r>
          </w:p>
          <w:p w14:paraId="6EC230AE">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7、联合体各方均应按照竞争性磋商文件的规定提交资格证明文件。</w:t>
            </w:r>
          </w:p>
        </w:tc>
      </w:tr>
      <w:tr w14:paraId="3B94E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460752F">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6.2</w:t>
            </w:r>
          </w:p>
        </w:tc>
        <w:tc>
          <w:tcPr>
            <w:tcW w:w="8627" w:type="dxa"/>
            <w:vAlign w:val="center"/>
          </w:tcPr>
          <w:p w14:paraId="319048EF">
            <w:pPr>
              <w:pStyle w:val="18"/>
              <w:pageBreakBefore w:val="0"/>
              <w:kinsoku/>
              <w:wordWrap w:val="0"/>
              <w:topLinePunct w:val="0"/>
              <w:spacing w:line="400" w:lineRule="exact"/>
              <w:rPr>
                <w:rFonts w:ascii="宋体" w:hAnsi="宋体" w:cs="宋体"/>
                <w:color w:val="auto"/>
                <w:sz w:val="21"/>
                <w:szCs w:val="21"/>
                <w:highlight w:val="none"/>
              </w:rPr>
            </w:pPr>
            <w:r>
              <w:rPr>
                <w:rFonts w:hint="eastAsia" w:ascii="宋体" w:hAnsi="宋体" w:cs="宋体"/>
                <w:color w:val="auto"/>
                <w:sz w:val="21"/>
                <w:szCs w:val="21"/>
                <w:highlight w:val="none"/>
              </w:rPr>
              <w:t>本项目不允许分包。</w:t>
            </w:r>
          </w:p>
        </w:tc>
      </w:tr>
      <w:tr w14:paraId="75E61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5AEAAA">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12.1.1</w:t>
            </w:r>
          </w:p>
        </w:tc>
        <w:tc>
          <w:tcPr>
            <w:tcW w:w="8627" w:type="dxa"/>
            <w:vAlign w:val="center"/>
          </w:tcPr>
          <w:p w14:paraId="74B62842">
            <w:pPr>
              <w:pageBreakBefore w:val="0"/>
              <w:kinsoku/>
              <w:wordWrap w:val="0"/>
              <w:topLinePunct w:val="0"/>
              <w:snapToGrid w:val="0"/>
              <w:spacing w:line="400" w:lineRule="exact"/>
              <w:jc w:val="left"/>
              <w:rPr>
                <w:rFonts w:ascii="宋体" w:hAnsi="宋体" w:cs="宋体"/>
                <w:b/>
                <w:color w:val="auto"/>
                <w:highlight w:val="none"/>
              </w:rPr>
            </w:pPr>
            <w:r>
              <w:rPr>
                <w:rFonts w:hint="eastAsia" w:ascii="宋体" w:hAnsi="宋体" w:cs="宋体"/>
                <w:b/>
                <w:color w:val="auto"/>
                <w:highlight w:val="none"/>
              </w:rPr>
              <w:t>资格证明文件</w:t>
            </w:r>
          </w:p>
          <w:p w14:paraId="085B1157">
            <w:pPr>
              <w:pStyle w:val="18"/>
              <w:pageBreakBefore w:val="0"/>
              <w:kinsoku/>
              <w:wordWrap w:val="0"/>
              <w:topLinePunct w:val="0"/>
              <w:spacing w:line="400" w:lineRule="exact"/>
              <w:rPr>
                <w:rFonts w:ascii="宋体" w:hAnsi="宋体" w:cs="宋体"/>
                <w:color w:val="auto"/>
                <w:sz w:val="21"/>
                <w:szCs w:val="21"/>
                <w:highlight w:val="none"/>
              </w:rPr>
            </w:pPr>
            <w:r>
              <w:rPr>
                <w:rFonts w:hint="eastAsia" w:ascii="宋体" w:hAnsi="宋体" w:cs="宋体"/>
                <w:color w:val="auto"/>
                <w:sz w:val="21"/>
                <w:szCs w:val="21"/>
                <w:highlight w:val="none"/>
              </w:rPr>
              <w:t>1、供应商为法人或者其他组织的，证明文件为其营业执照复印件（如营业执照或者事业单位法人证书或者执业许可证等）；供应商为自然人的，证明文件为其身份证复印件；（</w:t>
            </w:r>
            <w:r>
              <w:rPr>
                <w:rFonts w:hint="eastAsia" w:ascii="宋体" w:hAnsi="宋体" w:cs="宋体"/>
                <w:b/>
                <w:color w:val="auto"/>
                <w:sz w:val="21"/>
                <w:szCs w:val="21"/>
                <w:highlight w:val="none"/>
              </w:rPr>
              <w:t>必须提供，否则响应文件按无效响应处理</w:t>
            </w:r>
            <w:r>
              <w:rPr>
                <w:rFonts w:hint="eastAsia" w:ascii="宋体" w:hAnsi="宋体" w:cs="宋体"/>
                <w:color w:val="auto"/>
                <w:sz w:val="21"/>
                <w:szCs w:val="21"/>
                <w:highlight w:val="none"/>
              </w:rPr>
              <w:t>）</w:t>
            </w:r>
          </w:p>
          <w:p w14:paraId="207FF712">
            <w:pPr>
              <w:pageBreakBefore w:val="0"/>
              <w:kinsoku/>
              <w:wordWrap w:val="0"/>
              <w:topLinePunct w:val="0"/>
              <w:bidi/>
              <w:snapToGrid w:val="0"/>
              <w:spacing w:line="400" w:lineRule="exact"/>
              <w:ind w:left="0" w:right="0"/>
              <w:jc w:val="right"/>
              <w:rPr>
                <w:rFonts w:hint="eastAsia" w:ascii="宋体" w:hAnsi="宋体" w:eastAsia="宋体" w:cs="宋体"/>
                <w:color w:val="auto"/>
                <w:szCs w:val="21"/>
                <w:highlight w:val="none"/>
              </w:rPr>
            </w:pPr>
            <w:r>
              <w:rPr>
                <w:rFonts w:hint="eastAsia" w:ascii="宋体" w:hAnsi="宋体" w:cs="宋体"/>
                <w:color w:val="auto"/>
                <w:highlight w:val="none"/>
              </w:rPr>
              <w:t>2、</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依法缴纳税收的相关材料（202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年</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lang w:val="en-US" w:eastAsia="zh-CN"/>
              </w:rPr>
              <w:t>竞标截止之日止</w:t>
            </w:r>
            <w:r>
              <w:rPr>
                <w:rFonts w:hint="eastAsia" w:ascii="宋体" w:hAnsi="宋体" w:eastAsia="宋体" w:cs="宋体"/>
                <w:color w:val="auto"/>
                <w:szCs w:val="21"/>
                <w:highlight w:val="none"/>
              </w:rPr>
              <w:t>连续 3个月的依法缴纳税收的证明材料复印件；依法免税的供应商，必须提供符合免税条件的证明材料。从成立之日起到</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提交截止时间止不足要求月数的，只需提供从成立之日起的依法缴纳税收相应证明文件）；（</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7F1F8B3">
            <w:pPr>
              <w:pageBreakBefore w:val="0"/>
              <w:kinsoku/>
              <w:wordWrap w:val="0"/>
              <w:topLinePunct w:val="0"/>
              <w:bidi/>
              <w:snapToGrid w:val="0"/>
              <w:spacing w:line="400" w:lineRule="exact"/>
              <w:ind w:left="0" w:right="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、供应商</w:t>
            </w:r>
            <w:r>
              <w:rPr>
                <w:rFonts w:hint="eastAsia" w:ascii="宋体" w:hAnsi="宋体" w:cs="宋体"/>
                <w:color w:val="auto"/>
                <w:szCs w:val="21"/>
                <w:highlight w:val="none"/>
                <w:lang w:val="en-US" w:eastAsia="zh-CN"/>
              </w:rPr>
              <w:t>近一个月</w:t>
            </w:r>
            <w:r>
              <w:rPr>
                <w:rFonts w:hint="eastAsia" w:ascii="宋体" w:hAnsi="宋体" w:eastAsia="宋体" w:cs="宋体"/>
                <w:color w:val="auto"/>
                <w:szCs w:val="21"/>
                <w:highlight w:val="none"/>
              </w:rPr>
              <w:t>依法缴纳社会保障资金的相关材料[202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年</w:t>
            </w:r>
            <w:r>
              <w:rPr>
                <w:rFonts w:hint="eastAsia" w:ascii="宋体" w:hAnsi="宋体" w:cs="宋体"/>
                <w:color w:val="auto"/>
                <w:szCs w:val="21"/>
                <w:highlight w:val="none"/>
                <w:lang w:val="en-US" w:eastAsia="zh-CN"/>
              </w:rPr>
              <w:t>6月</w:t>
            </w:r>
            <w:r>
              <w:rPr>
                <w:rFonts w:hint="eastAsia" w:ascii="宋体" w:hAnsi="宋体" w:eastAsia="宋体" w:cs="宋体"/>
                <w:color w:val="auto"/>
                <w:szCs w:val="21"/>
                <w:highlight w:val="none"/>
              </w:rPr>
              <w:t>的依法缴纳社会保障资金的缴费证明材料（如：专用收据、社会保险缴纳清单或者社保部门的证明）复印件；依法不需要缴纳社会保障资金的供应商，必须提供相应文件证明不需要缴纳社会保障资金。从成立之日起到</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提交截止时间止不足要求月数的只需提供从成立之日起的依法缴纳社会保障资金的相应证明文件]；（</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381D217">
            <w:pPr>
              <w:pageBreakBefore w:val="0"/>
              <w:kinsoku/>
              <w:wordWrap w:val="0"/>
              <w:topLinePunct w:val="0"/>
              <w:bidi/>
              <w:snapToGrid w:val="0"/>
              <w:spacing w:line="400" w:lineRule="exact"/>
              <w:ind w:left="0" w:right="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财务状况报告[202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年度财务报表复印件，或者银行出具的资信证明，或者中国人民银行征信中心出具的信用报告（企业投标的提供企业信用报告，自然人投标的提供个人信用报告，</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eastAsia="宋体" w:cs="宋体"/>
                <w:b/>
                <w:bCs/>
                <w:color w:val="auto"/>
                <w:szCs w:val="21"/>
                <w:highlight w:val="none"/>
              </w:rPr>
              <w:t>（必须提供，否则响应文件按无效响应处理）</w:t>
            </w:r>
          </w:p>
          <w:p w14:paraId="5C24F52D">
            <w:pPr>
              <w:pageBreakBefore w:val="0"/>
              <w:kinsoku/>
              <w:wordWrap w:val="0"/>
              <w:topLinePunct w:val="0"/>
              <w:spacing w:line="400" w:lineRule="exact"/>
              <w:contextualSpacing/>
              <w:jc w:val="left"/>
              <w:rPr>
                <w:rFonts w:ascii="宋体" w:hAnsi="宋体" w:cs="宋体"/>
                <w:b/>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、供应商直接控股、管理关系信息表（格式后附）；</w:t>
            </w:r>
            <w:r>
              <w:rPr>
                <w:rFonts w:hint="eastAsia" w:ascii="宋体" w:hAnsi="宋体" w:cs="宋体"/>
                <w:b/>
                <w:color w:val="auto"/>
                <w:highlight w:val="none"/>
              </w:rPr>
              <w:t>（必须提供，否则响应文件按无效响应处理）</w:t>
            </w:r>
          </w:p>
          <w:p w14:paraId="1689EBF5">
            <w:pPr>
              <w:pageBreakBefore w:val="0"/>
              <w:kinsoku/>
              <w:wordWrap w:val="0"/>
              <w:topLinePunct w:val="0"/>
              <w:snapToGrid w:val="0"/>
              <w:spacing w:line="400" w:lineRule="exact"/>
              <w:jc w:val="left"/>
              <w:rPr>
                <w:rFonts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、竞标声明（格式后附）；（</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37808806">
            <w:pPr>
              <w:pageBreakBefore w:val="0"/>
              <w:kinsoku/>
              <w:wordWrap w:val="0"/>
              <w:topLinePunct w:val="0"/>
              <w:snapToGrid w:val="0"/>
              <w:spacing w:line="400" w:lineRule="exact"/>
              <w:jc w:val="left"/>
              <w:rPr>
                <w:rFonts w:ascii="宋体" w:hAnsi="宋体" w:cs="宋体"/>
                <w:color w:val="auto"/>
                <w:highlight w:val="none"/>
              </w:rPr>
            </w:pPr>
            <w:r>
              <w:rPr>
                <w:rFonts w:hint="eastAsia" w:ascii="宋体" w:hAnsi="宋体" w:cs="宋体"/>
                <w:color w:val="auto"/>
                <w:highlight w:val="none"/>
                <w:lang w:val="en-US" w:eastAsia="zh-CN"/>
              </w:rPr>
              <w:t>7</w:t>
            </w:r>
            <w:r>
              <w:rPr>
                <w:rFonts w:hint="eastAsia" w:ascii="宋体" w:hAnsi="宋体" w:cs="宋体"/>
                <w:color w:val="auto"/>
                <w:highlight w:val="none"/>
              </w:rPr>
              <w:t>、中小企业声明函或者残疾人福利性单位声明函或者供应商属于监狱企业的证明材料；（</w:t>
            </w:r>
            <w:r>
              <w:rPr>
                <w:rFonts w:hint="eastAsia" w:ascii="宋体" w:hAnsi="宋体" w:cs="宋体"/>
                <w:b/>
                <w:bCs/>
                <w:color w:val="auto"/>
                <w:highlight w:val="none"/>
              </w:rPr>
              <w:t>本项目如为专门面向中小企业采购时必须提供，否则电子响应文件按无效响应处理</w:t>
            </w:r>
            <w:r>
              <w:rPr>
                <w:rFonts w:hint="eastAsia" w:ascii="宋体" w:hAnsi="宋体" w:cs="宋体"/>
                <w:color w:val="auto"/>
                <w:highlight w:val="none"/>
              </w:rPr>
              <w:t>）</w:t>
            </w:r>
          </w:p>
          <w:p w14:paraId="6308CD8C">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、（1）要求</w:t>
            </w:r>
            <w:r>
              <w:rPr>
                <w:rFonts w:hint="eastAsia" w:ascii="宋体" w:hAnsi="宋体" w:cs="宋体"/>
                <w:color w:val="auto"/>
                <w:highlight w:val="none"/>
                <w:lang w:eastAsia="zh-CN"/>
              </w:rPr>
              <w:t>供应商</w:t>
            </w:r>
            <w:r>
              <w:rPr>
                <w:rFonts w:hint="eastAsia" w:ascii="宋体" w:hAnsi="宋体" w:cs="宋体"/>
                <w:color w:val="auto"/>
                <w:highlight w:val="none"/>
              </w:rPr>
              <w:t>须具备建筑工程施工总承包叁级以上（含叁级）资质的企业，具有省级及以上建设行政主管部门颁发的安全生产许可证，并在人员、设备、资金等方面具备相应的施工能力。（</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1AF20770">
            <w:pPr>
              <w:pageBreakBefore w:val="0"/>
              <w:kinsoku/>
              <w:wordWrap w:val="0"/>
              <w:topLinePunct w:val="0"/>
              <w:spacing w:line="400" w:lineRule="exact"/>
              <w:ind w:firstLine="210" w:firstLineChars="100"/>
              <w:rPr>
                <w:rFonts w:ascii="宋体" w:hAnsi="宋体" w:cs="宋体"/>
                <w:color w:val="auto"/>
                <w:highlight w:val="none"/>
              </w:rPr>
            </w:pPr>
            <w:r>
              <w:rPr>
                <w:rFonts w:hint="eastAsia" w:ascii="宋体" w:hAnsi="宋体" w:cs="宋体"/>
                <w:color w:val="auto"/>
                <w:highlight w:val="none"/>
              </w:rPr>
              <w:t>（2）拟派项目经理须具备建筑工程二级以上（含本级）专业注册建造师执业资格，具备有效的安全生产考核合格证书（B类）。（</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628E6DF9">
            <w:pPr>
              <w:pageBreakBefore w:val="0"/>
              <w:kinsoku/>
              <w:wordWrap w:val="0"/>
              <w:topLinePunct w:val="0"/>
              <w:snapToGrid w:val="0"/>
              <w:spacing w:line="400" w:lineRule="exact"/>
              <w:jc w:val="left"/>
              <w:rPr>
                <w:rFonts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、除磋商文件规定必须提供以外，供应商认为需要提供的其他证明材料。（如有）</w:t>
            </w:r>
          </w:p>
          <w:p w14:paraId="2A3C0BE5">
            <w:pPr>
              <w:pageBreakBefore w:val="0"/>
              <w:kinsoku/>
              <w:wordWrap w:val="0"/>
              <w:topLinePunct w:val="0"/>
              <w:snapToGrid w:val="0"/>
              <w:spacing w:line="400" w:lineRule="exact"/>
              <w:ind w:firstLine="422" w:firstLineChars="200"/>
              <w:jc w:val="left"/>
              <w:rPr>
                <w:rFonts w:ascii="宋体" w:hAnsi="宋体" w:cs="宋体"/>
                <w:b/>
                <w:color w:val="auto"/>
                <w:highlight w:val="none"/>
              </w:rPr>
            </w:pPr>
            <w:r>
              <w:rPr>
                <w:rFonts w:hint="eastAsia" w:ascii="宋体" w:hAnsi="宋体" w:cs="宋体"/>
                <w:b/>
                <w:color w:val="auto"/>
                <w:highlight w:val="none"/>
              </w:rPr>
              <w:t>注：</w:t>
            </w:r>
          </w:p>
          <w:p w14:paraId="66CEB31C">
            <w:pPr>
              <w:pageBreakBefore w:val="0"/>
              <w:kinsoku/>
              <w:wordWrap w:val="0"/>
              <w:topLinePunct w:val="0"/>
              <w:snapToGrid w:val="0"/>
              <w:spacing w:line="400" w:lineRule="exact"/>
              <w:ind w:firstLine="413" w:firstLineChars="196"/>
              <w:jc w:val="left"/>
              <w:rPr>
                <w:rFonts w:ascii="宋体" w:hAnsi="宋体" w:cs="宋体"/>
                <w:b/>
                <w:color w:val="auto"/>
                <w:highlight w:val="none"/>
              </w:rPr>
            </w:pPr>
            <w:r>
              <w:rPr>
                <w:rFonts w:hint="eastAsia" w:ascii="宋体" w:hAnsi="宋体" w:cs="宋体"/>
                <w:b/>
                <w:color w:val="auto"/>
                <w:highlight w:val="none"/>
              </w:rPr>
              <w:t>1、以上标明“必须提供”的材料属于复印件的，必须加盖供应商公章，否则响应文件按无效响应处理。</w:t>
            </w:r>
          </w:p>
          <w:p w14:paraId="17B616C0">
            <w:pPr>
              <w:pageBreakBefore w:val="0"/>
              <w:kinsoku/>
              <w:wordWrap w:val="0"/>
              <w:topLinePunct w:val="0"/>
              <w:snapToGrid w:val="0"/>
              <w:spacing w:line="400" w:lineRule="exact"/>
              <w:ind w:firstLine="422" w:firstLineChars="200"/>
              <w:jc w:val="left"/>
              <w:rPr>
                <w:rFonts w:ascii="宋体" w:hAnsi="宋体" w:cs="宋体"/>
                <w:b/>
                <w:color w:val="auto"/>
                <w:highlight w:val="none"/>
              </w:rPr>
            </w:pPr>
            <w:r>
              <w:rPr>
                <w:rFonts w:hint="eastAsia" w:ascii="宋体" w:hAnsi="宋体" w:cs="宋体"/>
                <w:b/>
                <w:color w:val="auto"/>
                <w:highlight w:val="none"/>
              </w:rPr>
              <w:t>2、竞标声明必须由法定代表人在规定签章处签字并加盖供应商公章，否则响应文件按无效响应处理。</w:t>
            </w:r>
          </w:p>
          <w:p w14:paraId="22EFEB62">
            <w:pPr>
              <w:pageBreakBefore w:val="0"/>
              <w:kinsoku/>
              <w:wordWrap w:val="0"/>
              <w:topLinePunct w:val="0"/>
              <w:snapToGrid w:val="0"/>
              <w:spacing w:line="400" w:lineRule="exact"/>
              <w:ind w:firstLine="422" w:firstLineChars="200"/>
              <w:jc w:val="left"/>
              <w:rPr>
                <w:rFonts w:ascii="宋体" w:hAnsi="宋体" w:cs="宋体"/>
                <w:b/>
                <w:color w:val="auto"/>
                <w:highlight w:val="none"/>
              </w:rPr>
            </w:pPr>
            <w:r>
              <w:rPr>
                <w:rFonts w:hint="eastAsia" w:ascii="宋体" w:hAnsi="宋体" w:cs="宋体"/>
                <w:b/>
                <w:color w:val="auto"/>
                <w:highlight w:val="none"/>
              </w:rPr>
              <w:t>3、供应商直接控股、管理关系信息表必须由法定代表人（或负责人）或者委托代理人在规定签章处签字并加盖供应商公章，否则响应文件按无效响应处理。</w:t>
            </w:r>
          </w:p>
        </w:tc>
      </w:tr>
      <w:tr w14:paraId="56B7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DC8E131">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12.1.2</w:t>
            </w:r>
          </w:p>
        </w:tc>
        <w:tc>
          <w:tcPr>
            <w:tcW w:w="8627" w:type="dxa"/>
            <w:vAlign w:val="center"/>
          </w:tcPr>
          <w:p w14:paraId="284C85FE">
            <w:pPr>
              <w:pageBreakBefore w:val="0"/>
              <w:kinsoku/>
              <w:wordWrap w:val="0"/>
              <w:topLinePunct w:val="0"/>
              <w:spacing w:line="400" w:lineRule="exact"/>
              <w:rPr>
                <w:rFonts w:ascii="宋体" w:hAnsi="宋体" w:cs="宋体"/>
                <w:b/>
                <w:bCs/>
                <w:color w:val="auto"/>
                <w:highlight w:val="none"/>
              </w:rPr>
            </w:pPr>
            <w:r>
              <w:rPr>
                <w:rFonts w:hint="eastAsia" w:ascii="宋体" w:hAnsi="宋体" w:cs="宋体"/>
                <w:b/>
                <w:bCs/>
                <w:color w:val="auto"/>
                <w:highlight w:val="none"/>
              </w:rPr>
              <w:t>报价文件</w:t>
            </w:r>
          </w:p>
          <w:p w14:paraId="1D7043B9">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1、磋商函（格式后附）；（</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7491C01B">
            <w:pPr>
              <w:pageBreakBefore w:val="0"/>
              <w:kinsoku/>
              <w:wordWrap w:val="0"/>
              <w:topLinePunct w:val="0"/>
              <w:spacing w:line="400" w:lineRule="exact"/>
              <w:rPr>
                <w:rFonts w:ascii="宋体" w:hAnsi="宋体" w:cs="宋体"/>
                <w:b/>
                <w:color w:val="auto"/>
                <w:highlight w:val="none"/>
              </w:rPr>
            </w:pPr>
            <w:r>
              <w:rPr>
                <w:rFonts w:hint="eastAsia" w:ascii="宋体" w:hAnsi="宋体" w:cs="宋体"/>
                <w:color w:val="auto"/>
                <w:highlight w:val="none"/>
              </w:rPr>
              <w:t>2、磋商函附录（格式后附）；</w:t>
            </w:r>
            <w:r>
              <w:rPr>
                <w:rFonts w:hint="eastAsia" w:ascii="宋体" w:hAnsi="宋体" w:cs="宋体"/>
                <w:b/>
                <w:color w:val="auto"/>
                <w:highlight w:val="none"/>
              </w:rPr>
              <w:t>（必须提供，否则响应文件按无效响应处理）</w:t>
            </w:r>
          </w:p>
          <w:p w14:paraId="3704878B">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3、已标价的工程量清单；（</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37738A12">
            <w:pPr>
              <w:pageBreakBefore w:val="0"/>
              <w:kinsoku/>
              <w:wordWrap w:val="0"/>
              <w:topLinePunct w:val="0"/>
              <w:spacing w:line="400" w:lineRule="exact"/>
              <w:rPr>
                <w:rFonts w:ascii="宋体" w:hAnsi="宋体" w:cs="宋体"/>
                <w:b/>
                <w:color w:val="auto"/>
                <w:highlight w:val="none"/>
              </w:rPr>
            </w:pPr>
            <w:r>
              <w:rPr>
                <w:rFonts w:hint="eastAsia" w:ascii="宋体" w:hAnsi="宋体" w:cs="宋体"/>
                <w:color w:val="auto"/>
                <w:highlight w:val="none"/>
              </w:rPr>
              <w:t>4、供应商认为需要提供的其他有关资料。</w:t>
            </w:r>
          </w:p>
          <w:p w14:paraId="7566321B">
            <w:pPr>
              <w:pageBreakBefore w:val="0"/>
              <w:kinsoku/>
              <w:wordWrap w:val="0"/>
              <w:topLinePunct w:val="0"/>
              <w:snapToGrid w:val="0"/>
              <w:spacing w:line="400" w:lineRule="exact"/>
              <w:jc w:val="left"/>
              <w:rPr>
                <w:rFonts w:ascii="宋体" w:hAnsi="宋体" w:cs="宋体"/>
                <w:b/>
                <w:color w:val="auto"/>
                <w:highlight w:val="none"/>
              </w:rPr>
            </w:pPr>
            <w:r>
              <w:rPr>
                <w:rFonts w:hint="eastAsia" w:ascii="宋体" w:hAnsi="宋体" w:cs="宋体"/>
                <w:b/>
                <w:color w:val="auto"/>
                <w:highlight w:val="none"/>
              </w:rPr>
              <w:t>注：以上标明“必须提供”的材料属于复印件的，必须加盖供应商公章，否则响应文件按无效响应处理。</w:t>
            </w:r>
          </w:p>
        </w:tc>
      </w:tr>
      <w:tr w14:paraId="2EF94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C7561F">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12.1.3</w:t>
            </w:r>
          </w:p>
        </w:tc>
        <w:tc>
          <w:tcPr>
            <w:tcW w:w="8627" w:type="dxa"/>
            <w:vAlign w:val="center"/>
          </w:tcPr>
          <w:p w14:paraId="2A81A5F8">
            <w:pPr>
              <w:pageBreakBefore w:val="0"/>
              <w:kinsoku/>
              <w:wordWrap w:val="0"/>
              <w:topLinePunct w:val="0"/>
              <w:spacing w:line="400" w:lineRule="exact"/>
              <w:rPr>
                <w:rFonts w:ascii="宋体" w:hAnsi="宋体" w:cs="宋体"/>
                <w:b/>
                <w:bCs/>
                <w:color w:val="auto"/>
                <w:highlight w:val="none"/>
              </w:rPr>
            </w:pPr>
            <w:r>
              <w:rPr>
                <w:rFonts w:hint="eastAsia" w:ascii="宋体" w:hAnsi="宋体" w:cs="宋体"/>
                <w:b/>
                <w:bCs/>
                <w:color w:val="auto"/>
                <w:highlight w:val="none"/>
              </w:rPr>
              <w:t>商务技术文件</w:t>
            </w:r>
          </w:p>
          <w:p w14:paraId="520E2FF8">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1、无串通竞标行为的承诺函（格式后附）；（</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3B4F4F03">
            <w:pPr>
              <w:pageBreakBefore w:val="0"/>
              <w:kinsoku/>
              <w:wordWrap w:val="0"/>
              <w:topLinePunct w:val="0"/>
              <w:snapToGrid w:val="0"/>
              <w:spacing w:line="400" w:lineRule="exact"/>
              <w:jc w:val="left"/>
              <w:rPr>
                <w:rFonts w:ascii="宋体" w:hAnsi="宋体" w:cs="宋体"/>
                <w:color w:val="auto"/>
                <w:highlight w:val="none"/>
              </w:rPr>
            </w:pPr>
            <w:r>
              <w:rPr>
                <w:rFonts w:hint="eastAsia" w:ascii="宋体" w:hAnsi="宋体" w:cs="宋体"/>
                <w:color w:val="auto"/>
                <w:highlight w:val="none"/>
              </w:rPr>
              <w:t>2、法定代表人身份证明及法定代表人有效身份证正反面复印件（格式后附）；（</w:t>
            </w:r>
            <w:r>
              <w:rPr>
                <w:rFonts w:hint="eastAsia" w:ascii="宋体" w:hAnsi="宋体" w:cs="宋体"/>
                <w:b/>
                <w:bCs/>
                <w:color w:val="auto"/>
                <w:highlight w:val="none"/>
              </w:rPr>
              <w:t>自然人参加时，只需要提供身份证复印件，</w:t>
            </w:r>
            <w:r>
              <w:rPr>
                <w:rFonts w:hint="eastAsia" w:ascii="宋体" w:hAnsi="宋体" w:cs="宋体"/>
                <w:b/>
                <w:color w:val="auto"/>
                <w:highlight w:val="none"/>
              </w:rPr>
              <w:t>必须提供，否则按无效响应处理</w:t>
            </w:r>
            <w:r>
              <w:rPr>
                <w:rFonts w:hint="eastAsia" w:ascii="宋体" w:hAnsi="宋体" w:cs="宋体"/>
                <w:color w:val="auto"/>
                <w:highlight w:val="none"/>
              </w:rPr>
              <w:t>）</w:t>
            </w:r>
          </w:p>
          <w:p w14:paraId="73D67D81">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3、授权委托书及委托代理人有效身份证正反面复印件（格式后附）；（</w:t>
            </w:r>
            <w:r>
              <w:rPr>
                <w:rFonts w:hint="eastAsia" w:ascii="宋体" w:hAnsi="宋体" w:cs="宋体"/>
                <w:b/>
                <w:color w:val="auto"/>
                <w:highlight w:val="none"/>
              </w:rPr>
              <w:t>委托时必须提供，否则响应文件按无效响应处理</w:t>
            </w:r>
            <w:r>
              <w:rPr>
                <w:rFonts w:hint="eastAsia" w:ascii="宋体" w:hAnsi="宋体" w:cs="宋体"/>
                <w:color w:val="auto"/>
                <w:highlight w:val="none"/>
              </w:rPr>
              <w:t>）</w:t>
            </w:r>
          </w:p>
          <w:p w14:paraId="237E2EB5">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4、建设工程项目管理承诺书（格式后附）；（</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3B8DB05C">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kern w:val="0"/>
                <w:highlight w:val="none"/>
              </w:rPr>
              <w:t>供应商类似业绩的证明文件</w:t>
            </w:r>
            <w:r>
              <w:rPr>
                <w:rFonts w:hint="eastAsia" w:ascii="宋体" w:hAnsi="宋体" w:cs="宋体"/>
                <w:color w:val="auto"/>
                <w:highlight w:val="none"/>
              </w:rPr>
              <w:t>；（如有）</w:t>
            </w:r>
          </w:p>
          <w:p w14:paraId="61957354">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6、施工组织设计；（</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0B246C19">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7、项目管理机构配备情况；（</w:t>
            </w:r>
            <w:r>
              <w:rPr>
                <w:rFonts w:hint="eastAsia" w:ascii="宋体" w:hAnsi="宋体" w:cs="宋体"/>
                <w:b/>
                <w:color w:val="auto"/>
                <w:highlight w:val="none"/>
              </w:rPr>
              <w:t>必须提供，否则响应文件按无效响应处理</w:t>
            </w:r>
            <w:r>
              <w:rPr>
                <w:rFonts w:hint="eastAsia" w:ascii="宋体" w:hAnsi="宋体" w:cs="宋体"/>
                <w:color w:val="auto"/>
                <w:highlight w:val="none"/>
              </w:rPr>
              <w:t>）</w:t>
            </w:r>
          </w:p>
          <w:p w14:paraId="0C10E598">
            <w:pPr>
              <w:pageBreakBefore w:val="0"/>
              <w:kinsoku/>
              <w:wordWrap w:val="0"/>
              <w:topLinePunct w:val="0"/>
              <w:spacing w:line="400" w:lineRule="exact"/>
              <w:rPr>
                <w:rFonts w:ascii="宋体" w:hAnsi="宋体" w:cs="宋体"/>
                <w:b/>
                <w:color w:val="auto"/>
                <w:highlight w:val="none"/>
              </w:rPr>
            </w:pPr>
            <w:r>
              <w:rPr>
                <w:rFonts w:hint="eastAsia" w:ascii="宋体" w:hAnsi="宋体" w:cs="宋体"/>
                <w:color w:val="auto"/>
                <w:highlight w:val="none"/>
              </w:rPr>
              <w:t>8、供应商认为需要提供的其他有关资料。</w:t>
            </w:r>
          </w:p>
          <w:p w14:paraId="4628003E">
            <w:pPr>
              <w:pageBreakBefore w:val="0"/>
              <w:kinsoku/>
              <w:wordWrap w:val="0"/>
              <w:topLinePunct w:val="0"/>
              <w:snapToGrid w:val="0"/>
              <w:spacing w:line="400" w:lineRule="exact"/>
              <w:ind w:firstLine="422" w:firstLineChars="200"/>
              <w:jc w:val="left"/>
              <w:rPr>
                <w:rFonts w:ascii="宋体" w:hAnsi="宋体" w:cs="宋体"/>
                <w:b/>
                <w:color w:val="auto"/>
                <w:highlight w:val="none"/>
              </w:rPr>
            </w:pPr>
            <w:r>
              <w:rPr>
                <w:rFonts w:hint="eastAsia" w:ascii="宋体" w:hAnsi="宋体" w:cs="宋体"/>
                <w:b/>
                <w:color w:val="auto"/>
                <w:highlight w:val="none"/>
              </w:rPr>
              <w:t>注：以上标明“必须提供”的材料属于复印件的，必须加盖供应商公章，否则响应文件按无效响应处理。</w:t>
            </w:r>
          </w:p>
        </w:tc>
      </w:tr>
      <w:tr w14:paraId="6D438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82B65D">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15.2</w:t>
            </w:r>
          </w:p>
        </w:tc>
        <w:tc>
          <w:tcPr>
            <w:tcW w:w="8627" w:type="dxa"/>
            <w:vAlign w:val="center"/>
          </w:tcPr>
          <w:p w14:paraId="26ABCF16">
            <w:pPr>
              <w:pageBreakBefore w:val="0"/>
              <w:kinsoku/>
              <w:wordWrap w:val="0"/>
              <w:topLinePunct w:val="0"/>
              <w:snapToGrid w:val="0"/>
              <w:spacing w:line="400" w:lineRule="exact"/>
              <w:jc w:val="left"/>
              <w:rPr>
                <w:rFonts w:ascii="宋体" w:hAnsi="宋体" w:cs="宋体"/>
                <w:color w:val="auto"/>
                <w:highlight w:val="none"/>
              </w:rPr>
            </w:pPr>
            <w:r>
              <w:rPr>
                <w:rFonts w:hint="eastAsia" w:ascii="宋体" w:hAnsi="宋体" w:cs="宋体"/>
                <w:color w:val="auto"/>
                <w:highlight w:val="none"/>
              </w:rPr>
              <w:t>竞标报价内容及要求：</w:t>
            </w:r>
          </w:p>
          <w:p w14:paraId="5FBC715E">
            <w:pPr>
              <w:pageBreakBefore w:val="0"/>
              <w:kinsoku/>
              <w:wordWrap w:val="0"/>
              <w:topLinePunct w:val="0"/>
              <w:snapToGrid w:val="0"/>
              <w:spacing w:line="400" w:lineRule="exact"/>
              <w:jc w:val="left"/>
              <w:rPr>
                <w:rFonts w:ascii="宋体" w:hAnsi="宋体" w:cs="宋体"/>
                <w:color w:val="auto"/>
                <w:highlight w:val="none"/>
              </w:rPr>
            </w:pPr>
            <w:r>
              <w:rPr>
                <w:rFonts w:hint="eastAsia" w:ascii="宋体" w:hAnsi="宋体" w:cs="宋体"/>
                <w:color w:val="auto"/>
                <w:highlight w:val="none"/>
              </w:rPr>
              <w:t>1、本工程磋商报价采用工程量清单报价。</w:t>
            </w:r>
          </w:p>
          <w:p w14:paraId="7EC50959">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（1)供应商必须就所竞标的全部内容作完整报价，漏项报价的或有选择的或有条件的报价，其竞标将视为无效。</w:t>
            </w:r>
          </w:p>
          <w:p w14:paraId="6F527D85">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2)本项目采用工程量清单报价方式，供应商应提交PDF版本或EXCEL版本的电子工程量清单，填写单价和计算总额价，完成已标价工程量清单的编制。严禁供应商修改工程量清单的项目结构、标段名称、单项工程名称、单位工程名称、项目编码、项目名称、项目特征、计量单位、工程量、清单顺序和序号。供应商不得对工程量清单项目进行增减调整。</w:t>
            </w:r>
          </w:p>
          <w:p w14:paraId="1C9381ED">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3）因设计变更引起工程项目、工程量变化的，工程量清单报价表中有相同细目的按供应商竞标时的成交单价进行结算，工程量清单报价表中有类似细目的参考类似成交单价结算：新增项目有定额的套定额计算，其中材料价格有信息的按信息价，无信息的按市场价：新增项目无定额可套的，由发包人、承包人根据市场价格协商决定：新增项目的单价应经有资质的审核机构审定。国家和自治区政策性调整有关费用标准的，按文件规定执行。</w:t>
            </w:r>
          </w:p>
          <w:p w14:paraId="4064FE71">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（4）磋商单位应认真填写工程量清单中所列的所有各细目的单价和合价，填写工程量清单时应注意：</w:t>
            </w:r>
          </w:p>
          <w:p w14:paraId="1C07C255">
            <w:pPr>
              <w:pageBreakBefore w:val="0"/>
              <w:kinsoku/>
              <w:wordWrap w:val="0"/>
              <w:topLinePunct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①有工程数量的应报单价和合价。</w:t>
            </w:r>
          </w:p>
          <w:p w14:paraId="5175D1A9">
            <w:pPr>
              <w:pageBreakBefore w:val="0"/>
              <w:kinsoku/>
              <w:wordWrap w:val="0"/>
              <w:topLinePunct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②无工程数量的项目不报价。</w:t>
            </w:r>
          </w:p>
          <w:p w14:paraId="5F1332FB">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5）磋商供应商应按采购代理机构提供的工程量清单中列出的工程项目和工程量填报单价和合价。每一项目只允许有一个报价。任何有选择的报价将不予接受。磋商供应商未填单价或合价的工程项目在实施后，业主将不予以支付，并视为该项费用已包括在其他有价款的单价或合价内，磋商供应商必须完成工程量清单中未填入单价或总额价的工程细目，但不能得到支付与结算。</w:t>
            </w:r>
          </w:p>
          <w:p w14:paraId="32461792">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6）采购人所提供的工程量清单，应认为已包括按正常施工工艺完成工程量清单项目各单项的有关内容。凡工程量清单所示工程所必不可少的附属工程、相关工程、衔接与后续工程所需的费用，供应商应计入相关项目的单价中。</w:t>
            </w:r>
          </w:p>
          <w:p w14:paraId="702B751F">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（7）供应商的竞标报价须按竞争性磋商文件及澄清答疑中所确认的工程量清单及清单顺序进行报价，否则，将视为实质上不响应竞争性磋商文件的要求。</w:t>
            </w:r>
          </w:p>
          <w:p w14:paraId="110252C4">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（8）按采购预算控制价明细施工，工程最终按实际工程结算。</w:t>
            </w:r>
          </w:p>
          <w:p w14:paraId="0D429C58">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（9）承包方式：综合单价包干，包工包料。</w:t>
            </w:r>
          </w:p>
          <w:p w14:paraId="36D24B19">
            <w:pPr>
              <w:pageBreakBefore w:val="0"/>
              <w:kinsoku/>
              <w:wordWrap w:val="0"/>
              <w:topLinePunct w:val="0"/>
              <w:snapToGrid w:val="0"/>
              <w:spacing w:line="400" w:lineRule="exact"/>
              <w:jc w:val="left"/>
              <w:rPr>
                <w:rFonts w:ascii="宋体" w:hAnsi="宋体" w:cs="宋体"/>
                <w:color w:val="auto"/>
                <w:highlight w:val="none"/>
              </w:rPr>
            </w:pPr>
            <w:r>
              <w:rPr>
                <w:rFonts w:hint="eastAsia" w:ascii="宋体" w:hAnsi="宋体" w:cs="宋体"/>
                <w:color w:val="auto"/>
                <w:highlight w:val="none"/>
              </w:rPr>
              <w:t xml:space="preserve">  （10）磋商供应商的临时占地（含预制厂、料厂、拌和站、借弃土场、项目部驻地等）租用费（含拆迁补偿）、临时用地的环保、恢复及所有临时性占地的青苗补偿及地面附着物发生的费用均由磋商供应商负责；由于磋商供应商原因引起工期延长造成磋商供应商临时占地的租用费增加由磋商供应商负责。以上费用在磋商价中自行考虑。</w:t>
            </w:r>
          </w:p>
          <w:p w14:paraId="5D04D1FE">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（11）磋商供应商在报价中所报的单价和合价，以及磋商报价汇总表中的价格均包括完成该工程项目的成本、利润、税金、开办费、技术措施费、大型机械进出场费、风险费、政策性文件规定费用等所有费用。</w:t>
            </w:r>
          </w:p>
          <w:p w14:paraId="12526513">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（12）磋商供应商可先到工地踏勘以充分了解工地位置、情况、道路、储存空间、装卸限制及任何其他足以影响承包价的情况，任何因忽视或误解工地情况而导致的索赔或工期延长申请将不被批准。</w:t>
            </w:r>
          </w:p>
          <w:p w14:paraId="676B85BA">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（13） 磋商货币</w:t>
            </w:r>
          </w:p>
          <w:p w14:paraId="2E36A70F">
            <w:pPr>
              <w:pageBreakBefore w:val="0"/>
              <w:kinsoku/>
              <w:wordWrap w:val="0"/>
              <w:topLinePunct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响应文件报价中的单价和合价全部采用人民币表示。</w:t>
            </w:r>
          </w:p>
          <w:p w14:paraId="627F57B5">
            <w:pPr>
              <w:pageBreakBefore w:val="0"/>
              <w:kinsoku/>
              <w:wordWrap w:val="0"/>
              <w:topLinePunct w:val="0"/>
              <w:snapToGrid w:val="0"/>
              <w:spacing w:line="400" w:lineRule="exact"/>
              <w:ind w:firstLine="210" w:firstLineChars="100"/>
              <w:jc w:val="left"/>
              <w:rPr>
                <w:rFonts w:ascii="宋体" w:hAnsi="宋体" w:cs="宋体"/>
                <w:color w:val="auto"/>
                <w:highlight w:val="none"/>
              </w:rPr>
            </w:pPr>
            <w:r>
              <w:rPr>
                <w:rFonts w:hint="eastAsia" w:ascii="宋体" w:hAnsi="宋体" w:cs="宋体"/>
                <w:color w:val="auto"/>
                <w:highlight w:val="none"/>
              </w:rPr>
              <w:t>（14）本次磋商报价为二次报价，在最终报价不超出采购预算价的范围内为有效报价。如第二次报价与第一次报价有变动，请在第二次报价时附上相应的已标价工程量清单。</w:t>
            </w:r>
          </w:p>
        </w:tc>
      </w:tr>
      <w:tr w14:paraId="29549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D8F555">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16.2</w:t>
            </w:r>
          </w:p>
        </w:tc>
        <w:tc>
          <w:tcPr>
            <w:tcW w:w="8627" w:type="dxa"/>
            <w:vAlign w:val="center"/>
          </w:tcPr>
          <w:p w14:paraId="3B3773ED">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竞标有效期：首次响应文件提交截止之日起60天内。</w:t>
            </w:r>
          </w:p>
        </w:tc>
      </w:tr>
      <w:tr w14:paraId="57B4C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6A41448">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17.1</w:t>
            </w:r>
          </w:p>
        </w:tc>
        <w:tc>
          <w:tcPr>
            <w:tcW w:w="8627" w:type="dxa"/>
            <w:vAlign w:val="center"/>
          </w:tcPr>
          <w:p w14:paraId="3398372A">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本项目不收取磋商保证金。</w:t>
            </w:r>
          </w:p>
        </w:tc>
      </w:tr>
      <w:tr w14:paraId="3BFC4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7C39847">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18.2</w:t>
            </w:r>
          </w:p>
        </w:tc>
        <w:tc>
          <w:tcPr>
            <w:tcW w:w="8627" w:type="dxa"/>
            <w:vAlign w:val="center"/>
          </w:tcPr>
          <w:p w14:paraId="25E3BE04">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响应文件应按资格证明文件、报价文件、商务技术文件分别编制，并按</w:t>
            </w:r>
            <w:r>
              <w:rPr>
                <w:rFonts w:hint="eastAsia" w:ascii="宋体" w:hAnsi="宋体" w:cs="宋体"/>
                <w:bCs/>
                <w:color w:val="auto"/>
                <w:kern w:val="0"/>
                <w:highlight w:val="none"/>
              </w:rPr>
              <w:t>广西政府采购云平台</w:t>
            </w:r>
            <w:r>
              <w:rPr>
                <w:rFonts w:hint="eastAsia" w:ascii="宋体" w:hAnsi="宋体" w:cs="宋体"/>
                <w:color w:val="auto"/>
                <w:highlight w:val="none"/>
              </w:rPr>
              <w:t>的要求编制、加密、上传。</w:t>
            </w:r>
          </w:p>
        </w:tc>
      </w:tr>
      <w:tr w14:paraId="48EFF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55628B">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20.1</w:t>
            </w:r>
          </w:p>
        </w:tc>
        <w:tc>
          <w:tcPr>
            <w:tcW w:w="8627" w:type="dxa"/>
            <w:vAlign w:val="center"/>
          </w:tcPr>
          <w:p w14:paraId="17C2E65D">
            <w:pPr>
              <w:pageBreakBefore w:val="0"/>
              <w:kinsoku/>
              <w:wordWrap w:val="0"/>
              <w:topLinePunct w:val="0"/>
              <w:spacing w:line="400" w:lineRule="exact"/>
              <w:contextualSpacing/>
              <w:rPr>
                <w:rFonts w:ascii="宋体" w:hAnsi="宋体" w:cs="宋体"/>
                <w:color w:val="auto"/>
                <w:highlight w:val="none"/>
              </w:rPr>
            </w:pPr>
            <w:r>
              <w:rPr>
                <w:rFonts w:hint="eastAsia" w:ascii="宋体" w:hAnsi="宋体" w:cs="宋体"/>
                <w:color w:val="auto"/>
                <w:highlight w:val="none"/>
              </w:rPr>
              <w:t>首次响应文件提交截止时间：详见竞争性磋商公告。</w:t>
            </w:r>
          </w:p>
          <w:p w14:paraId="46F618E1">
            <w:pPr>
              <w:pageBreakBefore w:val="0"/>
              <w:kinsoku/>
              <w:wordWrap w:val="0"/>
              <w:topLinePunct w:val="0"/>
              <w:spacing w:line="400" w:lineRule="exact"/>
              <w:contextualSpacing/>
              <w:rPr>
                <w:rFonts w:ascii="宋体" w:hAnsi="宋体" w:cs="宋体"/>
                <w:color w:val="auto"/>
                <w:highlight w:val="none"/>
              </w:rPr>
            </w:pPr>
            <w:r>
              <w:rPr>
                <w:rFonts w:hint="eastAsia" w:ascii="宋体" w:hAnsi="宋体" w:cs="宋体"/>
                <w:color w:val="auto"/>
                <w:highlight w:val="none"/>
              </w:rPr>
              <w:t>首次响应文件提交地点：详见竞争性磋商公告。</w:t>
            </w:r>
          </w:p>
        </w:tc>
      </w:tr>
      <w:tr w14:paraId="6CE4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5E46FB">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24.1</w:t>
            </w:r>
          </w:p>
        </w:tc>
        <w:tc>
          <w:tcPr>
            <w:tcW w:w="8627" w:type="dxa"/>
            <w:vAlign w:val="center"/>
          </w:tcPr>
          <w:p w14:paraId="4C5B848D">
            <w:pPr>
              <w:pageBreakBefore w:val="0"/>
              <w:kinsoku/>
              <w:wordWrap w:val="0"/>
              <w:topLinePunct w:val="0"/>
              <w:snapToGrid w:val="0"/>
              <w:spacing w:line="400" w:lineRule="exact"/>
              <w:rPr>
                <w:rFonts w:hint="eastAsia" w:ascii="宋体" w:hAnsi="宋体" w:eastAsia="宋体" w:cs="宋体"/>
                <w:color w:val="auto"/>
                <w:highlight w:val="none"/>
                <w:lang w:val="en-US" w:eastAsia="zh-CN"/>
              </w:rPr>
            </w:pPr>
            <w:r>
              <w:rPr>
                <w:rFonts w:hint="eastAsia" w:ascii="宋体" w:hAnsi="宋体" w:cs="宋体"/>
                <w:color w:val="auto"/>
                <w:highlight w:val="none"/>
              </w:rPr>
              <w:t>磋商小组的人数：3人</w:t>
            </w:r>
            <w:r>
              <w:rPr>
                <w:rFonts w:hint="eastAsia" w:ascii="宋体" w:hAnsi="宋体" w:cs="宋体"/>
                <w:color w:val="auto"/>
                <w:highlight w:val="none"/>
                <w:lang w:eastAsia="zh-CN"/>
              </w:rPr>
              <w:t>，</w:t>
            </w:r>
            <w:r>
              <w:rPr>
                <w:rFonts w:hint="eastAsia" w:ascii="宋体" w:hAnsi="宋体" w:eastAsia="宋体" w:cs="宋体"/>
                <w:color w:val="auto"/>
                <w:szCs w:val="21"/>
                <w:highlight w:val="none"/>
              </w:rPr>
              <w:t>磋商小组由采购人代表</w:t>
            </w:r>
            <w:r>
              <w:rPr>
                <w:rFonts w:hint="eastAsia" w:ascii="宋体" w:hAnsi="宋体" w:eastAsia="宋体" w:cs="宋体"/>
                <w:color w:val="auto"/>
                <w:szCs w:val="21"/>
                <w:highlight w:val="none"/>
                <w:lang w:val="en-US" w:eastAsia="zh-CN"/>
              </w:rPr>
              <w:t>1人</w:t>
            </w:r>
            <w:r>
              <w:rPr>
                <w:rFonts w:hint="eastAsia" w:ascii="宋体" w:hAnsi="宋体" w:eastAsia="宋体" w:cs="宋体"/>
                <w:color w:val="auto"/>
                <w:szCs w:val="21"/>
                <w:highlight w:val="none"/>
              </w:rPr>
              <w:t>和评审专家</w:t>
            </w:r>
            <w:r>
              <w:rPr>
                <w:rFonts w:hint="eastAsia" w:ascii="宋体" w:hAnsi="宋体" w:eastAsia="宋体" w:cs="宋体"/>
                <w:color w:val="auto"/>
                <w:szCs w:val="21"/>
                <w:highlight w:val="none"/>
                <w:lang w:val="en-US" w:eastAsia="zh-CN"/>
              </w:rPr>
              <w:t>2人</w:t>
            </w:r>
            <w:r>
              <w:rPr>
                <w:rFonts w:hint="eastAsia" w:ascii="宋体" w:hAnsi="宋体" w:eastAsia="宋体" w:cs="宋体"/>
                <w:color w:val="auto"/>
                <w:szCs w:val="21"/>
                <w:highlight w:val="none"/>
              </w:rPr>
              <w:t>共3人组成</w:t>
            </w:r>
            <w:r>
              <w:rPr>
                <w:rFonts w:hint="eastAsia" w:ascii="宋体" w:hAnsi="宋体" w:eastAsia="宋体" w:cs="宋体"/>
                <w:color w:val="auto"/>
                <w:szCs w:val="21"/>
                <w:highlight w:val="none"/>
                <w:lang w:eastAsia="zh-CN"/>
              </w:rPr>
              <w:t>。</w:t>
            </w:r>
          </w:p>
          <w:p w14:paraId="0A5DEFE8">
            <w:pPr>
              <w:pageBreakBefore w:val="0"/>
              <w:kinsoku/>
              <w:wordWrap w:val="0"/>
              <w:topLinePunct w:val="0"/>
              <w:snapToGrid w:val="0"/>
              <w:spacing w:line="400" w:lineRule="exact"/>
              <w:rPr>
                <w:rFonts w:ascii="宋体" w:hAnsi="宋体" w:cs="宋体"/>
                <w:color w:val="auto"/>
                <w:highlight w:val="none"/>
              </w:rPr>
            </w:pPr>
            <w:r>
              <w:rPr>
                <w:rFonts w:hint="eastAsia" w:ascii="宋体" w:hAnsi="宋体" w:cs="宋体"/>
                <w:color w:val="auto"/>
                <w:highlight w:val="none"/>
              </w:rPr>
              <w:t>是否远程抽取：</w:t>
            </w:r>
            <w:r>
              <w:rPr>
                <w:rFonts w:hint="eastAsia" w:ascii="宋体" w:hAnsi="宋体" w:cs="宋体"/>
                <w:color w:val="auto"/>
                <w:highlight w:val="none"/>
              </w:rPr>
              <w:sym w:font="Wingdings" w:char="00A8"/>
            </w:r>
            <w:r>
              <w:rPr>
                <w:rFonts w:hint="eastAsia" w:ascii="宋体" w:hAnsi="宋体" w:cs="宋体"/>
                <w:color w:val="auto"/>
                <w:highlight w:val="none"/>
              </w:rPr>
              <w:t xml:space="preserve">是   </w:t>
            </w:r>
            <w:r>
              <w:rPr>
                <w:rFonts w:hint="eastAsia" w:ascii="宋体" w:hAnsi="宋体" w:cs="宋体"/>
                <w:color w:val="auto"/>
                <w:highlight w:val="none"/>
              </w:rPr>
              <w:sym w:font="Wingdings" w:char="00FE"/>
            </w:r>
            <w:r>
              <w:rPr>
                <w:rFonts w:hint="eastAsia" w:ascii="宋体" w:hAnsi="宋体" w:cs="宋体"/>
                <w:color w:val="auto"/>
                <w:highlight w:val="none"/>
              </w:rPr>
              <w:t>否</w:t>
            </w:r>
          </w:p>
        </w:tc>
      </w:tr>
      <w:tr w14:paraId="6A2CF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671E5D5">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25.2</w:t>
            </w:r>
          </w:p>
        </w:tc>
        <w:tc>
          <w:tcPr>
            <w:tcW w:w="8627" w:type="dxa"/>
            <w:vAlign w:val="center"/>
          </w:tcPr>
          <w:p w14:paraId="3F9ADF82">
            <w:pPr>
              <w:pageBreakBefore w:val="0"/>
              <w:kinsoku/>
              <w:wordWrap w:val="0"/>
              <w:topLinePunct w:val="0"/>
              <w:snapToGrid w:val="0"/>
              <w:spacing w:line="400" w:lineRule="exact"/>
              <w:rPr>
                <w:rFonts w:ascii="宋体" w:hAnsi="宋体" w:cs="宋体"/>
                <w:color w:val="auto"/>
                <w:highlight w:val="none"/>
              </w:rPr>
            </w:pPr>
            <w:r>
              <w:rPr>
                <w:rFonts w:hint="eastAsia" w:ascii="宋体" w:hAnsi="宋体" w:cs="宋体"/>
                <w:color w:val="auto"/>
                <w:highlight w:val="none"/>
              </w:rPr>
              <w:t>采购代理机构将依托电子交易平台发起开始解密指令，</w:t>
            </w:r>
            <w:r>
              <w:rPr>
                <w:rFonts w:hint="eastAsia" w:ascii="宋体" w:hAnsi="宋体" w:cs="宋体"/>
                <w:b/>
                <w:color w:val="auto"/>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highlight w:val="none"/>
              </w:rPr>
              <w:t>响应文件未按时解密的，</w:t>
            </w:r>
            <w:r>
              <w:rPr>
                <w:rFonts w:hint="eastAsia" w:ascii="宋体" w:hAnsi="宋体" w:cs="宋体"/>
                <w:b/>
                <w:color w:val="auto"/>
                <w:highlight w:val="none"/>
              </w:rPr>
              <w:t>视为响应</w:t>
            </w:r>
            <w:r>
              <w:rPr>
                <w:rFonts w:hint="eastAsia" w:ascii="宋体" w:hAnsi="宋体" w:cs="宋体"/>
                <w:b/>
                <w:bCs/>
                <w:color w:val="auto"/>
                <w:highlight w:val="none"/>
              </w:rPr>
              <w:t>文件无效。</w:t>
            </w:r>
          </w:p>
        </w:tc>
      </w:tr>
      <w:tr w14:paraId="03465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1584816D">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26</w:t>
            </w:r>
          </w:p>
        </w:tc>
        <w:tc>
          <w:tcPr>
            <w:tcW w:w="8627" w:type="dxa"/>
            <w:vAlign w:val="center"/>
          </w:tcPr>
          <w:p w14:paraId="2BA2ACFE">
            <w:pPr>
              <w:pageBreakBefore w:val="0"/>
              <w:kinsoku/>
              <w:wordWrap w:val="0"/>
              <w:topLinePunct w:val="0"/>
              <w:snapToGrid w:val="0"/>
              <w:spacing w:line="400" w:lineRule="exact"/>
              <w:rPr>
                <w:rFonts w:ascii="宋体" w:hAnsi="宋体" w:cs="宋体"/>
                <w:color w:val="auto"/>
                <w:highlight w:val="none"/>
              </w:rPr>
            </w:pPr>
            <w:r>
              <w:rPr>
                <w:rFonts w:hint="eastAsia" w:ascii="宋体" w:hAnsi="宋体" w:cs="宋体"/>
                <w:color w:val="auto"/>
                <w:highlight w:val="none"/>
              </w:rPr>
              <w:t>商务要求评审中允许负偏离的条款数为</w:t>
            </w:r>
            <w:r>
              <w:rPr>
                <w:rFonts w:hint="eastAsia" w:ascii="宋体" w:hAnsi="宋体" w:cs="宋体"/>
                <w:color w:val="auto"/>
                <w:highlight w:val="none"/>
                <w:u w:val="single"/>
              </w:rPr>
              <w:t xml:space="preserve">0 </w:t>
            </w:r>
            <w:r>
              <w:rPr>
                <w:rFonts w:hint="eastAsia" w:ascii="宋体" w:hAnsi="宋体" w:cs="宋体"/>
                <w:color w:val="auto"/>
                <w:highlight w:val="none"/>
              </w:rPr>
              <w:t xml:space="preserve">项 </w:t>
            </w:r>
          </w:p>
          <w:p w14:paraId="77B26B0D">
            <w:pPr>
              <w:pageBreakBefore w:val="0"/>
              <w:kinsoku/>
              <w:wordWrap w:val="0"/>
              <w:topLinePunct w:val="0"/>
              <w:snapToGrid w:val="0"/>
              <w:spacing w:line="400" w:lineRule="exact"/>
              <w:rPr>
                <w:rFonts w:ascii="宋体" w:hAnsi="宋体" w:cs="宋体"/>
                <w:color w:val="auto"/>
                <w:highlight w:val="none"/>
              </w:rPr>
            </w:pPr>
            <w:r>
              <w:rPr>
                <w:rFonts w:hint="eastAsia" w:ascii="宋体" w:hAnsi="宋体" w:cs="宋体"/>
                <w:color w:val="auto"/>
                <w:highlight w:val="none"/>
              </w:rPr>
              <w:t>技术要求评审中允许负偏离的条款数为</w:t>
            </w:r>
            <w:r>
              <w:rPr>
                <w:rFonts w:hint="eastAsia" w:ascii="宋体" w:hAnsi="宋体" w:cs="宋体"/>
                <w:color w:val="auto"/>
                <w:highlight w:val="none"/>
                <w:u w:val="single"/>
              </w:rPr>
              <w:t xml:space="preserve">0 </w:t>
            </w:r>
            <w:r>
              <w:rPr>
                <w:rFonts w:hint="eastAsia" w:ascii="宋体" w:hAnsi="宋体" w:cs="宋体"/>
                <w:color w:val="auto"/>
                <w:highlight w:val="none"/>
              </w:rPr>
              <w:t xml:space="preserve">项 </w:t>
            </w:r>
          </w:p>
        </w:tc>
      </w:tr>
      <w:tr w14:paraId="39915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04CC0EB9">
            <w:pPr>
              <w:pageBreakBefore w:val="0"/>
              <w:kinsoku/>
              <w:wordWrap w:val="0"/>
              <w:topLinePunct w:val="0"/>
              <w:spacing w:line="400" w:lineRule="exact"/>
              <w:jc w:val="center"/>
              <w:rPr>
                <w:rFonts w:ascii="宋体" w:hAnsi="宋体" w:cs="宋体"/>
                <w:color w:val="auto"/>
                <w:highlight w:val="none"/>
              </w:rPr>
            </w:pPr>
          </w:p>
        </w:tc>
        <w:tc>
          <w:tcPr>
            <w:tcW w:w="8627" w:type="dxa"/>
            <w:vAlign w:val="center"/>
          </w:tcPr>
          <w:p w14:paraId="33925B05">
            <w:pPr>
              <w:pStyle w:val="18"/>
              <w:pageBreakBefore w:val="0"/>
              <w:kinsoku/>
              <w:wordWrap w:val="0"/>
              <w:topLinePunct w:val="0"/>
              <w:spacing w:line="400" w:lineRule="exact"/>
              <w:jc w:val="both"/>
              <w:rPr>
                <w:rFonts w:ascii="宋体" w:hAnsi="宋体" w:cs="宋体"/>
                <w:b/>
                <w:color w:val="auto"/>
                <w:sz w:val="21"/>
                <w:szCs w:val="21"/>
                <w:highlight w:val="none"/>
              </w:rPr>
            </w:pPr>
            <w:r>
              <w:rPr>
                <w:rFonts w:hint="eastAsia" w:ascii="宋体" w:hAnsi="宋体" w:cs="宋体"/>
                <w:color w:val="auto"/>
                <w:sz w:val="21"/>
                <w:szCs w:val="21"/>
                <w:highlight w:val="none"/>
              </w:rPr>
              <w:t>截标时间后30分钟内磋商供应商可以登录</w:t>
            </w:r>
            <w:r>
              <w:rPr>
                <w:rFonts w:hint="eastAsia" w:ascii="宋体" w:hAnsi="宋体" w:cs="宋体"/>
                <w:bCs/>
                <w:color w:val="auto"/>
                <w:sz w:val="21"/>
                <w:szCs w:val="21"/>
                <w:highlight w:val="none"/>
              </w:rPr>
              <w:t>广西政府采购云平台</w:t>
            </w:r>
            <w:r>
              <w:rPr>
                <w:rFonts w:hint="eastAsia" w:ascii="宋体" w:hAnsi="宋体" w:cs="宋体"/>
                <w:color w:val="auto"/>
                <w:sz w:val="21"/>
                <w:szCs w:val="21"/>
                <w:highlight w:val="none"/>
              </w:rPr>
              <w:t>，用“项目采购-开标评标”功能进行解密磋商响应文件。若磋商供应商在规定时间内无法解密或解密失败，可以以提交的电子备份磋商响应文件作为依据，如若电子备份磋商响应文件件与</w:t>
            </w:r>
            <w:r>
              <w:rPr>
                <w:rFonts w:hint="eastAsia" w:ascii="宋体" w:hAnsi="宋体" w:cs="宋体"/>
                <w:bCs/>
                <w:color w:val="auto"/>
                <w:sz w:val="21"/>
                <w:szCs w:val="21"/>
                <w:highlight w:val="none"/>
              </w:rPr>
              <w:t>广西政府采购云平台</w:t>
            </w:r>
            <w:r>
              <w:rPr>
                <w:rFonts w:hint="eastAsia" w:ascii="宋体" w:hAnsi="宋体" w:cs="宋体"/>
                <w:color w:val="auto"/>
                <w:sz w:val="21"/>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14:paraId="77475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1DB35BE">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28.1</w:t>
            </w:r>
          </w:p>
        </w:tc>
        <w:tc>
          <w:tcPr>
            <w:tcW w:w="8627" w:type="dxa"/>
            <w:vAlign w:val="center"/>
          </w:tcPr>
          <w:p w14:paraId="3D5BE2BD">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本项目不收取履约保证金。</w:t>
            </w:r>
          </w:p>
        </w:tc>
      </w:tr>
      <w:tr w14:paraId="01110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AA5577">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29.1</w:t>
            </w:r>
          </w:p>
        </w:tc>
        <w:tc>
          <w:tcPr>
            <w:tcW w:w="8627" w:type="dxa"/>
            <w:vAlign w:val="center"/>
          </w:tcPr>
          <w:p w14:paraId="38C8ADFF">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 xml:space="preserve">签订合同携带的证明材料： </w:t>
            </w:r>
          </w:p>
          <w:p w14:paraId="5A250106">
            <w:pPr>
              <w:pageBreakBefore w:val="0"/>
              <w:kinsoku/>
              <w:wordWrap w:val="0"/>
              <w:topLinePunct w:val="0"/>
              <w:autoSpaceDE w:val="0"/>
              <w:autoSpaceDN w:val="0"/>
              <w:snapToGrid w:val="0"/>
              <w:spacing w:line="400" w:lineRule="exact"/>
              <w:textAlignment w:val="bottom"/>
              <w:rPr>
                <w:rFonts w:ascii="宋体" w:hAnsi="宋体" w:cs="宋体"/>
                <w:color w:val="auto"/>
                <w:highlight w:val="none"/>
              </w:rPr>
            </w:pPr>
            <w:r>
              <w:rPr>
                <w:rFonts w:hint="eastAsia" w:ascii="宋体" w:hAnsi="宋体" w:cs="宋体"/>
                <w:color w:val="auto"/>
                <w:highlight w:val="none"/>
              </w:rPr>
              <w:t>1、委托代理人负责签订合同的，须携带授权委托书及委托代理人身份证原件等其他资格证件。</w:t>
            </w:r>
          </w:p>
          <w:p w14:paraId="7E2C80DA">
            <w:pPr>
              <w:pageBreakBefore w:val="0"/>
              <w:kinsoku/>
              <w:wordWrap w:val="0"/>
              <w:topLinePunct w:val="0"/>
              <w:snapToGrid w:val="0"/>
              <w:spacing w:line="400" w:lineRule="exact"/>
              <w:rPr>
                <w:rFonts w:ascii="宋体" w:hAnsi="宋体" w:cs="宋体"/>
                <w:color w:val="auto"/>
                <w:highlight w:val="none"/>
              </w:rPr>
            </w:pPr>
            <w:r>
              <w:rPr>
                <w:rFonts w:hint="eastAsia" w:ascii="宋体" w:hAnsi="宋体" w:cs="宋体"/>
                <w:color w:val="auto"/>
                <w:highlight w:val="none"/>
              </w:rPr>
              <w:t>2、法定代表人负责签订合同的，须携带法定代表人身份证明原件及身份证原件等其他证明材料。</w:t>
            </w:r>
          </w:p>
        </w:tc>
      </w:tr>
      <w:tr w14:paraId="266A4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F1AE3F7">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31.2</w:t>
            </w:r>
          </w:p>
        </w:tc>
        <w:tc>
          <w:tcPr>
            <w:tcW w:w="8627" w:type="dxa"/>
            <w:vAlign w:val="center"/>
          </w:tcPr>
          <w:p w14:paraId="57EFA088">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接收质疑函方式：以纸质书面形式现场递交。</w:t>
            </w:r>
          </w:p>
          <w:p w14:paraId="39072C9C">
            <w:pPr>
              <w:pageBreakBefore w:val="0"/>
              <w:kinsoku/>
              <w:wordWrap w:val="0"/>
              <w:topLinePunct w:val="0"/>
              <w:spacing w:line="400" w:lineRule="exact"/>
              <w:rPr>
                <w:rFonts w:ascii="宋体" w:hAnsi="宋体" w:cs="宋体"/>
                <w:color w:val="auto"/>
                <w:highlight w:val="none"/>
              </w:rPr>
            </w:pPr>
            <w:r>
              <w:rPr>
                <w:rFonts w:hint="eastAsia" w:ascii="宋体" w:hAnsi="宋体" w:cs="宋体"/>
                <w:color w:val="auto"/>
                <w:highlight w:val="none"/>
              </w:rPr>
              <w:t>质疑联系部门及联系方式：</w:t>
            </w:r>
            <w:r>
              <w:rPr>
                <w:rFonts w:hint="eastAsia" w:ascii="宋体" w:hAnsi="宋体" w:cs="宋体"/>
                <w:color w:val="auto"/>
                <w:highlight w:val="none"/>
                <w:lang w:eastAsia="zh-CN"/>
              </w:rPr>
              <w:t>广西诚华工程造价咨询有限公司</w:t>
            </w:r>
            <w:r>
              <w:rPr>
                <w:rFonts w:hint="eastAsia" w:ascii="宋体" w:hAnsi="宋体" w:cs="宋体"/>
                <w:color w:val="auto"/>
                <w:highlight w:val="none"/>
              </w:rPr>
              <w:t>公司，质疑联系人：</w:t>
            </w:r>
            <w:r>
              <w:rPr>
                <w:rFonts w:hint="eastAsia" w:ascii="宋体" w:hAnsi="宋体" w:cs="宋体"/>
                <w:color w:val="auto"/>
                <w:highlight w:val="none"/>
                <w:lang w:eastAsia="zh-CN"/>
              </w:rPr>
              <w:t>万华海</w:t>
            </w:r>
            <w:r>
              <w:rPr>
                <w:rFonts w:hint="eastAsia" w:ascii="宋体" w:hAnsi="宋体" w:cs="宋体"/>
                <w:color w:val="auto"/>
                <w:highlight w:val="none"/>
              </w:rPr>
              <w:t xml:space="preserve">  联系电话：</w:t>
            </w:r>
            <w:r>
              <w:rPr>
                <w:rFonts w:hint="eastAsia" w:ascii="宋体" w:hAnsi="宋体" w:cs="宋体"/>
                <w:color w:val="auto"/>
                <w:highlight w:val="none"/>
                <w:lang w:eastAsia="zh-CN"/>
              </w:rPr>
              <w:t>0771-5892559</w:t>
            </w:r>
            <w:r>
              <w:rPr>
                <w:rFonts w:hint="eastAsia" w:ascii="宋体" w:hAnsi="宋体" w:cs="宋体"/>
                <w:color w:val="auto"/>
                <w:highlight w:val="none"/>
              </w:rPr>
              <w:t>，通讯地址：</w:t>
            </w:r>
            <w:r>
              <w:rPr>
                <w:rFonts w:hint="eastAsia" w:ascii="宋体" w:hAnsi="宋体" w:cs="宋体"/>
                <w:color w:val="auto"/>
                <w:highlight w:val="none"/>
                <w:lang w:eastAsia="zh-CN"/>
              </w:rPr>
              <w:t>南宁市江南区天元国际3栋709室</w:t>
            </w:r>
            <w:r>
              <w:rPr>
                <w:rFonts w:hint="eastAsia" w:ascii="宋体" w:hAnsi="宋体" w:cs="宋体"/>
                <w:color w:val="auto"/>
                <w:highlight w:val="none"/>
              </w:rPr>
              <w:t>　</w:t>
            </w:r>
          </w:p>
          <w:p w14:paraId="3C2D7525">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现场提交质疑办理业务时间：工作日，上午8:00-12:00；下午15:00-18:00（北京时间）</w:t>
            </w:r>
          </w:p>
        </w:tc>
      </w:tr>
      <w:tr w14:paraId="0ED44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4CCA6CE">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32.1</w:t>
            </w:r>
          </w:p>
        </w:tc>
        <w:tc>
          <w:tcPr>
            <w:tcW w:w="8627" w:type="dxa"/>
            <w:vAlign w:val="center"/>
          </w:tcPr>
          <w:p w14:paraId="1EE214A0">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1、采购代理服务费支付方式：本项目的招标代理服务费按以下收费标准向成交供应商收取，领取成交通知书前，成交供应商应向采购代理机构一次付清招标代理服务费，否则采购代理机构有权不予以办理。</w:t>
            </w:r>
          </w:p>
          <w:p w14:paraId="0C73D8AD">
            <w:pPr>
              <w:pStyle w:val="28"/>
              <w:pageBreakBefore w:val="0"/>
              <w:kinsoku/>
              <w:wordWrap w:val="0"/>
              <w:topLinePunct w:val="0"/>
              <w:snapToGrid w:val="0"/>
              <w:spacing w:line="400" w:lineRule="exact"/>
              <w:rPr>
                <w:rFonts w:hint="eastAsia" w:ascii="宋体" w:hAnsi="宋体" w:eastAsia="宋体" w:cs="宋体"/>
                <w:color w:val="auto"/>
                <w:szCs w:val="21"/>
                <w:highlight w:val="none"/>
              </w:rPr>
            </w:pPr>
            <w:r>
              <w:rPr>
                <w:rFonts w:hint="eastAsia" w:hAnsi="宋体" w:cs="宋体"/>
                <w:color w:val="auto"/>
                <w:szCs w:val="21"/>
                <w:highlight w:val="none"/>
              </w:rPr>
              <w:t>2、采购代理服务费收取标准：本项目采购代理服务费按发改价格〔2015〕299号文件规定收取，金额为：</w:t>
            </w:r>
            <w:r>
              <w:rPr>
                <w:rFonts w:hint="eastAsia" w:ascii="宋体" w:hAnsi="宋体"/>
                <w:color w:val="auto"/>
                <w:sz w:val="24"/>
                <w:szCs w:val="24"/>
              </w:rPr>
              <w:t>人</w:t>
            </w:r>
            <w:r>
              <w:rPr>
                <w:rFonts w:hint="eastAsia" w:ascii="宋体" w:hAnsi="宋体" w:eastAsia="宋体" w:cs="宋体"/>
                <w:color w:val="auto"/>
                <w:szCs w:val="21"/>
                <w:highlight w:val="none"/>
              </w:rPr>
              <w:t>民币</w:t>
            </w:r>
            <w:r>
              <w:rPr>
                <w:rFonts w:hint="eastAsia" w:ascii="宋体" w:hAnsi="宋体" w:eastAsia="宋体" w:cs="宋体"/>
                <w:color w:val="auto"/>
                <w:szCs w:val="21"/>
                <w:highlight w:val="none"/>
                <w:lang w:val="en-US" w:eastAsia="zh-CN"/>
              </w:rPr>
              <w:t>壹万零柒佰肆拾</w:t>
            </w:r>
            <w:r>
              <w:rPr>
                <w:rFonts w:hint="eastAsia" w:ascii="宋体" w:hAnsi="宋体" w:eastAsia="宋体" w:cs="宋体"/>
                <w:color w:val="auto"/>
                <w:szCs w:val="21"/>
                <w:highlight w:val="none"/>
              </w:rPr>
              <w:t>元整（¥</w:t>
            </w:r>
            <w:r>
              <w:rPr>
                <w:rFonts w:hint="eastAsia" w:ascii="宋体" w:hAnsi="宋体" w:eastAsia="宋体" w:cs="宋体"/>
                <w:color w:val="auto"/>
                <w:szCs w:val="21"/>
                <w:highlight w:val="none"/>
                <w:lang w:val="en-US" w:eastAsia="zh-CN"/>
              </w:rPr>
              <w:t>10740</w:t>
            </w:r>
            <w:r>
              <w:rPr>
                <w:rFonts w:hint="eastAsia" w:ascii="宋体" w:hAnsi="宋体" w:eastAsia="宋体" w:cs="宋体"/>
                <w:color w:val="auto"/>
                <w:szCs w:val="21"/>
                <w:highlight w:val="none"/>
              </w:rPr>
              <w:t>.00），由代理机构向成交供应商收取。</w:t>
            </w:r>
          </w:p>
          <w:p w14:paraId="69BDB719">
            <w:pPr>
              <w:pStyle w:val="28"/>
              <w:pageBreakBefore w:val="0"/>
              <w:kinsoku/>
              <w:wordWrap w:val="0"/>
              <w:topLinePunct w:val="0"/>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3、开户名：</w:t>
            </w:r>
            <w:r>
              <w:rPr>
                <w:rFonts w:hint="eastAsia" w:ascii="宋体" w:hAnsi="宋体" w:eastAsia="宋体" w:cs="宋体"/>
                <w:color w:val="auto"/>
                <w:szCs w:val="21"/>
                <w:highlight w:val="none"/>
                <w:lang w:eastAsia="zh-CN"/>
              </w:rPr>
              <w:t>广西诚华工程造价咨询有限公司南宁一分公司</w:t>
            </w:r>
          </w:p>
          <w:p w14:paraId="52E8D149">
            <w:pPr>
              <w:pStyle w:val="28"/>
              <w:pageBreakBefore w:val="0"/>
              <w:kinsoku/>
              <w:wordWrap w:val="0"/>
              <w:topLinePunct w:val="0"/>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开户银行：中国光大银行股份有限公司南宁东葛支行</w:t>
            </w:r>
          </w:p>
          <w:p w14:paraId="4408D577">
            <w:pPr>
              <w:pStyle w:val="28"/>
              <w:pageBreakBefore w:val="0"/>
              <w:kinsoku/>
              <w:wordWrap w:val="0"/>
              <w:topLinePunct w:val="0"/>
              <w:snapToGrid w:val="0"/>
              <w:spacing w:line="400" w:lineRule="exact"/>
              <w:rPr>
                <w:rFonts w:hAnsi="宋体" w:cs="宋体"/>
                <w:color w:val="auto"/>
                <w:szCs w:val="21"/>
                <w:highlight w:val="none"/>
              </w:rPr>
            </w:pPr>
            <w:r>
              <w:rPr>
                <w:rFonts w:hint="eastAsia" w:ascii="宋体" w:hAnsi="宋体" w:eastAsia="宋体" w:cs="宋体"/>
                <w:color w:val="auto"/>
                <w:szCs w:val="21"/>
                <w:highlight w:val="none"/>
              </w:rPr>
              <w:t>开户账号：78880188000151696</w:t>
            </w:r>
          </w:p>
        </w:tc>
      </w:tr>
      <w:tr w14:paraId="4D015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A6339CE">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33.1</w:t>
            </w:r>
          </w:p>
        </w:tc>
        <w:tc>
          <w:tcPr>
            <w:tcW w:w="8627" w:type="dxa"/>
            <w:vAlign w:val="center"/>
          </w:tcPr>
          <w:p w14:paraId="6D5A8B25">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28603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551831">
            <w:pPr>
              <w:pageBreakBefore w:val="0"/>
              <w:kinsoku/>
              <w:wordWrap w:val="0"/>
              <w:topLinePunct w:val="0"/>
              <w:spacing w:line="400" w:lineRule="exact"/>
              <w:jc w:val="center"/>
              <w:rPr>
                <w:rFonts w:ascii="宋体" w:hAnsi="宋体" w:cs="宋体"/>
                <w:color w:val="auto"/>
                <w:highlight w:val="none"/>
              </w:rPr>
            </w:pPr>
            <w:r>
              <w:rPr>
                <w:rFonts w:hint="eastAsia" w:ascii="宋体" w:hAnsi="宋体" w:cs="宋体"/>
                <w:color w:val="auto"/>
                <w:highlight w:val="none"/>
              </w:rPr>
              <w:t>33.2</w:t>
            </w:r>
          </w:p>
        </w:tc>
        <w:tc>
          <w:tcPr>
            <w:tcW w:w="8627" w:type="dxa"/>
            <w:vAlign w:val="center"/>
          </w:tcPr>
          <w:p w14:paraId="69641DFA">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1、本磋商文件中描述供应商的“公章”是指根据我国对公章的管理规定，用供应商法定主体行为名称制作的印章【含通过指定电子化政府采购平台办理数字证书（CA认证）获得的以法定主体行为名称制作的电子印章】，除本磋商文件有特殊规定外，供应商的财务章、部门章、分公司章、工会章、合同章、竞标/投标专用章、业务专用章及银行的转账章、现金收讫章、现金付讫章等其他形式印章均不能代替公章。</w:t>
            </w:r>
          </w:p>
          <w:p w14:paraId="1B865B27">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2、供应商为其他组织或者自然人时，本磋商文件规定的法定代表人指负责人或者自然人。本磋商文件所称负责人是指参加竞标的其他组织</w:t>
            </w:r>
            <w:r>
              <w:rPr>
                <w:rFonts w:hint="eastAsia" w:hAnsi="宋体" w:cs="宋体"/>
                <w:bCs/>
                <w:color w:val="auto"/>
                <w:szCs w:val="21"/>
                <w:highlight w:val="none"/>
              </w:rPr>
              <w:t>营业执照或者执业许可证等证照上的</w:t>
            </w:r>
            <w:r>
              <w:rPr>
                <w:rFonts w:hint="eastAsia" w:hAnsi="宋体" w:cs="宋体"/>
                <w:color w:val="auto"/>
                <w:szCs w:val="21"/>
                <w:highlight w:val="none"/>
              </w:rPr>
              <w:t>负责人，本磋商文件所称自然人指参与竞标的自然人本人，</w:t>
            </w:r>
            <w:r>
              <w:rPr>
                <w:rFonts w:hint="eastAsia" w:hAnsi="宋体" w:cs="宋体"/>
                <w:bCs/>
                <w:color w:val="auto"/>
                <w:szCs w:val="21"/>
                <w:highlight w:val="none"/>
              </w:rPr>
              <w:t>且应具备独立承担民事责任能力，自然人应当为年满18岁以上成年人（十六周岁以上的未成年人，以自己的劳动收入为主要生活来源的，视为完全民事行为能力人）。</w:t>
            </w:r>
          </w:p>
          <w:p w14:paraId="7243BC75">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3、本磋商文件中描述供应商的“签字”是指供应商的法定代表人（或负责人）或者委托代理人在文件规定签署处签名【含通过指定电子化政府采购平台办理数字证书（CA认证）获得的以供应商法定代表人（负责人）或者委托代理人姓名制作的电子印章】的行为，私章、印鉴等其他形式均不能代替签字。</w:t>
            </w:r>
          </w:p>
          <w:p w14:paraId="7652D9C0">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4、自然人竞标的，磋商文件规定盖公章处由自然人摁手指指印。</w:t>
            </w:r>
          </w:p>
          <w:p w14:paraId="027796F6">
            <w:pPr>
              <w:pStyle w:val="28"/>
              <w:pageBreakBefore w:val="0"/>
              <w:kinsoku/>
              <w:wordWrap w:val="0"/>
              <w:topLinePunct w:val="0"/>
              <w:snapToGrid w:val="0"/>
              <w:spacing w:line="400" w:lineRule="exact"/>
              <w:rPr>
                <w:rFonts w:hAnsi="宋体" w:cs="宋体"/>
                <w:color w:val="auto"/>
                <w:szCs w:val="21"/>
                <w:highlight w:val="none"/>
              </w:rPr>
            </w:pPr>
            <w:r>
              <w:rPr>
                <w:rFonts w:hint="eastAsia" w:hAnsi="宋体" w:cs="宋体"/>
                <w:color w:val="auto"/>
                <w:szCs w:val="21"/>
                <w:highlight w:val="none"/>
              </w:rPr>
              <w:t>5、本磋商文件所称的“以上”“以下”“以内”“届满”，包括本数；所称的“不满”“超过”“以外”，不包括本数。</w:t>
            </w:r>
          </w:p>
        </w:tc>
      </w:tr>
    </w:tbl>
    <w:p w14:paraId="05FB5C8B">
      <w:pPr>
        <w:pageBreakBefore w:val="0"/>
        <w:kinsoku/>
        <w:wordWrap w:val="0"/>
        <w:topLinePunct w:val="0"/>
        <w:rPr>
          <w:rFonts w:ascii="宋体" w:hAnsi="宋体" w:cs="宋体"/>
          <w:b/>
          <w:bCs/>
          <w:color w:val="auto"/>
          <w:sz w:val="36"/>
          <w:szCs w:val="36"/>
          <w:highlight w:val="none"/>
        </w:rPr>
      </w:pPr>
      <w:r>
        <w:rPr>
          <w:rFonts w:ascii="宋体" w:hAnsi="宋体"/>
          <w:b/>
          <w:color w:val="auto"/>
          <w:sz w:val="32"/>
          <w:szCs w:val="32"/>
          <w:highlight w:val="none"/>
        </w:rPr>
        <w:br w:type="page"/>
      </w:r>
      <w:bookmarkEnd w:id="19"/>
      <w:bookmarkEnd w:id="20"/>
    </w:p>
    <w:p w14:paraId="45D1EDCF">
      <w:pPr>
        <w:pageBreakBefore w:val="0"/>
        <w:kinsoku/>
        <w:wordWrap w:val="0"/>
        <w:topLinePunct w:val="0"/>
        <w:spacing w:line="36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供应商须知正文</w:t>
      </w:r>
    </w:p>
    <w:p w14:paraId="30D00D0F">
      <w:pPr>
        <w:pageBreakBefore w:val="0"/>
        <w:kinsoku/>
        <w:wordWrap w:val="0"/>
        <w:topLinePunct w:val="0"/>
        <w:spacing w:line="360" w:lineRule="exact"/>
        <w:jc w:val="center"/>
        <w:rPr>
          <w:rFonts w:ascii="宋体" w:hAnsi="宋体"/>
          <w:b/>
          <w:color w:val="auto"/>
          <w:sz w:val="32"/>
          <w:szCs w:val="32"/>
          <w:highlight w:val="none"/>
        </w:rPr>
      </w:pPr>
    </w:p>
    <w:p w14:paraId="251DBE0B">
      <w:pPr>
        <w:pageBreakBefore w:val="0"/>
        <w:kinsoku/>
        <w:wordWrap w:val="0"/>
        <w:topLinePunct w:val="0"/>
        <w:spacing w:line="360" w:lineRule="exact"/>
        <w:jc w:val="center"/>
        <w:rPr>
          <w:rFonts w:ascii="宋体" w:hAnsi="宋体"/>
          <w:color w:val="auto"/>
          <w:highlight w:val="none"/>
        </w:rPr>
      </w:pPr>
      <w:r>
        <w:rPr>
          <w:rFonts w:hint="eastAsia" w:ascii="宋体" w:hAnsi="宋体"/>
          <w:b/>
          <w:bCs/>
          <w:color w:val="auto"/>
          <w:sz w:val="32"/>
          <w:szCs w:val="32"/>
          <w:highlight w:val="none"/>
        </w:rPr>
        <w:t>一、总则</w:t>
      </w:r>
    </w:p>
    <w:p w14:paraId="56B5778E">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1A9F26A0">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1.1本项目采购人、采购代理机构、供应商、磋商小组的相关行为均受《中华人民共和国政府采购法》《中华人民共和国政府采购法实施条例》</w:t>
      </w:r>
      <w:r>
        <w:rPr>
          <w:rFonts w:hint="eastAsia" w:ascii="宋体" w:hAnsi="宋体"/>
          <w:color w:val="auto"/>
          <w:highlight w:val="none"/>
        </w:rPr>
        <w:t>《政府采购竞争性磋商采购方式管理暂行办法》《财政部关于政府采购竞争性磋商采购方式管理暂行办法有关问题的补充通知》</w:t>
      </w:r>
      <w:r>
        <w:rPr>
          <w:rFonts w:hint="eastAsia" w:ascii="宋体" w:hAnsi="宋体" w:cs="宋体"/>
          <w:color w:val="auto"/>
          <w:highlight w:val="none"/>
        </w:rPr>
        <w:t>及本项目本级和上级财政部门政府采购有关规定的约束和保护。</w:t>
      </w:r>
    </w:p>
    <w:p w14:paraId="548AA1C6">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1.2</w:t>
      </w:r>
      <w:r>
        <w:rPr>
          <w:rFonts w:hint="eastAsia" w:ascii="宋体" w:hAnsi="宋体" w:cs="宋体"/>
          <w:color w:val="auto"/>
          <w:spacing w:val="-6"/>
          <w:highlight w:val="none"/>
        </w:rPr>
        <w:t>本竞争性磋商文件（以下简称磋商文件）适用于本项目的所有采购程序和环节（法律、法规另有规定的，从其规定）。</w:t>
      </w:r>
    </w:p>
    <w:p w14:paraId="2C722528">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185847E8">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2.1“采购人”是指依法进行政府采购的国家机关、事业单位、团体组织。</w:t>
      </w:r>
    </w:p>
    <w:p w14:paraId="78248DD1">
      <w:pPr>
        <w:pageBreakBefore w:val="0"/>
        <w:kinsoku/>
        <w:wordWrap w:val="0"/>
        <w:topLinePunct w:val="0"/>
        <w:spacing w:line="360" w:lineRule="auto"/>
        <w:ind w:firstLine="420" w:firstLineChars="200"/>
        <w:rPr>
          <w:rFonts w:ascii="宋体" w:hAnsi="宋体" w:cs="宋体"/>
          <w:color w:val="auto"/>
          <w:highlight w:val="none"/>
          <w:u w:val="single"/>
        </w:rPr>
      </w:pPr>
      <w:r>
        <w:rPr>
          <w:rFonts w:hint="eastAsia" w:ascii="宋体" w:hAnsi="宋体" w:cs="宋体"/>
          <w:color w:val="auto"/>
          <w:highlight w:val="none"/>
        </w:rPr>
        <w:t>2.2“采购代理机构”是指政府采购集中采购机构和集中采购机构以外的采购代理机构。</w:t>
      </w:r>
    </w:p>
    <w:p w14:paraId="583DEFE8">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2.3“供应商”是指向采购人提供货物、工程或者服务的法人、其他组织或者自然人。</w:t>
      </w:r>
    </w:p>
    <w:p w14:paraId="1B3F8705">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olor w:val="auto"/>
          <w:highlight w:val="none"/>
        </w:rPr>
        <w:t>2.4“服务”是指除货物和工程以外的其他政府采购对象。</w:t>
      </w:r>
    </w:p>
    <w:p w14:paraId="77FF2780">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5</w:t>
      </w:r>
      <w:r>
        <w:rPr>
          <w:rFonts w:hint="eastAsia" w:ascii="宋体" w:hAnsi="宋体" w:cs="宋体"/>
          <w:color w:val="auto"/>
          <w:highlight w:val="none"/>
        </w:rPr>
        <w:t>“竞标”是指供应商按照本项目竞争性磋商公告或者邀请函规定的方式获取磋商文件、提交响应文件并希望获得标的的行为。</w:t>
      </w:r>
    </w:p>
    <w:p w14:paraId="505A0734">
      <w:pPr>
        <w:pageBreakBefore w:val="0"/>
        <w:kinsoku/>
        <w:wordWrap w:val="0"/>
        <w:topLinePunct w:val="0"/>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2.6“书面形式”是指合同书、信件和数据电文（包括电报、电传、传真、电子数据交换和电子邮件）等可以有形地表现所载内容的形式。</w:t>
      </w:r>
    </w:p>
    <w:p w14:paraId="555147B9">
      <w:pPr>
        <w:pageBreakBefore w:val="0"/>
        <w:kinsoku/>
        <w:wordWrap w:val="0"/>
        <w:topLinePunct w:val="0"/>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2.7“响应文件”</w:t>
      </w:r>
      <w:r>
        <w:rPr>
          <w:rFonts w:hint="eastAsia" w:ascii="宋体" w:hAnsi="宋体" w:cs="宋体"/>
          <w:color w:val="auto"/>
          <w:spacing w:val="-6"/>
          <w:highlight w:val="none"/>
        </w:rPr>
        <w:t>是指：供应商根据本磋商文件要求，编制包含资格证明、报价商务技术等所有内容的文件。</w:t>
      </w:r>
    </w:p>
    <w:p w14:paraId="4C83541A">
      <w:pPr>
        <w:pageBreakBefore w:val="0"/>
        <w:kinsoku/>
        <w:wordWrap w:val="0"/>
        <w:topLinePunct w:val="0"/>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2.8“实质性要求”是指磋商文件中已经指明不满足则响应文件按无效响应处理的条款，或者不能负偏离的条款，或者采购需求中带“▲”的条款。</w:t>
      </w:r>
    </w:p>
    <w:p w14:paraId="195B2B65">
      <w:pPr>
        <w:pageBreakBefore w:val="0"/>
        <w:kinsoku/>
        <w:wordWrap w:val="0"/>
        <w:topLinePunct w:val="0"/>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2.9“正偏离”，是指响应文件对磋商文件“采购需求”中有关条款作出的响应优于条款要求并有利于采购人的情形。</w:t>
      </w:r>
    </w:p>
    <w:p w14:paraId="56AB400D">
      <w:pPr>
        <w:pageBreakBefore w:val="0"/>
        <w:kinsoku/>
        <w:wordWrap w:val="0"/>
        <w:topLinePunct w:val="0"/>
        <w:spacing w:line="360" w:lineRule="auto"/>
        <w:ind w:firstLine="420" w:firstLineChars="200"/>
        <w:contextualSpacing/>
        <w:rPr>
          <w:rFonts w:ascii="宋体" w:hAnsi="宋体" w:cs="宋体"/>
          <w:color w:val="auto"/>
          <w:highlight w:val="none"/>
        </w:rPr>
      </w:pPr>
      <w:r>
        <w:rPr>
          <w:rFonts w:ascii="宋体" w:hAnsi="宋体" w:cs="宋体"/>
          <w:color w:val="auto"/>
          <w:highlight w:val="none"/>
        </w:rPr>
        <w:t>2.</w:t>
      </w:r>
      <w:r>
        <w:rPr>
          <w:rFonts w:hint="eastAsia" w:ascii="宋体" w:hAnsi="宋体" w:cs="宋体"/>
          <w:color w:val="auto"/>
          <w:highlight w:val="none"/>
        </w:rPr>
        <w:t>10“负偏离”，是指响应文件对磋商文件“采购需求”中有关条款作出的响应不满足条款要求，导致采购人要求不能得到满足的情形。</w:t>
      </w:r>
    </w:p>
    <w:p w14:paraId="60B8A1A3">
      <w:pPr>
        <w:pageBreakBefore w:val="0"/>
        <w:kinsoku/>
        <w:wordWrap w:val="0"/>
        <w:topLinePunct w:val="0"/>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2.11“允许负偏离的条款”是指采购需求中的不属于“实质性要求”的条款。</w:t>
      </w:r>
    </w:p>
    <w:p w14:paraId="31E147BB">
      <w:pPr>
        <w:pageBreakBefore w:val="0"/>
        <w:kinsoku/>
        <w:wordWrap w:val="0"/>
        <w:topLinePunct w:val="0"/>
        <w:spacing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1</w:t>
      </w:r>
      <w:r>
        <w:rPr>
          <w:rFonts w:hint="eastAsia" w:ascii="宋体" w:hAnsi="宋体" w:cs="宋体"/>
          <w:color w:val="auto"/>
          <w:highlight w:val="none"/>
        </w:rPr>
        <w:t>2“首次报价”是指供应商提交的首次响应文件中的报价。</w:t>
      </w:r>
    </w:p>
    <w:p w14:paraId="4531F9E1">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6EC3C1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供应商的资格条件详见“供应商须知前附表”。</w:t>
      </w:r>
    </w:p>
    <w:p w14:paraId="3DC9B7B0">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2821FE4E">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供应商应承担参与本次采购活动有关的所有费用，包括但不限于获取磋商文件、勘查现场、编制和提交响应文件、参加磋商与应答、签订合同等，不论竞标结果如何，均应自行承担。</w:t>
      </w:r>
    </w:p>
    <w:p w14:paraId="31174641">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7B7CFE62">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5.1本项目是否接受联合体竞标，详见“供应商须知前附表”。</w:t>
      </w:r>
    </w:p>
    <w:p w14:paraId="0E0DB10D">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5.2</w:t>
      </w:r>
      <w:r>
        <w:rPr>
          <w:rFonts w:hint="eastAsia" w:ascii="宋体" w:hAnsi="宋体"/>
          <w:color w:val="auto"/>
          <w:highlight w:val="none"/>
        </w:rPr>
        <w:t>如接受联合体竞标，</w:t>
      </w:r>
      <w:r>
        <w:rPr>
          <w:rFonts w:hint="eastAsia" w:ascii="宋体" w:hAnsi="宋体" w:cs="宋体"/>
          <w:color w:val="auto"/>
          <w:highlight w:val="none"/>
        </w:rPr>
        <w:t>联合体竞标要求详见“供应商须知前附表”。</w:t>
      </w:r>
    </w:p>
    <w:p w14:paraId="29DC4E68">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5.3</w:t>
      </w:r>
      <w:bookmarkStart w:id="26" w:name="_Hlk66782192"/>
      <w:r>
        <w:rPr>
          <w:rFonts w:hint="eastAsia" w:ascii="宋体" w:hAnsi="宋体"/>
          <w:color w:val="auto"/>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bookmarkEnd w:id="26"/>
    </w:p>
    <w:p w14:paraId="139F73C7">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5C017FDC">
      <w:pPr>
        <w:pStyle w:val="7"/>
        <w:keepNext w:val="0"/>
        <w:keepLines w:val="0"/>
        <w:pageBreakBefore w:val="0"/>
        <w:kinsoku/>
        <w:wordWrap w:val="0"/>
        <w:topLinePunct w:val="0"/>
        <w:spacing w:before="0" w:after="0" w:line="360" w:lineRule="auto"/>
        <w:ind w:left="420" w:leftChars="200"/>
        <w:rPr>
          <w:rFonts w:ascii="宋体" w:hAnsi="宋体"/>
          <w:b w:val="0"/>
          <w:color w:val="auto"/>
          <w:sz w:val="21"/>
          <w:szCs w:val="21"/>
          <w:highlight w:val="none"/>
        </w:rPr>
      </w:pPr>
      <w:bookmarkStart w:id="27" w:name="_Toc254970673"/>
      <w:bookmarkStart w:id="28" w:name="_Toc254970532"/>
      <w:r>
        <w:rPr>
          <w:rFonts w:hint="eastAsia" w:ascii="宋体" w:hAnsi="宋体"/>
          <w:b w:val="0"/>
          <w:color w:val="auto"/>
          <w:sz w:val="21"/>
          <w:szCs w:val="21"/>
          <w:highlight w:val="none"/>
        </w:rPr>
        <w:t>6.1本项目不允许转包。</w:t>
      </w:r>
    </w:p>
    <w:p w14:paraId="36604815">
      <w:pPr>
        <w:pStyle w:val="7"/>
        <w:keepNext w:val="0"/>
        <w:keepLines w:val="0"/>
        <w:pageBreakBefore w:val="0"/>
        <w:kinsoku/>
        <w:wordWrap w:val="0"/>
        <w:topLinePunct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32A87280">
      <w:pPr>
        <w:pStyle w:val="7"/>
        <w:keepNext w:val="0"/>
        <w:keepLines w:val="0"/>
        <w:pageBreakBefore w:val="0"/>
        <w:kinsoku/>
        <w:wordWrap w:val="0"/>
        <w:topLinePunct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50ED5225">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27"/>
      <w:bookmarkEnd w:id="28"/>
    </w:p>
    <w:p w14:paraId="05A538D8">
      <w:pPr>
        <w:pageBreakBefore w:val="0"/>
        <w:kinsoku/>
        <w:wordWrap w:val="0"/>
        <w:topLinePunct w:val="0"/>
        <w:spacing w:line="360" w:lineRule="auto"/>
        <w:ind w:firstLine="420" w:firstLineChars="200"/>
        <w:rPr>
          <w:rFonts w:ascii="宋体" w:hAnsi="宋体" w:cs="宋体"/>
          <w:color w:val="auto"/>
          <w:highlight w:val="none"/>
        </w:rPr>
      </w:pPr>
      <w:bookmarkStart w:id="29" w:name="_8.1提供相同品牌产品且通过资格审查、符合性审查的不同投标人参加同一合"/>
      <w:bookmarkEnd w:id="29"/>
      <w:r>
        <w:rPr>
          <w:rFonts w:hint="eastAsia" w:ascii="宋体" w:hAnsi="宋体" w:cs="宋体"/>
          <w:color w:val="auto"/>
          <w:highlight w:val="none"/>
        </w:rPr>
        <w:t>7.</w:t>
      </w:r>
      <w:r>
        <w:rPr>
          <w:rFonts w:ascii="宋体" w:hAnsi="宋体" w:cs="宋体"/>
          <w:color w:val="auto"/>
          <w:highlight w:val="none"/>
        </w:rPr>
        <w:t>1</w:t>
      </w:r>
      <w:bookmarkStart w:id="30" w:name="_Hlk65832145"/>
      <w:r>
        <w:rPr>
          <w:rFonts w:hint="eastAsia" w:ascii="宋体" w:hAnsi="宋体"/>
          <w:color w:val="auto"/>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highlight w:val="none"/>
        </w:rPr>
        <w:t>。</w:t>
      </w:r>
    </w:p>
    <w:bookmarkEnd w:id="30"/>
    <w:p w14:paraId="2D93AA54">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2</w:t>
      </w:r>
      <w:r>
        <w:rPr>
          <w:rFonts w:hint="eastAsia" w:ascii="宋体" w:hAnsi="宋体" w:cs="宋体"/>
          <w:color w:val="auto"/>
          <w:highlight w:val="none"/>
        </w:rPr>
        <w:t>供应商应仔细阅读磋商文件的所有内容，按照磋商文件的要求提交响应文件，并对所提供的全部资料的真实性承担法律责任。</w:t>
      </w:r>
    </w:p>
    <w:p w14:paraId="5C4318F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3</w:t>
      </w:r>
      <w:r>
        <w:rPr>
          <w:rFonts w:hint="eastAsia" w:ascii="宋体" w:hAnsi="宋体" w:cs="宋体"/>
          <w:color w:val="auto"/>
          <w:highlight w:val="none"/>
        </w:rPr>
        <w:t>供应商在竞标活动中提供任何疑似虚假材料，将报监管部门查处；签订合同后发现的，成交供应商须依法赔偿采购人，且民事赔偿并不免除违法供应商的行政与刑事责任。</w:t>
      </w:r>
    </w:p>
    <w:p w14:paraId="7AA37585">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4</w:t>
      </w:r>
      <w:r>
        <w:rPr>
          <w:rFonts w:hint="eastAsia" w:ascii="宋体" w:hAnsi="宋体" w:cs="宋体"/>
          <w:color w:val="auto"/>
          <w:highlight w:val="none"/>
        </w:rPr>
        <w:t>在政府采购活动中，采购人员及相关人员与供应商有下列利害关系之一的，应当回避：</w:t>
      </w:r>
    </w:p>
    <w:p w14:paraId="46C7885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（1）参加采购活动前3年内与供应商存在劳动关系；</w:t>
      </w:r>
    </w:p>
    <w:p w14:paraId="5404BE76">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（2）参加采购活动前3年内担任供应商的董事、监事；</w:t>
      </w:r>
    </w:p>
    <w:p w14:paraId="0ACA032D">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15E8238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7BEBA825">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57D20006">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DD63E8D">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5</w:t>
      </w:r>
      <w:r>
        <w:rPr>
          <w:rFonts w:hint="eastAsia" w:ascii="宋体" w:hAnsi="宋体" w:cs="宋体"/>
          <w:color w:val="auto"/>
          <w:highlight w:val="none"/>
        </w:rPr>
        <w:t>有下列情形之一的视为供应商相互串通竞标，响应文件将被视为无效：</w:t>
      </w:r>
    </w:p>
    <w:p w14:paraId="11A1801E">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（1）不同供应商的响应文件由同一单位或者个人编制； </w:t>
      </w:r>
    </w:p>
    <w:p w14:paraId="237BBF79">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（2）不同供应商委托同一单位或者个人办理竞标事宜；</w:t>
      </w:r>
    </w:p>
    <w:p w14:paraId="672791A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（3）不同的供应商的响应文件载明的项目管理员为同一个人；</w:t>
      </w:r>
    </w:p>
    <w:p w14:paraId="4260F83C">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（4）不同供应商的响应文件异常一致或者报价呈规律性差异；</w:t>
      </w:r>
    </w:p>
    <w:p w14:paraId="4040F95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（5）不同供应商的响应文件相互混装；</w:t>
      </w:r>
    </w:p>
    <w:p w14:paraId="15D74C30">
      <w:pPr>
        <w:pageBreakBefore w:val="0"/>
        <w:tabs>
          <w:tab w:val="left" w:pos="6931"/>
        </w:tabs>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（6）不同供应商的磋商保证金从同一单位或者个人账户转出。</w:t>
      </w:r>
      <w:r>
        <w:rPr>
          <w:rFonts w:ascii="宋体" w:hAnsi="宋体" w:cs="宋体"/>
          <w:color w:val="auto"/>
          <w:highlight w:val="none"/>
        </w:rPr>
        <w:tab/>
      </w:r>
    </w:p>
    <w:p w14:paraId="35995D42">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w:t>
      </w:r>
      <w:r>
        <w:rPr>
          <w:rFonts w:ascii="宋体" w:hAnsi="宋体" w:cs="宋体"/>
          <w:color w:val="auto"/>
          <w:highlight w:val="none"/>
        </w:rPr>
        <w:t>6</w:t>
      </w:r>
      <w:r>
        <w:rPr>
          <w:rFonts w:hint="eastAsia" w:ascii="宋体" w:hAnsi="宋体" w:cs="宋体"/>
          <w:color w:val="auto"/>
          <w:highlight w:val="none"/>
        </w:rPr>
        <w:t>供应商有下列情形之一的，属于恶意串通行为，将报同级监督管理部门：</w:t>
      </w:r>
    </w:p>
    <w:p w14:paraId="27A7DEDC">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（1）供应商直接或者间接从采购人或者采购代理机构处获得其他供应商的相关信息并修改其响应文件；</w:t>
      </w:r>
    </w:p>
    <w:p w14:paraId="6E3683C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（2）供应商按照采购人或者采购代理机构的授意撤换、修改响应文件；</w:t>
      </w:r>
    </w:p>
    <w:p w14:paraId="0F7A6AC0">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（3）供应商之间协商报价、技术方案等响应文件或者响应文件的实质性内容；</w:t>
      </w:r>
    </w:p>
    <w:p w14:paraId="5F7C208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55E825E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（5）供应商之间事先约定一致抬高或者压低报价，或者在政府采购活动中事先约定轮流以高价位或者低价位成交，或者事先约定由某一特定供应商成交，然后再参加竞标；</w:t>
      </w:r>
    </w:p>
    <w:p w14:paraId="2B21D70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（6）供应商之间商定部分供应商放弃参加政府采购活动或者放弃成交；</w:t>
      </w:r>
    </w:p>
    <w:p w14:paraId="2F42A564">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（7）供应商与采购人或者采购代理机构之间、供应商相互之间，为谋求特定供应商成交或者排斥其他供应商的其他串通行为。</w:t>
      </w:r>
    </w:p>
    <w:p w14:paraId="3E438E47">
      <w:pPr>
        <w:pageBreakBefore w:val="0"/>
        <w:kinsoku/>
        <w:wordWrap w:val="0"/>
        <w:topLinePunct w:val="0"/>
        <w:spacing w:line="360" w:lineRule="auto"/>
        <w:ind w:left="1" w:firstLine="417" w:firstLineChars="199"/>
        <w:jc w:val="center"/>
        <w:rPr>
          <w:rFonts w:ascii="宋体" w:hAnsi="宋体"/>
          <w:color w:val="auto"/>
          <w:highlight w:val="none"/>
        </w:rPr>
      </w:pPr>
      <w:bookmarkStart w:id="31" w:name="_Toc254970675"/>
      <w:bookmarkStart w:id="32" w:name="_Toc254970534"/>
    </w:p>
    <w:p w14:paraId="324F8893">
      <w:pPr>
        <w:pageBreakBefore w:val="0"/>
        <w:kinsoku/>
        <w:wordWrap w:val="0"/>
        <w:topLinePunct w:val="0"/>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31"/>
      <w:bookmarkEnd w:id="32"/>
    </w:p>
    <w:p w14:paraId="3ACB5C88">
      <w:pPr>
        <w:pageBreakBefore w:val="0"/>
        <w:kinsoku/>
        <w:wordWrap w:val="0"/>
        <w:topLinePunct w:val="0"/>
        <w:spacing w:line="360" w:lineRule="auto"/>
        <w:ind w:firstLine="482" w:firstLineChars="200"/>
        <w:rPr>
          <w:rFonts w:ascii="黑体" w:hAnsi="黑体" w:eastAsia="黑体" w:cs="宋体"/>
          <w:b/>
          <w:bCs/>
          <w:color w:val="auto"/>
          <w:sz w:val="24"/>
          <w:highlight w:val="none"/>
        </w:rPr>
      </w:pPr>
    </w:p>
    <w:p w14:paraId="35C0F02D">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67EF4C5E">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（1）竞争性磋商公告；</w:t>
      </w:r>
    </w:p>
    <w:p w14:paraId="6E96ACE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 xml:space="preserve">（2）供应商须知； </w:t>
      </w:r>
    </w:p>
    <w:p w14:paraId="4AFFA7AB">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（3）采购需求；</w:t>
      </w:r>
    </w:p>
    <w:p w14:paraId="38D0F4ED">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（4）评审程序、评审方法和评审标准；</w:t>
      </w:r>
    </w:p>
    <w:p w14:paraId="2BC38F4F">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（5）响应文件格式；</w:t>
      </w:r>
    </w:p>
    <w:p w14:paraId="35CF0745">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（6）合同文本。</w:t>
      </w:r>
    </w:p>
    <w:p w14:paraId="19FD5A2F">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37913D53">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供应商应认真阅读磋商文件的采购需求，如供应商对磋商文件有疑问的，如要求采购人作出澄清或者修改的，供应商尽可能在</w:t>
      </w:r>
      <w:r>
        <w:rPr>
          <w:rFonts w:ascii="宋体" w:hAnsi="宋体"/>
          <w:color w:val="auto"/>
          <w:highlight w:val="none"/>
        </w:rPr>
        <w:t>提交首次响应文件截止之日前</w:t>
      </w:r>
      <w:r>
        <w:rPr>
          <w:rFonts w:hint="eastAsia" w:ascii="宋体" w:hAnsi="宋体"/>
          <w:color w:val="auto"/>
          <w:highlight w:val="none"/>
        </w:rPr>
        <w:t>，以纸质书面形式向</w:t>
      </w:r>
      <w:r>
        <w:rPr>
          <w:rFonts w:ascii="宋体" w:hAnsi="宋体"/>
          <w:color w:val="auto"/>
          <w:highlight w:val="none"/>
        </w:rPr>
        <w:t>采购人、采购代理机构</w:t>
      </w:r>
      <w:r>
        <w:rPr>
          <w:rFonts w:hint="eastAsia" w:ascii="宋体" w:hAnsi="宋体"/>
          <w:color w:val="auto"/>
          <w:highlight w:val="none"/>
        </w:rPr>
        <w:t>提出</w:t>
      </w:r>
      <w:r>
        <w:rPr>
          <w:rFonts w:hint="eastAsia" w:ascii="宋体" w:hAnsi="宋体" w:cs="宋体"/>
          <w:color w:val="auto"/>
          <w:highlight w:val="none"/>
        </w:rPr>
        <w:t>，否则，由此产生的后果由供应商自行负责。</w:t>
      </w:r>
    </w:p>
    <w:p w14:paraId="1713A27C">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1712E2DD">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10.1提交首次响应文件截止之日前，采购人、采购代理机构或者磋商小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时间至少</w:t>
      </w:r>
      <w:r>
        <w:rPr>
          <w:rFonts w:ascii="宋体" w:hAnsi="宋体" w:cs="宋体"/>
          <w:color w:val="auto"/>
          <w:highlight w:val="none"/>
        </w:rPr>
        <w:t>5</w:t>
      </w:r>
      <w:r>
        <w:rPr>
          <w:rFonts w:hint="eastAsia" w:ascii="宋体" w:hAnsi="宋体" w:cs="宋体"/>
          <w:color w:val="auto"/>
          <w:highlight w:val="none"/>
        </w:rPr>
        <w:t>日前，在原公告发布媒体上发布更正公告；不足</w:t>
      </w:r>
      <w:r>
        <w:rPr>
          <w:rFonts w:ascii="宋体" w:hAnsi="宋体" w:cs="宋体"/>
          <w:color w:val="auto"/>
          <w:highlight w:val="none"/>
        </w:rPr>
        <w:t>5</w:t>
      </w:r>
      <w:r>
        <w:rPr>
          <w:rFonts w:hint="eastAsia" w:ascii="宋体" w:hAnsi="宋体" w:cs="宋体"/>
          <w:color w:val="auto"/>
          <w:highlight w:val="none"/>
        </w:rPr>
        <w:t>日的，采购人、采购代理机构应当顺延提交首次响应文件截止时间。</w:t>
      </w:r>
    </w:p>
    <w:p w14:paraId="1E7ECB3B">
      <w:pPr>
        <w:pageBreakBefore w:val="0"/>
        <w:kinsoku/>
        <w:wordWrap w:val="0"/>
        <w:topLinePunct w:val="0"/>
        <w:spacing w:line="400" w:lineRule="exact"/>
        <w:ind w:firstLine="420" w:firstLineChars="200"/>
        <w:rPr>
          <w:rFonts w:ascii="宋体" w:hAnsi="宋体"/>
          <w:color w:val="auto"/>
          <w:highlight w:val="none"/>
        </w:rPr>
      </w:pPr>
      <w:r>
        <w:rPr>
          <w:rFonts w:hint="eastAsia" w:ascii="宋体" w:hAnsi="宋体" w:cs="宋体"/>
          <w:color w:val="auto"/>
          <w:highlight w:val="none"/>
        </w:rPr>
        <w:t>10.2采购人和采购代理机构可以视采购具体情况，变更首次响应文件提交截止时间和开启时间，</w:t>
      </w:r>
      <w:r>
        <w:rPr>
          <w:rFonts w:hint="eastAsia" w:ascii="宋体" w:hAnsi="宋体"/>
          <w:color w:val="auto"/>
          <w:highlight w:val="none"/>
        </w:rPr>
        <w:t>并在原公告发布媒体上发布更正公告。</w:t>
      </w:r>
    </w:p>
    <w:p w14:paraId="3DAE4BC5">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10.3磋商文件</w:t>
      </w:r>
      <w:r>
        <w:rPr>
          <w:rFonts w:hint="eastAsia" w:ascii="宋体" w:hAnsi="宋体"/>
          <w:color w:val="auto"/>
          <w:highlight w:val="none"/>
        </w:rPr>
        <w:t>澄清、答复、修改、补充的内容为</w:t>
      </w:r>
      <w:r>
        <w:rPr>
          <w:rFonts w:hint="eastAsia" w:ascii="宋体" w:hAnsi="宋体" w:cs="宋体"/>
          <w:color w:val="auto"/>
          <w:highlight w:val="none"/>
        </w:rPr>
        <w:t>磋商文件</w:t>
      </w:r>
      <w:r>
        <w:rPr>
          <w:rFonts w:hint="eastAsia" w:ascii="宋体" w:hAnsi="宋体"/>
          <w:color w:val="auto"/>
          <w:highlight w:val="none"/>
        </w:rPr>
        <w:t>的组成部分。</w:t>
      </w:r>
      <w:r>
        <w:rPr>
          <w:rFonts w:hint="eastAsia" w:ascii="宋体" w:hAnsi="宋体"/>
          <w:b/>
          <w:color w:val="auto"/>
          <w:highlight w:val="none"/>
        </w:rPr>
        <w:t>当</w:t>
      </w:r>
      <w:r>
        <w:rPr>
          <w:rFonts w:hint="eastAsia" w:ascii="宋体" w:hAnsi="宋体" w:cs="宋体"/>
          <w:b/>
          <w:color w:val="auto"/>
          <w:highlight w:val="none"/>
        </w:rPr>
        <w:t>磋商文件</w:t>
      </w:r>
      <w:r>
        <w:rPr>
          <w:rFonts w:hint="eastAsia" w:ascii="宋体" w:hAnsi="宋体"/>
          <w:b/>
          <w:color w:val="auto"/>
          <w:highlight w:val="none"/>
        </w:rPr>
        <w:t>与</w:t>
      </w:r>
      <w:r>
        <w:rPr>
          <w:rFonts w:hint="eastAsia" w:ascii="宋体" w:hAnsi="宋体" w:cs="宋体"/>
          <w:b/>
          <w:color w:val="auto"/>
          <w:highlight w:val="none"/>
        </w:rPr>
        <w:t>磋商文件</w:t>
      </w:r>
      <w:r>
        <w:rPr>
          <w:rFonts w:hint="eastAsia" w:ascii="宋体" w:hAnsi="宋体"/>
          <w:b/>
          <w:color w:val="auto"/>
          <w:highlight w:val="none"/>
        </w:rPr>
        <w:t>的澄清、答复、修改、补充通知就同一内容的表述不一致时，以最后发出的文件为准。</w:t>
      </w:r>
    </w:p>
    <w:p w14:paraId="54697B0F">
      <w:pPr>
        <w:pageBreakBefore w:val="0"/>
        <w:kinsoku/>
        <w:wordWrap w:val="0"/>
        <w:topLinePunct w:val="0"/>
        <w:spacing w:line="400" w:lineRule="exact"/>
        <w:ind w:firstLine="422" w:firstLineChars="200"/>
        <w:rPr>
          <w:rFonts w:ascii="宋体" w:hAnsi="宋体"/>
          <w:b/>
          <w:color w:val="auto"/>
          <w:highlight w:val="none"/>
        </w:rPr>
      </w:pPr>
      <w:r>
        <w:rPr>
          <w:rFonts w:hint="eastAsia" w:ascii="宋体" w:hAnsi="宋体" w:cs="宋体"/>
          <w:b/>
          <w:color w:val="auto"/>
          <w:highlight w:val="none"/>
        </w:rPr>
        <w:t>10.4</w:t>
      </w:r>
      <w:r>
        <w:rPr>
          <w:rFonts w:hint="eastAsia" w:ascii="宋体" w:hAnsi="宋体"/>
          <w:b/>
          <w:color w:val="auto"/>
          <w:highlight w:val="none"/>
        </w:rPr>
        <w:t>响应文件未按磋商文件的澄清、修改后的内容编制的，其响应文件作无效响应处理。</w:t>
      </w:r>
    </w:p>
    <w:p w14:paraId="7FA2B312">
      <w:pPr>
        <w:pageBreakBefore w:val="0"/>
        <w:kinsoku/>
        <w:wordWrap w:val="0"/>
        <w:topLinePunct w:val="0"/>
        <w:spacing w:line="400" w:lineRule="exact"/>
        <w:ind w:firstLine="422" w:firstLineChars="200"/>
        <w:rPr>
          <w:rFonts w:ascii="宋体" w:hAnsi="宋体"/>
          <w:b/>
          <w:color w:val="auto"/>
          <w:highlight w:val="none"/>
        </w:rPr>
      </w:pPr>
    </w:p>
    <w:p w14:paraId="6C171A77">
      <w:pPr>
        <w:pageBreakBefore w:val="0"/>
        <w:kinsoku/>
        <w:wordWrap w:val="0"/>
        <w:topLinePunct w:val="0"/>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三、响应文件的编制</w:t>
      </w:r>
    </w:p>
    <w:p w14:paraId="39CF0DB1">
      <w:pPr>
        <w:pageBreakBefore w:val="0"/>
        <w:kinsoku/>
        <w:wordWrap w:val="0"/>
        <w:topLinePunct w:val="0"/>
        <w:spacing w:line="360" w:lineRule="auto"/>
        <w:ind w:firstLine="482" w:firstLineChars="200"/>
        <w:rPr>
          <w:rFonts w:ascii="黑体" w:hAnsi="黑体" w:eastAsia="黑体" w:cs="宋体"/>
          <w:b/>
          <w:bCs/>
          <w:color w:val="auto"/>
          <w:sz w:val="24"/>
          <w:highlight w:val="none"/>
        </w:rPr>
      </w:pPr>
    </w:p>
    <w:p w14:paraId="50195CA0">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1A751805">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供应商必须按照磋商文件的要求编制响应文件，并对其提交的响应文件的真实性、合法性承担法律责任。响应文件必须对磋商文件作出实质性响应。</w:t>
      </w:r>
    </w:p>
    <w:p w14:paraId="05BA119A">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672008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12.1响应文件由资格证明文件、报价商务技术文件两部分组成。</w:t>
      </w:r>
    </w:p>
    <w:p w14:paraId="6BD5F1BD">
      <w:pPr>
        <w:pageBreakBefore w:val="0"/>
        <w:kinsoku/>
        <w:wordWrap w:val="0"/>
        <w:topLinePunct w:val="0"/>
        <w:spacing w:line="360" w:lineRule="auto"/>
        <w:ind w:left="840" w:leftChars="200" w:hanging="420" w:hangingChars="20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2.1.1</w:t>
      </w:r>
      <w:r>
        <w:rPr>
          <w:rFonts w:hint="eastAsia" w:ascii="宋体" w:hAnsi="宋体" w:cs="宋体"/>
          <w:color w:val="auto"/>
          <w:highlight w:val="none"/>
        </w:rPr>
        <w:t>资格证明文件：详见须知前附表</w:t>
      </w:r>
    </w:p>
    <w:p w14:paraId="2BB886B3">
      <w:pPr>
        <w:pageBreakBefore w:val="0"/>
        <w:kinsoku/>
        <w:wordWrap w:val="0"/>
        <w:topLinePunct w:val="0"/>
        <w:spacing w:line="360" w:lineRule="auto"/>
        <w:ind w:left="840" w:leftChars="200" w:hanging="420" w:hangingChars="20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2.1.2</w:t>
      </w:r>
      <w:r>
        <w:rPr>
          <w:rFonts w:hint="eastAsia" w:ascii="宋体" w:hAnsi="宋体" w:cs="宋体"/>
          <w:color w:val="auto"/>
          <w:highlight w:val="none"/>
        </w:rPr>
        <w:t>报价商务技术文件文件：详见须知前附表</w:t>
      </w:r>
    </w:p>
    <w:p w14:paraId="58BF1C2B">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AB4385E">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磋商文件已有明确规定的，使用磋商文件规定的计量单位；磋商文件没有规定的，应采用中华人民共和国法定计量单位，货币种类为人民币，否则视同未响应。</w:t>
      </w:r>
    </w:p>
    <w:p w14:paraId="463B97E6">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292CC74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供应商没有按照磋商文件要求提供全部资料，或者供应商没有对磋商文件在各方面作出实质性响应可能导致其响应无效，是供应商应当考虑的风险。</w:t>
      </w:r>
    </w:p>
    <w:p w14:paraId="61F2870F">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6D3FF66F">
      <w:pPr>
        <w:pageBreakBefore w:val="0"/>
        <w:tabs>
          <w:tab w:val="left" w:pos="2492"/>
        </w:tabs>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15.1竞标报价应按磋商文件中“竞标报价表”格式填写。</w:t>
      </w:r>
    </w:p>
    <w:p w14:paraId="4C2BF25D">
      <w:pPr>
        <w:pageBreakBefore w:val="0"/>
        <w:tabs>
          <w:tab w:val="left" w:pos="2492"/>
        </w:tabs>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15.2竞标报价的内容及要求见“供应商须知前附表”。</w:t>
      </w:r>
    </w:p>
    <w:p w14:paraId="062450CC">
      <w:pPr>
        <w:pageBreakBefore w:val="0"/>
        <w:kinsoku/>
        <w:wordWrap w:val="0"/>
        <w:topLinePunct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1</w:t>
      </w:r>
      <w:r>
        <w:rPr>
          <w:rFonts w:ascii="宋体" w:hAnsi="宋体" w:cs="宋体"/>
          <w:b/>
          <w:color w:val="auto"/>
          <w:highlight w:val="none"/>
        </w:rPr>
        <w:t>5.3.1</w:t>
      </w:r>
      <w:r>
        <w:rPr>
          <w:rFonts w:hint="eastAsia" w:ascii="宋体" w:hAnsi="宋体" w:cs="宋体"/>
          <w:b/>
          <w:color w:val="auto"/>
          <w:highlight w:val="none"/>
        </w:rPr>
        <w:t>供应商的竞标报价应符合以下要求，否则响应文件按无效响应处理：</w:t>
      </w:r>
    </w:p>
    <w:p w14:paraId="50225ABF">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（1）供应商必须就“采购需求”中所竞标的每个分标的全部内容分别作完整唯一总价报价，不得存在漏项报价；</w:t>
      </w:r>
    </w:p>
    <w:p w14:paraId="58DD2264">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）供应商必须就所竞标的分标的单项内容作唯一报价。</w:t>
      </w:r>
    </w:p>
    <w:p w14:paraId="49036B2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15.3.</w:t>
      </w:r>
      <w:r>
        <w:rPr>
          <w:rFonts w:ascii="宋体" w:hAnsi="宋体" w:cs="宋体"/>
          <w:color w:val="auto"/>
          <w:highlight w:val="none"/>
        </w:rPr>
        <w:t>2</w:t>
      </w:r>
      <w:r>
        <w:rPr>
          <w:rFonts w:hint="eastAsia" w:ascii="宋体" w:hAnsi="宋体" w:cs="宋体"/>
          <w:color w:val="auto"/>
          <w:highlight w:val="none"/>
        </w:rPr>
        <w:t>最后报价超过所竞标分标规定的采购预算金额或者最高限价的，其响应文件将按无效响应处理。</w:t>
      </w:r>
      <w:bookmarkStart w:id="33" w:name="_Hlk42592874"/>
    </w:p>
    <w:bookmarkEnd w:id="33"/>
    <w:p w14:paraId="4EFD410A">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7AE46A66">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16.1竞标有效期是指为保证采购人有足够的时间在提交响应文件后完成评审、确定成交供应商、合同签订等工作而要求供应商提交的响应文件在一定时间内保持有效的期限。</w:t>
      </w:r>
    </w:p>
    <w:p w14:paraId="41FA3C36">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16.2 竞标有效期应由供应商按“供应商须知前附表”规定的期限作出响应。</w:t>
      </w:r>
    </w:p>
    <w:p w14:paraId="64744E8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16.3供应商的响应文件在竞标有效期内均保持有效。</w:t>
      </w:r>
    </w:p>
    <w:p w14:paraId="57AD3753">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10ED814D">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17.1供应商须按“供应商须知前附表”的规定提交磋商保证金。</w:t>
      </w:r>
    </w:p>
    <w:p w14:paraId="75B6A08A">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17.2磋商保证金的退还</w:t>
      </w:r>
    </w:p>
    <w:p w14:paraId="134B87D2">
      <w:pPr>
        <w:pageBreakBefore w:val="0"/>
        <w:kinsoku/>
        <w:wordWrap w:val="0"/>
        <w:topLinePunct w:val="0"/>
        <w:spacing w:line="360" w:lineRule="auto"/>
        <w:ind w:firstLine="420" w:firstLineChars="200"/>
        <w:rPr>
          <w:rFonts w:ascii="宋体" w:hAnsi="宋体" w:cs="宋体"/>
          <w:color w:val="auto"/>
          <w:highlight w:val="none"/>
        </w:rPr>
      </w:pPr>
      <w:bookmarkStart w:id="34" w:name="_Hlk66782243"/>
      <w:r>
        <w:rPr>
          <w:rFonts w:hint="eastAsia" w:ascii="宋体" w:hAnsi="宋体" w:cs="宋体"/>
          <w:color w:val="auto"/>
          <w:highlight w:val="none"/>
        </w:rPr>
        <w:t>未</w:t>
      </w:r>
      <w:r>
        <w:rPr>
          <w:rFonts w:hint="eastAsia" w:ascii="宋体" w:hAnsi="宋体" w:cs="宋体"/>
          <w:color w:val="auto"/>
          <w:spacing w:val="-6"/>
          <w:highlight w:val="none"/>
        </w:rPr>
        <w:t>成交供应商的磋商保证金自成交通知书发出之日起</w:t>
      </w:r>
      <w:r>
        <w:rPr>
          <w:rFonts w:ascii="宋体" w:hAnsi="宋体" w:cs="宋体"/>
          <w:color w:val="auto"/>
          <w:spacing w:val="-6"/>
          <w:highlight w:val="none"/>
        </w:rPr>
        <w:t>5</w:t>
      </w:r>
      <w:r>
        <w:rPr>
          <w:rFonts w:hint="eastAsia" w:ascii="宋体" w:hAnsi="宋体" w:cs="宋体"/>
          <w:color w:val="auto"/>
          <w:spacing w:val="-6"/>
          <w:highlight w:val="none"/>
        </w:rPr>
        <w:t>个工作日内退还；</w:t>
      </w:r>
      <w:r>
        <w:rPr>
          <w:rFonts w:hint="eastAsia" w:ascii="宋体" w:hAnsi="宋体" w:cs="宋体"/>
          <w:color w:val="auto"/>
          <w:highlight w:val="none"/>
        </w:rPr>
        <w:t>成交供应商的磋商保证金自签订合同之日起</w:t>
      </w:r>
      <w:r>
        <w:rPr>
          <w:rFonts w:ascii="宋体" w:hAnsi="宋体" w:cs="宋体"/>
          <w:color w:val="auto"/>
          <w:highlight w:val="none"/>
        </w:rPr>
        <w:t>5</w:t>
      </w:r>
      <w:r>
        <w:rPr>
          <w:rFonts w:hint="eastAsia" w:ascii="宋体" w:hAnsi="宋体" w:cs="宋体"/>
          <w:color w:val="auto"/>
          <w:highlight w:val="none"/>
        </w:rPr>
        <w:t>个工作日内退还。</w:t>
      </w:r>
      <w:bookmarkEnd w:id="34"/>
    </w:p>
    <w:p w14:paraId="1DFCD870">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17.3磋商保证金不计息。</w:t>
      </w:r>
    </w:p>
    <w:p w14:paraId="3A052128">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 xml:space="preserve">17.4供应商有下列情形之一的，磋商保证金将不予退还： </w:t>
      </w:r>
    </w:p>
    <w:p w14:paraId="2A99BECA">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（1）供应商在提交首次响应文件截止时间后撤回响应文件的；</w:t>
      </w:r>
    </w:p>
    <w:p w14:paraId="31846BF1">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olor w:val="auto"/>
          <w:highlight w:val="none"/>
        </w:rPr>
        <w:t>（2）未按规定提交履约保证金的；</w:t>
      </w:r>
    </w:p>
    <w:p w14:paraId="136F4839">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（3）供应商在响应文件中提供虚假材料的；</w:t>
      </w:r>
    </w:p>
    <w:p w14:paraId="34546D6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（4）除因不可抗力或者磋商文件认可的情形以外，成交供应商不与采购人签订合同的；</w:t>
      </w:r>
    </w:p>
    <w:p w14:paraId="2EA11702">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（5）供应商与采购人、其他供应商或者采购代理机构恶意串通的；</w:t>
      </w:r>
    </w:p>
    <w:p w14:paraId="78A2CAEF">
      <w:pPr>
        <w:pageBreakBefore w:val="0"/>
        <w:kinsoku/>
        <w:wordWrap w:val="0"/>
        <w:topLinePunct w:val="0"/>
        <w:spacing w:line="360" w:lineRule="auto"/>
        <w:ind w:left="420" w:leftChars="200"/>
        <w:rPr>
          <w:rFonts w:ascii="宋体" w:hAnsi="宋体" w:cs="宋体"/>
          <w:color w:val="auto"/>
          <w:highlight w:val="none"/>
        </w:rPr>
      </w:pPr>
      <w:r>
        <w:rPr>
          <w:rFonts w:hint="eastAsia" w:ascii="宋体" w:hAnsi="宋体" w:cs="宋体"/>
          <w:color w:val="auto"/>
          <w:highlight w:val="none"/>
        </w:rPr>
        <w:t>（6）法律法规规定的其他情形。</w:t>
      </w:r>
    </w:p>
    <w:p w14:paraId="2B9C515E">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975C366">
      <w:pPr>
        <w:pageBreakBefore w:val="0"/>
        <w:kinsoku/>
        <w:wordWrap w:val="0"/>
        <w:topLinePunct w:val="0"/>
        <w:spacing w:line="360" w:lineRule="auto"/>
        <w:ind w:firstLine="420" w:firstLineChars="200"/>
        <w:rPr>
          <w:rFonts w:ascii="宋体" w:hAnsi="宋体" w:cs="宋体"/>
          <w:color w:val="auto"/>
          <w:spacing w:val="-6"/>
          <w:highlight w:val="none"/>
        </w:rPr>
      </w:pPr>
      <w:r>
        <w:rPr>
          <w:rFonts w:hint="eastAsia" w:ascii="宋体" w:hAnsi="宋体" w:cs="宋体"/>
          <w:color w:val="auto"/>
          <w:highlight w:val="none"/>
        </w:rPr>
        <w:t>18.1供应商应按本磋商文件规定的格式和顺序编制响应文件并标注页码，响应文件内容</w:t>
      </w:r>
      <w:r>
        <w:rPr>
          <w:rFonts w:hint="eastAsia" w:ascii="宋体" w:hAnsi="宋体" w:cs="宋体"/>
          <w:color w:val="auto"/>
          <w:spacing w:val="-6"/>
          <w:highlight w:val="none"/>
        </w:rPr>
        <w:t>不完整、编排混乱导致响应文件被误读、漏读或者查找不到相关内容的，</w:t>
      </w:r>
      <w:r>
        <w:rPr>
          <w:rFonts w:hint="eastAsia" w:ascii="宋体" w:hAnsi="宋体"/>
          <w:color w:val="auto"/>
          <w:highlight w:val="none"/>
        </w:rPr>
        <w:t>由此引发的</w:t>
      </w:r>
      <w:r>
        <w:rPr>
          <w:rFonts w:hint="eastAsia" w:ascii="宋体" w:hAnsi="宋体" w:cs="宋体"/>
          <w:color w:val="auto"/>
          <w:spacing w:val="-6"/>
          <w:highlight w:val="none"/>
        </w:rPr>
        <w:t>后果由供应商承担。</w:t>
      </w:r>
    </w:p>
    <w:p w14:paraId="1E624138">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18.2响应文件应按资格证明文件、报价商务技术文件分别编制电子文件，并按</w:t>
      </w:r>
      <w:r>
        <w:rPr>
          <w:rFonts w:hint="eastAsia" w:ascii="宋体" w:hAnsi="宋体" w:cs="宋体"/>
          <w:bCs/>
          <w:color w:val="auto"/>
          <w:kern w:val="0"/>
          <w:highlight w:val="none"/>
        </w:rPr>
        <w:t>广西政府采购云平台</w:t>
      </w:r>
      <w:r>
        <w:rPr>
          <w:rFonts w:hint="eastAsia" w:ascii="宋体" w:hAnsi="宋体" w:cs="宋体"/>
          <w:color w:val="auto"/>
          <w:highlight w:val="none"/>
        </w:rPr>
        <w:t>的要求编制、加密、上传。</w:t>
      </w:r>
    </w:p>
    <w:p w14:paraId="0987F75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18.</w:t>
      </w:r>
      <w:bookmarkStart w:id="35" w:name="_Hlk65832699"/>
      <w:r>
        <w:rPr>
          <w:rFonts w:hint="eastAsia" w:ascii="宋体" w:hAnsi="宋体" w:cs="宋体"/>
          <w:color w:val="auto"/>
          <w:highlight w:val="none"/>
        </w:rPr>
        <w:t>3</w:t>
      </w:r>
      <w:r>
        <w:rPr>
          <w:rFonts w:hint="eastAsia" w:ascii="宋体" w:hAnsi="宋体"/>
          <w:color w:val="auto"/>
          <w:highlight w:val="none"/>
        </w:rPr>
        <w:t>响应文件须由供应商在规定位置盖公章并签字</w:t>
      </w:r>
      <w:bookmarkStart w:id="36" w:name="_Hlk65832569"/>
      <w:r>
        <w:rPr>
          <w:rFonts w:hint="eastAsia" w:ascii="宋体" w:hAnsi="宋体"/>
          <w:color w:val="auto"/>
          <w:highlight w:val="none"/>
        </w:rPr>
        <w:t>（具体以供应商须知前附表或响应文件格式规定为准）</w:t>
      </w:r>
      <w:bookmarkEnd w:id="35"/>
      <w:bookmarkEnd w:id="36"/>
      <w:r>
        <w:rPr>
          <w:rFonts w:hint="eastAsia" w:ascii="宋体" w:hAnsi="宋体" w:cs="宋体"/>
          <w:color w:val="auto"/>
          <w:highlight w:val="none"/>
        </w:rPr>
        <w:t>，否则其响应文件按无效响应处理。</w:t>
      </w:r>
    </w:p>
    <w:p w14:paraId="6A48AE5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18.4响应文件成交的供应商名称应与营业执照（事业单位法人证书、执业许可证、自然人身份证）及公章一致，否则其响应文件按无效响应处理。</w:t>
      </w:r>
    </w:p>
    <w:p w14:paraId="58987862">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241EFC03">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19.响应文件的加密、解密</w:t>
      </w:r>
    </w:p>
    <w:p w14:paraId="79A0F88E">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olor w:val="auto"/>
          <w:highlight w:val="none"/>
        </w:rPr>
        <w:t>19.1电子</w:t>
      </w:r>
      <w:r>
        <w:rPr>
          <w:rFonts w:hint="eastAsia" w:ascii="宋体" w:hAnsi="宋体" w:cs="宋体"/>
          <w:color w:val="auto"/>
          <w:highlight w:val="none"/>
        </w:rPr>
        <w:t>响应文件</w:t>
      </w:r>
      <w:r>
        <w:rPr>
          <w:rFonts w:hint="eastAsia" w:ascii="宋体" w:hAnsi="宋体"/>
          <w:color w:val="auto"/>
          <w:highlight w:val="none"/>
        </w:rPr>
        <w:t>编制完成后，供应商应按</w:t>
      </w:r>
      <w:r>
        <w:rPr>
          <w:rFonts w:hint="eastAsia" w:ascii="宋体" w:hAnsi="宋体" w:cs="宋体"/>
          <w:bCs/>
          <w:color w:val="auto"/>
          <w:kern w:val="0"/>
          <w:highlight w:val="none"/>
        </w:rPr>
        <w:t>广西政府采购云平台</w:t>
      </w:r>
      <w:r>
        <w:rPr>
          <w:rFonts w:hint="eastAsia" w:ascii="宋体" w:hAnsi="宋体"/>
          <w:color w:val="auto"/>
          <w:highlight w:val="none"/>
        </w:rPr>
        <w:t>的要求进行加密，并在规定时间内解密，否则，由此产生的后果由供应商自行负责。</w:t>
      </w:r>
    </w:p>
    <w:p w14:paraId="213FE425">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6E71C109">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20.1供应商必须在“供应商须知前附表”规定的时间和地点提交响应文件。</w:t>
      </w:r>
    </w:p>
    <w:p w14:paraId="591932CF">
      <w:pPr>
        <w:pageBreakBefore w:val="0"/>
        <w:widowControl/>
        <w:kinsoku/>
        <w:wordWrap w:val="0"/>
        <w:topLinePunct w:val="0"/>
        <w:spacing w:line="360" w:lineRule="auto"/>
        <w:ind w:firstLine="420" w:firstLineChars="200"/>
        <w:rPr>
          <w:rFonts w:ascii="宋体" w:hAnsi="宋体" w:cs="宋体"/>
          <w:b/>
          <w:color w:val="auto"/>
          <w:highlight w:val="none"/>
        </w:rPr>
      </w:pPr>
      <w:r>
        <w:rPr>
          <w:rFonts w:hint="eastAsia" w:ascii="宋体" w:hAnsi="宋体" w:cs="宋体"/>
          <w:color w:val="auto"/>
          <w:highlight w:val="none"/>
        </w:rPr>
        <w:t>20.2本项目为全流程电子化政府采购项目，通过</w:t>
      </w:r>
      <w:r>
        <w:rPr>
          <w:rFonts w:hint="eastAsia" w:ascii="宋体" w:hAnsi="宋体" w:cs="宋体"/>
          <w:bCs/>
          <w:color w:val="auto"/>
          <w:kern w:val="0"/>
          <w:highlight w:val="none"/>
        </w:rPr>
        <w:t>广西政府采购云平台</w:t>
      </w:r>
      <w:r>
        <w:rPr>
          <w:rFonts w:hint="eastAsia" w:ascii="宋体" w:hAnsi="宋体" w:cs="宋体"/>
          <w:color w:val="auto"/>
          <w:highlight w:val="none"/>
        </w:rPr>
        <w:t>实行在线电子竞标，供应商应先安装“</w:t>
      </w:r>
      <w:r>
        <w:rPr>
          <w:rFonts w:hint="eastAsia" w:ascii="宋体" w:hAnsi="宋体" w:cs="宋体"/>
          <w:bCs/>
          <w:color w:val="auto"/>
          <w:kern w:val="0"/>
          <w:highlight w:val="none"/>
        </w:rPr>
        <w:t>广西政府采购云平台</w:t>
      </w:r>
      <w:r>
        <w:rPr>
          <w:rFonts w:hint="eastAsia" w:ascii="宋体" w:hAnsi="宋体" w:cs="宋体"/>
          <w:color w:val="auto"/>
          <w:highlight w:val="none"/>
        </w:rPr>
        <w:t>电子交易客户端”（请自行前往</w:t>
      </w:r>
      <w:r>
        <w:rPr>
          <w:rFonts w:hint="eastAsia" w:ascii="宋体" w:hAnsi="宋体" w:cs="宋体"/>
          <w:bCs/>
          <w:color w:val="auto"/>
          <w:kern w:val="0"/>
          <w:highlight w:val="none"/>
        </w:rPr>
        <w:t>广西政府采购云平台</w:t>
      </w:r>
      <w:r>
        <w:rPr>
          <w:rFonts w:hint="eastAsia" w:ascii="宋体" w:hAnsi="宋体" w:cs="宋体"/>
          <w:color w:val="auto"/>
          <w:highlight w:val="none"/>
        </w:rPr>
        <w:t>进行下载），并按照本项目竞争性磋商文件和</w:t>
      </w:r>
      <w:r>
        <w:rPr>
          <w:rFonts w:hint="eastAsia" w:ascii="宋体" w:hAnsi="宋体" w:cs="宋体"/>
          <w:bCs/>
          <w:color w:val="auto"/>
          <w:kern w:val="0"/>
          <w:highlight w:val="none"/>
        </w:rPr>
        <w:t>广西政府采购云平台</w:t>
      </w:r>
      <w:r>
        <w:rPr>
          <w:rFonts w:hint="eastAsia" w:ascii="宋体" w:hAnsi="宋体" w:cs="宋体"/>
          <w:color w:val="auto"/>
          <w:highlight w:val="none"/>
        </w:rPr>
        <w:t>的要求编制、加密后在首次响应文件提交截止时间前通过网络上传至</w:t>
      </w:r>
      <w:r>
        <w:rPr>
          <w:rFonts w:hint="eastAsia" w:ascii="宋体" w:hAnsi="宋体" w:cs="宋体"/>
          <w:bCs/>
          <w:color w:val="auto"/>
          <w:kern w:val="0"/>
          <w:highlight w:val="none"/>
        </w:rPr>
        <w:t>广西政府采购云平台</w:t>
      </w:r>
      <w:r>
        <w:rPr>
          <w:rFonts w:hint="eastAsia" w:ascii="宋体" w:hAnsi="宋体" w:cs="宋体"/>
          <w:color w:val="auto"/>
          <w:highlight w:val="none"/>
        </w:rPr>
        <w:t>，</w:t>
      </w:r>
      <w:r>
        <w:rPr>
          <w:rFonts w:hint="eastAsia" w:ascii="宋体" w:hAnsi="宋体" w:cs="宋体"/>
          <w:b/>
          <w:color w:val="auto"/>
          <w:highlight w:val="none"/>
        </w:rPr>
        <w:t>供应商在广西政府采购云平台提交电子版响应文件时，请填写参加远程开标活动经办人联系方式。</w:t>
      </w:r>
    </w:p>
    <w:p w14:paraId="6B638D6F">
      <w:pPr>
        <w:pStyle w:val="7"/>
        <w:keepNext w:val="0"/>
        <w:keepLines w:val="0"/>
        <w:pageBreakBefore w:val="0"/>
        <w:kinsoku/>
        <w:wordWrap w:val="0"/>
        <w:topLinePunct w:val="0"/>
        <w:spacing w:before="0" w:after="0" w:line="360" w:lineRule="auto"/>
        <w:ind w:firstLine="420" w:firstLineChars="200"/>
        <w:jc w:val="left"/>
        <w:rPr>
          <w:rFonts w:ascii="宋体" w:hAnsi="宋体"/>
          <w:b w:val="0"/>
          <w:color w:val="auto"/>
          <w:sz w:val="21"/>
          <w:szCs w:val="21"/>
          <w:highlight w:val="none"/>
        </w:rPr>
      </w:pPr>
      <w:r>
        <w:rPr>
          <w:rFonts w:hint="eastAsia" w:ascii="宋体" w:hAnsi="宋体"/>
          <w:b w:val="0"/>
          <w:color w:val="auto"/>
          <w:sz w:val="21"/>
          <w:szCs w:val="21"/>
          <w:highlight w:val="none"/>
        </w:rPr>
        <w:t>20.3未在规定时间内上传或者未按</w:t>
      </w:r>
      <w:r>
        <w:rPr>
          <w:rFonts w:hint="eastAsia" w:ascii="宋体" w:hAnsi="宋体" w:cs="宋体"/>
          <w:b w:val="0"/>
          <w:color w:val="auto"/>
          <w:kern w:val="2"/>
          <w:sz w:val="21"/>
          <w:szCs w:val="21"/>
          <w:highlight w:val="none"/>
        </w:rPr>
        <w:t>广西政府采购云平台</w:t>
      </w:r>
      <w:r>
        <w:rPr>
          <w:rFonts w:hint="eastAsia" w:ascii="宋体" w:hAnsi="宋体"/>
          <w:b w:val="0"/>
          <w:color w:val="auto"/>
          <w:sz w:val="21"/>
          <w:szCs w:val="21"/>
          <w:highlight w:val="none"/>
        </w:rPr>
        <w:t>的要求编制、加密的电子响应文件，</w:t>
      </w:r>
      <w:r>
        <w:rPr>
          <w:rFonts w:hint="eastAsia" w:ascii="宋体" w:hAnsi="宋体" w:cs="宋体"/>
          <w:b w:val="0"/>
          <w:color w:val="auto"/>
          <w:kern w:val="2"/>
          <w:sz w:val="21"/>
          <w:szCs w:val="21"/>
          <w:highlight w:val="none"/>
        </w:rPr>
        <w:t>广西政府采购云平台</w:t>
      </w:r>
      <w:r>
        <w:rPr>
          <w:rFonts w:hint="eastAsia" w:ascii="宋体" w:hAnsi="宋体"/>
          <w:b w:val="0"/>
          <w:color w:val="auto"/>
          <w:sz w:val="21"/>
          <w:szCs w:val="21"/>
          <w:highlight w:val="none"/>
        </w:rPr>
        <w:t>将拒收。</w:t>
      </w:r>
    </w:p>
    <w:p w14:paraId="26410263">
      <w:pPr>
        <w:pStyle w:val="8"/>
        <w:pageBreakBefore w:val="0"/>
        <w:kinsoku/>
        <w:wordWrap w:val="0"/>
        <w:topLinePunct w:val="0"/>
        <w:rPr>
          <w:rFonts w:ascii="宋体" w:hAnsi="宋体" w:cs="宋体"/>
          <w:color w:val="auto"/>
          <w:sz w:val="21"/>
          <w:szCs w:val="21"/>
          <w:highlight w:val="none"/>
        </w:rPr>
      </w:pPr>
      <w:r>
        <w:rPr>
          <w:rFonts w:hint="eastAsia" w:ascii="宋体" w:hAnsi="宋体"/>
          <w:color w:val="auto"/>
          <w:sz w:val="21"/>
          <w:szCs w:val="21"/>
          <w:highlight w:val="none"/>
        </w:rPr>
        <w:t>20.4电子</w:t>
      </w:r>
      <w:r>
        <w:rPr>
          <w:rFonts w:hint="eastAsia" w:ascii="宋体" w:hAnsi="宋体" w:cs="宋体"/>
          <w:color w:val="auto"/>
          <w:sz w:val="21"/>
          <w:szCs w:val="21"/>
          <w:highlight w:val="none"/>
        </w:rPr>
        <w:t>响应文件</w:t>
      </w:r>
      <w:r>
        <w:rPr>
          <w:rFonts w:hint="eastAsia" w:ascii="宋体" w:hAnsi="宋体"/>
          <w:color w:val="auto"/>
          <w:sz w:val="21"/>
          <w:szCs w:val="21"/>
          <w:highlight w:val="none"/>
        </w:rPr>
        <w:t>提交方</w:t>
      </w:r>
      <w:r>
        <w:rPr>
          <w:rFonts w:hint="eastAsia" w:ascii="宋体" w:hAnsi="宋体"/>
          <w:bCs/>
          <w:color w:val="auto"/>
          <w:sz w:val="21"/>
          <w:szCs w:val="21"/>
          <w:highlight w:val="none"/>
        </w:rPr>
        <w:t>式见“竞争性磋商公告”</w:t>
      </w:r>
      <w:r>
        <w:rPr>
          <w:rFonts w:hint="eastAsia" w:ascii="宋体" w:hAnsi="宋体"/>
          <w:color w:val="auto"/>
          <w:sz w:val="21"/>
          <w:szCs w:val="21"/>
          <w:highlight w:val="none"/>
        </w:rPr>
        <w:t>中“四、响应文件提交”。</w:t>
      </w:r>
    </w:p>
    <w:p w14:paraId="5E1ED7A1">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1B33BE97">
      <w:pPr>
        <w:pageBreakBefore w:val="0"/>
        <w:kinsoku/>
        <w:wordWrap w:val="0"/>
        <w:topLinePunct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w:t>
      </w:r>
      <w:r>
        <w:rPr>
          <w:rFonts w:hint="eastAsia" w:ascii="宋体" w:hAnsi="宋体" w:cs="宋体"/>
          <w:color w:val="auto"/>
          <w:highlight w:val="none"/>
        </w:rPr>
        <w:t>广西政府采购云平台</w:t>
      </w:r>
      <w:r>
        <w:rPr>
          <w:rFonts w:hint="eastAsia" w:ascii="宋体" w:hAnsi="宋体" w:cs="宋体"/>
          <w:bCs/>
          <w:color w:val="auto"/>
          <w:highlight w:val="none"/>
        </w:rPr>
        <w:t>将予以拒收。</w:t>
      </w:r>
    </w:p>
    <w:p w14:paraId="782F5F5A">
      <w:pPr>
        <w:pageBreakBefore w:val="0"/>
        <w:kinsoku/>
        <w:wordWrap w:val="0"/>
        <w:topLinePunct w:val="0"/>
        <w:spacing w:line="360" w:lineRule="auto"/>
        <w:ind w:firstLine="482" w:firstLineChars="200"/>
        <w:rPr>
          <w:rFonts w:ascii="黑体" w:hAnsi="黑体" w:eastAsia="黑体" w:cs="宋体"/>
          <w:b/>
          <w:bCs/>
          <w:color w:val="auto"/>
          <w:sz w:val="24"/>
          <w:highlight w:val="none"/>
        </w:rPr>
      </w:pPr>
      <w:bookmarkStart w:id="37" w:name="_Hlk45702405"/>
      <w:r>
        <w:rPr>
          <w:rFonts w:hint="eastAsia" w:ascii="黑体" w:hAnsi="黑体" w:eastAsia="黑体" w:cs="宋体"/>
          <w:b/>
          <w:bCs/>
          <w:color w:val="auto"/>
          <w:sz w:val="24"/>
          <w:highlight w:val="none"/>
        </w:rPr>
        <w:t>22. 首次响应文件的退回</w:t>
      </w:r>
    </w:p>
    <w:p w14:paraId="2B8517FE">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22.1在首次响应文件提交截止时间止提交响应文件的供应商不足3家时，</w:t>
      </w:r>
      <w:r>
        <w:rPr>
          <w:rFonts w:hint="eastAsia" w:ascii="宋体" w:hAnsi="宋体"/>
          <w:color w:val="auto"/>
          <w:highlight w:val="none"/>
        </w:rPr>
        <w:t>采购代理机构将根据</w:t>
      </w:r>
      <w:r>
        <w:rPr>
          <w:rFonts w:hint="eastAsia" w:ascii="宋体" w:hAnsi="宋体" w:cs="宋体"/>
          <w:color w:val="auto"/>
          <w:highlight w:val="none"/>
        </w:rPr>
        <w:t>广西政府采购云平台</w:t>
      </w:r>
      <w:r>
        <w:rPr>
          <w:rFonts w:hint="eastAsia" w:ascii="宋体" w:hAnsi="宋体"/>
          <w:color w:val="auto"/>
          <w:highlight w:val="none"/>
        </w:rPr>
        <w:t>的操作将电子版响应文件退回，</w:t>
      </w:r>
      <w:r>
        <w:rPr>
          <w:rFonts w:hint="eastAsia" w:ascii="宋体" w:hAnsi="宋体" w:cs="宋体"/>
          <w:color w:val="auto"/>
          <w:highlight w:val="none"/>
        </w:rPr>
        <w:t>除此之外采购人和采购代理机构对已提交的电子响应文件概不退回。</w:t>
      </w:r>
    </w:p>
    <w:p w14:paraId="39B3831A">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2D0149E2">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23.1供应商在首次响应文件提交截止时间后书面通知采购人、采购代理机构书面撤回响应文件的，将根据本须知正文17.4的规定不予退还其磋商保证金。</w:t>
      </w:r>
    </w:p>
    <w:bookmarkEnd w:id="37"/>
    <w:p w14:paraId="31B45E95">
      <w:pPr>
        <w:pageBreakBefore w:val="0"/>
        <w:kinsoku/>
        <w:wordWrap w:val="0"/>
        <w:topLinePunct w:val="0"/>
        <w:spacing w:line="360" w:lineRule="auto"/>
        <w:rPr>
          <w:rFonts w:ascii="宋体" w:hAnsi="宋体"/>
          <w:color w:val="auto"/>
          <w:highlight w:val="none"/>
        </w:rPr>
      </w:pPr>
    </w:p>
    <w:p w14:paraId="7DD0333D">
      <w:pPr>
        <w:pageBreakBefore w:val="0"/>
        <w:kinsoku/>
        <w:wordWrap w:val="0"/>
        <w:topLinePunct w:val="0"/>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798039F2">
      <w:pPr>
        <w:pageBreakBefore w:val="0"/>
        <w:kinsoku/>
        <w:wordWrap w:val="0"/>
        <w:topLinePunct w:val="0"/>
        <w:spacing w:line="360" w:lineRule="auto"/>
        <w:ind w:firstLine="482" w:firstLineChars="200"/>
        <w:rPr>
          <w:rFonts w:ascii="黑体" w:hAnsi="黑体" w:eastAsia="黑体" w:cs="宋体"/>
          <w:b/>
          <w:bCs/>
          <w:color w:val="auto"/>
          <w:sz w:val="24"/>
          <w:highlight w:val="none"/>
        </w:rPr>
      </w:pPr>
    </w:p>
    <w:p w14:paraId="3CF5E3B4">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7392945E">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07D5B8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0BA3F9C">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w:t>
      </w:r>
    </w:p>
    <w:p w14:paraId="3B48CEE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25.1首次响应文件由磋商小组或者采购代理机构在“供应商须知前附表”规定的时间开启。</w:t>
      </w:r>
    </w:p>
    <w:p w14:paraId="3CAD5678">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highlight w:val="none"/>
        </w:rPr>
        <w:t>供应商的法定代表人或其委托代理人须携带加密时所用的CA锁按平台提示和采购文件的规定登录到广西政府采购云平</w:t>
      </w:r>
      <w:r>
        <w:rPr>
          <w:rFonts w:hint="eastAsia" w:ascii="宋体" w:hAnsi="宋体" w:cs="宋体"/>
          <w:color w:val="auto"/>
          <w:highlight w:val="none"/>
        </w:rPr>
        <w:t>台</w:t>
      </w:r>
      <w:r>
        <w:rPr>
          <w:rFonts w:hint="eastAsia" w:ascii="宋体" w:hAnsi="宋体" w:cs="宋体"/>
          <w:b/>
          <w:color w:val="auto"/>
          <w:highlight w:val="none"/>
        </w:rPr>
        <w:t>电子开标大厅签到并在发起解密指令之时起30分钟内完成对电子响应文件在线解密。</w:t>
      </w:r>
      <w:r>
        <w:rPr>
          <w:rFonts w:hint="eastAsia" w:ascii="宋体" w:hAnsi="宋体"/>
          <w:b/>
          <w:bCs/>
          <w:color w:val="auto"/>
          <w:highlight w:val="none"/>
        </w:rPr>
        <w:t>响应文件未按时解密的，</w:t>
      </w:r>
      <w:r>
        <w:rPr>
          <w:rFonts w:hint="eastAsia" w:ascii="宋体" w:hAnsi="宋体" w:cs="宋体"/>
          <w:b/>
          <w:color w:val="auto"/>
          <w:highlight w:val="none"/>
        </w:rPr>
        <w:t>视为响应</w:t>
      </w:r>
      <w:r>
        <w:rPr>
          <w:rFonts w:hint="eastAsia" w:ascii="宋体" w:hAnsi="宋体"/>
          <w:b/>
          <w:bCs/>
          <w:color w:val="auto"/>
          <w:highlight w:val="none"/>
        </w:rPr>
        <w:t>文件无效。</w:t>
      </w:r>
      <w:r>
        <w:rPr>
          <w:rFonts w:hint="eastAsia" w:ascii="宋体" w:hAnsi="宋体" w:cs="宋体"/>
          <w:color w:val="auto"/>
          <w:highlight w:val="none"/>
        </w:rPr>
        <w:t>（解密异常情况处理：详见本章26.2电子交易活动的中止。）</w:t>
      </w:r>
    </w:p>
    <w:p w14:paraId="271A10E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25.3成功解密响应文件的供应商不足3家的，不得磋商。</w:t>
      </w:r>
    </w:p>
    <w:p w14:paraId="02B01CC5">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4D970477">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26.</w:t>
      </w:r>
      <w:r>
        <w:rPr>
          <w:rFonts w:hint="eastAsia" w:ascii="宋体" w:hAnsi="宋体" w:cs="宋体"/>
          <w:color w:val="auto"/>
          <w:highlight w:val="none"/>
        </w:rPr>
        <w:t>1磋商小组</w:t>
      </w:r>
      <w:r>
        <w:rPr>
          <w:rFonts w:ascii="宋体" w:hAnsi="宋体" w:cs="宋体"/>
          <w:color w:val="auto"/>
          <w:highlight w:val="none"/>
        </w:rPr>
        <w:t>按照</w:t>
      </w:r>
      <w:r>
        <w:rPr>
          <w:rFonts w:hint="eastAsia" w:ascii="宋体" w:hAnsi="宋体" w:cs="宋体"/>
          <w:color w:val="auto"/>
          <w:highlight w:val="none"/>
        </w:rPr>
        <w:t>“第四章 评审程序、评审方法和评审标准”</w:t>
      </w:r>
      <w:r>
        <w:rPr>
          <w:rFonts w:ascii="宋体" w:hAnsi="宋体" w:cs="宋体"/>
          <w:color w:val="auto"/>
          <w:highlight w:val="none"/>
        </w:rPr>
        <w:t>规定的方法、评审因素、标准和程序对</w:t>
      </w:r>
      <w:r>
        <w:rPr>
          <w:rFonts w:hint="eastAsia" w:ascii="宋体" w:hAnsi="宋体" w:cs="宋体"/>
          <w:color w:val="auto"/>
          <w:highlight w:val="none"/>
        </w:rPr>
        <w:t>响应</w:t>
      </w:r>
      <w:r>
        <w:rPr>
          <w:rFonts w:ascii="宋体" w:hAnsi="宋体" w:cs="宋体"/>
          <w:color w:val="auto"/>
          <w:highlight w:val="none"/>
        </w:rPr>
        <w:t>文件进行评审。</w:t>
      </w:r>
    </w:p>
    <w:p w14:paraId="0550813F">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26.2电子交易活动的中止。采购过程中出现以下情形，导致电子交易平台无法正常运行，或者无法保证电子交易的公平、公正和安全时，采购机构可中止电子交易活动：</w:t>
      </w:r>
    </w:p>
    <w:p w14:paraId="522DDA9F">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4FC89128">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73D15726">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569DC902">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55691BB5">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5DEEB35A">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26.3出现以上情形，不影响采购公平、公正性的，采购代理机构可以待上述情形消除后继续组织电子交易活动；影响或可能影响采购公平、公正性的，经采购代理机构确认后，应当重新采购。</w:t>
      </w:r>
    </w:p>
    <w:p w14:paraId="7E3D3369">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67C48BFB">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27</w:t>
      </w:r>
      <w:r>
        <w:rPr>
          <w:rFonts w:hint="eastAsia" w:ascii="宋体" w:hAnsi="宋体" w:cs="宋体"/>
          <w:color w:val="auto"/>
          <w:highlight w:val="none"/>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417DBAF">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27</w:t>
      </w:r>
      <w:r>
        <w:rPr>
          <w:rFonts w:hint="eastAsia" w:ascii="宋体" w:hAnsi="宋体" w:cs="宋体"/>
          <w:color w:val="auto"/>
          <w:highlight w:val="none"/>
        </w:rPr>
        <w:t>.2采购代理机构应当在</w:t>
      </w:r>
      <w:r>
        <w:rPr>
          <w:rFonts w:hint="eastAsia" w:ascii="宋体" w:hAnsi="宋体" w:cs="宋体"/>
          <w:color w:val="auto"/>
          <w:kern w:val="0"/>
          <w:highlight w:val="none"/>
        </w:rPr>
        <w:t>成交</w:t>
      </w:r>
      <w:r>
        <w:rPr>
          <w:rFonts w:hint="eastAsia" w:ascii="宋体" w:hAnsi="宋体" w:cs="宋体"/>
          <w:color w:val="auto"/>
          <w:highlight w:val="none"/>
        </w:rPr>
        <w:t>供应商确定后2个工作日内，在省级以上财政部门指定的媒体上公告成交结果，同时向成交供应商发出成交通知书。</w:t>
      </w:r>
      <w:r>
        <w:rPr>
          <w:rFonts w:hint="eastAsia" w:ascii="宋体" w:hAnsi="宋体" w:cs="宋体"/>
          <w:b/>
          <w:color w:val="auto"/>
          <w:highlight w:val="none"/>
        </w:rPr>
        <w:t>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38" w:name="_Hlk66782294"/>
      <w:r>
        <w:rPr>
          <w:rFonts w:hint="eastAsia" w:ascii="宋体" w:hAnsi="宋体" w:cs="Courier New"/>
          <w:color w:val="auto"/>
          <w:highlight w:val="none"/>
        </w:rPr>
        <w:t>成交供应商享受</w:t>
      </w:r>
      <w:r>
        <w:rPr>
          <w:rFonts w:hint="eastAsia" w:ascii="宋体" w:hAnsi="宋体"/>
          <w:color w:val="auto"/>
          <w:highlight w:val="none"/>
        </w:rPr>
        <w:t>《政府采购促进中小企业发展管理办法》（财库〔2020〕46号）规定的中小企业扶持</w:t>
      </w:r>
      <w:r>
        <w:rPr>
          <w:rFonts w:hint="eastAsia" w:ascii="宋体" w:hAnsi="宋体" w:cs="Courier New"/>
          <w:color w:val="auto"/>
          <w:highlight w:val="none"/>
        </w:rPr>
        <w:t>政策的，采购人、采购代理机构应当随成交结果公开成交供应商的《中小企业声明函》。</w:t>
      </w:r>
      <w:bookmarkEnd w:id="38"/>
    </w:p>
    <w:p w14:paraId="13C89F7F">
      <w:pPr>
        <w:pageBreakBefore w:val="0"/>
        <w:kinsoku/>
        <w:wordWrap w:val="0"/>
        <w:topLinePunct w:val="0"/>
        <w:spacing w:line="360" w:lineRule="auto"/>
        <w:ind w:firstLine="420" w:firstLineChars="200"/>
        <w:rPr>
          <w:rFonts w:ascii="宋体" w:hAnsi="宋体" w:cs="Courier New"/>
          <w:color w:val="auto"/>
          <w:highlight w:val="none"/>
        </w:rPr>
      </w:pPr>
      <w:r>
        <w:rPr>
          <w:rFonts w:hint="eastAsia" w:ascii="宋体" w:hAnsi="宋体" w:cs="宋体"/>
          <w:color w:val="auto"/>
          <w:highlight w:val="none"/>
        </w:rPr>
        <w:t>2</w:t>
      </w:r>
      <w:r>
        <w:rPr>
          <w:rFonts w:ascii="宋体" w:hAnsi="宋体" w:cs="宋体"/>
          <w:color w:val="auto"/>
          <w:highlight w:val="none"/>
        </w:rPr>
        <w:t>7.3</w:t>
      </w:r>
      <w:r>
        <w:rPr>
          <w:rFonts w:hint="eastAsia" w:ascii="宋体" w:hAnsi="宋体" w:cs="Courier New"/>
          <w:color w:val="auto"/>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r>
        <w:rPr>
          <w:rFonts w:ascii="宋体" w:hAnsi="宋体" w:cs="Courier New"/>
          <w:color w:val="auto"/>
          <w:highlight w:val="none"/>
        </w:rPr>
        <w:t>拒绝签订政府采购合同的成交供应商不得参加对该项目重新开展的采购活动。</w:t>
      </w:r>
    </w:p>
    <w:p w14:paraId="7FC355FE">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13101B8C">
      <w:pPr>
        <w:pageBreakBefore w:val="0"/>
        <w:kinsoku/>
        <w:wordWrap w:val="0"/>
        <w:topLinePunct w:val="0"/>
        <w:spacing w:line="360" w:lineRule="auto"/>
        <w:ind w:firstLine="424" w:firstLineChars="202"/>
        <w:rPr>
          <w:rFonts w:ascii="宋体" w:hAnsi="宋体" w:cs="宋体"/>
          <w:color w:val="auto"/>
          <w:highlight w:val="none"/>
        </w:rPr>
      </w:pPr>
      <w:r>
        <w:rPr>
          <w:rFonts w:ascii="宋体" w:hAnsi="宋体" w:cs="宋体"/>
          <w:color w:val="auto"/>
          <w:highlight w:val="none"/>
        </w:rPr>
        <w:t>28</w:t>
      </w:r>
      <w:r>
        <w:rPr>
          <w:rFonts w:hint="eastAsia" w:ascii="宋体" w:hAnsi="宋体" w:cs="宋体"/>
          <w:color w:val="auto"/>
          <w:highlight w:val="none"/>
        </w:rPr>
        <w:t>.1履约保证金的金额、提交方式、退付的时间和条件详见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highlight w:val="none"/>
        </w:rPr>
        <w:t>签订合同。</w:t>
      </w:r>
    </w:p>
    <w:p w14:paraId="506026A1">
      <w:pPr>
        <w:pageBreakBefore w:val="0"/>
        <w:kinsoku/>
        <w:wordWrap w:val="0"/>
        <w:topLinePunct w:val="0"/>
        <w:spacing w:line="360" w:lineRule="auto"/>
        <w:ind w:firstLine="424" w:firstLineChars="202"/>
        <w:rPr>
          <w:rFonts w:ascii="宋体" w:hAnsi="宋体" w:cs="宋体"/>
          <w:color w:val="auto"/>
          <w:highlight w:val="none"/>
        </w:rPr>
      </w:pPr>
      <w:r>
        <w:rPr>
          <w:rFonts w:ascii="宋体" w:hAnsi="宋体" w:cs="宋体"/>
          <w:color w:val="auto"/>
          <w:highlight w:val="none"/>
        </w:rPr>
        <w:t>28</w:t>
      </w:r>
      <w:r>
        <w:rPr>
          <w:rFonts w:hint="eastAsia" w:ascii="宋体" w:hAnsi="宋体" w:cs="宋体"/>
          <w:color w:val="auto"/>
          <w:highlight w:val="none"/>
        </w:rPr>
        <w:t>.2在履约保证金退还日期前，若成交供应商的开户名称、开户银行、帐号有变动的，请以书面形式通知履约保证金收取单位，否则由此产生的后果由成交供应商自行承担。</w:t>
      </w:r>
    </w:p>
    <w:p w14:paraId="076A0501">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4C06DE4C">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29.1签打电子采购合同：成交供应商领取电子成交通知书（书面或电子）后，在规定的日期、时间、地点，由法定代表人或其授权代表与采购人代表签订电子采购合同。如成交供应商为联合体的，由联合体成员各方法定代表人或其授权代表与采购人代表签订合同。</w:t>
      </w:r>
    </w:p>
    <w:p w14:paraId="77E9BE78">
      <w:pPr>
        <w:pageBreakBefore w:val="0"/>
        <w:kinsoku/>
        <w:wordWrap w:val="0"/>
        <w:topLinePunct w:val="0"/>
        <w:spacing w:line="360" w:lineRule="auto"/>
        <w:ind w:firstLine="424" w:firstLineChars="202"/>
        <w:rPr>
          <w:rFonts w:ascii="宋体" w:hAnsi="宋体" w:cs="宋体"/>
          <w:color w:val="auto"/>
          <w:highlight w:val="none"/>
        </w:rPr>
      </w:pPr>
      <w:r>
        <w:rPr>
          <w:rFonts w:hint="eastAsia" w:ascii="宋体" w:hAnsi="宋体" w:cs="宋体"/>
          <w:color w:val="auto"/>
          <w:highlight w:val="none"/>
        </w:rPr>
        <w:t>线下签订纸质合同：供应商领取成交通知书后，按“供应商须知前附表”规定向采购人出示相关证明材料，经采购人核验合格后方可签订合同。</w:t>
      </w:r>
    </w:p>
    <w:p w14:paraId="351AC4DC">
      <w:pPr>
        <w:pageBreakBefore w:val="0"/>
        <w:kinsoku/>
        <w:wordWrap w:val="0"/>
        <w:topLinePunct w:val="0"/>
        <w:spacing w:line="360" w:lineRule="auto"/>
        <w:ind w:firstLine="424" w:firstLineChars="202"/>
        <w:rPr>
          <w:rFonts w:ascii="宋体" w:hAnsi="宋体" w:cs="宋体"/>
          <w:color w:val="auto"/>
          <w:highlight w:val="none"/>
        </w:rPr>
      </w:pPr>
      <w:r>
        <w:rPr>
          <w:rFonts w:hint="eastAsia" w:ascii="宋体" w:hAnsi="宋体" w:cs="宋体"/>
          <w:color w:val="auto"/>
          <w:highlight w:val="none"/>
        </w:rPr>
        <w:t>29.2签订合同时间：按成交通知书规定的时间与采购人签订政府采购合同（最长不能超过25日）。</w:t>
      </w:r>
    </w:p>
    <w:p w14:paraId="5BE1CED4">
      <w:pPr>
        <w:pageBreakBefore w:val="0"/>
        <w:kinsoku/>
        <w:wordWrap w:val="0"/>
        <w:topLinePunct w:val="0"/>
        <w:spacing w:line="360" w:lineRule="auto"/>
        <w:ind w:firstLine="424" w:firstLineChars="202"/>
        <w:rPr>
          <w:rFonts w:ascii="宋体" w:hAnsi="宋体" w:cs="宋体"/>
          <w:color w:val="auto"/>
          <w:highlight w:val="none"/>
        </w:rPr>
      </w:pPr>
      <w:r>
        <w:rPr>
          <w:rFonts w:hint="eastAsia" w:ascii="宋体" w:hAnsi="宋体" w:cs="宋体"/>
          <w:color w:val="auto"/>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4C290DA">
      <w:pPr>
        <w:pageBreakBefore w:val="0"/>
        <w:kinsoku/>
        <w:wordWrap w:val="0"/>
        <w:topLinePunct w:val="0"/>
        <w:spacing w:line="360" w:lineRule="auto"/>
        <w:ind w:firstLine="424" w:firstLineChars="202"/>
        <w:rPr>
          <w:rFonts w:ascii="宋体" w:hAnsi="宋体" w:cs="宋体"/>
          <w:color w:val="auto"/>
          <w:highlight w:val="none"/>
        </w:rPr>
      </w:pPr>
      <w:r>
        <w:rPr>
          <w:rFonts w:hint="eastAsia" w:ascii="宋体" w:hAnsi="宋体" w:cs="宋体"/>
          <w:color w:val="auto"/>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F4C37BA">
      <w:pPr>
        <w:pageBreakBefore w:val="0"/>
        <w:kinsoku/>
        <w:wordWrap w:val="0"/>
        <w:topLinePunct w:val="0"/>
        <w:spacing w:line="360" w:lineRule="auto"/>
        <w:ind w:firstLine="424" w:firstLineChars="202"/>
        <w:rPr>
          <w:rFonts w:ascii="宋体" w:hAnsi="宋体" w:cs="宋体"/>
          <w:color w:val="auto"/>
          <w:highlight w:val="none"/>
        </w:rPr>
      </w:pPr>
      <w:r>
        <w:rPr>
          <w:rFonts w:hint="eastAsia" w:ascii="宋体" w:hAnsi="宋体" w:cs="宋体"/>
          <w:color w:val="auto"/>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71F211C5">
      <w:pPr>
        <w:pageBreakBefore w:val="0"/>
        <w:kinsoku/>
        <w:wordWrap w:val="0"/>
        <w:topLinePunct w:val="0"/>
        <w:spacing w:line="360" w:lineRule="auto"/>
        <w:ind w:firstLine="424" w:firstLineChars="202"/>
        <w:rPr>
          <w:rFonts w:ascii="宋体" w:hAnsi="宋体" w:cs="宋体"/>
          <w:color w:val="auto"/>
          <w:highlight w:val="none"/>
        </w:rPr>
      </w:pPr>
      <w:r>
        <w:rPr>
          <w:rFonts w:hint="eastAsia" w:ascii="宋体" w:hAnsi="宋体" w:cs="宋体"/>
          <w:color w:val="auto"/>
          <w:highlight w:val="none"/>
        </w:rPr>
        <w:t>29.6如签订合同并生效后，供应商无故拒绝或延期，除按照合同条款处理外，将承担相应的法律责任。</w:t>
      </w:r>
    </w:p>
    <w:p w14:paraId="59FA3655">
      <w:pPr>
        <w:pageBreakBefore w:val="0"/>
        <w:kinsoku/>
        <w:wordWrap w:val="0"/>
        <w:topLinePunct w:val="0"/>
        <w:spacing w:line="360" w:lineRule="auto"/>
        <w:ind w:firstLine="424" w:firstLineChars="202"/>
        <w:rPr>
          <w:rFonts w:ascii="宋体" w:hAnsi="宋体" w:cs="宋体"/>
          <w:color w:val="auto"/>
          <w:highlight w:val="none"/>
        </w:rPr>
      </w:pPr>
      <w:r>
        <w:rPr>
          <w:rFonts w:hint="eastAsia" w:ascii="宋体" w:hAnsi="宋体" w:cs="宋体"/>
          <w:color w:val="auto"/>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626D3FD">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3C37AA2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6EABE3F">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4006A4CC">
      <w:pPr>
        <w:pStyle w:val="8"/>
        <w:pageBreakBefore w:val="0"/>
        <w:kinsoku/>
        <w:wordWrap w:val="0"/>
        <w:topLinePunct w:val="0"/>
        <w:spacing w:line="360" w:lineRule="auto"/>
        <w:rPr>
          <w:rFonts w:ascii="宋体" w:hAnsi="宋体"/>
          <w:color w:val="auto"/>
          <w:sz w:val="21"/>
          <w:szCs w:val="21"/>
          <w:highlight w:val="none"/>
        </w:rPr>
      </w:pPr>
      <w:r>
        <w:rPr>
          <w:rFonts w:hint="eastAsia" w:ascii="宋体" w:hAnsi="宋体" w:cs="宋体"/>
          <w:color w:val="auto"/>
          <w:sz w:val="21"/>
          <w:szCs w:val="21"/>
          <w:highlight w:val="none"/>
        </w:rPr>
        <w:t>3</w:t>
      </w:r>
      <w:r>
        <w:rPr>
          <w:rFonts w:ascii="宋体" w:hAnsi="宋体" w:cs="宋体"/>
          <w:color w:val="auto"/>
          <w:sz w:val="21"/>
          <w:szCs w:val="21"/>
          <w:highlight w:val="none"/>
        </w:rPr>
        <w:t>1</w:t>
      </w:r>
      <w:r>
        <w:rPr>
          <w:rFonts w:hint="eastAsia" w:ascii="宋体" w:hAnsi="宋体" w:cs="宋体"/>
          <w:color w:val="auto"/>
          <w:sz w:val="21"/>
          <w:szCs w:val="21"/>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 w:val="21"/>
          <w:szCs w:val="21"/>
          <w:highlight w:val="none"/>
        </w:rPr>
        <w:t>但答复的内容不得涉及商业秘密</w:t>
      </w:r>
      <w:r>
        <w:rPr>
          <w:rFonts w:hint="eastAsia" w:ascii="宋体" w:hAnsi="宋体" w:cs="宋体"/>
          <w:color w:val="auto"/>
          <w:sz w:val="21"/>
          <w:szCs w:val="21"/>
          <w:highlight w:val="none"/>
        </w:rPr>
        <w:t>。</w:t>
      </w:r>
    </w:p>
    <w:p w14:paraId="1CC89E9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.2供应商认为磋商文件、采购过程或者成交结果使自己的合法权益受到损害的，应当在知道或者应知其权益受到损害之日起7个工作日内，以纸质书面形式向采购人、采购代理机构提出质疑，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highlight w:val="none"/>
        </w:rPr>
        <w:t>“供应商须知前附表”。具体质疑起算时间如下：</w:t>
      </w:r>
    </w:p>
    <w:p w14:paraId="42670E1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10B3DC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7A5CD620">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571E18B2">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7E5F052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33E21F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2A3F1D2">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26B347F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415CDE6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0C0C548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6EBB92E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4CCBE6B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31B81178">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1BC6EDD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（1）对采购文件提出的质疑，依法通过澄清或者修改可以继续开展采购活动的，澄清或者修改采购文件后继续开展采购活动；否则应当修改采购文件后重新开展采购活动。</w:t>
      </w:r>
    </w:p>
    <w:p w14:paraId="7F4EA264">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（2）对采购过程或者成交结果提出的质疑，合格供应商符合法定数量时，可以从合格的成交候选人中另行确定成交供应商的，应当依法另行确定成交供应商；否则应当重新开展采购活动。</w:t>
      </w:r>
    </w:p>
    <w:p w14:paraId="5E806A3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7BEA9520">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91DCD3A">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27EC74A4">
      <w:pPr>
        <w:pageBreakBefore w:val="0"/>
        <w:tabs>
          <w:tab w:val="left" w:pos="2835"/>
        </w:tabs>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32</w:t>
      </w:r>
      <w:r>
        <w:rPr>
          <w:rFonts w:hint="eastAsia" w:ascii="宋体" w:hAnsi="宋体" w:cs="宋体"/>
          <w:color w:val="auto"/>
          <w:highlight w:val="none"/>
        </w:rPr>
        <w:t>.1代理服务费：代理服务收取标准及缴费账户详见“供应商须知前附表”，供应商为联合体的，可以由联合体中的一方或者多方共同交纳代理服务费。</w:t>
      </w:r>
    </w:p>
    <w:p w14:paraId="431C9F3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3.需要补充的其他内容</w:t>
      </w:r>
    </w:p>
    <w:p w14:paraId="67D40FFB">
      <w:pPr>
        <w:pStyle w:val="28"/>
        <w:pageBreakBefore w:val="0"/>
        <w:kinsoku/>
        <w:wordWrap w:val="0"/>
        <w:topLinePunct w:val="0"/>
        <w:spacing w:line="360" w:lineRule="auto"/>
        <w:ind w:firstLine="420" w:firstLineChars="200"/>
        <w:textAlignment w:val="center"/>
        <w:rPr>
          <w:rFonts w:hAnsi="宋体" w:cs="宋体"/>
          <w:color w:val="auto"/>
          <w:kern w:val="2"/>
          <w:szCs w:val="21"/>
          <w:highlight w:val="none"/>
        </w:rPr>
      </w:pPr>
      <w:r>
        <w:rPr>
          <w:rFonts w:hint="eastAsia" w:hAnsi="宋体" w:cs="宋体"/>
          <w:color w:val="auto"/>
          <w:kern w:val="2"/>
          <w:szCs w:val="21"/>
          <w:highlight w:val="none"/>
        </w:rPr>
        <w:t>3</w:t>
      </w:r>
      <w:r>
        <w:rPr>
          <w:rFonts w:hAnsi="宋体" w:cs="宋体"/>
          <w:color w:val="auto"/>
          <w:kern w:val="2"/>
          <w:szCs w:val="21"/>
          <w:highlight w:val="none"/>
        </w:rPr>
        <w:t>3.1</w:t>
      </w:r>
      <w:r>
        <w:rPr>
          <w:rFonts w:hint="eastAsia" w:hAnsi="宋体" w:cs="宋体"/>
          <w:color w:val="auto"/>
          <w:kern w:val="2"/>
          <w:szCs w:val="21"/>
          <w:highlight w:val="none"/>
        </w:rPr>
        <w:t>本磋商文件解释规则详见“供应商须知前附表”。</w:t>
      </w:r>
    </w:p>
    <w:p w14:paraId="79023161">
      <w:pPr>
        <w:pStyle w:val="28"/>
        <w:pageBreakBefore w:val="0"/>
        <w:kinsoku/>
        <w:wordWrap w:val="0"/>
        <w:topLinePunct w:val="0"/>
        <w:spacing w:line="360" w:lineRule="auto"/>
        <w:ind w:firstLine="420" w:firstLineChars="200"/>
        <w:textAlignment w:val="center"/>
        <w:rPr>
          <w:rFonts w:hAnsi="宋体" w:cs="宋体"/>
          <w:color w:val="auto"/>
          <w:kern w:val="2"/>
          <w:szCs w:val="21"/>
          <w:highlight w:val="none"/>
        </w:rPr>
      </w:pPr>
      <w:r>
        <w:rPr>
          <w:rFonts w:hAnsi="宋体" w:cs="宋体"/>
          <w:color w:val="auto"/>
          <w:kern w:val="2"/>
          <w:szCs w:val="21"/>
          <w:highlight w:val="none"/>
        </w:rPr>
        <w:t>33.2</w:t>
      </w:r>
      <w:r>
        <w:rPr>
          <w:rFonts w:hint="eastAsia" w:hAnsi="宋体" w:cs="宋体"/>
          <w:color w:val="auto"/>
          <w:kern w:val="2"/>
          <w:szCs w:val="21"/>
          <w:highlight w:val="none"/>
        </w:rPr>
        <w:t xml:space="preserve"> 其他事项详见“供应商须知前附表”。</w:t>
      </w:r>
    </w:p>
    <w:p w14:paraId="0297C1C3">
      <w:pPr>
        <w:pStyle w:val="28"/>
        <w:pageBreakBefore w:val="0"/>
        <w:kinsoku/>
        <w:wordWrap w:val="0"/>
        <w:topLinePunct w:val="0"/>
        <w:spacing w:line="360" w:lineRule="auto"/>
        <w:ind w:firstLine="420" w:firstLineChars="200"/>
        <w:textAlignment w:val="center"/>
        <w:rPr>
          <w:rFonts w:hAnsi="宋体" w:cs="宋体"/>
          <w:color w:val="auto"/>
          <w:kern w:val="2"/>
          <w:szCs w:val="21"/>
          <w:highlight w:val="none"/>
        </w:rPr>
      </w:pPr>
      <w:r>
        <w:rPr>
          <w:rFonts w:hint="eastAsia" w:hAnsi="宋体" w:cs="宋体"/>
          <w:color w:val="auto"/>
          <w:kern w:val="2"/>
          <w:szCs w:val="21"/>
          <w:highlight w:val="none"/>
        </w:rPr>
        <w:t>3</w:t>
      </w:r>
      <w:r>
        <w:rPr>
          <w:rFonts w:hAnsi="宋体" w:cs="宋体"/>
          <w:color w:val="auto"/>
          <w:kern w:val="2"/>
          <w:szCs w:val="21"/>
          <w:highlight w:val="none"/>
        </w:rPr>
        <w:t>3.3</w:t>
      </w:r>
      <w:r>
        <w:rPr>
          <w:rFonts w:hint="eastAsia" w:hAnsi="宋体" w:cs="宋体"/>
          <w:color w:val="auto"/>
          <w:kern w:val="2"/>
          <w:szCs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711EA7F2">
      <w:pPr>
        <w:pStyle w:val="28"/>
        <w:pageBreakBefore w:val="0"/>
        <w:kinsoku/>
        <w:wordWrap w:val="0"/>
        <w:topLinePunct w:val="0"/>
        <w:spacing w:line="360" w:lineRule="auto"/>
        <w:ind w:firstLine="420" w:firstLineChars="200"/>
        <w:contextualSpacing/>
        <w:rPr>
          <w:rFonts w:hAnsi="宋体"/>
          <w:color w:val="auto"/>
          <w:szCs w:val="21"/>
          <w:highlight w:val="none"/>
        </w:rPr>
      </w:pPr>
      <w:r>
        <w:rPr>
          <w:rFonts w:hint="eastAsia" w:hAnsi="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B06F630">
      <w:pPr>
        <w:pStyle w:val="28"/>
        <w:pageBreakBefore w:val="0"/>
        <w:kinsoku/>
        <w:wordWrap w:val="0"/>
        <w:topLinePunct w:val="0"/>
        <w:spacing w:line="360" w:lineRule="auto"/>
        <w:ind w:firstLine="420" w:firstLineChars="200"/>
        <w:contextualSpacing/>
        <w:rPr>
          <w:rFonts w:hAnsi="宋体"/>
          <w:color w:val="auto"/>
          <w:szCs w:val="21"/>
          <w:highlight w:val="none"/>
        </w:rPr>
      </w:pPr>
      <w:r>
        <w:rPr>
          <w:rFonts w:hint="eastAsia" w:hAnsi="宋体"/>
          <w:color w:val="auto"/>
          <w:szCs w:val="21"/>
          <w:highlight w:val="none"/>
        </w:rPr>
        <w:t>（2）在工程采购项目中，工程由中小企业承建，即工程施工单位为中小企业，不对其中涉及的货物的制造商和服务的承接商作出要求；</w:t>
      </w:r>
    </w:p>
    <w:p w14:paraId="08F5EF90">
      <w:pPr>
        <w:pStyle w:val="28"/>
        <w:pageBreakBefore w:val="0"/>
        <w:kinsoku/>
        <w:wordWrap w:val="0"/>
        <w:topLinePunct w:val="0"/>
        <w:spacing w:line="360" w:lineRule="auto"/>
        <w:ind w:firstLine="420" w:firstLineChars="200"/>
        <w:contextualSpacing/>
        <w:rPr>
          <w:rFonts w:hAnsi="宋体"/>
          <w:color w:val="auto"/>
          <w:szCs w:val="21"/>
          <w:highlight w:val="none"/>
        </w:rPr>
      </w:pPr>
      <w:r>
        <w:rPr>
          <w:rFonts w:hint="eastAsia" w:hAnsi="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882458">
      <w:pPr>
        <w:pStyle w:val="28"/>
        <w:pageBreakBefore w:val="0"/>
        <w:kinsoku/>
        <w:wordWrap w:val="0"/>
        <w:topLinePunct w:val="0"/>
        <w:spacing w:line="360" w:lineRule="auto"/>
        <w:ind w:firstLine="420" w:firstLineChars="200"/>
        <w:textAlignment w:val="center"/>
        <w:rPr>
          <w:rFonts w:hAnsi="宋体" w:cs="宋体"/>
          <w:color w:val="auto"/>
          <w:kern w:val="2"/>
          <w:szCs w:val="21"/>
          <w:highlight w:val="none"/>
        </w:rPr>
      </w:pPr>
      <w:r>
        <w:rPr>
          <w:rFonts w:hint="eastAsia" w:hAnsi="宋体" w:cs="宋体"/>
          <w:color w:val="auto"/>
          <w:kern w:val="2"/>
          <w:szCs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58C004B4">
      <w:pPr>
        <w:pStyle w:val="28"/>
        <w:keepNext w:val="0"/>
        <w:keepLines w:val="0"/>
        <w:pageBreakBefore w:val="0"/>
        <w:widowControl w:val="0"/>
        <w:tabs>
          <w:tab w:val="left" w:pos="4214"/>
        </w:tabs>
        <w:kinsoku/>
        <w:wordWrap/>
        <w:overflowPunct/>
        <w:topLinePunct w:val="0"/>
        <w:autoSpaceDE/>
        <w:autoSpaceDN/>
        <w:bidi w:val="0"/>
        <w:adjustRightInd/>
        <w:spacing w:line="360" w:lineRule="atLeast"/>
        <w:ind w:firstLine="420" w:firstLineChars="200"/>
        <w:textAlignment w:val="auto"/>
        <w:rPr>
          <w:rFonts w:hint="eastAsia" w:hAnsi="宋体" w:cs="宋体"/>
          <w:color w:val="auto"/>
          <w:kern w:val="2"/>
          <w:szCs w:val="21"/>
          <w:highlight w:val="none"/>
        </w:rPr>
      </w:pPr>
      <w:r>
        <w:rPr>
          <w:rFonts w:hint="eastAsia" w:hAnsi="宋体" w:cs="宋体"/>
          <w:color w:val="auto"/>
          <w:kern w:val="2"/>
          <w:szCs w:val="21"/>
          <w:highlight w:val="none"/>
        </w:rPr>
        <w:t>依据本磋商文件规定享受扶持政策获得政府采购合同的，小微企业不得将合同分包给大中型企业，中型企业不得将合同分包给大型企业。</w:t>
      </w:r>
    </w:p>
    <w:p w14:paraId="3C30DF27">
      <w:pPr>
        <w:pStyle w:val="28"/>
        <w:keepNext w:val="0"/>
        <w:keepLines w:val="0"/>
        <w:pageBreakBefore w:val="0"/>
        <w:widowControl w:val="0"/>
        <w:tabs>
          <w:tab w:val="left" w:pos="4214"/>
        </w:tabs>
        <w:kinsoku/>
        <w:wordWrap/>
        <w:overflowPunct/>
        <w:topLinePunct w:val="0"/>
        <w:autoSpaceDE/>
        <w:autoSpaceDN/>
        <w:bidi w:val="0"/>
        <w:adjustRightInd/>
        <w:spacing w:line="360" w:lineRule="atLeast"/>
        <w:ind w:firstLine="420" w:firstLineChars="200"/>
        <w:textAlignment w:val="auto"/>
        <w:rPr>
          <w:rFonts w:hint="default" w:hAnsi="宋体" w:eastAsia="宋体"/>
          <w:b/>
          <w:color w:val="auto"/>
          <w:highlight w:val="none"/>
          <w:lang w:val="en-US" w:eastAsia="zh-CN"/>
        </w:rPr>
      </w:pPr>
      <w:r>
        <w:rPr>
          <w:rFonts w:hint="eastAsia" w:hAnsi="宋体" w:cs="宋体"/>
          <w:color w:val="auto"/>
          <w:kern w:val="2"/>
          <w:szCs w:val="21"/>
          <w:highlight w:val="none"/>
          <w:lang w:val="en-US" w:eastAsia="zh-CN"/>
        </w:rPr>
        <w:t>33.4</w:t>
      </w:r>
      <w:r>
        <w:rPr>
          <w:rFonts w:hint="eastAsia" w:hAnsi="宋体"/>
          <w:b/>
          <w:color w:val="auto"/>
          <w:highlight w:val="none"/>
          <w:lang w:val="en-US" w:eastAsia="zh-CN"/>
        </w:rPr>
        <w:t>异常低价审查</w:t>
      </w:r>
    </w:p>
    <w:p w14:paraId="51DF0FF8">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lang w:eastAsia="zh-CN"/>
        </w:rPr>
        <w:t>（</w:t>
      </w:r>
      <w:r>
        <w:rPr>
          <w:rFonts w:hint="eastAsia" w:hAnsi="宋体" w:cs="宋体"/>
          <w:color w:val="auto"/>
          <w:kern w:val="2"/>
          <w:szCs w:val="21"/>
          <w:highlight w:val="none"/>
          <w:lang w:val="en-US" w:eastAsia="zh-CN"/>
        </w:rPr>
        <w:t>1</w:t>
      </w:r>
      <w:r>
        <w:rPr>
          <w:rFonts w:hint="eastAsia" w:hAnsi="宋体" w:cs="宋体"/>
          <w:color w:val="auto"/>
          <w:kern w:val="2"/>
          <w:szCs w:val="21"/>
          <w:highlight w:val="none"/>
          <w:lang w:eastAsia="zh-CN"/>
        </w:rPr>
        <w:t>）</w:t>
      </w:r>
      <w:r>
        <w:rPr>
          <w:rFonts w:hint="eastAsia" w:hAnsi="宋体" w:cs="宋体"/>
          <w:color w:val="auto"/>
          <w:kern w:val="2"/>
          <w:szCs w:val="21"/>
          <w:highlight w:val="none"/>
        </w:rPr>
        <w:t>评标委员会在评审中发现下列情形之一的，应当启动异常低价投标审查程序：</w:t>
      </w:r>
    </w:p>
    <w:p w14:paraId="5F0BCF30">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rPr>
        <w:t>①投标报价低于全部通过符合性审查</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投标报价平均值65%的，即投标报价＜全部通过符合性审查</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投标报价平均值×</w:t>
      </w:r>
      <w:r>
        <w:rPr>
          <w:rFonts w:hint="eastAsia" w:hAnsi="宋体" w:cs="宋体"/>
          <w:color w:val="auto"/>
          <w:kern w:val="2"/>
          <w:szCs w:val="21"/>
          <w:highlight w:val="none"/>
          <w:lang w:val="en-US" w:eastAsia="zh-CN"/>
        </w:rPr>
        <w:t>65%</w:t>
      </w:r>
      <w:r>
        <w:rPr>
          <w:rFonts w:hint="eastAsia" w:hAnsi="宋体" w:cs="宋体"/>
          <w:color w:val="auto"/>
          <w:kern w:val="2"/>
          <w:szCs w:val="21"/>
          <w:highlight w:val="none"/>
        </w:rPr>
        <w:t>；</w:t>
      </w:r>
    </w:p>
    <w:p w14:paraId="620421CE">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rPr>
        <w:t>②投标报价低于通过符合性审查的次低报价</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投标报价65%的，即投标报价＜通过符合性审查的次低报价</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投标报价×65%；</w:t>
      </w:r>
    </w:p>
    <w:p w14:paraId="4D71D565">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rPr>
        <w:t>③投标报价低于采购项目最高限价65%的，即投标报价＜采购项目最高限价×65%；</w:t>
      </w:r>
    </w:p>
    <w:p w14:paraId="6D790C44">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rPr>
        <w:t>④评标委员会基于专业判断，认为</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报价过低，有可能影响产品质量或者不能诚信履约的其他情形。</w:t>
      </w:r>
    </w:p>
    <w:p w14:paraId="31006037">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lang w:eastAsia="zh-CN"/>
        </w:rPr>
        <w:t>（</w:t>
      </w:r>
      <w:r>
        <w:rPr>
          <w:rFonts w:hint="eastAsia" w:hAnsi="宋体" w:cs="宋体"/>
          <w:color w:val="auto"/>
          <w:kern w:val="2"/>
          <w:szCs w:val="21"/>
          <w:highlight w:val="none"/>
        </w:rPr>
        <w:t>2）评标委员会启动异常低价投标审查后，属于前述第</w:t>
      </w:r>
      <w:r>
        <w:rPr>
          <w:rFonts w:hint="eastAsia" w:hAnsi="宋体" w:cs="宋体"/>
          <w:color w:val="auto"/>
          <w:kern w:val="2"/>
          <w:szCs w:val="21"/>
          <w:highlight w:val="none"/>
          <w:lang w:val="en-US" w:eastAsia="zh-CN"/>
        </w:rPr>
        <w:t>①</w:t>
      </w:r>
      <w:r>
        <w:rPr>
          <w:rFonts w:hint="eastAsia" w:hAnsi="宋体" w:cs="宋体"/>
          <w:color w:val="auto"/>
          <w:kern w:val="2"/>
          <w:szCs w:val="21"/>
          <w:highlight w:val="none"/>
        </w:rPr>
        <w:t>项至第</w:t>
      </w:r>
      <w:r>
        <w:rPr>
          <w:rFonts w:hint="eastAsia" w:hAnsi="宋体" w:cs="宋体"/>
          <w:color w:val="auto"/>
          <w:kern w:val="2"/>
          <w:szCs w:val="21"/>
          <w:highlight w:val="none"/>
          <w:lang w:val="en-US" w:eastAsia="zh-CN"/>
        </w:rPr>
        <w:t>④</w:t>
      </w:r>
      <w:r>
        <w:rPr>
          <w:rFonts w:hint="eastAsia" w:hAnsi="宋体" w:cs="宋体"/>
          <w:color w:val="auto"/>
          <w:kern w:val="2"/>
          <w:szCs w:val="21"/>
          <w:highlight w:val="none"/>
        </w:rPr>
        <w:t>项情形的，应当要求相关</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在评审现场合理的时间内对投标价格作出解释，提供项目具体成本测算等与报价合理性相关的书面说明及必要的证明材料，包括但不限于原材料成本、人工成本、制造费用等，给予相关</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的合理时间一般不少于30分钟。其中，属于第③项情形，</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已随投标文件一并提交相关书面说明及必要的证明材料的，可不再重复提交。</w:t>
      </w:r>
    </w:p>
    <w:p w14:paraId="3207204B">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rPr>
        <w:t>评标委员会依据专业经验，参考同类项目中标（成交）价格、类似产品市场价格水平、行业人工费用标准、国家有关部门指导行业协会发布的行业平均成本等情况，对报价合理性进行判断。投标</w:t>
      </w:r>
      <w:r>
        <w:rPr>
          <w:rFonts w:hint="eastAsia" w:hAnsi="宋体" w:cs="宋体"/>
          <w:color w:val="auto"/>
          <w:kern w:val="2"/>
          <w:szCs w:val="21"/>
          <w:highlight w:val="none"/>
          <w:lang w:val="en-US" w:eastAsia="zh-CN"/>
        </w:rPr>
        <w:t>人</w:t>
      </w:r>
      <w:r>
        <w:rPr>
          <w:rFonts w:hint="eastAsia" w:hAnsi="宋体" w:cs="宋体"/>
          <w:color w:val="auto"/>
          <w:kern w:val="2"/>
          <w:szCs w:val="21"/>
          <w:highlight w:val="none"/>
        </w:rPr>
        <w:t>不能提供书面说明、证明材料，或者提供的书面说明、证明材料不能证明其报价合理性的，评标委员会应当将其作为无效投标处理。</w:t>
      </w:r>
    </w:p>
    <w:p w14:paraId="3C9C56C0">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BB35532">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r>
        <w:rPr>
          <w:rFonts w:hint="eastAsia" w:hAnsi="宋体" w:cs="宋体"/>
          <w:color w:val="auto"/>
          <w:kern w:val="2"/>
          <w:szCs w:val="21"/>
          <w:highlight w:val="none"/>
        </w:rPr>
        <w:t>异常低价投标审查的启动原因、审查意见和审查结果应当在评审报告中记录，并随</w:t>
      </w:r>
      <w:r>
        <w:rPr>
          <w:rFonts w:hint="eastAsia" w:hAnsi="宋体" w:cs="宋体"/>
          <w:color w:val="auto"/>
          <w:kern w:val="2"/>
          <w:szCs w:val="21"/>
          <w:highlight w:val="none"/>
          <w:lang w:eastAsia="zh-CN"/>
        </w:rPr>
        <w:t>投标人</w:t>
      </w:r>
      <w:r>
        <w:rPr>
          <w:rFonts w:hint="eastAsia" w:hAnsi="宋体" w:cs="宋体"/>
          <w:color w:val="auto"/>
          <w:kern w:val="2"/>
          <w:szCs w:val="21"/>
          <w:highlight w:val="none"/>
        </w:rPr>
        <w:t>提供的相关书面说明及证明材料，以及评标委员会有关互联网浏览、查询历史一并归档。</w:t>
      </w:r>
    </w:p>
    <w:p w14:paraId="7D8649A3">
      <w:pPr>
        <w:pStyle w:val="28"/>
        <w:pageBreakBefore w:val="0"/>
        <w:kinsoku/>
        <w:wordWrap w:val="0"/>
        <w:topLinePunct w:val="0"/>
        <w:spacing w:line="360" w:lineRule="auto"/>
        <w:ind w:firstLine="420" w:firstLineChars="200"/>
        <w:textAlignment w:val="center"/>
        <w:rPr>
          <w:rFonts w:hint="eastAsia" w:hAnsi="宋体" w:cs="宋体"/>
          <w:color w:val="auto"/>
          <w:kern w:val="2"/>
          <w:szCs w:val="21"/>
          <w:highlight w:val="none"/>
        </w:rPr>
      </w:pPr>
    </w:p>
    <w:bookmarkEnd w:id="3"/>
    <w:bookmarkEnd w:id="5"/>
    <w:bookmarkEnd w:id="6"/>
    <w:bookmarkEnd w:id="21"/>
    <w:bookmarkEnd w:id="22"/>
    <w:bookmarkEnd w:id="23"/>
    <w:bookmarkEnd w:id="24"/>
    <w:bookmarkEnd w:id="25"/>
    <w:p w14:paraId="79154381">
      <w:pPr>
        <w:pageBreakBefore w:val="0"/>
        <w:kinsoku/>
        <w:wordWrap w:val="0"/>
        <w:topLinePunct w:val="0"/>
        <w:rPr>
          <w:rStyle w:val="71"/>
          <w:rFonts w:hint="eastAsia" w:ascii="宋体" w:hAnsi="宋体" w:eastAsia="宋体" w:cs="宋体"/>
          <w:bCs/>
          <w:color w:val="auto"/>
          <w:sz w:val="36"/>
          <w:szCs w:val="36"/>
          <w:highlight w:val="none"/>
        </w:rPr>
      </w:pPr>
      <w:bookmarkStart w:id="39" w:name="_Toc12807"/>
      <w:bookmarkStart w:id="40" w:name="_Toc2218"/>
      <w:bookmarkStart w:id="41" w:name="_Toc1266"/>
      <w:bookmarkStart w:id="42" w:name="_Toc7492"/>
      <w:r>
        <w:rPr>
          <w:rStyle w:val="71"/>
          <w:rFonts w:hint="eastAsia" w:ascii="宋体" w:hAnsi="宋体" w:eastAsia="宋体" w:cs="宋体"/>
          <w:bCs/>
          <w:color w:val="auto"/>
          <w:sz w:val="36"/>
          <w:szCs w:val="36"/>
          <w:highlight w:val="none"/>
        </w:rPr>
        <w:br w:type="page"/>
      </w:r>
    </w:p>
    <w:p w14:paraId="7C67EBEA">
      <w:pPr>
        <w:pageBreakBefore w:val="0"/>
        <w:kinsoku/>
        <w:wordWrap w:val="0"/>
        <w:topLinePunct w:val="0"/>
        <w:jc w:val="center"/>
        <w:outlineLvl w:val="0"/>
        <w:rPr>
          <w:rStyle w:val="71"/>
          <w:rFonts w:ascii="宋体" w:hAnsi="宋体" w:eastAsia="宋体" w:cs="宋体"/>
          <w:bCs/>
          <w:color w:val="auto"/>
          <w:sz w:val="36"/>
          <w:szCs w:val="36"/>
          <w:highlight w:val="none"/>
        </w:rPr>
      </w:pPr>
      <w:r>
        <w:rPr>
          <w:rStyle w:val="71"/>
          <w:rFonts w:hint="eastAsia" w:ascii="宋体" w:hAnsi="宋体" w:eastAsia="宋体" w:cs="宋体"/>
          <w:bCs/>
          <w:color w:val="auto"/>
          <w:sz w:val="36"/>
          <w:szCs w:val="36"/>
          <w:highlight w:val="none"/>
        </w:rPr>
        <w:t>第三章</w:t>
      </w:r>
      <w:bookmarkStart w:id="43" w:name="_Toc6795_WPSOffice_Level1"/>
      <w:r>
        <w:rPr>
          <w:rStyle w:val="71"/>
          <w:rFonts w:hint="eastAsia" w:ascii="宋体" w:hAnsi="宋体" w:cs="宋体"/>
          <w:bCs/>
          <w:color w:val="auto"/>
          <w:sz w:val="36"/>
          <w:szCs w:val="36"/>
          <w:highlight w:val="none"/>
        </w:rPr>
        <w:t xml:space="preserve"> </w:t>
      </w:r>
      <w:r>
        <w:rPr>
          <w:rStyle w:val="71"/>
          <w:rFonts w:hint="eastAsia" w:ascii="宋体" w:hAnsi="宋体" w:eastAsia="宋体" w:cs="宋体"/>
          <w:bCs/>
          <w:color w:val="auto"/>
          <w:sz w:val="36"/>
          <w:szCs w:val="36"/>
          <w:highlight w:val="none"/>
        </w:rPr>
        <w:t>项目需求</w:t>
      </w:r>
      <w:bookmarkEnd w:id="39"/>
      <w:bookmarkEnd w:id="40"/>
      <w:bookmarkEnd w:id="41"/>
      <w:bookmarkEnd w:id="42"/>
    </w:p>
    <w:p w14:paraId="7B2A2B64">
      <w:pPr>
        <w:pageBreakBefore w:val="0"/>
        <w:kinsoku/>
        <w:wordWrap w:val="0"/>
        <w:topLinePunct w:val="0"/>
        <w:spacing w:line="380" w:lineRule="exact"/>
        <w:ind w:firstLine="422" w:firstLineChars="200"/>
        <w:rPr>
          <w:rFonts w:ascii="宋体" w:hAnsi="宋体" w:cs="宋体"/>
          <w:b/>
          <w:bCs/>
          <w:color w:val="auto"/>
          <w:highlight w:val="none"/>
        </w:rPr>
      </w:pPr>
      <w:bookmarkStart w:id="44" w:name="_Toc78604604"/>
      <w:bookmarkStart w:id="45" w:name="_Toc26454"/>
      <w:bookmarkStart w:id="46" w:name="_Toc12767"/>
      <w:bookmarkStart w:id="47" w:name="_Toc16719"/>
      <w:bookmarkStart w:id="48" w:name="_Toc21034"/>
      <w:r>
        <w:rPr>
          <w:rFonts w:hint="eastAsia" w:ascii="宋体" w:hAnsi="宋体" w:cs="宋体"/>
          <w:b/>
          <w:bCs/>
          <w:color w:val="auto"/>
          <w:highlight w:val="none"/>
        </w:rPr>
        <w:t>一、项目</w:t>
      </w:r>
      <w:bookmarkEnd w:id="44"/>
      <w:r>
        <w:rPr>
          <w:rFonts w:hint="eastAsia" w:ascii="宋体" w:hAnsi="宋体" w:cs="宋体"/>
          <w:b/>
          <w:bCs/>
          <w:color w:val="auto"/>
          <w:highlight w:val="none"/>
        </w:rPr>
        <w:t>概况：</w:t>
      </w:r>
    </w:p>
    <w:p w14:paraId="13072336">
      <w:pPr>
        <w:pStyle w:val="23"/>
        <w:pageBreakBefore w:val="0"/>
        <w:kinsoku/>
        <w:wordWrap w:val="0"/>
        <w:topLinePunct w:val="0"/>
        <w:spacing w:line="380" w:lineRule="exact"/>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项目名称：</w:t>
      </w:r>
      <w:r>
        <w:rPr>
          <w:rFonts w:hint="eastAsia" w:ascii="宋体" w:hAnsi="宋体" w:cs="宋体"/>
          <w:bCs/>
          <w:color w:val="auto"/>
          <w:sz w:val="21"/>
          <w:szCs w:val="21"/>
          <w:highlight w:val="none"/>
          <w:lang w:eastAsia="zh-CN"/>
        </w:rPr>
        <w:t>广西城市建设学校本部校区教学楼、宿舍楼等改造工程</w:t>
      </w:r>
    </w:p>
    <w:p w14:paraId="64B6804F">
      <w:pPr>
        <w:pStyle w:val="23"/>
        <w:pageBreakBefore w:val="0"/>
        <w:kinsoku/>
        <w:wordWrap w:val="0"/>
        <w:topLinePunct w:val="0"/>
        <w:spacing w:line="380" w:lineRule="exact"/>
        <w:rPr>
          <w:rFonts w:ascii="宋体" w:hAnsi="宋体" w:cs="宋体"/>
          <w:bCs/>
          <w:color w:val="auto"/>
          <w:sz w:val="21"/>
          <w:szCs w:val="21"/>
          <w:highlight w:val="none"/>
        </w:rPr>
      </w:pPr>
      <w:r>
        <w:rPr>
          <w:rFonts w:hint="eastAsia" w:ascii="宋体" w:hAnsi="宋体" w:cs="宋体"/>
          <w:bCs/>
          <w:color w:val="auto"/>
          <w:sz w:val="21"/>
          <w:szCs w:val="21"/>
          <w:highlight w:val="none"/>
        </w:rPr>
        <w:t>建设地点：</w:t>
      </w:r>
      <w:r>
        <w:rPr>
          <w:rFonts w:hint="eastAsia" w:ascii="宋体" w:hAnsi="宋体" w:cs="宋体"/>
          <w:bCs/>
          <w:color w:val="auto"/>
          <w:sz w:val="21"/>
          <w:szCs w:val="21"/>
          <w:highlight w:val="none"/>
          <w:lang w:eastAsia="zh-CN"/>
        </w:rPr>
        <w:t>广西城市建设学校本部校区内</w:t>
      </w:r>
    </w:p>
    <w:p w14:paraId="27B84D89">
      <w:pPr>
        <w:pageBreakBefore w:val="0"/>
        <w:kinsoku/>
        <w:wordWrap w:val="0"/>
        <w:topLinePunct w:val="0"/>
        <w:spacing w:line="360" w:lineRule="exact"/>
        <w:ind w:firstLine="420" w:firstLineChars="200"/>
        <w:rPr>
          <w:rFonts w:hint="default" w:ascii="宋体" w:hAnsi="宋体" w:eastAsia="宋体" w:cs="宋体"/>
          <w:color w:val="auto"/>
          <w:highlight w:val="none"/>
          <w:lang w:val="en-US" w:eastAsia="zh-CN"/>
        </w:rPr>
      </w:pPr>
      <w:r>
        <w:rPr>
          <w:rFonts w:hint="eastAsia" w:ascii="宋体" w:hAnsi="宋体" w:cs="宋体"/>
          <w:color w:val="auto"/>
          <w:highlight w:val="none"/>
        </w:rPr>
        <w:t>招标控制价：</w:t>
      </w:r>
      <w:r>
        <w:rPr>
          <w:rFonts w:hint="eastAsia"/>
          <w:color w:val="auto"/>
          <w:szCs w:val="21"/>
          <w:highlight w:val="none"/>
          <w:lang w:val="en-US" w:eastAsia="zh-CN"/>
        </w:rPr>
        <w:t>1398100.00元</w:t>
      </w:r>
      <w:bookmarkStart w:id="1065" w:name="_GoBack"/>
      <w:bookmarkEnd w:id="1065"/>
    </w:p>
    <w:p w14:paraId="68E6F44B">
      <w:pPr>
        <w:pageBreakBefore w:val="0"/>
        <w:kinsoku/>
        <w:wordWrap w:val="0"/>
        <w:topLinePunct w:val="0"/>
        <w:spacing w:line="360" w:lineRule="exact"/>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rPr>
        <w:t>最高限价：</w:t>
      </w:r>
      <w:r>
        <w:rPr>
          <w:rFonts w:hint="eastAsia"/>
          <w:color w:val="auto"/>
          <w:szCs w:val="21"/>
          <w:highlight w:val="none"/>
          <w:lang w:val="en-US" w:eastAsia="zh-CN"/>
        </w:rPr>
        <w:t>1398100.00元</w:t>
      </w:r>
    </w:p>
    <w:p w14:paraId="6888C417">
      <w:pPr>
        <w:pStyle w:val="177"/>
        <w:pageBreakBefore w:val="0"/>
        <w:kinsoku/>
        <w:wordWrap w:val="0"/>
        <w:topLinePunct w:val="0"/>
        <w:spacing w:line="360" w:lineRule="exact"/>
        <w:ind w:firstLine="420" w:firstLineChars="200"/>
        <w:rPr>
          <w:rFonts w:hint="default" w:hAnsi="宋体" w:eastAsia="宋体" w:cs="宋体"/>
          <w:bCs/>
          <w:color w:val="auto"/>
          <w:szCs w:val="21"/>
          <w:highlight w:val="none"/>
          <w:lang w:val="en-US" w:eastAsia="zh-CN"/>
        </w:rPr>
      </w:pPr>
      <w:r>
        <w:rPr>
          <w:rFonts w:hint="eastAsia" w:hAnsi="宋体" w:cs="宋体"/>
          <w:bCs/>
          <w:color w:val="auto"/>
          <w:szCs w:val="21"/>
          <w:highlight w:val="none"/>
        </w:rPr>
        <w:t>计划开工时间：202</w:t>
      </w:r>
      <w:r>
        <w:rPr>
          <w:rFonts w:hint="eastAsia" w:hAnsi="宋体" w:cs="宋体"/>
          <w:bCs/>
          <w:color w:val="auto"/>
          <w:szCs w:val="21"/>
          <w:highlight w:val="none"/>
          <w:lang w:val="en-US" w:eastAsia="zh-CN"/>
        </w:rPr>
        <w:t>6</w:t>
      </w:r>
      <w:r>
        <w:rPr>
          <w:rFonts w:hint="eastAsia" w:hAnsi="宋体" w:cs="宋体"/>
          <w:bCs/>
          <w:color w:val="auto"/>
          <w:szCs w:val="21"/>
          <w:highlight w:val="none"/>
        </w:rPr>
        <w:t>年</w:t>
      </w:r>
      <w:r>
        <w:rPr>
          <w:rFonts w:hint="eastAsia" w:hAnsi="宋体" w:cs="宋体"/>
          <w:bCs/>
          <w:color w:val="auto"/>
          <w:szCs w:val="21"/>
          <w:highlight w:val="none"/>
          <w:lang w:val="en-US" w:eastAsia="zh-CN"/>
        </w:rPr>
        <w:t>8</w:t>
      </w:r>
      <w:r>
        <w:rPr>
          <w:rFonts w:hint="eastAsia" w:hAnsi="宋体" w:cs="宋体"/>
          <w:bCs/>
          <w:color w:val="auto"/>
          <w:szCs w:val="21"/>
          <w:highlight w:val="none"/>
        </w:rPr>
        <w:t>月</w:t>
      </w:r>
    </w:p>
    <w:p w14:paraId="0379BBF8">
      <w:pPr>
        <w:pStyle w:val="177"/>
        <w:pageBreakBefore w:val="0"/>
        <w:kinsoku/>
        <w:wordWrap w:val="0"/>
        <w:topLinePunct w:val="0"/>
        <w:spacing w:line="360" w:lineRule="exact"/>
        <w:ind w:firstLine="420" w:firstLineChars="200"/>
        <w:rPr>
          <w:rFonts w:hAnsi="宋体" w:cs="宋体"/>
          <w:bCs/>
          <w:color w:val="auto"/>
          <w:szCs w:val="21"/>
          <w:highlight w:val="none"/>
        </w:rPr>
      </w:pPr>
      <w:r>
        <w:rPr>
          <w:rFonts w:hint="eastAsia" w:hAnsi="宋体" w:cs="宋体"/>
          <w:bCs/>
          <w:color w:val="auto"/>
          <w:szCs w:val="21"/>
          <w:highlight w:val="none"/>
        </w:rPr>
        <w:t>要求工期：</w:t>
      </w:r>
      <w:r>
        <w:rPr>
          <w:rFonts w:hint="eastAsia" w:hAnsi="宋体" w:cs="宋体"/>
          <w:bCs/>
          <w:color w:val="auto"/>
          <w:szCs w:val="21"/>
          <w:highlight w:val="none"/>
          <w:lang w:val="en-US" w:eastAsia="zh-CN"/>
        </w:rPr>
        <w:t>9</w:t>
      </w:r>
      <w:r>
        <w:rPr>
          <w:rFonts w:hint="eastAsia" w:hAnsi="宋体" w:cs="宋体"/>
          <w:bCs/>
          <w:color w:val="auto"/>
          <w:szCs w:val="21"/>
          <w:highlight w:val="none"/>
        </w:rPr>
        <w:t>0天（日历天）</w:t>
      </w:r>
    </w:p>
    <w:p w14:paraId="43E76DA5">
      <w:pPr>
        <w:pStyle w:val="177"/>
        <w:pageBreakBefore w:val="0"/>
        <w:kinsoku/>
        <w:wordWrap w:val="0"/>
        <w:topLinePunct w:val="0"/>
        <w:spacing w:line="360" w:lineRule="exact"/>
        <w:ind w:firstLine="420" w:firstLineChars="200"/>
        <w:rPr>
          <w:rFonts w:hAnsi="宋体" w:cs="宋体"/>
          <w:bCs/>
          <w:color w:val="auto"/>
          <w:szCs w:val="21"/>
          <w:highlight w:val="none"/>
        </w:rPr>
      </w:pPr>
      <w:r>
        <w:rPr>
          <w:rFonts w:hint="eastAsia" w:hAnsi="宋体" w:cs="宋体"/>
          <w:bCs/>
          <w:color w:val="auto"/>
          <w:szCs w:val="21"/>
          <w:highlight w:val="none"/>
        </w:rPr>
        <w:t>质量标准：符合国家施工验收规范合格标准。</w:t>
      </w:r>
    </w:p>
    <w:p w14:paraId="01B841A7">
      <w:pPr>
        <w:pageBreakBefore w:val="0"/>
        <w:kinsoku/>
        <w:wordWrap w:val="0"/>
        <w:topLinePunct w:val="0"/>
        <w:spacing w:line="400" w:lineRule="exact"/>
        <w:ind w:firstLine="422" w:firstLineChars="200"/>
        <w:rPr>
          <w:rFonts w:ascii="宋体" w:hAnsi="宋体" w:cs="宋体"/>
          <w:b/>
          <w:color w:val="auto"/>
          <w:highlight w:val="none"/>
        </w:rPr>
      </w:pPr>
      <w:r>
        <w:rPr>
          <w:rFonts w:hint="eastAsia" w:ascii="宋体" w:hAnsi="宋体" w:cs="宋体"/>
          <w:b/>
          <w:color w:val="auto"/>
          <w:highlight w:val="none"/>
        </w:rPr>
        <w:t>二、基本情况</w:t>
      </w:r>
      <w:r>
        <w:rPr>
          <w:rFonts w:hint="eastAsia" w:ascii="宋体" w:hAnsi="宋体" w:cs="宋体"/>
          <w:b/>
          <w:color w:val="auto"/>
          <w:highlight w:val="none"/>
        </w:rPr>
        <w:tab/>
      </w:r>
    </w:p>
    <w:p w14:paraId="3E8F5F78">
      <w:pPr>
        <w:pageBreakBefore w:val="0"/>
        <w:kinsoku/>
        <w:wordWrap w:val="0"/>
        <w:topLinePunct w:val="0"/>
        <w:spacing w:line="400" w:lineRule="exact"/>
        <w:ind w:firstLine="420" w:firstLineChars="200"/>
        <w:rPr>
          <w:rFonts w:ascii="宋体" w:hAnsi="宋体" w:cs="宋体"/>
          <w:bCs/>
          <w:color w:val="auto"/>
          <w:highlight w:val="none"/>
        </w:rPr>
      </w:pPr>
      <w:r>
        <w:rPr>
          <w:rFonts w:hint="eastAsia" w:ascii="宋体" w:hAnsi="宋体" w:cs="宋体"/>
          <w:bCs/>
          <w:color w:val="auto"/>
          <w:highlight w:val="none"/>
        </w:rPr>
        <w:t>建设单位：</w:t>
      </w:r>
      <w:r>
        <w:rPr>
          <w:rFonts w:hint="eastAsia" w:ascii="宋体" w:hAnsi="宋体" w:cs="宋体"/>
          <w:bCs/>
          <w:color w:val="auto"/>
          <w:highlight w:val="none"/>
          <w:lang w:eastAsia="zh-CN"/>
        </w:rPr>
        <w:t>广西城市建设学校</w:t>
      </w:r>
      <w:r>
        <w:rPr>
          <w:rFonts w:hint="eastAsia" w:ascii="宋体" w:hAnsi="宋体" w:cs="宋体"/>
          <w:bCs/>
          <w:color w:val="auto"/>
          <w:highlight w:val="none"/>
        </w:rPr>
        <w:t>。</w:t>
      </w:r>
    </w:p>
    <w:p w14:paraId="0DDDC0CD">
      <w:pPr>
        <w:pageBreakBefore w:val="0"/>
        <w:kinsoku/>
        <w:wordWrap w:val="0"/>
        <w:topLinePunct w:val="0"/>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highlight w:val="none"/>
        </w:rPr>
        <w:t>项目概况：</w:t>
      </w:r>
      <w:r>
        <w:rPr>
          <w:rFonts w:hint="eastAsia" w:ascii="宋体" w:hAnsi="宋体" w:cs="宋体"/>
          <w:color w:val="auto"/>
          <w:szCs w:val="21"/>
          <w:highlight w:val="none"/>
          <w:lang w:eastAsia="zh-CN"/>
        </w:rPr>
        <w:t>该项目位于桂林市象山区环城南二路121号广西城市建设学校本部校区内，拟对办公实验楼、教学楼及宿舍楼进行翻新改造，具体如下:</w:t>
      </w:r>
    </w:p>
    <w:p w14:paraId="50B7324D">
      <w:pPr>
        <w:pageBreakBefore w:val="0"/>
        <w:kinsoku/>
        <w:wordWrap w:val="0"/>
        <w:topLinePunct w:val="0"/>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(一)办公实验楼改造工程。改造面积1241.18m，主要内容包括楼地面和教室墙裙贴瓷砖、翻新栏板顶涂料、教室木门更换为钢质门等。</w:t>
      </w:r>
    </w:p>
    <w:p w14:paraId="2ECD36D7">
      <w:pPr>
        <w:pageBreakBefore w:val="0"/>
        <w:kinsoku/>
        <w:wordWrap w:val="0"/>
        <w:topLinePunct w:val="0"/>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(二)教学楼改造工程。改造面积5771.29m，主要内容包括楼地面铺贴瓷砖、修补走廊墙裙瓷砖、教室木门更换为钢质门等。</w:t>
      </w:r>
    </w:p>
    <w:p w14:paraId="6EC320C4">
      <w:pPr>
        <w:pageBreakBefore w:val="0"/>
        <w:kinsoku/>
        <w:wordWrap w:val="0"/>
        <w:topLinePunct w:val="0"/>
        <w:spacing w:line="360" w:lineRule="exact"/>
        <w:ind w:firstLine="420" w:firstLineChars="200"/>
        <w:rPr>
          <w:rFonts w:ascii="宋体" w:hAnsi="宋体" w:cs="宋体"/>
          <w:color w:val="auto"/>
          <w:highlight w:val="none"/>
        </w:rPr>
      </w:pPr>
      <w:r>
        <w:rPr>
          <w:rFonts w:hint="eastAsia" w:ascii="宋体" w:hAnsi="宋体" w:cs="宋体"/>
          <w:color w:val="auto"/>
          <w:szCs w:val="21"/>
          <w:highlight w:val="none"/>
          <w:lang w:eastAsia="zh-CN"/>
        </w:rPr>
        <w:t>(三)宿舍楼改造工程。改造面积370.32m，主要内容包括翻新卫生间防水层，修补楼面瓷砖，内墙面和天棚面刮腻子，安装防盗安全门、木门、铝合金窗，更换配电箱、灯具、开关插座、管线等。</w:t>
      </w:r>
    </w:p>
    <w:p w14:paraId="486A041C">
      <w:pPr>
        <w:pageBreakBefore w:val="0"/>
        <w:numPr>
          <w:ilvl w:val="0"/>
          <w:numId w:val="6"/>
        </w:numPr>
        <w:kinsoku/>
        <w:wordWrap w:val="0"/>
        <w:topLinePunct w:val="0"/>
        <w:spacing w:line="400" w:lineRule="exact"/>
        <w:ind w:firstLine="422" w:firstLineChars="200"/>
        <w:rPr>
          <w:rFonts w:ascii="宋体" w:hAnsi="宋体" w:cs="宋体"/>
          <w:b/>
          <w:color w:val="auto"/>
          <w:highlight w:val="none"/>
        </w:rPr>
      </w:pPr>
      <w:r>
        <w:rPr>
          <w:rFonts w:hint="eastAsia" w:ascii="宋体" w:hAnsi="宋体" w:cs="宋体"/>
          <w:b/>
          <w:color w:val="auto"/>
          <w:highlight w:val="none"/>
        </w:rPr>
        <w:t>商务条款</w:t>
      </w:r>
    </w:p>
    <w:p w14:paraId="77F117B4">
      <w:pPr>
        <w:pageBreakBefore w:val="0"/>
        <w:kinsoku/>
        <w:wordWrap w:val="0"/>
        <w:topLinePunct w:val="0"/>
        <w:spacing w:line="400" w:lineRule="exact"/>
        <w:ind w:firstLine="420" w:firstLineChars="200"/>
        <w:rPr>
          <w:rFonts w:ascii="宋体" w:hAnsi="宋体"/>
          <w:bCs/>
          <w:color w:val="auto"/>
          <w:highlight w:val="none"/>
        </w:rPr>
      </w:pPr>
      <w:r>
        <w:rPr>
          <w:rFonts w:hint="eastAsia" w:ascii="宋体" w:hAnsi="宋体"/>
          <w:bCs/>
          <w:color w:val="auto"/>
          <w:highlight w:val="none"/>
        </w:rPr>
        <w:t>1、合同签订期：自成交通知书发出之日起2</w:t>
      </w:r>
      <w:r>
        <w:rPr>
          <w:rFonts w:hint="eastAsia" w:ascii="宋体" w:hAnsi="宋体"/>
          <w:bCs/>
          <w:color w:val="auto"/>
          <w:highlight w:val="none"/>
          <w:lang w:val="en-US" w:eastAsia="zh-CN"/>
        </w:rPr>
        <w:t>0</w:t>
      </w:r>
      <w:r>
        <w:rPr>
          <w:rFonts w:hint="eastAsia" w:ascii="宋体" w:hAnsi="宋体"/>
          <w:bCs/>
          <w:color w:val="auto"/>
          <w:highlight w:val="none"/>
        </w:rPr>
        <w:t>日内。</w:t>
      </w:r>
    </w:p>
    <w:p w14:paraId="6613C8ED">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2、磋商报价要求：工程量清单报价。磋商上限控制价同招标控制价，</w:t>
      </w:r>
      <w:r>
        <w:rPr>
          <w:rFonts w:hint="eastAsia" w:ascii="宋体" w:hAnsi="宋体"/>
          <w:bCs/>
          <w:color w:val="auto"/>
          <w:highlight w:val="none"/>
        </w:rPr>
        <w:t>最后报价与首次报价不一致的，须上传与最后报价一致的已标价工程量清单作为附件</w:t>
      </w:r>
      <w:r>
        <w:rPr>
          <w:rFonts w:hint="eastAsia" w:ascii="宋体" w:hAnsi="宋体" w:cs="宋体"/>
          <w:color w:val="auto"/>
          <w:highlight w:val="none"/>
        </w:rPr>
        <w:t>。</w:t>
      </w:r>
    </w:p>
    <w:p w14:paraId="3BFF6D3D">
      <w:pPr>
        <w:pageBreakBefore w:val="0"/>
        <w:kinsoku/>
        <w:wordWrap w:val="0"/>
        <w:topLinePunct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3、工程款付款方式：</w:t>
      </w:r>
    </w:p>
    <w:p w14:paraId="2DED2D0F">
      <w:pPr>
        <w:pageBreakBefore w:val="0"/>
        <w:kinsoku/>
        <w:wordWrap w:val="0"/>
        <w:topLinePunct w:val="0"/>
        <w:spacing w:line="400" w:lineRule="exact"/>
        <w:ind w:firstLine="420" w:firstLineChars="200"/>
        <w:rPr>
          <w:rFonts w:hint="eastAsia" w:ascii="宋体" w:hAnsi="宋体"/>
          <w:bCs/>
          <w:color w:val="auto"/>
          <w:highlight w:val="none"/>
        </w:rPr>
      </w:pPr>
      <w:r>
        <w:rPr>
          <w:rFonts w:hint="eastAsia" w:ascii="宋体" w:hAnsi="宋体"/>
          <w:bCs/>
          <w:color w:val="auto"/>
          <w:highlight w:val="none"/>
        </w:rPr>
        <w:t>（1）预付款：合同价款的30%。</w:t>
      </w:r>
    </w:p>
    <w:p w14:paraId="4644AF5C">
      <w:pPr>
        <w:pageBreakBefore w:val="0"/>
        <w:kinsoku/>
        <w:wordWrap w:val="0"/>
        <w:topLinePunct w:val="0"/>
        <w:spacing w:line="400" w:lineRule="exact"/>
        <w:ind w:firstLine="420" w:firstLineChars="200"/>
        <w:rPr>
          <w:rFonts w:hint="eastAsia" w:ascii="宋体" w:hAnsi="宋体"/>
          <w:bCs/>
          <w:color w:val="auto"/>
          <w:highlight w:val="none"/>
          <w:lang w:eastAsia="zh-CN"/>
        </w:rPr>
      </w:pPr>
      <w:r>
        <w:rPr>
          <w:rFonts w:hint="eastAsia" w:ascii="宋体" w:hAnsi="宋体"/>
          <w:bCs/>
          <w:color w:val="auto"/>
          <w:highlight w:val="none"/>
        </w:rPr>
        <w:t>（2）工程款支付方式：</w:t>
      </w:r>
      <w:r>
        <w:rPr>
          <w:rFonts w:hint="eastAsia" w:ascii="宋体" w:hAnsi="宋体"/>
          <w:bCs/>
          <w:color w:val="auto"/>
          <w:highlight w:val="none"/>
          <w:lang w:val="en-US" w:eastAsia="zh-CN"/>
        </w:rPr>
        <w:t>原则上工程款按工程进度支付，</w:t>
      </w:r>
      <w:r>
        <w:rPr>
          <w:rFonts w:hint="eastAsia" w:ascii="宋体" w:hAnsi="宋体"/>
          <w:bCs/>
          <w:color w:val="auto"/>
          <w:highlight w:val="none"/>
          <w:lang w:eastAsia="zh-CN"/>
        </w:rPr>
        <w:t>合同内进度款支付限额为已完成工程量的</w:t>
      </w:r>
      <w:r>
        <w:rPr>
          <w:rFonts w:hint="eastAsia" w:ascii="宋体" w:hAnsi="宋体"/>
          <w:bCs/>
          <w:color w:val="auto"/>
          <w:highlight w:val="none"/>
        </w:rPr>
        <w:t>85%，工程完工验收达到质量要求，结算经审计部门审定后支付至结算总价的97%（含已支付的）；发包人按工程价款结算总额的3%预留工程质量保修金，待工程质量保修期满，经发包人、承包人及监理单位三方验收合格后，无息拨付给承包人</w:t>
      </w:r>
      <w:r>
        <w:rPr>
          <w:rFonts w:hint="eastAsia" w:ascii="宋体" w:hAnsi="宋体"/>
          <w:bCs/>
          <w:color w:val="auto"/>
          <w:highlight w:val="none"/>
          <w:lang w:eastAsia="zh-CN"/>
        </w:rPr>
        <w:t>。</w:t>
      </w:r>
    </w:p>
    <w:p w14:paraId="226C2148">
      <w:pPr>
        <w:pStyle w:val="3"/>
        <w:pageBreakBefore w:val="0"/>
        <w:numPr>
          <w:ilvl w:val="0"/>
          <w:numId w:val="0"/>
        </w:numPr>
        <w:tabs>
          <w:tab w:val="left" w:pos="3055"/>
          <w:tab w:val="clear" w:pos="1080"/>
        </w:tabs>
        <w:kinsoku/>
        <w:wordWrap w:val="0"/>
        <w:topLinePunct w:val="0"/>
        <w:spacing w:line="440" w:lineRule="exact"/>
        <w:jc w:val="center"/>
        <w:rPr>
          <w:rFonts w:hint="eastAsia" w:eastAsia="宋体"/>
          <w:bCs/>
          <w:color w:val="auto"/>
          <w:szCs w:val="44"/>
          <w:highlight w:val="none"/>
        </w:rPr>
      </w:pPr>
    </w:p>
    <w:p w14:paraId="2317A5DE">
      <w:pPr>
        <w:pStyle w:val="3"/>
        <w:pageBreakBefore w:val="0"/>
        <w:numPr>
          <w:ilvl w:val="0"/>
          <w:numId w:val="0"/>
        </w:numPr>
        <w:tabs>
          <w:tab w:val="left" w:pos="3055"/>
          <w:tab w:val="clear" w:pos="1080"/>
        </w:tabs>
        <w:kinsoku/>
        <w:wordWrap w:val="0"/>
        <w:topLinePunct w:val="0"/>
        <w:spacing w:line="440" w:lineRule="exact"/>
        <w:jc w:val="center"/>
        <w:rPr>
          <w:rFonts w:hint="eastAsia" w:eastAsia="宋体"/>
          <w:bCs/>
          <w:color w:val="auto"/>
          <w:szCs w:val="44"/>
          <w:highlight w:val="none"/>
        </w:rPr>
      </w:pPr>
    </w:p>
    <w:p w14:paraId="76073E0C">
      <w:pPr>
        <w:pageBreakBefore w:val="0"/>
        <w:kinsoku/>
        <w:wordWrap w:val="0"/>
        <w:topLinePunct w:val="0"/>
        <w:rPr>
          <w:rFonts w:hint="eastAsia" w:eastAsia="宋体"/>
          <w:bCs/>
          <w:color w:val="auto"/>
          <w:szCs w:val="44"/>
          <w:highlight w:val="none"/>
        </w:rPr>
      </w:pPr>
      <w:r>
        <w:rPr>
          <w:rFonts w:hint="eastAsia" w:eastAsia="宋体"/>
          <w:bCs/>
          <w:color w:val="auto"/>
          <w:szCs w:val="44"/>
          <w:highlight w:val="none"/>
        </w:rPr>
        <w:br w:type="page"/>
      </w:r>
    </w:p>
    <w:p w14:paraId="3BBC6B0B">
      <w:pPr>
        <w:pStyle w:val="3"/>
        <w:pageBreakBefore w:val="0"/>
        <w:numPr>
          <w:ilvl w:val="0"/>
          <w:numId w:val="0"/>
        </w:numPr>
        <w:tabs>
          <w:tab w:val="left" w:pos="3055"/>
          <w:tab w:val="clear" w:pos="1080"/>
        </w:tabs>
        <w:kinsoku/>
        <w:wordWrap w:val="0"/>
        <w:topLinePunct w:val="0"/>
        <w:spacing w:line="440" w:lineRule="exact"/>
        <w:jc w:val="center"/>
        <w:rPr>
          <w:rFonts w:eastAsia="宋体"/>
          <w:bCs/>
          <w:color w:val="auto"/>
          <w:szCs w:val="44"/>
          <w:highlight w:val="none"/>
        </w:rPr>
      </w:pPr>
      <w:r>
        <w:rPr>
          <w:rFonts w:hint="eastAsia" w:eastAsia="宋体"/>
          <w:bCs/>
          <w:color w:val="auto"/>
          <w:szCs w:val="44"/>
          <w:highlight w:val="none"/>
        </w:rPr>
        <w:t>第四章  工程量清单</w:t>
      </w:r>
      <w:bookmarkEnd w:id="45"/>
      <w:bookmarkEnd w:id="46"/>
    </w:p>
    <w:p w14:paraId="390B1937">
      <w:pPr>
        <w:pageBreakBefore w:val="0"/>
        <w:kinsoku/>
        <w:wordWrap w:val="0"/>
        <w:topLinePunct w:val="0"/>
        <w:jc w:val="center"/>
        <w:rPr>
          <w:b/>
          <w:bCs/>
          <w:color w:val="auto"/>
          <w:kern w:val="44"/>
          <w:sz w:val="44"/>
          <w:szCs w:val="44"/>
          <w:highlight w:val="none"/>
        </w:rPr>
      </w:pPr>
      <w:r>
        <w:rPr>
          <w:rFonts w:hint="eastAsia"/>
          <w:b/>
          <w:bCs/>
          <w:color w:val="auto"/>
          <w:kern w:val="44"/>
          <w:sz w:val="44"/>
          <w:szCs w:val="44"/>
          <w:highlight w:val="none"/>
        </w:rPr>
        <w:t>（另附）</w:t>
      </w:r>
    </w:p>
    <w:p w14:paraId="2A6432DD">
      <w:pPr>
        <w:pStyle w:val="3"/>
        <w:pageBreakBefore w:val="0"/>
        <w:numPr>
          <w:ilvl w:val="0"/>
          <w:numId w:val="0"/>
        </w:numPr>
        <w:kinsoku/>
        <w:wordWrap w:val="0"/>
        <w:topLinePunct w:val="0"/>
        <w:spacing w:line="440" w:lineRule="exact"/>
        <w:jc w:val="center"/>
        <w:rPr>
          <w:rFonts w:eastAsia="宋体"/>
          <w:bCs/>
          <w:color w:val="auto"/>
          <w:highlight w:val="none"/>
        </w:rPr>
      </w:pPr>
      <w:r>
        <w:rPr>
          <w:color w:val="auto"/>
          <w:highlight w:val="none"/>
        </w:rPr>
        <w:br w:type="page"/>
      </w:r>
      <w:bookmarkStart w:id="49" w:name="_Toc18464"/>
      <w:bookmarkStart w:id="50" w:name="_Toc16324"/>
      <w:r>
        <w:rPr>
          <w:rFonts w:hint="eastAsia" w:eastAsia="宋体"/>
          <w:bCs/>
          <w:color w:val="auto"/>
          <w:highlight w:val="none"/>
        </w:rPr>
        <w:t>第五章  评审程序、评审方法和评审标准</w:t>
      </w:r>
      <w:bookmarkEnd w:id="49"/>
      <w:bookmarkEnd w:id="50"/>
    </w:p>
    <w:p w14:paraId="167F329B">
      <w:pPr>
        <w:pageBreakBefore w:val="0"/>
        <w:kinsoku/>
        <w:wordWrap w:val="0"/>
        <w:topLinePunct w:val="0"/>
        <w:spacing w:line="400" w:lineRule="exact"/>
        <w:jc w:val="center"/>
        <w:rPr>
          <w:rFonts w:ascii="黑体" w:hAnsi="黑体" w:eastAsia="黑体" w:cs="宋体"/>
          <w:b/>
          <w:bCs/>
          <w:color w:val="auto"/>
          <w:sz w:val="24"/>
          <w:highlight w:val="none"/>
        </w:rPr>
      </w:pPr>
      <w:r>
        <w:rPr>
          <w:rFonts w:hint="eastAsia" w:ascii="宋体" w:hAnsi="宋体"/>
          <w:b/>
          <w:color w:val="auto"/>
          <w:sz w:val="32"/>
          <w:szCs w:val="32"/>
          <w:highlight w:val="none"/>
        </w:rPr>
        <w:t>一、评审程序和评审方法</w:t>
      </w:r>
    </w:p>
    <w:p w14:paraId="71477A05">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21392994">
      <w:pPr>
        <w:pageBreakBefore w:val="0"/>
        <w:kinsoku/>
        <w:wordWrap w:val="0"/>
        <w:topLinePunct w:val="0"/>
        <w:snapToGrid w:val="0"/>
        <w:spacing w:line="360" w:lineRule="auto"/>
        <w:ind w:firstLine="420" w:firstLineChars="200"/>
        <w:rPr>
          <w:rFonts w:ascii="宋体" w:hAnsi="宋体"/>
          <w:color w:val="auto"/>
          <w:highlight w:val="none"/>
        </w:rPr>
      </w:pPr>
      <w:r>
        <w:rPr>
          <w:rFonts w:ascii="宋体" w:hAnsi="宋体" w:cs="宋体"/>
          <w:color w:val="auto"/>
          <w:highlight w:val="none"/>
        </w:rPr>
        <w:t>1</w:t>
      </w:r>
      <w:r>
        <w:rPr>
          <w:rFonts w:hint="eastAsia" w:ascii="宋体" w:hAnsi="宋体" w:cs="宋体"/>
          <w:color w:val="auto"/>
          <w:highlight w:val="none"/>
        </w:rPr>
        <w:t>.1</w:t>
      </w:r>
      <w:r>
        <w:rPr>
          <w:rFonts w:hint="eastAsia" w:ascii="宋体" w:hAnsi="宋体"/>
          <w:color w:val="auto"/>
          <w:highlight w:val="none"/>
        </w:rPr>
        <w:t>响应文件开启后，磋商小组依法对供应商的资格证明文件进行审查。</w:t>
      </w:r>
    </w:p>
    <w:p w14:paraId="55101C3F">
      <w:pPr>
        <w:pageBreakBefore w:val="0"/>
        <w:kinsoku/>
        <w:wordWrap w:val="0"/>
        <w:topLinePunct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（1）查询渠道：</w:t>
      </w:r>
      <w:r>
        <w:rPr>
          <w:rFonts w:ascii="宋体" w:hAnsi="宋体" w:cs="宋体"/>
          <w:color w:val="auto"/>
          <w:highlight w:val="none"/>
        </w:rPr>
        <w:t>“信用中国”网站（www.creditchina.gov.cn）、中国政府采购网（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cs="宋体"/>
          <w:color w:val="auto"/>
          <w:highlight w:val="none"/>
        </w:rPr>
        <w:t>www.ccgp.gov.cn</w:t>
      </w:r>
      <w:r>
        <w:rPr>
          <w:rFonts w:cs="宋体"/>
          <w:color w:val="auto"/>
          <w:highlight w:val="none"/>
        </w:rPr>
        <w:fldChar w:fldCharType="end"/>
      </w:r>
      <w:r>
        <w:rPr>
          <w:rFonts w:ascii="宋体" w:hAnsi="宋体" w:cs="宋体"/>
          <w:color w:val="auto"/>
          <w:highlight w:val="none"/>
        </w:rPr>
        <w:t>）</w:t>
      </w:r>
      <w:r>
        <w:rPr>
          <w:rFonts w:hint="eastAsia" w:ascii="宋体" w:hAnsi="宋体" w:cs="宋体"/>
          <w:color w:val="auto"/>
          <w:highlight w:val="none"/>
        </w:rPr>
        <w:t>。</w:t>
      </w:r>
    </w:p>
    <w:p w14:paraId="3A0D8463">
      <w:pPr>
        <w:pageBreakBefore w:val="0"/>
        <w:kinsoku/>
        <w:wordWrap w:val="0"/>
        <w:topLinePunct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（2）信用查询截止时点：</w:t>
      </w:r>
      <w:r>
        <w:rPr>
          <w:rFonts w:ascii="宋体" w:hAnsi="宋体" w:cs="宋体"/>
          <w:color w:val="auto"/>
          <w:highlight w:val="none"/>
        </w:rPr>
        <w:t>资格审查结束前</w:t>
      </w:r>
      <w:r>
        <w:rPr>
          <w:rFonts w:hint="eastAsia" w:ascii="宋体" w:hAnsi="宋体" w:cs="宋体"/>
          <w:color w:val="auto"/>
          <w:highlight w:val="none"/>
        </w:rPr>
        <w:t>。</w:t>
      </w:r>
    </w:p>
    <w:p w14:paraId="0A506437">
      <w:pPr>
        <w:pageBreakBefore w:val="0"/>
        <w:kinsoku/>
        <w:wordWrap w:val="0"/>
        <w:topLinePunct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（3）查询记录和证据留存方式：通过</w:t>
      </w:r>
      <w:r>
        <w:rPr>
          <w:rFonts w:hint="eastAsia" w:ascii="宋体" w:hAnsi="宋体" w:cs="宋体"/>
          <w:bCs/>
          <w:color w:val="auto"/>
          <w:kern w:val="0"/>
          <w:highlight w:val="none"/>
        </w:rPr>
        <w:t>广西政府采购云平台</w:t>
      </w:r>
      <w:r>
        <w:rPr>
          <w:rFonts w:hint="eastAsia" w:ascii="宋体" w:hAnsi="宋体" w:cs="宋体"/>
          <w:color w:val="auto"/>
          <w:highlight w:val="none"/>
        </w:rPr>
        <w:t>链接到相关查询网站进行查询及记录。</w:t>
      </w:r>
    </w:p>
    <w:p w14:paraId="770C6F05">
      <w:pPr>
        <w:pageBreakBefore w:val="0"/>
        <w:kinsoku/>
        <w:wordWrap w:val="0"/>
        <w:topLinePunct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D994B80">
      <w:pPr>
        <w:pageBreakBefore w:val="0"/>
        <w:kinsoku/>
        <w:wordWrap w:val="0"/>
        <w:topLinePunct w:val="0"/>
        <w:snapToGrid w:val="0"/>
        <w:spacing w:line="360" w:lineRule="auto"/>
        <w:ind w:firstLine="420" w:firstLineChars="200"/>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.2资格审查标准为本磋商文件中载明对供应商资格要求的条件。资格审查采用合格制，凡符合磋商文件规定的供应商资格要求的响应文件均通过资格审查。</w:t>
      </w:r>
    </w:p>
    <w:p w14:paraId="385CABE0">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.3供应商有下列情形之一的，资格审查不通过，其响应文件按无效响应处理：</w:t>
      </w:r>
    </w:p>
    <w:p w14:paraId="28CE275D">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）不具备磋商文件中规定的资格要求的；</w:t>
      </w:r>
    </w:p>
    <w:p w14:paraId="6CE59090">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（2）响应文件的资格证明文件缺少任一项“供应商须知前附表”资格证明文件规定的“必须提供”的文件资料的；</w:t>
      </w:r>
    </w:p>
    <w:p w14:paraId="487F8BAF">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（3）响应文件中的资格证明文件出现任一项不符合“供应商须知前附表”资格证明文件规定的“必须提供”的文件资料要求或者无效的；</w:t>
      </w:r>
    </w:p>
    <w:p w14:paraId="52CD0C6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3A788C10">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.4通过资格审查的合格供应商不足3家的，不得进入符合性审查环节，</w:t>
      </w:r>
      <w:r>
        <w:rPr>
          <w:rFonts w:hint="eastAsia" w:ascii="宋体" w:hAnsi="宋体"/>
          <w:color w:val="auto"/>
          <w:highlight w:val="none"/>
        </w:rPr>
        <w:t>采购人或者采购代理机构应当重新开展采购活动。</w:t>
      </w:r>
    </w:p>
    <w:p w14:paraId="06143F0B">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6A23A2F">
      <w:pPr>
        <w:pageBreakBefore w:val="0"/>
        <w:kinsoku/>
        <w:wordWrap w:val="0"/>
        <w:topLinePunct w:val="0"/>
        <w:spacing w:line="360" w:lineRule="auto"/>
        <w:ind w:firstLine="420" w:firstLineChars="200"/>
        <w:rPr>
          <w:rFonts w:ascii="宋体" w:hAnsi="宋体" w:cs="宋体"/>
          <w:color w:val="auto"/>
          <w:highlight w:val="none"/>
        </w:rPr>
      </w:pPr>
      <w:bookmarkStart w:id="51" w:name="_Hlk42528882"/>
      <w:r>
        <w:rPr>
          <w:rFonts w:ascii="宋体" w:hAnsi="宋体" w:cs="宋体"/>
          <w:color w:val="auto"/>
          <w:highlight w:val="none"/>
        </w:rPr>
        <w:t>2.1</w:t>
      </w:r>
      <w:r>
        <w:rPr>
          <w:rFonts w:hint="eastAsia" w:ascii="宋体" w:hAnsi="宋体" w:cs="宋体"/>
          <w:color w:val="auto"/>
          <w:highlight w:val="none"/>
        </w:rPr>
        <w:t>由磋商小组对</w:t>
      </w:r>
      <w:r>
        <w:rPr>
          <w:rFonts w:hint="eastAsia" w:ascii="宋体" w:hAnsi="宋体"/>
          <w:color w:val="auto"/>
          <w:highlight w:val="none"/>
        </w:rPr>
        <w:t>资格审查的合格供应商</w:t>
      </w:r>
      <w:r>
        <w:rPr>
          <w:rFonts w:hint="eastAsia" w:ascii="宋体" w:hAnsi="宋体" w:cs="宋体"/>
          <w:color w:val="auto"/>
          <w:highlight w:val="none"/>
        </w:rPr>
        <w:t>的响应文件的竞标报价、商务、技术等实质性要求进行符合性审查，以确定其是否满足磋商文件的实质性要求。</w:t>
      </w:r>
    </w:p>
    <w:bookmarkEnd w:id="51"/>
    <w:p w14:paraId="5020B57A">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2.2</w:t>
      </w:r>
      <w:r>
        <w:rPr>
          <w:rFonts w:hint="eastAsia" w:ascii="宋体" w:hAnsi="宋体" w:cs="宋体"/>
          <w:color w:val="auto"/>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31BBDBE">
      <w:pPr>
        <w:pageBreakBefore w:val="0"/>
        <w:kinsoku/>
        <w:wordWrap w:val="0"/>
        <w:topLinePunct w:val="0"/>
        <w:spacing w:line="360" w:lineRule="auto"/>
        <w:ind w:firstLine="420" w:firstLineChars="200"/>
        <w:rPr>
          <w:rFonts w:ascii="宋体" w:hAnsi="宋体" w:cs="宋体"/>
          <w:color w:val="auto"/>
          <w:spacing w:val="-6"/>
          <w:highlight w:val="none"/>
        </w:rPr>
      </w:pPr>
      <w:r>
        <w:rPr>
          <w:rFonts w:ascii="宋体" w:hAnsi="宋体" w:cs="宋体"/>
          <w:color w:val="auto"/>
          <w:highlight w:val="none"/>
        </w:rPr>
        <w:t>2</w:t>
      </w: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auto"/>
          <w:spacing w:val="-6"/>
          <w:highlight w:val="none"/>
        </w:rPr>
        <w:t>。供应商为自然人的，必须由本人签字并附身份证明。</w:t>
      </w:r>
    </w:p>
    <w:p w14:paraId="5315FB5C">
      <w:pPr>
        <w:pageBreakBefore w:val="0"/>
        <w:kinsoku/>
        <w:wordWrap w:val="0"/>
        <w:topLinePunct w:val="0"/>
        <w:spacing w:line="360" w:lineRule="auto"/>
        <w:ind w:firstLine="396" w:firstLineChars="200"/>
        <w:rPr>
          <w:rFonts w:ascii="宋体" w:hAnsi="宋体" w:cs="宋体"/>
          <w:color w:val="auto"/>
          <w:highlight w:val="none"/>
        </w:rPr>
      </w:pPr>
      <w:r>
        <w:rPr>
          <w:rFonts w:ascii="宋体" w:hAnsi="宋体" w:cs="宋体"/>
          <w:color w:val="auto"/>
          <w:spacing w:val="-6"/>
          <w:highlight w:val="none"/>
        </w:rPr>
        <w:t>2.4</w:t>
      </w:r>
      <w:r>
        <w:rPr>
          <w:rFonts w:hint="eastAsia" w:ascii="宋体" w:hAnsi="宋体" w:cs="宋体"/>
          <w:color w:val="auto"/>
          <w:highlight w:val="none"/>
        </w:rPr>
        <w:t xml:space="preserve">首次响应文件报价出现前后不一致的，按照下列规定修正： </w:t>
      </w:r>
    </w:p>
    <w:p w14:paraId="681B294C">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（1）响应文件中报价表内容与响应文件中相应内容不一致的，以报价表为准；</w:t>
      </w:r>
    </w:p>
    <w:p w14:paraId="118884B8">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（2）大写金额和小写金额不一致的，以大写金额为准；</w:t>
      </w:r>
    </w:p>
    <w:p w14:paraId="7D88FE8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（3）单价金额小数点或者百分比有明显错位的，以报价表的总价为准，并修改单价；</w:t>
      </w:r>
    </w:p>
    <w:p w14:paraId="7972F2D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1B62CC5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同时出现两种以上不一致的，按照以上（1）-（4）规定的顺序逐条进行修正。修正后的报价经供应商确认后产生约束力，供应商不确认的，其响应文件按无效响应处理。</w:t>
      </w:r>
    </w:p>
    <w:p w14:paraId="5469194D">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2</w:t>
      </w: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商务技术报价评审</w:t>
      </w:r>
    </w:p>
    <w:p w14:paraId="7C161386">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在评审时，如发现下列情形之一的，将被视为响应文件无效响应处理：</w:t>
      </w:r>
    </w:p>
    <w:p w14:paraId="06B95C45">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（1）商务技术评审</w:t>
      </w:r>
    </w:p>
    <w:p w14:paraId="62096790">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1）响应文件未按磋商文件要求签署、盖章；</w:t>
      </w:r>
    </w:p>
    <w:p w14:paraId="5F8612C9">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2）委托代理人未能出具有效身份证或者出具的身份证与授权委托书中的信息不符的； </w:t>
      </w:r>
    </w:p>
    <w:p w14:paraId="64FDECD9">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3）提交的磋商保证金无效的或者未按照磋商文件的规定提交磋商保证金；</w:t>
      </w:r>
    </w:p>
    <w:p w14:paraId="2062F32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4）响应文件中的报价商务技术文件出现任一项不符合“供应商须知前附表”中“必须提供”或者“委托时必须提供”文件资料要求的规定或者提供的报价商务技术文件无效。</w:t>
      </w:r>
    </w:p>
    <w:p w14:paraId="71CBC7B4">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5）商务条款成交“▲”的条款发生负偏离或者允许负偏离的条款数超过“供应商须知前附表”规定项数的；</w:t>
      </w:r>
    </w:p>
    <w:p w14:paraId="5A84A9C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6）未对竞标有效期作出响应或者响应文件承诺的竞标有效期不满足磋商文件要求；</w:t>
      </w:r>
    </w:p>
    <w:p w14:paraId="110ABC67">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7）响应文件的实质性内容未使用中文表述、使用计量单位不符合磋商文件要求；</w:t>
      </w:r>
    </w:p>
    <w:p w14:paraId="573526B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8）响应文件中的文件资料因填写不齐全或者内容虚假或者出现其他情形而导致被磋商小组认定无效；</w:t>
      </w:r>
    </w:p>
    <w:p w14:paraId="12961EEC">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9）响应文件含有采购人不能接受的附加条件；</w:t>
      </w:r>
    </w:p>
    <w:p w14:paraId="107B69A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10）属于“供应商须知正文”第7.</w:t>
      </w:r>
      <w:r>
        <w:rPr>
          <w:rFonts w:ascii="宋体" w:hAnsi="宋体" w:cs="宋体"/>
          <w:color w:val="auto"/>
          <w:highlight w:val="none"/>
        </w:rPr>
        <w:t>5</w:t>
      </w:r>
      <w:r>
        <w:rPr>
          <w:rFonts w:hint="eastAsia" w:ascii="宋体" w:hAnsi="宋体" w:cs="宋体"/>
          <w:color w:val="auto"/>
          <w:highlight w:val="none"/>
        </w:rPr>
        <w:t>条情形；</w:t>
      </w:r>
    </w:p>
    <w:p w14:paraId="29B2D80D">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1）技术要求成交“▲”的条款发生负偏离或允许负偏离的条款数超过“供应商须知前附表”规定项数的；</w:t>
      </w:r>
    </w:p>
    <w:p w14:paraId="33D93F68">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2）虚假竞标，或者出现其他情形而导致被磋商小组认定无效；</w:t>
      </w:r>
    </w:p>
    <w:p w14:paraId="67295B58">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3）</w:t>
      </w:r>
      <w:bookmarkStart w:id="52" w:name="_Hlk71704147"/>
      <w:r>
        <w:rPr>
          <w:rFonts w:hint="eastAsia" w:ascii="宋体" w:hAnsi="宋体" w:cs="宋体"/>
          <w:color w:val="auto"/>
          <w:highlight w:val="none"/>
        </w:rPr>
        <w:t>磋商文件未载明允许提供备选（替代）竞标方案或明确不允许提供备选（替代）竞标方案时，供应商提供了备选（替代）竞标方案的；</w:t>
      </w:r>
      <w:bookmarkEnd w:id="52"/>
    </w:p>
    <w:p w14:paraId="655A8A30">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4）响应文件标注的项目名称或者项目编号与磋商文件标注的项目名称或者项目编号不一致的；</w:t>
      </w:r>
    </w:p>
    <w:p w14:paraId="37F4FF0F">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15）</w:t>
      </w:r>
      <w:r>
        <w:rPr>
          <w:rFonts w:hint="eastAsia" w:ascii="宋体" w:hAnsi="宋体"/>
          <w:color w:val="auto"/>
          <w:highlight w:val="none"/>
        </w:rPr>
        <w:t>竞争性磋商文件明确不允许分包，响应文件拟分包的；</w:t>
      </w:r>
    </w:p>
    <w:p w14:paraId="4371E649">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6）未响应磋商文件实质性要求；</w:t>
      </w:r>
    </w:p>
    <w:p w14:paraId="4E15CE8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17）法律、法规和磋商文件规定的其他无效情形。</w:t>
      </w:r>
    </w:p>
    <w:p w14:paraId="43CB69D9">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）报价评审</w:t>
      </w:r>
    </w:p>
    <w:p w14:paraId="16D2264D">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1）响应文件未提供“供应商须知前附表” 报价商务技术文件中规定的“竞标报价表”；</w:t>
      </w:r>
    </w:p>
    <w:p w14:paraId="5FE380B1">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2）未采用人民币报价或者未按照磋商文件标明的币种报价；</w:t>
      </w:r>
    </w:p>
    <w:p w14:paraId="720A8755">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940DB35">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4）最后报价超过所竞标分标规定的采购预算金额或者最高限价的（如本项目公布了最高限价）；</w:t>
      </w:r>
      <w:bookmarkStart w:id="53" w:name="_Hlk42596405"/>
      <w:bookmarkEnd w:id="53"/>
    </w:p>
    <w:p w14:paraId="4357EBF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5）修正后的报价，供应商不确认的；或者经供应商确认修正后的最后报价超过所竞标分标规定的采购预算金额或者最高限价（如本项目公布了最高限价）；</w:t>
      </w:r>
    </w:p>
    <w:p w14:paraId="527A13E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w:t>
      </w:r>
      <w:r>
        <w:rPr>
          <w:rFonts w:hint="eastAsia" w:ascii="宋体" w:hAnsi="宋体"/>
          <w:color w:val="auto"/>
          <w:highlight w:val="none"/>
        </w:rPr>
        <w:t>响应文件响应的标的数量及单位与竞争性磋商采购文件要求实质性不一致的。</w:t>
      </w:r>
    </w:p>
    <w:p w14:paraId="529BA525">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2.6</w:t>
      </w:r>
      <w:r>
        <w:rPr>
          <w:rFonts w:hint="eastAsia" w:ascii="宋体" w:hAnsi="宋体" w:cs="宋体"/>
          <w:color w:val="auto"/>
          <w:highlight w:val="none"/>
        </w:rPr>
        <w:t>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534B554C">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2.7</w:t>
      </w:r>
      <w:r>
        <w:rPr>
          <w:rFonts w:hint="eastAsia" w:ascii="宋体" w:hAnsi="宋体" w:cs="宋体"/>
          <w:color w:val="auto"/>
          <w:highlight w:val="none"/>
        </w:rPr>
        <w:t>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r>
        <w:rPr>
          <w:rFonts w:hint="eastAsia" w:ascii="宋体" w:hAnsi="宋体"/>
          <w:color w:val="auto"/>
          <w:highlight w:val="none"/>
        </w:rPr>
        <w:t>。</w:t>
      </w:r>
    </w:p>
    <w:p w14:paraId="6436D82B">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61732C09">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kern w:val="0"/>
          <w:highlight w:val="none"/>
        </w:rPr>
        <w:t>3</w:t>
      </w:r>
      <w:r>
        <w:rPr>
          <w:rFonts w:ascii="宋体" w:hAnsi="宋体" w:cs="宋体"/>
          <w:color w:val="auto"/>
          <w:kern w:val="0"/>
          <w:highlight w:val="none"/>
        </w:rPr>
        <w:t>.1</w:t>
      </w:r>
      <w:r>
        <w:rPr>
          <w:rFonts w:hint="eastAsia" w:ascii="宋体" w:hAnsi="宋体" w:cs="宋体"/>
          <w:color w:val="auto"/>
          <w:kern w:val="0"/>
          <w:highlight w:val="none"/>
        </w:rPr>
        <w:t>磋商小组按照“供应商须知前附表”确定的</w:t>
      </w:r>
      <w:r>
        <w:rPr>
          <w:rFonts w:hint="eastAsia" w:ascii="宋体" w:hAnsi="宋体" w:cs="宋体"/>
          <w:color w:val="auto"/>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7E48209">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3.2</w:t>
      </w:r>
      <w:r>
        <w:rPr>
          <w:rFonts w:hint="eastAsia" w:ascii="宋体" w:hAnsi="宋体" w:cs="宋体"/>
          <w:color w:val="auto"/>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564CF16">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3.3</w:t>
      </w:r>
      <w:r>
        <w:rPr>
          <w:rFonts w:hint="eastAsia" w:ascii="宋体" w:hAnsi="宋体" w:cs="宋体"/>
          <w:color w:val="auto"/>
          <w:highlight w:val="none"/>
        </w:rPr>
        <w:t>对磋商文件作出的实质性变动是磋商文件的有效组成部分，由磋商小组及时以电子磋商记录形式同时通知所有参加磋商的供应商。</w:t>
      </w:r>
    </w:p>
    <w:p w14:paraId="24C011C2">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3.4</w:t>
      </w:r>
      <w:r>
        <w:rPr>
          <w:rFonts w:hint="eastAsia" w:ascii="宋体" w:hAnsi="宋体" w:cs="宋体"/>
          <w:color w:val="auto"/>
          <w:highlight w:val="none"/>
        </w:rPr>
        <w:t>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68FF6D9C">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3.5</w:t>
      </w:r>
      <w:r>
        <w:rPr>
          <w:rFonts w:hint="eastAsia" w:ascii="宋体" w:hAnsi="宋体" w:cs="宋体"/>
          <w:color w:val="auto"/>
          <w:highlight w:val="none"/>
        </w:rPr>
        <w:t>磋商中，</w:t>
      </w:r>
      <w:r>
        <w:rPr>
          <w:rFonts w:hint="eastAsia" w:ascii="宋体" w:hAnsi="宋体" w:cs="宋体"/>
          <w:color w:val="auto"/>
          <w:spacing w:val="-6"/>
          <w:highlight w:val="none"/>
        </w:rPr>
        <w:t>磋商的任何一方不得透露与磋商有关的其他供应商的技术资料、价格和其他信息。</w:t>
      </w:r>
    </w:p>
    <w:p w14:paraId="7A99786C">
      <w:pPr>
        <w:pageBreakBefore w:val="0"/>
        <w:tabs>
          <w:tab w:val="left" w:pos="2835"/>
        </w:tabs>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w:t>
      </w:r>
      <w:r>
        <w:rPr>
          <w:rFonts w:hint="eastAsia" w:ascii="宋体" w:hAnsi="宋体" w:cs="宋体"/>
          <w:color w:val="auto"/>
          <w:highlight w:val="none"/>
        </w:rPr>
        <w:t>6</w:t>
      </w:r>
      <w:r>
        <w:rPr>
          <w:rFonts w:hint="eastAsia" w:ascii="宋体" w:hAnsi="宋体"/>
          <w:color w:val="auto"/>
          <w:highlight w:val="none"/>
        </w:rPr>
        <w:t>对磋商过程提交的响应文件进行有效性、完整性和响应程度审查，通过审查的合格供应商不足3家的，采购人或者采购代理机构应当重新开展采购活动。</w:t>
      </w:r>
    </w:p>
    <w:p w14:paraId="17B53D45">
      <w:pPr>
        <w:pageBreakBefore w:val="0"/>
        <w:widowControl/>
        <w:tabs>
          <w:tab w:val="left" w:pos="540"/>
        </w:tabs>
        <w:kinsoku/>
        <w:wordWrap w:val="0"/>
        <w:topLinePunct w:val="0"/>
        <w:spacing w:line="360" w:lineRule="auto"/>
        <w:ind w:firstLine="420" w:firstLineChars="200"/>
        <w:jc w:val="left"/>
        <w:rPr>
          <w:rFonts w:ascii="宋体" w:hAnsi="宋体" w:cs="宋体"/>
          <w:color w:val="auto"/>
          <w:highlight w:val="none"/>
        </w:rPr>
      </w:pPr>
      <w:r>
        <w:rPr>
          <w:rFonts w:ascii="宋体" w:hAnsi="宋体" w:cs="宋体"/>
          <w:color w:val="auto"/>
          <w:highlight w:val="none"/>
        </w:rPr>
        <w:t>3.</w:t>
      </w:r>
      <w:r>
        <w:rPr>
          <w:rFonts w:hint="eastAsia" w:ascii="宋体" w:hAnsi="宋体" w:cs="宋体"/>
          <w:color w:val="auto"/>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E436911">
      <w:pPr>
        <w:pageBreakBefore w:val="0"/>
        <w:kinsoku/>
        <w:wordWrap w:val="0"/>
        <w:topLinePunct w:val="0"/>
        <w:spacing w:line="360" w:lineRule="auto"/>
        <w:ind w:firstLine="482" w:firstLineChars="200"/>
        <w:rPr>
          <w:rFonts w:ascii="宋体" w:hAnsi="宋体" w:cs="宋体"/>
          <w:color w:val="auto"/>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5DF98B3">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.1</w:t>
      </w:r>
      <w:r>
        <w:rPr>
          <w:rFonts w:hint="eastAsia" w:ascii="宋体" w:hAnsi="宋体" w:cs="宋体"/>
          <w:color w:val="auto"/>
          <w:highlight w:val="none"/>
        </w:rPr>
        <w:t>磋商文件能够详细列明采购标的的技术、服务要求的，磋商结束后，由磋商小组要求所有继续参加磋商的供应商在规定时间内以电子文件形式提交最后报价</w:t>
      </w:r>
      <w:r>
        <w:rPr>
          <w:rFonts w:hint="eastAsia" w:ascii="宋体" w:hAnsi="宋体" w:cs="宋体"/>
          <w:b/>
          <w:bCs/>
          <w:color w:val="auto"/>
          <w:highlight w:val="none"/>
        </w:rPr>
        <w:t>（若最后报价有变动，必须将最后报价的固化清单加盖电子签章以附件形式上传，否则最后报价无效，以供应商的首次报价为最后报价）</w:t>
      </w:r>
      <w:r>
        <w:rPr>
          <w:rFonts w:hint="eastAsia" w:ascii="宋体" w:hAnsi="宋体" w:cs="宋体"/>
          <w:color w:val="auto"/>
          <w:highlight w:val="none"/>
        </w:rPr>
        <w:t>，除本章第2.7、3.7、</w:t>
      </w:r>
      <w:r>
        <w:rPr>
          <w:rFonts w:ascii="宋体" w:hAnsi="宋体" w:cs="宋体"/>
          <w:color w:val="auto"/>
          <w:highlight w:val="none"/>
        </w:rPr>
        <w:t>4.3</w:t>
      </w:r>
      <w:r>
        <w:rPr>
          <w:rFonts w:hint="eastAsia" w:ascii="宋体" w:hAnsi="宋体" w:cs="宋体"/>
          <w:color w:val="auto"/>
          <w:highlight w:val="none"/>
        </w:rPr>
        <w:t>条外，提交最后报价的供应商不得少于3家，否则必须重新采购。</w:t>
      </w:r>
    </w:p>
    <w:p w14:paraId="1B8DF36B">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.2</w:t>
      </w:r>
      <w:r>
        <w:rPr>
          <w:rFonts w:hint="eastAsia" w:ascii="宋体" w:hAnsi="宋体" w:cs="宋体"/>
          <w:color w:val="auto"/>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76D4B930">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4.3</w:t>
      </w:r>
      <w:r>
        <w:rPr>
          <w:rFonts w:hint="eastAsia" w:ascii="宋体" w:hAnsi="宋体" w:cs="宋体"/>
          <w:color w:val="auto"/>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本章第3.</w:t>
      </w:r>
      <w:r>
        <w:rPr>
          <w:rFonts w:hint="eastAsia"/>
          <w:color w:val="auto"/>
          <w:highlight w:val="none"/>
        </w:rPr>
        <w:t>7</w:t>
      </w:r>
      <w:r>
        <w:rPr>
          <w:color w:val="auto"/>
          <w:highlight w:val="none"/>
        </w:rPr>
        <w:t>条情形的，</w:t>
      </w:r>
      <w:r>
        <w:rPr>
          <w:rFonts w:hint="eastAsia" w:ascii="宋体" w:hAnsi="宋体" w:cs="宋体"/>
          <w:color w:val="auto"/>
          <w:highlight w:val="none"/>
        </w:rPr>
        <w:t>提交最后报价的供应商可以为2家。</w:t>
      </w:r>
    </w:p>
    <w:p w14:paraId="02307A5B">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4.4</w:t>
      </w:r>
      <w:r>
        <w:rPr>
          <w:rFonts w:hint="eastAsia" w:ascii="宋体" w:hAnsi="宋体" w:cs="宋体"/>
          <w:color w:val="auto"/>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2C6505B6">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4.5</w:t>
      </w:r>
      <w:r>
        <w:rPr>
          <w:rFonts w:hint="eastAsia" w:ascii="宋体" w:hAnsi="宋体" w:cs="宋体"/>
          <w:color w:val="auto"/>
          <w:highlight w:val="none"/>
        </w:rPr>
        <w:t>供应商未在规定时间内提交最后报价的，视同退出磋商。</w:t>
      </w:r>
    </w:p>
    <w:p w14:paraId="227AFC12">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4.6</w:t>
      </w:r>
      <w:r>
        <w:rPr>
          <w:rFonts w:hint="eastAsia" w:ascii="宋体" w:hAnsi="宋体" w:cs="宋体"/>
          <w:color w:val="auto"/>
          <w:highlight w:val="none"/>
        </w:rPr>
        <w:t>磋商小组收齐某一分标最后报价后或达到规定时间后统一开启，磋商小组对最后报价进行有效性、完整性和响应程度的审查。</w:t>
      </w:r>
    </w:p>
    <w:p w14:paraId="46DAFCE5">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4.7</w:t>
      </w:r>
      <w:r>
        <w:rPr>
          <w:rFonts w:hint="eastAsia" w:ascii="宋体" w:hAnsi="宋体" w:cs="宋体"/>
          <w:color w:val="auto"/>
          <w:highlight w:val="none"/>
        </w:rPr>
        <w:t>响应文件最后报价出现前后不一致的，按照本章第</w:t>
      </w:r>
      <w:r>
        <w:rPr>
          <w:rFonts w:ascii="宋体" w:hAnsi="宋体" w:cs="宋体"/>
          <w:color w:val="auto"/>
          <w:highlight w:val="none"/>
        </w:rPr>
        <w:t>2.4</w:t>
      </w:r>
      <w:r>
        <w:rPr>
          <w:rFonts w:hint="eastAsia" w:ascii="宋体" w:hAnsi="宋体" w:cs="宋体"/>
          <w:color w:val="auto"/>
          <w:highlight w:val="none"/>
        </w:rPr>
        <w:t xml:space="preserve">条的规定修正。 </w:t>
      </w:r>
    </w:p>
    <w:p w14:paraId="25691F8A">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4.8</w:t>
      </w:r>
      <w:r>
        <w:rPr>
          <w:rFonts w:hint="eastAsia" w:ascii="宋体" w:hAnsi="宋体" w:cs="宋体"/>
          <w:color w:val="auto"/>
          <w:highlight w:val="none"/>
        </w:rPr>
        <w:t>经供应商确认修正后的最后报价作为评审及签订合同的依据。</w:t>
      </w:r>
    </w:p>
    <w:p w14:paraId="772C9C0D">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9</w:t>
      </w:r>
      <w:r>
        <w:rPr>
          <w:rFonts w:hint="eastAsia" w:ascii="宋体" w:hAnsi="宋体" w:cs="宋体"/>
          <w:color w:val="auto"/>
          <w:highlight w:val="none"/>
        </w:rPr>
        <w:t>供应商出现最后报价按无效响应处理或者响应文件按无效响应处理时</w:t>
      </w:r>
      <w:r>
        <w:rPr>
          <w:rFonts w:hint="eastAsia" w:ascii="宋体" w:hAnsi="宋体"/>
          <w:color w:val="auto"/>
          <w:sz w:val="22"/>
          <w:szCs w:val="22"/>
          <w:highlight w:val="none"/>
        </w:rPr>
        <w:t>，磋商小组应当告知有关供应商</w:t>
      </w:r>
      <w:r>
        <w:rPr>
          <w:rFonts w:hint="eastAsia" w:ascii="宋体" w:hAnsi="宋体" w:cs="宋体"/>
          <w:color w:val="auto"/>
          <w:highlight w:val="none"/>
        </w:rPr>
        <w:t>。</w:t>
      </w:r>
    </w:p>
    <w:p w14:paraId="74347F50">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w:t>
      </w:r>
      <w:r>
        <w:rPr>
          <w:rFonts w:ascii="宋体" w:hAnsi="宋体" w:cs="宋体"/>
          <w:color w:val="auto"/>
          <w:highlight w:val="none"/>
        </w:rPr>
        <w:t>.10</w:t>
      </w:r>
      <w:r>
        <w:rPr>
          <w:rFonts w:hint="eastAsia" w:ascii="宋体" w:hAnsi="宋体" w:cs="宋体"/>
          <w:color w:val="auto"/>
          <w:highlight w:val="none"/>
        </w:rPr>
        <w:t>最后报价结束后，磋商小组不得再与供应商进行任何形式的商谈。</w:t>
      </w:r>
    </w:p>
    <w:p w14:paraId="3134129B">
      <w:pPr>
        <w:pageBreakBefore w:val="0"/>
        <w:kinsoku/>
        <w:wordWrap w:val="0"/>
        <w:topLinePunct w:val="0"/>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11531CA7">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5.1</w:t>
      </w:r>
      <w:r>
        <w:rPr>
          <w:rFonts w:hint="eastAsia" w:ascii="宋体" w:hAnsi="宋体" w:cs="宋体"/>
          <w:color w:val="auto"/>
          <w:highlight w:val="none"/>
        </w:rPr>
        <w:t>评审方法：综合评分法。</w:t>
      </w:r>
    </w:p>
    <w:p w14:paraId="641E2FE3">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5.2</w:t>
      </w:r>
      <w:r>
        <w:rPr>
          <w:rFonts w:hint="eastAsia" w:ascii="宋体" w:hAnsi="宋体" w:cs="宋体"/>
          <w:color w:val="auto"/>
          <w:highlight w:val="none"/>
        </w:rPr>
        <w:t>经磋商确定最终采购需求和提交最后报价的供应商后，由磋商小组采用综合评分法对提交最后报价的供应商的响应文件和最后报价进行综合评分。</w:t>
      </w:r>
    </w:p>
    <w:p w14:paraId="566E2A52">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5.3</w:t>
      </w:r>
      <w:r>
        <w:rPr>
          <w:rFonts w:hint="eastAsia" w:ascii="宋体" w:hAnsi="宋体" w:cs="宋体"/>
          <w:color w:val="auto"/>
          <w:highlight w:val="none"/>
        </w:rPr>
        <w:t>评审时，磋商小组各成员应当独立对每个有效响应的文件进行评价、打分，然后汇总每个供应商每项评分因素的得分。</w:t>
      </w:r>
    </w:p>
    <w:p w14:paraId="4FF6D61A">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（1）磋商小组按照磋商文件中规定的评审标准计算各供应商的报价得分。项目评审过程中，不得去掉最后报价中的最高报价和最低报价。</w:t>
      </w:r>
    </w:p>
    <w:p w14:paraId="3118C1FD">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（2）各供应商的得分为磋商小组所有成员的有效评分的算术平均数。</w:t>
      </w:r>
    </w:p>
    <w:p w14:paraId="3004F373">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s="宋体"/>
          <w:color w:val="auto"/>
          <w:highlight w:val="none"/>
        </w:rPr>
        <w:t>5.4</w:t>
      </w:r>
      <w:r>
        <w:rPr>
          <w:rFonts w:hint="eastAsia" w:ascii="宋体" w:hAnsi="宋体" w:cs="宋体"/>
          <w:color w:val="auto"/>
          <w:highlight w:val="none"/>
        </w:rPr>
        <w:t>评标价为供应商的最后报价进行政策性扣除后的价格，评标价只是作为评审时使用。最终成交供应商的成交金额等于最后报价（如有修正，以确认修正后的最后报价为准）。</w:t>
      </w:r>
    </w:p>
    <w:p w14:paraId="351BEFDB">
      <w:pPr>
        <w:pageBreakBefore w:val="0"/>
        <w:kinsoku/>
        <w:wordWrap w:val="0"/>
        <w:topLinePunct w:val="0"/>
        <w:spacing w:line="360" w:lineRule="auto"/>
        <w:ind w:firstLine="420" w:firstLineChars="200"/>
        <w:rPr>
          <w:rFonts w:ascii="宋体" w:hAnsi="宋体"/>
          <w:color w:val="auto"/>
          <w:kern w:val="0"/>
          <w:highlight w:val="none"/>
        </w:rPr>
      </w:pPr>
      <w:r>
        <w:rPr>
          <w:rFonts w:ascii="宋体" w:hAnsi="宋体" w:cs="宋体"/>
          <w:color w:val="auto"/>
          <w:highlight w:val="none"/>
        </w:rPr>
        <w:t>5.5</w:t>
      </w:r>
      <w:r>
        <w:rPr>
          <w:rFonts w:hint="eastAsia" w:ascii="宋体" w:hAnsi="宋体" w:cs="宋体"/>
          <w:color w:val="auto"/>
          <w:highlight w:val="none"/>
        </w:rPr>
        <w:t>由磋商小组根据综合评分情况，按照评审得分由高到低顺序推荐3名以上成交候选供应商，并编写评</w:t>
      </w:r>
      <w:r>
        <w:rPr>
          <w:rFonts w:hint="eastAsia" w:ascii="宋体" w:hAnsi="宋体"/>
          <w:color w:val="auto"/>
          <w:kern w:val="0"/>
          <w:highlight w:val="none"/>
        </w:rPr>
        <w:t>审报告。符合本章第</w:t>
      </w:r>
      <w:r>
        <w:rPr>
          <w:rFonts w:hint="eastAsia" w:ascii="宋体" w:hAnsi="宋体" w:cs="宋体"/>
          <w:color w:val="auto"/>
          <w:highlight w:val="none"/>
        </w:rPr>
        <w:t>2.7、3.7、</w:t>
      </w:r>
      <w:r>
        <w:rPr>
          <w:rFonts w:ascii="宋体" w:hAnsi="宋体" w:cs="宋体"/>
          <w:color w:val="auto"/>
          <w:highlight w:val="none"/>
        </w:rPr>
        <w:t>4.3</w:t>
      </w:r>
      <w:r>
        <w:rPr>
          <w:rFonts w:hint="eastAsia" w:ascii="宋体" w:hAnsi="宋体"/>
          <w:color w:val="auto"/>
          <w:kern w:val="0"/>
          <w:highlight w:val="none"/>
        </w:rPr>
        <w:t>条情形的，可以推荐2家成交候选供应商。评审得分相同的，按照最后报价由低到高的顺序推荐。评审得分且最后报价相同的，按照技术指标优劣顺序推荐。</w:t>
      </w:r>
    </w:p>
    <w:p w14:paraId="442261DD">
      <w:pPr>
        <w:pageBreakBefore w:val="0"/>
        <w:kinsoku/>
        <w:wordWrap w:val="0"/>
        <w:topLinePunct w:val="0"/>
        <w:spacing w:line="360" w:lineRule="auto"/>
        <w:ind w:firstLine="420" w:firstLineChars="200"/>
        <w:rPr>
          <w:rFonts w:ascii="宋体" w:hAnsi="宋体" w:cs="宋体"/>
          <w:color w:val="auto"/>
          <w:highlight w:val="none"/>
        </w:rPr>
      </w:pPr>
      <w:r>
        <w:rPr>
          <w:rFonts w:ascii="宋体" w:hAnsi="宋体"/>
          <w:color w:val="auto"/>
          <w:kern w:val="0"/>
          <w:highlight w:val="none"/>
        </w:rPr>
        <w:t>5.6</w:t>
      </w:r>
      <w:r>
        <w:rPr>
          <w:rFonts w:hint="eastAsia" w:ascii="宋体" w:hAnsi="宋体"/>
          <w:color w:val="auto"/>
          <w:kern w:val="0"/>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09E2BEA">
      <w:pPr>
        <w:pageBreakBefore w:val="0"/>
        <w:kinsoku/>
        <w:wordWrap w:val="0"/>
        <w:topLinePunct w:val="0"/>
        <w:spacing w:line="360" w:lineRule="auto"/>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二、评审标准</w:t>
      </w:r>
    </w:p>
    <w:p w14:paraId="309FDEF7">
      <w:pPr>
        <w:pageBreakBefore w:val="0"/>
        <w:numPr>
          <w:ilvl w:val="0"/>
          <w:numId w:val="7"/>
        </w:numPr>
        <w:kinsoku/>
        <w:wordWrap w:val="0"/>
        <w:topLinePunct w:val="0"/>
        <w:spacing w:line="360" w:lineRule="auto"/>
        <w:ind w:firstLine="420" w:firstLineChars="200"/>
        <w:rPr>
          <w:rFonts w:hint="eastAsia" w:ascii="宋体" w:hAnsi="宋体"/>
          <w:bCs/>
          <w:color w:val="auto"/>
          <w:highlight w:val="none"/>
        </w:rPr>
      </w:pPr>
      <w:r>
        <w:rPr>
          <w:rFonts w:hint="eastAsia" w:ascii="宋体" w:hAnsi="宋体"/>
          <w:bCs/>
          <w:color w:val="auto"/>
          <w:highlight w:val="none"/>
        </w:rPr>
        <w:t>评审依据：磋商小组将以磋商响应文件为评审依据，对供应商的报价、针对本项目的项目实施方案、业绩等方面内容按百分制打分。（计分方法按四舍五入取至百分位）</w:t>
      </w:r>
    </w:p>
    <w:tbl>
      <w:tblPr>
        <w:tblStyle w:val="4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529"/>
        <w:gridCol w:w="5380"/>
      </w:tblGrid>
      <w:tr w14:paraId="5175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007D6F48">
            <w:pPr>
              <w:pageBreakBefore w:val="0"/>
              <w:kinsoku/>
              <w:wordWrap w:val="0"/>
              <w:topLinePunct w:val="0"/>
              <w:adjustRightInd w:val="0"/>
              <w:spacing w:line="410" w:lineRule="exact"/>
              <w:jc w:val="center"/>
              <w:textAlignment w:val="baseline"/>
              <w:rPr>
                <w:rFonts w:ascii="宋体" w:hAnsi="宋体"/>
                <w:b/>
                <w:color w:val="auto"/>
                <w:highlight w:val="none"/>
              </w:rPr>
            </w:pPr>
            <w:r>
              <w:rPr>
                <w:rFonts w:hint="eastAsia" w:ascii="宋体" w:hAnsi="宋体"/>
                <w:b/>
                <w:color w:val="auto"/>
                <w:highlight w:val="none"/>
              </w:rPr>
              <w:t>序号</w:t>
            </w:r>
          </w:p>
        </w:tc>
        <w:tc>
          <w:tcPr>
            <w:tcW w:w="1280" w:type="dxa"/>
            <w:vAlign w:val="center"/>
          </w:tcPr>
          <w:p w14:paraId="66D388E3">
            <w:pPr>
              <w:pageBreakBefore w:val="0"/>
              <w:kinsoku/>
              <w:wordWrap w:val="0"/>
              <w:topLinePunct w:val="0"/>
              <w:adjustRightInd w:val="0"/>
              <w:spacing w:line="410" w:lineRule="exact"/>
              <w:jc w:val="center"/>
              <w:textAlignment w:val="baseline"/>
              <w:rPr>
                <w:rFonts w:ascii="宋体" w:hAnsi="宋体"/>
                <w:color w:val="auto"/>
                <w:highlight w:val="none"/>
              </w:rPr>
            </w:pPr>
            <w:r>
              <w:rPr>
                <w:rFonts w:hint="eastAsia" w:ascii="宋体" w:hAnsi="宋体"/>
                <w:b/>
                <w:color w:val="auto"/>
                <w:highlight w:val="none"/>
              </w:rPr>
              <w:t>评审因素</w:t>
            </w:r>
          </w:p>
        </w:tc>
        <w:tc>
          <w:tcPr>
            <w:tcW w:w="709" w:type="dxa"/>
            <w:vAlign w:val="center"/>
          </w:tcPr>
          <w:p w14:paraId="0F7147A0">
            <w:pPr>
              <w:pageBreakBefore w:val="0"/>
              <w:kinsoku/>
              <w:wordWrap w:val="0"/>
              <w:topLinePunct w:val="0"/>
              <w:adjustRightInd w:val="0"/>
              <w:spacing w:line="410" w:lineRule="exact"/>
              <w:jc w:val="center"/>
              <w:textAlignment w:val="baseline"/>
              <w:rPr>
                <w:rFonts w:ascii="宋体" w:hAnsi="宋体"/>
                <w:b/>
                <w:color w:val="auto"/>
                <w:highlight w:val="none"/>
              </w:rPr>
            </w:pPr>
            <w:r>
              <w:rPr>
                <w:rFonts w:hint="eastAsia" w:ascii="宋体" w:hAnsi="宋体"/>
                <w:b/>
                <w:color w:val="auto"/>
                <w:highlight w:val="none"/>
              </w:rPr>
              <w:t>分值</w:t>
            </w:r>
          </w:p>
        </w:tc>
        <w:tc>
          <w:tcPr>
            <w:tcW w:w="6909" w:type="dxa"/>
            <w:gridSpan w:val="2"/>
            <w:vAlign w:val="center"/>
          </w:tcPr>
          <w:p w14:paraId="125B668A">
            <w:pPr>
              <w:pageBreakBefore w:val="0"/>
              <w:kinsoku/>
              <w:wordWrap w:val="0"/>
              <w:topLinePunct w:val="0"/>
              <w:adjustRightInd w:val="0"/>
              <w:spacing w:line="410" w:lineRule="exact"/>
              <w:jc w:val="center"/>
              <w:textAlignment w:val="baseline"/>
              <w:rPr>
                <w:rFonts w:ascii="宋体" w:hAnsi="宋体"/>
                <w:b/>
                <w:color w:val="auto"/>
                <w:highlight w:val="none"/>
              </w:rPr>
            </w:pPr>
            <w:r>
              <w:rPr>
                <w:rFonts w:hint="eastAsia" w:ascii="宋体" w:hAnsi="宋体"/>
                <w:b/>
                <w:color w:val="auto"/>
                <w:highlight w:val="none"/>
              </w:rPr>
              <w:t>评标标准</w:t>
            </w:r>
          </w:p>
        </w:tc>
      </w:tr>
      <w:tr w14:paraId="5C0F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564B484A">
            <w:pPr>
              <w:pageBreakBefore w:val="0"/>
              <w:kinsoku/>
              <w:wordWrap w:val="0"/>
              <w:topLinePunct w:val="0"/>
              <w:adjustRightInd w:val="0"/>
              <w:spacing w:line="360" w:lineRule="auto"/>
              <w:jc w:val="center"/>
              <w:textAlignment w:val="baseline"/>
              <w:rPr>
                <w:rFonts w:ascii="宋体" w:hAnsi="宋体"/>
                <w:b/>
                <w:color w:val="auto"/>
                <w:highlight w:val="none"/>
              </w:rPr>
            </w:pPr>
            <w:r>
              <w:rPr>
                <w:rFonts w:hint="eastAsia" w:ascii="宋体" w:hAnsi="宋体"/>
                <w:b/>
                <w:color w:val="auto"/>
                <w:highlight w:val="none"/>
              </w:rPr>
              <w:t>1</w:t>
            </w:r>
          </w:p>
        </w:tc>
        <w:tc>
          <w:tcPr>
            <w:tcW w:w="1280" w:type="dxa"/>
            <w:vAlign w:val="center"/>
          </w:tcPr>
          <w:p w14:paraId="764387EE">
            <w:pPr>
              <w:pageBreakBefore w:val="0"/>
              <w:kinsoku/>
              <w:wordWrap w:val="0"/>
              <w:topLinePunct w:val="0"/>
              <w:adjustRightInd w:val="0"/>
              <w:spacing w:line="360" w:lineRule="auto"/>
              <w:jc w:val="center"/>
              <w:textAlignment w:val="baseline"/>
              <w:rPr>
                <w:rFonts w:ascii="宋体" w:hAnsi="宋体"/>
                <w:b/>
                <w:color w:val="auto"/>
                <w:highlight w:val="none"/>
              </w:rPr>
            </w:pPr>
            <w:r>
              <w:rPr>
                <w:rFonts w:hint="eastAsia" w:ascii="宋体" w:hAnsi="宋体"/>
                <w:b/>
                <w:color w:val="auto"/>
                <w:highlight w:val="none"/>
              </w:rPr>
              <w:t>报价</w:t>
            </w:r>
          </w:p>
        </w:tc>
        <w:tc>
          <w:tcPr>
            <w:tcW w:w="709" w:type="dxa"/>
            <w:vAlign w:val="center"/>
          </w:tcPr>
          <w:p w14:paraId="67ADEA08">
            <w:pPr>
              <w:pageBreakBefore w:val="0"/>
              <w:kinsoku/>
              <w:wordWrap w:val="0"/>
              <w:topLinePunct w:val="0"/>
              <w:adjustRightInd w:val="0"/>
              <w:spacing w:line="360" w:lineRule="auto"/>
              <w:jc w:val="center"/>
              <w:textAlignment w:val="baseline"/>
              <w:rPr>
                <w:rFonts w:ascii="宋体" w:hAnsi="宋体"/>
                <w:b/>
                <w:color w:val="auto"/>
                <w:highlight w:val="none"/>
              </w:rPr>
            </w:pPr>
            <w:r>
              <w:rPr>
                <w:rFonts w:hint="eastAsia" w:ascii="宋体" w:hAnsi="宋体"/>
                <w:b/>
                <w:color w:val="auto"/>
                <w:highlight w:val="none"/>
              </w:rPr>
              <w:t>30分</w:t>
            </w:r>
          </w:p>
        </w:tc>
        <w:tc>
          <w:tcPr>
            <w:tcW w:w="6909" w:type="dxa"/>
            <w:gridSpan w:val="2"/>
            <w:vAlign w:val="center"/>
          </w:tcPr>
          <w:p w14:paraId="61AE202D">
            <w:pPr>
              <w:pStyle w:val="28"/>
              <w:pageBreakBefore w:val="0"/>
              <w:kinsoku/>
              <w:wordWrap w:val="0"/>
              <w:topLinePunct w:val="0"/>
              <w:spacing w:line="360" w:lineRule="auto"/>
              <w:ind w:firstLine="422" w:firstLineChars="200"/>
              <w:rPr>
                <w:rFonts w:hAnsi="宋体" w:cs="Courier New"/>
                <w:b/>
                <w:bCs/>
                <w:color w:val="auto"/>
                <w:kern w:val="2"/>
                <w:highlight w:val="none"/>
              </w:rPr>
            </w:pPr>
            <w:r>
              <w:rPr>
                <w:rFonts w:hint="eastAsia" w:hAnsi="宋体" w:cs="Courier New"/>
                <w:b/>
                <w:bCs/>
                <w:color w:val="auto"/>
                <w:kern w:val="2"/>
                <w:highlight w:val="none"/>
              </w:rPr>
              <w:t>一、政府采购政策扣除</w:t>
            </w:r>
          </w:p>
          <w:p w14:paraId="77DB889A">
            <w:pPr>
              <w:pStyle w:val="28"/>
              <w:pageBreakBefore w:val="0"/>
              <w:kinsoku/>
              <w:wordWrap w:val="0"/>
              <w:topLinePunct w:val="0"/>
              <w:spacing w:line="420" w:lineRule="exact"/>
              <w:ind w:firstLine="420" w:firstLineChars="200"/>
              <w:rPr>
                <w:rFonts w:hAnsi="宋体"/>
                <w:bCs/>
                <w:color w:val="auto"/>
                <w:highlight w:val="none"/>
              </w:rPr>
            </w:pPr>
            <w:r>
              <w:rPr>
                <w:rFonts w:hint="eastAsia" w:hAnsi="宋体"/>
                <w:bCs/>
                <w:color w:val="auto"/>
                <w:highlight w:val="none"/>
              </w:rPr>
              <w:t>本项目为专门面向中小企业采购的项目，不再执行价格评审优惠的扶持政策。所有竞标人的评标价=竞标报价。</w:t>
            </w:r>
          </w:p>
          <w:p w14:paraId="27D419A3">
            <w:pPr>
              <w:pStyle w:val="28"/>
              <w:pageBreakBefore w:val="0"/>
              <w:kinsoku/>
              <w:wordWrap w:val="0"/>
              <w:topLinePunct w:val="0"/>
              <w:spacing w:line="420" w:lineRule="exact"/>
              <w:ind w:firstLine="422" w:firstLineChars="200"/>
              <w:outlineLvl w:val="0"/>
              <w:rPr>
                <w:rFonts w:hAnsi="宋体"/>
                <w:b/>
                <w:color w:val="auto"/>
                <w:highlight w:val="none"/>
              </w:rPr>
            </w:pPr>
            <w:bookmarkStart w:id="54" w:name="_Toc21033"/>
            <w:bookmarkStart w:id="55" w:name="_Toc27446"/>
            <w:bookmarkStart w:id="56" w:name="_Toc4753"/>
            <w:r>
              <w:rPr>
                <w:rFonts w:hint="eastAsia" w:hAnsi="宋体"/>
                <w:b/>
                <w:color w:val="auto"/>
                <w:highlight w:val="none"/>
              </w:rPr>
              <w:t>二、报价分（满分30分）</w:t>
            </w:r>
            <w:bookmarkEnd w:id="54"/>
            <w:bookmarkEnd w:id="55"/>
            <w:bookmarkEnd w:id="56"/>
          </w:p>
          <w:p w14:paraId="7AF5DD44">
            <w:pPr>
              <w:pStyle w:val="28"/>
              <w:pageBreakBefore w:val="0"/>
              <w:kinsoku/>
              <w:wordWrap w:val="0"/>
              <w:topLinePunct w:val="0"/>
              <w:spacing w:line="420" w:lineRule="exact"/>
              <w:ind w:firstLine="420" w:firstLineChars="200"/>
              <w:rPr>
                <w:rFonts w:hAnsi="宋体"/>
                <w:bCs/>
                <w:color w:val="auto"/>
                <w:highlight w:val="none"/>
              </w:rPr>
            </w:pPr>
            <w:r>
              <w:rPr>
                <w:rFonts w:hint="eastAsia"/>
                <w:color w:val="auto"/>
                <w:highlight w:val="none"/>
              </w:rPr>
              <w:t>1、</w:t>
            </w:r>
            <w:r>
              <w:rPr>
                <w:rFonts w:hint="eastAsia" w:hAnsi="宋体"/>
                <w:bCs/>
                <w:color w:val="auto"/>
                <w:highlight w:val="none"/>
              </w:rPr>
              <w:t>报价</w:t>
            </w:r>
            <w:r>
              <w:rPr>
                <w:rFonts w:hAnsi="宋体"/>
                <w:bCs/>
                <w:color w:val="auto"/>
                <w:highlight w:val="none"/>
              </w:rPr>
              <w:t>分采用低价优先法计算，满足</w:t>
            </w:r>
            <w:r>
              <w:rPr>
                <w:rFonts w:hint="eastAsia" w:hAnsi="宋体"/>
                <w:bCs/>
                <w:color w:val="auto"/>
                <w:highlight w:val="none"/>
              </w:rPr>
              <w:t>磋商</w:t>
            </w:r>
            <w:r>
              <w:rPr>
                <w:rFonts w:hAnsi="宋体"/>
                <w:bCs/>
                <w:color w:val="auto"/>
                <w:highlight w:val="none"/>
              </w:rPr>
              <w:t>文件要求且</w:t>
            </w:r>
            <w:r>
              <w:rPr>
                <w:rFonts w:hint="eastAsia" w:hAnsi="宋体"/>
                <w:bCs/>
                <w:color w:val="auto"/>
                <w:highlight w:val="none"/>
              </w:rPr>
              <w:t>评标价</w:t>
            </w:r>
            <w:r>
              <w:rPr>
                <w:rFonts w:hAnsi="宋体"/>
                <w:bCs/>
                <w:color w:val="auto"/>
                <w:highlight w:val="none"/>
              </w:rPr>
              <w:t>最低的</w:t>
            </w:r>
            <w:r>
              <w:rPr>
                <w:rFonts w:hint="eastAsia" w:hAnsi="宋体"/>
                <w:bCs/>
                <w:color w:val="auto"/>
                <w:highlight w:val="none"/>
              </w:rPr>
              <w:t>有效供应商的评标价</w:t>
            </w:r>
            <w:r>
              <w:rPr>
                <w:rFonts w:hAnsi="宋体"/>
                <w:bCs/>
                <w:color w:val="auto"/>
                <w:highlight w:val="none"/>
              </w:rPr>
              <w:t>为评标基准价，其</w:t>
            </w:r>
            <w:r>
              <w:rPr>
                <w:rFonts w:hint="eastAsia" w:hAnsi="宋体"/>
                <w:bCs/>
                <w:color w:val="auto"/>
                <w:highlight w:val="none"/>
              </w:rPr>
              <w:t>报价</w:t>
            </w:r>
            <w:r>
              <w:rPr>
                <w:rFonts w:hAnsi="宋体"/>
                <w:bCs/>
                <w:color w:val="auto"/>
                <w:highlight w:val="none"/>
              </w:rPr>
              <w:t>分为满分。</w:t>
            </w:r>
          </w:p>
          <w:p w14:paraId="1C30E9FE">
            <w:pPr>
              <w:pStyle w:val="28"/>
              <w:pageBreakBefore w:val="0"/>
              <w:kinsoku/>
              <w:wordWrap w:val="0"/>
              <w:topLinePunct w:val="0"/>
              <w:spacing w:line="420" w:lineRule="exact"/>
              <w:ind w:firstLine="420" w:firstLineChars="200"/>
              <w:rPr>
                <w:rFonts w:hAnsi="宋体"/>
                <w:bCs/>
                <w:color w:val="auto"/>
                <w:highlight w:val="none"/>
              </w:rPr>
            </w:pPr>
            <w:r>
              <w:rPr>
                <w:rFonts w:hint="eastAsia" w:hAnsi="宋体"/>
                <w:bCs/>
                <w:color w:val="auto"/>
                <w:highlight w:val="none"/>
              </w:rPr>
              <w:t>2、</w:t>
            </w:r>
            <w:r>
              <w:rPr>
                <w:rFonts w:hAnsi="宋体"/>
                <w:bCs/>
                <w:color w:val="auto"/>
                <w:highlight w:val="none"/>
              </w:rPr>
              <w:t>其他供应商的价格分统一按照下列公式计算：</w:t>
            </w:r>
          </w:p>
          <w:p w14:paraId="029BB410">
            <w:pPr>
              <w:pStyle w:val="28"/>
              <w:pageBreakBefore w:val="0"/>
              <w:kinsoku/>
              <w:wordWrap w:val="0"/>
              <w:topLinePunct w:val="0"/>
              <w:spacing w:line="420" w:lineRule="exact"/>
              <w:rPr>
                <w:rFonts w:hAnsi="宋体" w:cs="Courier New"/>
                <w:bCs/>
                <w:color w:val="auto"/>
                <w:kern w:val="2"/>
                <w:highlight w:val="none"/>
              </w:rPr>
            </w:pPr>
            <w:r>
              <w:rPr>
                <w:rFonts w:hint="eastAsia" w:hAnsi="宋体"/>
                <w:bCs/>
                <w:color w:val="auto"/>
                <w:highlight w:val="none"/>
              </w:rPr>
              <w:t>某有效供应商的报价</w:t>
            </w:r>
            <w:r>
              <w:rPr>
                <w:rFonts w:hAnsi="宋体"/>
                <w:bCs/>
                <w:color w:val="auto"/>
                <w:highlight w:val="none"/>
              </w:rPr>
              <w:t>分=</w:t>
            </w:r>
            <w:r>
              <w:rPr>
                <w:rFonts w:hint="eastAsia" w:hAnsi="宋体"/>
                <w:bCs/>
                <w:color w:val="auto"/>
                <w:highlight w:val="none"/>
              </w:rPr>
              <w:t>（</w:t>
            </w:r>
            <w:r>
              <w:rPr>
                <w:rFonts w:hAnsi="宋体"/>
                <w:bCs/>
                <w:color w:val="auto"/>
                <w:highlight w:val="none"/>
              </w:rPr>
              <w:t>评标基准价／</w:t>
            </w:r>
            <w:r>
              <w:rPr>
                <w:rFonts w:hint="eastAsia" w:hAnsi="宋体"/>
                <w:bCs/>
                <w:color w:val="auto"/>
                <w:highlight w:val="none"/>
              </w:rPr>
              <w:t>某有效供应商评标价）</w:t>
            </w:r>
            <w:r>
              <w:rPr>
                <w:rFonts w:hAnsi="宋体"/>
                <w:bCs/>
                <w:color w:val="auto"/>
                <w:highlight w:val="none"/>
              </w:rPr>
              <w:t>×</w:t>
            </w:r>
            <w:r>
              <w:rPr>
                <w:rFonts w:hint="eastAsia" w:hAnsi="宋体"/>
                <w:bCs/>
                <w:color w:val="auto"/>
                <w:highlight w:val="none"/>
              </w:rPr>
              <w:t>30分</w:t>
            </w:r>
          </w:p>
        </w:tc>
      </w:tr>
      <w:tr w14:paraId="2E68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Align w:val="center"/>
          </w:tcPr>
          <w:p w14:paraId="40958845">
            <w:pPr>
              <w:pageBreakBefore w:val="0"/>
              <w:kinsoku/>
              <w:wordWrap w:val="0"/>
              <w:topLinePunct w:val="0"/>
              <w:adjustRightInd w:val="0"/>
              <w:spacing w:line="360" w:lineRule="auto"/>
              <w:jc w:val="center"/>
              <w:textAlignment w:val="baseline"/>
              <w:rPr>
                <w:rFonts w:ascii="宋体" w:hAnsi="宋体"/>
                <w:b/>
                <w:color w:val="auto"/>
                <w:highlight w:val="none"/>
              </w:rPr>
            </w:pPr>
            <w:r>
              <w:rPr>
                <w:rFonts w:hint="eastAsia" w:ascii="宋体" w:hAnsi="宋体"/>
                <w:b/>
                <w:color w:val="auto"/>
                <w:highlight w:val="none"/>
              </w:rPr>
              <w:t>2</w:t>
            </w:r>
          </w:p>
        </w:tc>
        <w:tc>
          <w:tcPr>
            <w:tcW w:w="1280" w:type="dxa"/>
            <w:vAlign w:val="center"/>
          </w:tcPr>
          <w:p w14:paraId="374AA4AE">
            <w:pPr>
              <w:pageBreakBefore w:val="0"/>
              <w:kinsoku/>
              <w:wordWrap w:val="0"/>
              <w:topLinePunct w:val="0"/>
              <w:spacing w:line="400" w:lineRule="exact"/>
              <w:jc w:val="left"/>
              <w:rPr>
                <w:rFonts w:ascii="宋体" w:hAnsi="宋体" w:cs="宋体"/>
                <w:b/>
                <w:color w:val="auto"/>
                <w:kern w:val="0"/>
                <w:highlight w:val="none"/>
              </w:rPr>
            </w:pPr>
            <w:r>
              <w:rPr>
                <w:rFonts w:hint="eastAsia" w:ascii="宋体" w:hAnsi="宋体" w:cs="宋体"/>
                <w:color w:val="auto"/>
                <w:highlight w:val="none"/>
              </w:rPr>
              <w:t>项目经理任职资格</w:t>
            </w:r>
          </w:p>
        </w:tc>
        <w:tc>
          <w:tcPr>
            <w:tcW w:w="709" w:type="dxa"/>
            <w:vAlign w:val="center"/>
          </w:tcPr>
          <w:p w14:paraId="13EB849C">
            <w:pPr>
              <w:pageBreakBefore w:val="0"/>
              <w:kinsoku/>
              <w:wordWrap w:val="0"/>
              <w:topLinePunct w:val="0"/>
              <w:adjustRightInd w:val="0"/>
              <w:spacing w:line="360" w:lineRule="auto"/>
              <w:jc w:val="center"/>
              <w:textAlignment w:val="baseline"/>
              <w:rPr>
                <w:rFonts w:ascii="宋体" w:hAnsi="宋体"/>
                <w:b/>
                <w:color w:val="auto"/>
                <w:highlight w:val="none"/>
              </w:rPr>
            </w:pPr>
            <w:r>
              <w:rPr>
                <w:rFonts w:hint="eastAsia" w:ascii="宋体" w:hAnsi="宋体" w:cs="宋体"/>
                <w:color w:val="auto"/>
                <w:highlight w:val="none"/>
                <w:lang w:val="en-US" w:eastAsia="zh-CN"/>
              </w:rPr>
              <w:t>7</w:t>
            </w:r>
            <w:r>
              <w:rPr>
                <w:rFonts w:ascii="宋体" w:hAnsi="宋体" w:cs="宋体"/>
                <w:color w:val="auto"/>
                <w:highlight w:val="none"/>
              </w:rPr>
              <w:t>.00</w:t>
            </w:r>
            <w:r>
              <w:rPr>
                <w:rFonts w:hint="eastAsia" w:ascii="宋体" w:hAnsi="宋体" w:cs="宋体"/>
                <w:color w:val="auto"/>
                <w:highlight w:val="none"/>
              </w:rPr>
              <w:t>分</w:t>
            </w:r>
          </w:p>
        </w:tc>
        <w:tc>
          <w:tcPr>
            <w:tcW w:w="6909" w:type="dxa"/>
            <w:gridSpan w:val="2"/>
            <w:vAlign w:val="center"/>
          </w:tcPr>
          <w:p w14:paraId="0FFD00E1">
            <w:pPr>
              <w:pageBreakBefore w:val="0"/>
              <w:kinsoku/>
              <w:wordWrap w:val="0"/>
              <w:topLinePunct w:val="0"/>
              <w:spacing w:line="400" w:lineRule="exact"/>
              <w:jc w:val="left"/>
              <w:rPr>
                <w:color w:val="auto"/>
                <w:highlight w:val="none"/>
              </w:rPr>
            </w:pPr>
            <w:r>
              <w:rPr>
                <w:rFonts w:hint="eastAsia" w:ascii="宋体" w:hAnsi="宋体" w:cs="宋体"/>
                <w:color w:val="auto"/>
                <w:highlight w:val="none"/>
              </w:rPr>
              <w:t>项目经理资质：拟派项目经理须具备建筑工程二级以上（含本级）专业注册建造师执业资格的得7分，此项满分7分。</w:t>
            </w:r>
          </w:p>
        </w:tc>
      </w:tr>
      <w:tr w14:paraId="3427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Align w:val="center"/>
          </w:tcPr>
          <w:p w14:paraId="63F7F394">
            <w:pPr>
              <w:pageBreakBefore w:val="0"/>
              <w:kinsoku/>
              <w:wordWrap w:val="0"/>
              <w:topLinePunct w:val="0"/>
              <w:adjustRightInd w:val="0"/>
              <w:spacing w:line="360" w:lineRule="auto"/>
              <w:jc w:val="center"/>
              <w:textAlignment w:val="baseline"/>
              <w:rPr>
                <w:rFonts w:ascii="宋体" w:hAnsi="宋体"/>
                <w:b/>
                <w:color w:val="auto"/>
                <w:highlight w:val="none"/>
              </w:rPr>
            </w:pPr>
            <w:r>
              <w:rPr>
                <w:rFonts w:hint="eastAsia" w:ascii="宋体" w:hAnsi="宋体"/>
                <w:b/>
                <w:color w:val="auto"/>
                <w:highlight w:val="none"/>
              </w:rPr>
              <w:t>3</w:t>
            </w:r>
          </w:p>
        </w:tc>
        <w:tc>
          <w:tcPr>
            <w:tcW w:w="1280" w:type="dxa"/>
            <w:vAlign w:val="center"/>
          </w:tcPr>
          <w:p w14:paraId="6A097D81">
            <w:pPr>
              <w:pageBreakBefore w:val="0"/>
              <w:kinsoku/>
              <w:wordWrap w:val="0"/>
              <w:topLinePunct w:val="0"/>
              <w:spacing w:line="400" w:lineRule="exact"/>
              <w:jc w:val="left"/>
              <w:rPr>
                <w:rFonts w:ascii="宋体" w:hAnsi="宋体" w:cs="宋体"/>
                <w:b/>
                <w:color w:val="auto"/>
                <w:kern w:val="0"/>
                <w:highlight w:val="none"/>
              </w:rPr>
            </w:pPr>
            <w:r>
              <w:rPr>
                <w:rFonts w:hint="eastAsia" w:ascii="宋体" w:hAnsi="宋体" w:cs="宋体"/>
                <w:color w:val="auto"/>
                <w:highlight w:val="none"/>
              </w:rPr>
              <w:t>其他主要人员</w:t>
            </w:r>
          </w:p>
        </w:tc>
        <w:tc>
          <w:tcPr>
            <w:tcW w:w="709" w:type="dxa"/>
            <w:vAlign w:val="center"/>
          </w:tcPr>
          <w:p w14:paraId="392FCB53">
            <w:pPr>
              <w:pageBreakBefore w:val="0"/>
              <w:kinsoku/>
              <w:wordWrap w:val="0"/>
              <w:topLinePunct w:val="0"/>
              <w:adjustRightInd w:val="0"/>
              <w:spacing w:line="360" w:lineRule="auto"/>
              <w:jc w:val="center"/>
              <w:textAlignment w:val="baseline"/>
              <w:rPr>
                <w:rFonts w:ascii="宋体" w:hAnsi="宋体"/>
                <w:b/>
                <w:color w:val="auto"/>
                <w:highlight w:val="none"/>
              </w:rPr>
            </w:pPr>
            <w:r>
              <w:rPr>
                <w:rFonts w:hint="eastAsia" w:ascii="宋体" w:hAnsi="宋体" w:cs="宋体"/>
                <w:color w:val="auto"/>
                <w:highlight w:val="none"/>
                <w:lang w:val="en-US" w:eastAsia="zh-CN"/>
              </w:rPr>
              <w:t>7</w:t>
            </w:r>
            <w:r>
              <w:rPr>
                <w:rFonts w:ascii="宋体" w:hAnsi="宋体" w:cs="宋体"/>
                <w:color w:val="auto"/>
                <w:highlight w:val="none"/>
              </w:rPr>
              <w:t>.00</w:t>
            </w:r>
            <w:r>
              <w:rPr>
                <w:rFonts w:hint="eastAsia" w:ascii="宋体" w:hAnsi="宋体" w:cs="宋体"/>
                <w:color w:val="auto"/>
                <w:highlight w:val="none"/>
              </w:rPr>
              <w:t>分</w:t>
            </w:r>
          </w:p>
        </w:tc>
        <w:tc>
          <w:tcPr>
            <w:tcW w:w="6909" w:type="dxa"/>
            <w:gridSpan w:val="2"/>
            <w:vAlign w:val="center"/>
          </w:tcPr>
          <w:p w14:paraId="10B06446">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基本要求：人员齐备、专业配套且具备相关岗位证书（拟派驻本项目的技术负责人应具有中级及以上职称证件，安全员、施工员、质检员、材料员应具有相应岗位资格证书，且拟投入的项目管理人员符合国家及广西壮族自治区的规定）</w:t>
            </w:r>
            <w:r>
              <w:rPr>
                <w:rFonts w:ascii="宋体" w:hAnsi="宋体" w:cs="宋体"/>
                <w:color w:val="auto"/>
                <w:highlight w:val="none"/>
              </w:rPr>
              <w:t xml:space="preserve"> </w:t>
            </w:r>
          </w:p>
          <w:p w14:paraId="50ECFE9B">
            <w:pPr>
              <w:pageBreakBefore w:val="0"/>
              <w:kinsoku/>
              <w:wordWrap w:val="0"/>
              <w:topLinePunct w:val="0"/>
              <w:spacing w:line="360" w:lineRule="auto"/>
              <w:jc w:val="left"/>
              <w:rPr>
                <w:rFonts w:asciiTheme="minorEastAsia" w:hAnsiTheme="minorEastAsia" w:eastAsiaTheme="minorEastAsia" w:cstheme="minorEastAsia"/>
                <w:bCs/>
                <w:color w:val="auto"/>
                <w:kern w:val="0"/>
                <w:highlight w:val="none"/>
              </w:rPr>
            </w:pPr>
            <w:r>
              <w:rPr>
                <w:rFonts w:hint="eastAsia" w:ascii="宋体" w:hAnsi="宋体" w:cs="宋体"/>
                <w:color w:val="auto"/>
                <w:highlight w:val="none"/>
              </w:rPr>
              <w:t>（1）</w:t>
            </w:r>
            <w:r>
              <w:rPr>
                <w:rFonts w:hint="eastAsia" w:asciiTheme="minorEastAsia" w:hAnsiTheme="minorEastAsia" w:eastAsiaTheme="minorEastAsia" w:cstheme="minorEastAsia"/>
                <w:bCs/>
                <w:color w:val="auto"/>
                <w:kern w:val="0"/>
                <w:highlight w:val="none"/>
              </w:rPr>
              <w:t>拟投入本工程的技术负责人有中级工程师以上（含中级工程师）职称的得2分。</w:t>
            </w:r>
          </w:p>
          <w:p w14:paraId="295E903A">
            <w:pPr>
              <w:pageBreakBefore w:val="0"/>
              <w:kinsoku/>
              <w:wordWrap w:val="0"/>
              <w:topLinePunct w:val="0"/>
              <w:spacing w:line="400" w:lineRule="exact"/>
              <w:jc w:val="left"/>
              <w:rPr>
                <w:color w:val="auto"/>
                <w:highlight w:val="none"/>
              </w:rPr>
            </w:pPr>
            <w:r>
              <w:rPr>
                <w:rFonts w:hint="eastAsia" w:ascii="宋体" w:hAnsi="宋体" w:cs="宋体"/>
                <w:color w:val="auto"/>
                <w:highlight w:val="none"/>
              </w:rPr>
              <w:t>（2）</w:t>
            </w:r>
            <w:r>
              <w:rPr>
                <w:rFonts w:hint="eastAsia" w:asciiTheme="minorEastAsia" w:hAnsiTheme="minorEastAsia" w:eastAsiaTheme="minorEastAsia" w:cstheme="minorEastAsia"/>
                <w:bCs/>
                <w:color w:val="auto"/>
                <w:highlight w:val="none"/>
              </w:rPr>
              <w:t>拟投入本工程的施工员、质量员、安全员、材料员</w:t>
            </w:r>
            <w:r>
              <w:rPr>
                <w:rFonts w:hint="eastAsia" w:asciiTheme="minorEastAsia" w:hAnsiTheme="minorEastAsia" w:eastAsiaTheme="minorEastAsia" w:cstheme="minorEastAsia"/>
                <w:color w:val="auto"/>
                <w:highlight w:val="none"/>
              </w:rPr>
              <w:t>配备齐全合理且全部持证上岗经年检合格的得5分，每缺1员扣2分（无证或无效证件的算缺员），扣完为止</w:t>
            </w:r>
            <w:r>
              <w:rPr>
                <w:rFonts w:hint="eastAsia" w:asciiTheme="minorEastAsia" w:hAnsiTheme="minorEastAsia" w:eastAsiaTheme="minorEastAsia" w:cstheme="minorEastAsia"/>
                <w:bCs/>
                <w:color w:val="auto"/>
                <w:highlight w:val="none"/>
              </w:rPr>
              <w:t>。</w:t>
            </w:r>
          </w:p>
        </w:tc>
      </w:tr>
      <w:tr w14:paraId="4C0D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restart"/>
            <w:vAlign w:val="center"/>
          </w:tcPr>
          <w:p w14:paraId="1531832A">
            <w:pPr>
              <w:pageBreakBefore w:val="0"/>
              <w:kinsoku/>
              <w:wordWrap w:val="0"/>
              <w:topLinePunct w:val="0"/>
              <w:adjustRightInd w:val="0"/>
              <w:spacing w:line="360" w:lineRule="auto"/>
              <w:jc w:val="center"/>
              <w:textAlignment w:val="baseline"/>
              <w:rPr>
                <w:rFonts w:hint="eastAsia" w:ascii="宋体" w:hAnsi="宋体" w:eastAsia="宋体"/>
                <w:b/>
                <w:color w:val="auto"/>
                <w:highlight w:val="none"/>
                <w:lang w:eastAsia="zh-CN"/>
              </w:rPr>
            </w:pPr>
            <w:r>
              <w:rPr>
                <w:rFonts w:hint="eastAsia" w:ascii="宋体" w:hAnsi="宋体"/>
                <w:b/>
                <w:color w:val="auto"/>
                <w:highlight w:val="none"/>
                <w:lang w:val="en-US" w:eastAsia="zh-CN"/>
              </w:rPr>
              <w:t>4</w:t>
            </w:r>
          </w:p>
        </w:tc>
        <w:tc>
          <w:tcPr>
            <w:tcW w:w="1280" w:type="dxa"/>
            <w:vMerge w:val="restart"/>
            <w:vAlign w:val="center"/>
          </w:tcPr>
          <w:p w14:paraId="0E52C2C7">
            <w:pPr>
              <w:pageBreakBefore w:val="0"/>
              <w:kinsoku/>
              <w:wordWrap w:val="0"/>
              <w:topLinePunct w:val="0"/>
              <w:spacing w:line="400" w:lineRule="exact"/>
              <w:jc w:val="left"/>
              <w:rPr>
                <w:rFonts w:ascii="宋体" w:hAnsi="宋体" w:cs="宋体"/>
                <w:bCs/>
                <w:color w:val="auto"/>
                <w:highlight w:val="none"/>
              </w:rPr>
            </w:pPr>
            <w:r>
              <w:rPr>
                <w:rFonts w:hint="eastAsia" w:ascii="宋体" w:hAnsi="宋体" w:cs="宋体"/>
                <w:bCs/>
                <w:color w:val="auto"/>
                <w:kern w:val="0"/>
                <w:highlight w:val="none"/>
              </w:rPr>
              <w:t>施工组织设计</w:t>
            </w:r>
          </w:p>
        </w:tc>
        <w:tc>
          <w:tcPr>
            <w:tcW w:w="709" w:type="dxa"/>
            <w:vMerge w:val="restart"/>
            <w:vAlign w:val="center"/>
          </w:tcPr>
          <w:p w14:paraId="0F7A686F">
            <w:pPr>
              <w:pageBreakBefore w:val="0"/>
              <w:kinsoku/>
              <w:wordWrap w:val="0"/>
              <w:topLinePunct w:val="0"/>
              <w:adjustRightInd w:val="0"/>
              <w:spacing w:line="360" w:lineRule="auto"/>
              <w:jc w:val="center"/>
              <w:textAlignment w:val="baseline"/>
              <w:rPr>
                <w:rFonts w:ascii="宋体" w:hAnsi="宋体"/>
                <w:bCs/>
                <w:color w:val="auto"/>
                <w:highlight w:val="none"/>
              </w:rPr>
            </w:pPr>
            <w:r>
              <w:rPr>
                <w:rFonts w:hint="eastAsia" w:ascii="宋体" w:hAnsi="宋体"/>
                <w:bCs/>
                <w:color w:val="auto"/>
                <w:highlight w:val="none"/>
                <w:lang w:val="en-US" w:eastAsia="zh-CN"/>
              </w:rPr>
              <w:t>51.00</w:t>
            </w:r>
            <w:r>
              <w:rPr>
                <w:rFonts w:hint="eastAsia" w:ascii="宋体" w:hAnsi="宋体"/>
                <w:bCs/>
                <w:color w:val="auto"/>
                <w:highlight w:val="none"/>
              </w:rPr>
              <w:t>分</w:t>
            </w:r>
          </w:p>
        </w:tc>
        <w:tc>
          <w:tcPr>
            <w:tcW w:w="1529" w:type="dxa"/>
            <w:vAlign w:val="center"/>
          </w:tcPr>
          <w:p w14:paraId="0991C98F">
            <w:pPr>
              <w:pageBreakBefore w:val="0"/>
              <w:kinsoku/>
              <w:wordWrap w:val="0"/>
              <w:topLinePunct w:val="0"/>
              <w:spacing w:line="400" w:lineRule="exact"/>
              <w:jc w:val="left"/>
              <w:rPr>
                <w:rFonts w:ascii="宋体" w:hAnsi="宋体"/>
                <w:bCs/>
                <w:color w:val="auto"/>
                <w:highlight w:val="none"/>
              </w:rPr>
            </w:pPr>
            <w:r>
              <w:rPr>
                <w:rFonts w:hint="eastAsia" w:ascii="宋体" w:hAnsi="宋体" w:cs="宋体"/>
                <w:color w:val="auto"/>
                <w:highlight w:val="none"/>
              </w:rPr>
              <w:t>主要施工方法（</w:t>
            </w:r>
            <w:r>
              <w:rPr>
                <w:rFonts w:hint="eastAsia" w:ascii="宋体" w:hAnsi="宋体" w:cs="宋体"/>
                <w:color w:val="auto"/>
                <w:highlight w:val="none"/>
                <w:lang w:val="en-US" w:eastAsia="zh-CN"/>
              </w:rPr>
              <w:t>4</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1E0D05FB">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w:t>
            </w:r>
            <w:r>
              <w:rPr>
                <w:rFonts w:hint="eastAsia" w:ascii="宋体" w:hAnsi="宋体" w:cs="宋体"/>
                <w:color w:val="auto"/>
                <w:highlight w:val="none"/>
                <w:lang w:val="en-US" w:eastAsia="zh-CN"/>
              </w:rPr>
              <w:t>4</w:t>
            </w:r>
            <w:r>
              <w:rPr>
                <w:rFonts w:hint="eastAsia" w:ascii="宋体" w:hAnsi="宋体" w:cs="宋体"/>
                <w:color w:val="auto"/>
                <w:highlight w:val="none"/>
              </w:rPr>
              <w:t>分）：各主要分部施工方法针对性强，施工技术方案详尽周密，工艺先进、方法科学、可行，能很好的指导具体施工并确保安全。</w:t>
            </w:r>
          </w:p>
          <w:p w14:paraId="6A4556D6">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w:t>
            </w:r>
            <w:r>
              <w:rPr>
                <w:rFonts w:hint="eastAsia" w:ascii="宋体" w:hAnsi="宋体" w:cs="宋体"/>
                <w:color w:val="auto"/>
                <w:highlight w:val="none"/>
                <w:lang w:val="en-US" w:eastAsia="zh-CN"/>
              </w:rPr>
              <w:t>3</w:t>
            </w:r>
            <w:r>
              <w:rPr>
                <w:rFonts w:hint="eastAsia" w:ascii="宋体" w:hAnsi="宋体" w:cs="宋体"/>
                <w:color w:val="auto"/>
                <w:highlight w:val="none"/>
              </w:rPr>
              <w:t>分）：各主要分部施工方法符合项目实际，施工技术方案齐全，工艺成熟、方法合理、可行，能指导具体施工并确保安全。</w:t>
            </w:r>
          </w:p>
          <w:p w14:paraId="3B50E7C9">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w:t>
            </w:r>
            <w:r>
              <w:rPr>
                <w:rFonts w:hint="eastAsia" w:ascii="宋体" w:hAnsi="宋体" w:cs="宋体"/>
                <w:color w:val="auto"/>
                <w:highlight w:val="none"/>
                <w:lang w:val="en-US" w:eastAsia="zh-CN"/>
              </w:rPr>
              <w:t>2</w:t>
            </w:r>
            <w:r>
              <w:rPr>
                <w:rFonts w:hint="eastAsia" w:ascii="宋体" w:hAnsi="宋体" w:cs="宋体"/>
                <w:color w:val="auto"/>
                <w:highlight w:val="none"/>
              </w:rPr>
              <w:t>分）：各主要分部施工方法基本符合项目实际，施工技术方案基本齐全，方法基本合理、基本可行，基本能指导具体施工并确保安全。</w:t>
            </w:r>
          </w:p>
          <w:p w14:paraId="3FCDF6C7">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差（</w:t>
            </w:r>
            <w:r>
              <w:rPr>
                <w:rFonts w:hint="eastAsia" w:ascii="宋体" w:hAnsi="宋体" w:cs="宋体"/>
                <w:color w:val="auto"/>
                <w:highlight w:val="none"/>
                <w:lang w:val="en-US" w:eastAsia="zh-CN"/>
              </w:rPr>
              <w:t>1</w:t>
            </w:r>
            <w:r>
              <w:rPr>
                <w:rFonts w:hint="eastAsia" w:ascii="宋体" w:hAnsi="宋体" w:cs="宋体"/>
                <w:color w:val="auto"/>
                <w:highlight w:val="none"/>
              </w:rPr>
              <w:t>分）：各主要分部施工方法针对性差，施工技术方案差，工艺落后、方法不合理，不能指导具体施工和确保安全。</w:t>
            </w:r>
          </w:p>
        </w:tc>
      </w:tr>
      <w:tr w14:paraId="1F76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32EFF7AF">
            <w:pPr>
              <w:pageBreakBefore w:val="0"/>
              <w:kinsoku/>
              <w:wordWrap w:val="0"/>
              <w:topLinePunct w:val="0"/>
              <w:spacing w:line="360" w:lineRule="auto"/>
              <w:jc w:val="left"/>
              <w:rPr>
                <w:color w:val="auto"/>
                <w:highlight w:val="none"/>
              </w:rPr>
            </w:pPr>
          </w:p>
        </w:tc>
        <w:tc>
          <w:tcPr>
            <w:tcW w:w="1280" w:type="dxa"/>
            <w:vMerge w:val="continue"/>
            <w:vAlign w:val="center"/>
          </w:tcPr>
          <w:p w14:paraId="1BA6300D">
            <w:pPr>
              <w:pageBreakBefore w:val="0"/>
              <w:kinsoku/>
              <w:wordWrap w:val="0"/>
              <w:topLinePunct w:val="0"/>
              <w:spacing w:line="360" w:lineRule="auto"/>
              <w:jc w:val="left"/>
              <w:rPr>
                <w:color w:val="auto"/>
                <w:highlight w:val="none"/>
              </w:rPr>
            </w:pPr>
          </w:p>
        </w:tc>
        <w:tc>
          <w:tcPr>
            <w:tcW w:w="709" w:type="dxa"/>
            <w:vMerge w:val="continue"/>
            <w:vAlign w:val="center"/>
          </w:tcPr>
          <w:p w14:paraId="4114F0F3">
            <w:pPr>
              <w:pageBreakBefore w:val="0"/>
              <w:kinsoku/>
              <w:wordWrap w:val="0"/>
              <w:topLinePunct w:val="0"/>
              <w:spacing w:line="360" w:lineRule="auto"/>
              <w:jc w:val="left"/>
              <w:rPr>
                <w:color w:val="auto"/>
                <w:highlight w:val="none"/>
              </w:rPr>
            </w:pPr>
          </w:p>
        </w:tc>
        <w:tc>
          <w:tcPr>
            <w:tcW w:w="1529" w:type="dxa"/>
            <w:vAlign w:val="center"/>
          </w:tcPr>
          <w:p w14:paraId="5DA754EC">
            <w:pPr>
              <w:pageBreakBefore w:val="0"/>
              <w:kinsoku/>
              <w:wordWrap w:val="0"/>
              <w:topLinePunct w:val="0"/>
              <w:spacing w:line="400" w:lineRule="exact"/>
              <w:jc w:val="left"/>
              <w:rPr>
                <w:rFonts w:ascii="宋体" w:hAnsi="宋体"/>
                <w:bCs/>
                <w:color w:val="auto"/>
                <w:highlight w:val="none"/>
              </w:rPr>
            </w:pPr>
            <w:r>
              <w:rPr>
                <w:rFonts w:hint="eastAsia" w:ascii="宋体" w:hAnsi="宋体" w:cs="宋体"/>
                <w:color w:val="auto"/>
                <w:highlight w:val="none"/>
              </w:rPr>
              <w:t>拟投入的主要物资计划（</w:t>
            </w:r>
            <w:r>
              <w:rPr>
                <w:rFonts w:hint="eastAsia" w:ascii="宋体" w:hAnsi="宋体" w:cs="宋体"/>
                <w:color w:val="auto"/>
                <w:highlight w:val="none"/>
                <w:lang w:val="en-US" w:eastAsia="zh-CN"/>
              </w:rPr>
              <w:t>4</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50A2B0DE">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w:t>
            </w:r>
            <w:r>
              <w:rPr>
                <w:rFonts w:hint="eastAsia" w:ascii="宋体" w:hAnsi="宋体" w:cs="宋体"/>
                <w:color w:val="auto"/>
                <w:highlight w:val="none"/>
                <w:lang w:val="en-US" w:eastAsia="zh-CN"/>
              </w:rPr>
              <w:t>4</w:t>
            </w:r>
            <w:r>
              <w:rPr>
                <w:rFonts w:hint="eastAsia" w:ascii="宋体" w:hAnsi="宋体" w:cs="宋体"/>
                <w:color w:val="auto"/>
                <w:highlight w:val="none"/>
              </w:rPr>
              <w:t>分）：投入的施工材料有详细的组织计划且计划周密，投入计划与进度计划呼应，较好满足施工需要，调配投入计划合理、准确。</w:t>
            </w:r>
          </w:p>
          <w:p w14:paraId="7BCC026C">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w:t>
            </w:r>
            <w:r>
              <w:rPr>
                <w:rFonts w:hint="eastAsia" w:ascii="宋体" w:hAnsi="宋体" w:cs="宋体"/>
                <w:color w:val="auto"/>
                <w:highlight w:val="none"/>
                <w:lang w:val="en-US" w:eastAsia="zh-CN"/>
              </w:rPr>
              <w:t>3</w:t>
            </w:r>
            <w:r>
              <w:rPr>
                <w:rFonts w:hint="eastAsia" w:ascii="宋体" w:hAnsi="宋体" w:cs="宋体"/>
                <w:color w:val="auto"/>
                <w:highlight w:val="none"/>
              </w:rPr>
              <w:t>分）：投入的施工材料有详细的组织计划，投入计划与进度计划呼应，基本满足施工需要，调配投入计划基本合理、准确。</w:t>
            </w:r>
          </w:p>
          <w:p w14:paraId="64E7C315">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w:t>
            </w:r>
            <w:r>
              <w:rPr>
                <w:rFonts w:hint="eastAsia" w:ascii="宋体" w:hAnsi="宋体" w:cs="宋体"/>
                <w:color w:val="auto"/>
                <w:highlight w:val="none"/>
                <w:lang w:val="en-US" w:eastAsia="zh-CN"/>
              </w:rPr>
              <w:t>2</w:t>
            </w:r>
            <w:r>
              <w:rPr>
                <w:rFonts w:hint="eastAsia" w:ascii="宋体" w:hAnsi="宋体" w:cs="宋体"/>
                <w:color w:val="auto"/>
                <w:highlight w:val="none"/>
              </w:rPr>
              <w:t>分）：投入的施工材料有详细的组织计划，投入计划与进度计划呼应，基本满足施工需要，调配投入计划基本合理。</w:t>
            </w:r>
          </w:p>
          <w:p w14:paraId="118C9645">
            <w:pPr>
              <w:pageBreakBefore w:val="0"/>
              <w:kinsoku/>
              <w:wordWrap w:val="0"/>
              <w:topLinePunct w:val="0"/>
              <w:spacing w:line="400" w:lineRule="exact"/>
              <w:jc w:val="left"/>
              <w:rPr>
                <w:color w:val="auto"/>
                <w:highlight w:val="none"/>
              </w:rPr>
            </w:pPr>
            <w:r>
              <w:rPr>
                <w:rFonts w:hint="eastAsia" w:ascii="宋体" w:hAnsi="宋体" w:cs="宋体"/>
                <w:color w:val="auto"/>
                <w:highlight w:val="none"/>
              </w:rPr>
              <w:t>差（</w:t>
            </w:r>
            <w:r>
              <w:rPr>
                <w:rFonts w:ascii="宋体" w:hAnsi="宋体" w:cs="宋体"/>
                <w:color w:val="auto"/>
                <w:highlight w:val="none"/>
              </w:rPr>
              <w:t>1</w:t>
            </w:r>
            <w:r>
              <w:rPr>
                <w:rFonts w:hint="eastAsia" w:ascii="宋体" w:hAnsi="宋体" w:cs="宋体"/>
                <w:color w:val="auto"/>
                <w:highlight w:val="none"/>
              </w:rPr>
              <w:t>分）：投入的施工材料的组织计划差，投入计划与进度计划不呼应，不能满足施工需要。</w:t>
            </w:r>
          </w:p>
        </w:tc>
      </w:tr>
      <w:tr w14:paraId="1343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3B79C8A5">
            <w:pPr>
              <w:pageBreakBefore w:val="0"/>
              <w:kinsoku/>
              <w:wordWrap w:val="0"/>
              <w:topLinePunct w:val="0"/>
              <w:spacing w:line="360" w:lineRule="auto"/>
              <w:jc w:val="left"/>
              <w:rPr>
                <w:color w:val="auto"/>
                <w:highlight w:val="none"/>
              </w:rPr>
            </w:pPr>
          </w:p>
        </w:tc>
        <w:tc>
          <w:tcPr>
            <w:tcW w:w="1280" w:type="dxa"/>
            <w:vMerge w:val="continue"/>
            <w:vAlign w:val="center"/>
          </w:tcPr>
          <w:p w14:paraId="4E726EB7">
            <w:pPr>
              <w:pageBreakBefore w:val="0"/>
              <w:kinsoku/>
              <w:wordWrap w:val="0"/>
              <w:topLinePunct w:val="0"/>
              <w:spacing w:line="360" w:lineRule="auto"/>
              <w:jc w:val="left"/>
              <w:rPr>
                <w:color w:val="auto"/>
                <w:highlight w:val="none"/>
              </w:rPr>
            </w:pPr>
          </w:p>
        </w:tc>
        <w:tc>
          <w:tcPr>
            <w:tcW w:w="709" w:type="dxa"/>
            <w:vMerge w:val="continue"/>
            <w:vAlign w:val="center"/>
          </w:tcPr>
          <w:p w14:paraId="5E9BA80E">
            <w:pPr>
              <w:pageBreakBefore w:val="0"/>
              <w:kinsoku/>
              <w:wordWrap w:val="0"/>
              <w:topLinePunct w:val="0"/>
              <w:spacing w:line="360" w:lineRule="auto"/>
              <w:jc w:val="left"/>
              <w:rPr>
                <w:color w:val="auto"/>
                <w:highlight w:val="none"/>
              </w:rPr>
            </w:pPr>
          </w:p>
        </w:tc>
        <w:tc>
          <w:tcPr>
            <w:tcW w:w="1529" w:type="dxa"/>
            <w:vAlign w:val="center"/>
          </w:tcPr>
          <w:p w14:paraId="4E56D4C2">
            <w:pPr>
              <w:pageBreakBefore w:val="0"/>
              <w:kinsoku/>
              <w:wordWrap w:val="0"/>
              <w:topLinePunct w:val="0"/>
              <w:spacing w:line="400" w:lineRule="exact"/>
              <w:jc w:val="left"/>
              <w:rPr>
                <w:rFonts w:ascii="宋体" w:hAnsi="宋体"/>
                <w:bCs/>
                <w:color w:val="auto"/>
                <w:highlight w:val="none"/>
              </w:rPr>
            </w:pPr>
            <w:r>
              <w:rPr>
                <w:rFonts w:hint="eastAsia" w:ascii="宋体" w:hAnsi="宋体" w:cs="宋体"/>
                <w:color w:val="auto"/>
                <w:highlight w:val="none"/>
              </w:rPr>
              <w:t>拟投入的主要施工机械、设备计划（</w:t>
            </w:r>
            <w:r>
              <w:rPr>
                <w:rFonts w:hint="eastAsia" w:ascii="宋体" w:hAnsi="宋体" w:cs="宋体"/>
                <w:color w:val="auto"/>
                <w:highlight w:val="none"/>
                <w:lang w:val="en-US" w:eastAsia="zh-CN"/>
              </w:rPr>
              <w:t>4</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375F755F">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w:t>
            </w:r>
            <w:r>
              <w:rPr>
                <w:rFonts w:hint="eastAsia" w:ascii="宋体" w:hAnsi="宋体" w:cs="宋体"/>
                <w:color w:val="auto"/>
                <w:highlight w:val="none"/>
                <w:lang w:val="en-US" w:eastAsia="zh-CN"/>
              </w:rPr>
              <w:t>4</w:t>
            </w:r>
            <w:r>
              <w:rPr>
                <w:rFonts w:hint="eastAsia" w:ascii="宋体" w:hAnsi="宋体" w:cs="宋体"/>
                <w:color w:val="auto"/>
                <w:highlight w:val="none"/>
              </w:rPr>
              <w:t>分）：投入的施工机械、设备、机具有详细的组织计划且计划周密，设备数量、选型配置、进场时间安排合理，满足施工需要。</w:t>
            </w:r>
          </w:p>
          <w:p w14:paraId="6DBFE13C">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w:t>
            </w:r>
            <w:r>
              <w:rPr>
                <w:rFonts w:hint="eastAsia" w:ascii="宋体" w:hAnsi="宋体" w:cs="宋体"/>
                <w:color w:val="auto"/>
                <w:highlight w:val="none"/>
                <w:lang w:val="en-US" w:eastAsia="zh-CN"/>
              </w:rPr>
              <w:t>3</w:t>
            </w:r>
            <w:r>
              <w:rPr>
                <w:rFonts w:hint="eastAsia" w:ascii="宋体" w:hAnsi="宋体" w:cs="宋体"/>
                <w:color w:val="auto"/>
                <w:highlight w:val="none"/>
              </w:rPr>
              <w:t>分）：投入的施工机械、设备、机具有详细的组织计划，设备数量、选型配置、进场投入计划与进度计划呼应，满足施工需要。</w:t>
            </w:r>
          </w:p>
          <w:p w14:paraId="0D4DF37C">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w:t>
            </w:r>
            <w:r>
              <w:rPr>
                <w:rFonts w:hint="eastAsia" w:ascii="宋体" w:hAnsi="宋体" w:cs="宋体"/>
                <w:color w:val="auto"/>
                <w:highlight w:val="none"/>
                <w:lang w:val="en-US" w:eastAsia="zh-CN"/>
              </w:rPr>
              <w:t>2</w:t>
            </w:r>
            <w:r>
              <w:rPr>
                <w:rFonts w:hint="eastAsia" w:ascii="宋体" w:hAnsi="宋体" w:cs="宋体"/>
                <w:color w:val="auto"/>
                <w:highlight w:val="none"/>
              </w:rPr>
              <w:t>分）：投入的施工机械、设备、机具有组织计划，设备数量、选型配置、进场投入计划与进度计划呼应，基本满足施工需要。</w:t>
            </w:r>
          </w:p>
          <w:p w14:paraId="29657EF8">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差（</w:t>
            </w:r>
            <w:r>
              <w:rPr>
                <w:rFonts w:hint="eastAsia" w:ascii="宋体" w:hAnsi="宋体" w:cs="宋体"/>
                <w:color w:val="auto"/>
                <w:highlight w:val="none"/>
                <w:lang w:val="en-US" w:eastAsia="zh-CN"/>
              </w:rPr>
              <w:t>1</w:t>
            </w:r>
            <w:r>
              <w:rPr>
                <w:rFonts w:hint="eastAsia" w:ascii="宋体" w:hAnsi="宋体" w:cs="宋体"/>
                <w:color w:val="auto"/>
                <w:highlight w:val="none"/>
              </w:rPr>
              <w:t>分）：投入的施工机械、设备、机具组织计划差，投入计划与进度计划不呼应，不能满足施工需要。</w:t>
            </w:r>
          </w:p>
        </w:tc>
      </w:tr>
      <w:tr w14:paraId="1EDE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vAlign w:val="center"/>
          </w:tcPr>
          <w:p w14:paraId="35DAFB80">
            <w:pPr>
              <w:pageBreakBefore w:val="0"/>
              <w:kinsoku/>
              <w:wordWrap w:val="0"/>
              <w:topLinePunct w:val="0"/>
              <w:spacing w:line="360" w:lineRule="auto"/>
              <w:jc w:val="left"/>
              <w:rPr>
                <w:color w:val="auto"/>
                <w:highlight w:val="none"/>
              </w:rPr>
            </w:pPr>
          </w:p>
        </w:tc>
        <w:tc>
          <w:tcPr>
            <w:tcW w:w="1280" w:type="dxa"/>
            <w:vMerge w:val="continue"/>
            <w:vAlign w:val="center"/>
          </w:tcPr>
          <w:p w14:paraId="2AE6D4D3">
            <w:pPr>
              <w:pageBreakBefore w:val="0"/>
              <w:kinsoku/>
              <w:wordWrap w:val="0"/>
              <w:topLinePunct w:val="0"/>
              <w:spacing w:line="360" w:lineRule="auto"/>
              <w:jc w:val="left"/>
              <w:rPr>
                <w:color w:val="auto"/>
                <w:highlight w:val="none"/>
              </w:rPr>
            </w:pPr>
          </w:p>
        </w:tc>
        <w:tc>
          <w:tcPr>
            <w:tcW w:w="709" w:type="dxa"/>
            <w:vMerge w:val="continue"/>
            <w:vAlign w:val="center"/>
          </w:tcPr>
          <w:p w14:paraId="69CE6760">
            <w:pPr>
              <w:pageBreakBefore w:val="0"/>
              <w:kinsoku/>
              <w:wordWrap w:val="0"/>
              <w:topLinePunct w:val="0"/>
              <w:spacing w:line="360" w:lineRule="auto"/>
              <w:jc w:val="left"/>
              <w:rPr>
                <w:color w:val="auto"/>
                <w:highlight w:val="none"/>
              </w:rPr>
            </w:pPr>
          </w:p>
        </w:tc>
        <w:tc>
          <w:tcPr>
            <w:tcW w:w="1529" w:type="dxa"/>
            <w:vAlign w:val="center"/>
          </w:tcPr>
          <w:p w14:paraId="777E8FB8">
            <w:pPr>
              <w:pageBreakBefore w:val="0"/>
              <w:kinsoku/>
              <w:wordWrap w:val="0"/>
              <w:topLinePunct w:val="0"/>
              <w:spacing w:line="400" w:lineRule="exact"/>
              <w:jc w:val="left"/>
              <w:rPr>
                <w:rFonts w:ascii="宋体" w:hAnsi="宋体"/>
                <w:bCs/>
                <w:color w:val="auto"/>
                <w:highlight w:val="none"/>
              </w:rPr>
            </w:pPr>
            <w:r>
              <w:rPr>
                <w:rFonts w:hint="eastAsia" w:ascii="宋体" w:hAnsi="宋体" w:cs="宋体"/>
                <w:color w:val="auto"/>
                <w:highlight w:val="none"/>
              </w:rPr>
              <w:t>劳动力安排计划（</w:t>
            </w:r>
            <w:r>
              <w:rPr>
                <w:rFonts w:hint="eastAsia" w:ascii="宋体" w:hAnsi="宋体" w:cs="宋体"/>
                <w:color w:val="auto"/>
                <w:highlight w:val="none"/>
                <w:lang w:val="en-US" w:eastAsia="zh-CN"/>
              </w:rPr>
              <w:t>4</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4EEE73E8">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w:t>
            </w:r>
            <w:r>
              <w:rPr>
                <w:rFonts w:hint="eastAsia" w:ascii="宋体" w:hAnsi="宋体" w:cs="宋体"/>
                <w:color w:val="auto"/>
                <w:highlight w:val="none"/>
                <w:lang w:val="en-US" w:eastAsia="zh-CN"/>
              </w:rPr>
              <w:t>4</w:t>
            </w:r>
            <w:r>
              <w:rPr>
                <w:rFonts w:hint="eastAsia" w:ascii="宋体" w:hAnsi="宋体" w:cs="宋体"/>
                <w:color w:val="auto"/>
                <w:highlight w:val="none"/>
              </w:rPr>
              <w:t>分）：各主要施工工序有详细周密的劳动力安排计划，各工种劳动力安排计划齐全，劳动力投入与进度计划呼应合理，满足施工需要。</w:t>
            </w:r>
          </w:p>
          <w:p w14:paraId="597EFA9B">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w:t>
            </w:r>
            <w:r>
              <w:rPr>
                <w:rFonts w:hint="eastAsia" w:ascii="宋体" w:hAnsi="宋体" w:cs="宋体"/>
                <w:color w:val="auto"/>
                <w:highlight w:val="none"/>
                <w:lang w:val="en-US" w:eastAsia="zh-CN"/>
              </w:rPr>
              <w:t>3</w:t>
            </w:r>
            <w:r>
              <w:rPr>
                <w:rFonts w:hint="eastAsia" w:ascii="宋体" w:hAnsi="宋体" w:cs="宋体"/>
                <w:color w:val="auto"/>
                <w:highlight w:val="none"/>
              </w:rPr>
              <w:t>分）：各主要施工工序有详细的劳动力安排计划，有各工种劳动力安排计划，劳动力投入合理，满足施工需要。</w:t>
            </w:r>
          </w:p>
          <w:p w14:paraId="0A94FA44">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w:t>
            </w:r>
            <w:r>
              <w:rPr>
                <w:rFonts w:hint="eastAsia" w:ascii="宋体" w:hAnsi="宋体" w:cs="宋体"/>
                <w:color w:val="auto"/>
                <w:highlight w:val="none"/>
                <w:lang w:val="en-US" w:eastAsia="zh-CN"/>
              </w:rPr>
              <w:t>2</w:t>
            </w:r>
            <w:r>
              <w:rPr>
                <w:rFonts w:hint="eastAsia" w:ascii="宋体" w:hAnsi="宋体" w:cs="宋体"/>
                <w:color w:val="auto"/>
                <w:highlight w:val="none"/>
              </w:rPr>
              <w:t>分）：各主要施工工序应有劳动力安排计划，有各工种劳动力安排计划，劳动力投入基本合理，基本满足施工需要。</w:t>
            </w:r>
          </w:p>
          <w:p w14:paraId="54F42EE2">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差（</w:t>
            </w:r>
            <w:r>
              <w:rPr>
                <w:rFonts w:ascii="宋体" w:hAnsi="宋体" w:cs="宋体"/>
                <w:color w:val="auto"/>
                <w:highlight w:val="none"/>
              </w:rPr>
              <w:t>1</w:t>
            </w:r>
            <w:r>
              <w:rPr>
                <w:rFonts w:hint="eastAsia" w:ascii="宋体" w:hAnsi="宋体" w:cs="宋体"/>
                <w:color w:val="auto"/>
                <w:highlight w:val="none"/>
              </w:rPr>
              <w:t>分）：各主要施工工序劳动力安排计划不全，无各工种劳动力安排计划或计划不全，劳动力投入不合理，不能满足施工需要。</w:t>
            </w:r>
          </w:p>
        </w:tc>
      </w:tr>
      <w:tr w14:paraId="4CE3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58126F87">
            <w:pPr>
              <w:pageBreakBefore w:val="0"/>
              <w:kinsoku/>
              <w:wordWrap w:val="0"/>
              <w:topLinePunct w:val="0"/>
              <w:spacing w:line="360" w:lineRule="auto"/>
              <w:jc w:val="left"/>
              <w:rPr>
                <w:color w:val="auto"/>
                <w:highlight w:val="none"/>
              </w:rPr>
            </w:pPr>
          </w:p>
        </w:tc>
        <w:tc>
          <w:tcPr>
            <w:tcW w:w="1280" w:type="dxa"/>
            <w:vMerge w:val="continue"/>
            <w:vAlign w:val="center"/>
          </w:tcPr>
          <w:p w14:paraId="05BE26C7">
            <w:pPr>
              <w:pageBreakBefore w:val="0"/>
              <w:kinsoku/>
              <w:wordWrap w:val="0"/>
              <w:topLinePunct w:val="0"/>
              <w:spacing w:line="360" w:lineRule="auto"/>
              <w:jc w:val="left"/>
              <w:rPr>
                <w:color w:val="auto"/>
                <w:highlight w:val="none"/>
              </w:rPr>
            </w:pPr>
          </w:p>
        </w:tc>
        <w:tc>
          <w:tcPr>
            <w:tcW w:w="709" w:type="dxa"/>
            <w:vMerge w:val="continue"/>
            <w:vAlign w:val="center"/>
          </w:tcPr>
          <w:p w14:paraId="73473852">
            <w:pPr>
              <w:pageBreakBefore w:val="0"/>
              <w:kinsoku/>
              <w:wordWrap w:val="0"/>
              <w:topLinePunct w:val="0"/>
              <w:spacing w:line="360" w:lineRule="auto"/>
              <w:jc w:val="left"/>
              <w:rPr>
                <w:color w:val="auto"/>
                <w:highlight w:val="none"/>
              </w:rPr>
            </w:pPr>
          </w:p>
        </w:tc>
        <w:tc>
          <w:tcPr>
            <w:tcW w:w="1529" w:type="dxa"/>
            <w:vAlign w:val="center"/>
          </w:tcPr>
          <w:p w14:paraId="5D4A87D4">
            <w:pPr>
              <w:pageBreakBefore w:val="0"/>
              <w:kinsoku/>
              <w:wordWrap w:val="0"/>
              <w:topLinePunct w:val="0"/>
              <w:spacing w:line="400" w:lineRule="exact"/>
              <w:jc w:val="left"/>
              <w:rPr>
                <w:rFonts w:ascii="宋体" w:hAnsi="宋体"/>
                <w:bCs/>
                <w:color w:val="auto"/>
                <w:highlight w:val="none"/>
              </w:rPr>
            </w:pPr>
            <w:r>
              <w:rPr>
                <w:rFonts w:hint="eastAsia" w:ascii="宋体" w:hAnsi="宋体" w:cs="宋体"/>
                <w:color w:val="auto"/>
                <w:highlight w:val="none"/>
              </w:rPr>
              <w:t>确保工程质量的技术组织措施（</w:t>
            </w:r>
            <w:r>
              <w:rPr>
                <w:rFonts w:hint="eastAsia" w:ascii="宋体" w:hAnsi="宋体" w:cs="宋体"/>
                <w:color w:val="auto"/>
                <w:highlight w:val="none"/>
                <w:lang w:val="en-US" w:eastAsia="zh-CN"/>
              </w:rPr>
              <w:t>10</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6662D005">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w:t>
            </w:r>
            <w:r>
              <w:rPr>
                <w:rFonts w:hint="eastAsia" w:ascii="宋体" w:hAnsi="宋体" w:cs="宋体"/>
                <w:color w:val="auto"/>
                <w:highlight w:val="none"/>
                <w:lang w:val="en-US" w:eastAsia="zh-CN"/>
              </w:rPr>
              <w:t>10</w:t>
            </w:r>
            <w:r>
              <w:rPr>
                <w:rFonts w:hint="eastAsia" w:ascii="宋体" w:hAnsi="宋体" w:cs="宋体"/>
                <w:color w:val="auto"/>
                <w:highlight w:val="none"/>
              </w:rPr>
              <w:t>分）：有专门的质量技术管理班子和制度，且人员配备合理，制度健全。主要工序有质量技术保证措施和手段，且先进、可行、具体，高于招标文件的质量要求及施工验收规范要求，达到承诺的质量标准。</w:t>
            </w:r>
          </w:p>
          <w:p w14:paraId="6BD34B6B">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w:t>
            </w:r>
            <w:r>
              <w:rPr>
                <w:rFonts w:hint="eastAsia" w:ascii="宋体" w:hAnsi="宋体" w:cs="宋体"/>
                <w:color w:val="auto"/>
                <w:highlight w:val="none"/>
                <w:lang w:val="en-US" w:eastAsia="zh-CN"/>
              </w:rPr>
              <w:t>8</w:t>
            </w:r>
            <w:r>
              <w:rPr>
                <w:rFonts w:hint="eastAsia" w:ascii="宋体" w:hAnsi="宋体" w:cs="宋体"/>
                <w:color w:val="auto"/>
                <w:highlight w:val="none"/>
              </w:rPr>
              <w:t>分）：有专门的质量技术管理班子和制度，且人员配备合理，制度健全。主要工序有质量技术保证措施和手段，自控体系完整，能有效保证技术质量，达到承诺的质量标准。</w:t>
            </w:r>
          </w:p>
          <w:p w14:paraId="41367683">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w:t>
            </w:r>
            <w:r>
              <w:rPr>
                <w:rFonts w:hint="eastAsia" w:ascii="宋体" w:hAnsi="宋体" w:cs="宋体"/>
                <w:color w:val="auto"/>
                <w:highlight w:val="none"/>
                <w:lang w:val="en-US" w:eastAsia="zh-CN"/>
              </w:rPr>
              <w:t>6</w:t>
            </w:r>
            <w:r>
              <w:rPr>
                <w:rFonts w:hint="eastAsia" w:ascii="宋体" w:hAnsi="宋体" w:cs="宋体"/>
                <w:color w:val="auto"/>
                <w:highlight w:val="none"/>
              </w:rPr>
              <w:t>分）：质量技术管理班子人员配备基本合理，制度基本健全。主要工序有质量技术保证措施和手段，能有效保证技术质量，满足招标文件的质量要求。</w:t>
            </w:r>
          </w:p>
          <w:p w14:paraId="62D894A8">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差（</w:t>
            </w:r>
            <w:r>
              <w:rPr>
                <w:rFonts w:hint="eastAsia" w:ascii="宋体" w:hAnsi="宋体" w:cs="宋体"/>
                <w:color w:val="auto"/>
                <w:highlight w:val="none"/>
                <w:lang w:val="en-US" w:eastAsia="zh-CN"/>
              </w:rPr>
              <w:t>4</w:t>
            </w:r>
            <w:r>
              <w:rPr>
                <w:rFonts w:hint="eastAsia" w:ascii="宋体" w:hAnsi="宋体" w:cs="宋体"/>
                <w:color w:val="auto"/>
                <w:highlight w:val="none"/>
              </w:rPr>
              <w:t>分）：质量技术管理班子人员配备不合理，制度不健全。质量技术保证措施和手段不可行，没有质量违约责任承诺。</w:t>
            </w:r>
          </w:p>
        </w:tc>
      </w:tr>
      <w:tr w14:paraId="05D0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7A267446">
            <w:pPr>
              <w:pageBreakBefore w:val="0"/>
              <w:kinsoku/>
              <w:wordWrap w:val="0"/>
              <w:topLinePunct w:val="0"/>
              <w:spacing w:line="360" w:lineRule="auto"/>
              <w:jc w:val="left"/>
              <w:rPr>
                <w:color w:val="auto"/>
                <w:highlight w:val="none"/>
              </w:rPr>
            </w:pPr>
          </w:p>
        </w:tc>
        <w:tc>
          <w:tcPr>
            <w:tcW w:w="1280" w:type="dxa"/>
            <w:vMerge w:val="continue"/>
            <w:vAlign w:val="center"/>
          </w:tcPr>
          <w:p w14:paraId="530B83D3">
            <w:pPr>
              <w:pageBreakBefore w:val="0"/>
              <w:kinsoku/>
              <w:wordWrap w:val="0"/>
              <w:topLinePunct w:val="0"/>
              <w:spacing w:line="360" w:lineRule="auto"/>
              <w:jc w:val="left"/>
              <w:rPr>
                <w:color w:val="auto"/>
                <w:highlight w:val="none"/>
              </w:rPr>
            </w:pPr>
          </w:p>
        </w:tc>
        <w:tc>
          <w:tcPr>
            <w:tcW w:w="709" w:type="dxa"/>
            <w:vMerge w:val="continue"/>
            <w:vAlign w:val="center"/>
          </w:tcPr>
          <w:p w14:paraId="4018C97B">
            <w:pPr>
              <w:pageBreakBefore w:val="0"/>
              <w:kinsoku/>
              <w:wordWrap w:val="0"/>
              <w:topLinePunct w:val="0"/>
              <w:spacing w:line="360" w:lineRule="auto"/>
              <w:jc w:val="left"/>
              <w:rPr>
                <w:color w:val="auto"/>
                <w:highlight w:val="none"/>
              </w:rPr>
            </w:pPr>
          </w:p>
        </w:tc>
        <w:tc>
          <w:tcPr>
            <w:tcW w:w="1529" w:type="dxa"/>
            <w:vAlign w:val="center"/>
          </w:tcPr>
          <w:p w14:paraId="6DCB275E">
            <w:pPr>
              <w:pageBreakBefore w:val="0"/>
              <w:kinsoku/>
              <w:wordWrap w:val="0"/>
              <w:topLinePunct w:val="0"/>
              <w:spacing w:line="400" w:lineRule="exact"/>
              <w:jc w:val="left"/>
              <w:rPr>
                <w:color w:val="auto"/>
                <w:highlight w:val="none"/>
              </w:rPr>
            </w:pPr>
            <w:r>
              <w:rPr>
                <w:rFonts w:hint="eastAsia" w:ascii="宋体" w:hAnsi="宋体" w:cs="宋体"/>
                <w:color w:val="auto"/>
                <w:highlight w:val="none"/>
              </w:rPr>
              <w:t>确保安全生产的技术组织措施（5</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6E6A437E">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w:t>
            </w:r>
            <w:r>
              <w:rPr>
                <w:rFonts w:ascii="宋体" w:hAnsi="宋体" w:cs="宋体"/>
                <w:color w:val="auto"/>
                <w:highlight w:val="none"/>
              </w:rPr>
              <w:t>5</w:t>
            </w:r>
            <w:r>
              <w:rPr>
                <w:rFonts w:hint="eastAsia" w:ascii="宋体" w:hAnsi="宋体" w:cs="宋体"/>
                <w:color w:val="auto"/>
                <w:highlight w:val="none"/>
              </w:rPr>
              <w:t>分）：安全人员配备合理；有健全的安全管理制度，各道工序安全技术措施针对性强，符合实际且完全满足国家有关安全技术标准要求。现场防火、应急救援、社会治安安全措施得力。</w:t>
            </w:r>
          </w:p>
          <w:p w14:paraId="145C9BD4">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w:t>
            </w:r>
            <w:r>
              <w:rPr>
                <w:rFonts w:ascii="宋体" w:hAnsi="宋体" w:cs="宋体"/>
                <w:color w:val="auto"/>
                <w:highlight w:val="none"/>
              </w:rPr>
              <w:t>4</w:t>
            </w:r>
            <w:r>
              <w:rPr>
                <w:rFonts w:hint="eastAsia" w:ascii="宋体" w:hAnsi="宋体" w:cs="宋体"/>
                <w:color w:val="auto"/>
                <w:highlight w:val="none"/>
              </w:rPr>
              <w:t>分）：安全人员配备合理；有健全的安全管理制度，各道工序安全技术措施符合实际且满足有关安全技术标准要求。现场防火、应急救援、社会治安安全措施合理。</w:t>
            </w:r>
          </w:p>
          <w:p w14:paraId="08C9B427">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w:t>
            </w:r>
            <w:r>
              <w:rPr>
                <w:rFonts w:ascii="宋体" w:hAnsi="宋体" w:cs="宋体"/>
                <w:color w:val="auto"/>
                <w:highlight w:val="none"/>
              </w:rPr>
              <w:t>3</w:t>
            </w:r>
            <w:r>
              <w:rPr>
                <w:rFonts w:hint="eastAsia" w:ascii="宋体" w:hAnsi="宋体" w:cs="宋体"/>
                <w:color w:val="auto"/>
                <w:highlight w:val="none"/>
              </w:rPr>
              <w:t>分）：安全人员配备基本合理，安全管理制度基本健全，各道工序安全技术措施基本符合实际，基本满足有关安全技术标准要求。现场防火、应急救援、社会治安安全措施基本合理。</w:t>
            </w:r>
          </w:p>
          <w:p w14:paraId="69F82709">
            <w:pPr>
              <w:pageBreakBefore w:val="0"/>
              <w:kinsoku/>
              <w:wordWrap w:val="0"/>
              <w:topLinePunct w:val="0"/>
              <w:spacing w:line="400" w:lineRule="exact"/>
              <w:jc w:val="left"/>
              <w:rPr>
                <w:rFonts w:ascii="宋体" w:hAnsi="宋体"/>
                <w:color w:val="auto"/>
                <w:highlight w:val="none"/>
              </w:rPr>
            </w:pPr>
            <w:r>
              <w:rPr>
                <w:rFonts w:hint="eastAsia" w:ascii="宋体" w:hAnsi="宋体" w:cs="宋体"/>
                <w:color w:val="auto"/>
                <w:highlight w:val="none"/>
              </w:rPr>
              <w:t>差（</w:t>
            </w:r>
            <w:r>
              <w:rPr>
                <w:rFonts w:ascii="宋体" w:hAnsi="宋体" w:cs="宋体"/>
                <w:color w:val="auto"/>
                <w:highlight w:val="none"/>
              </w:rPr>
              <w:t>1.5</w:t>
            </w:r>
            <w:r>
              <w:rPr>
                <w:rFonts w:hint="eastAsia" w:ascii="宋体" w:hAnsi="宋体" w:cs="宋体"/>
                <w:color w:val="auto"/>
                <w:highlight w:val="none"/>
              </w:rPr>
              <w:t>分）：安全人员配备不合理，安全管理制度不健全，各道工序安全技术措施基本符合实际，不能满足有关安全技术标准要求。现场防火、应急救援、社会治安安全措施不合理。</w:t>
            </w:r>
          </w:p>
        </w:tc>
      </w:tr>
      <w:tr w14:paraId="74A1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3983C23E">
            <w:pPr>
              <w:pageBreakBefore w:val="0"/>
              <w:kinsoku/>
              <w:wordWrap w:val="0"/>
              <w:topLinePunct w:val="0"/>
              <w:spacing w:line="360" w:lineRule="auto"/>
              <w:jc w:val="left"/>
              <w:rPr>
                <w:color w:val="auto"/>
                <w:highlight w:val="none"/>
              </w:rPr>
            </w:pPr>
          </w:p>
        </w:tc>
        <w:tc>
          <w:tcPr>
            <w:tcW w:w="1280" w:type="dxa"/>
            <w:vMerge w:val="continue"/>
            <w:vAlign w:val="center"/>
          </w:tcPr>
          <w:p w14:paraId="38B81CC4">
            <w:pPr>
              <w:pageBreakBefore w:val="0"/>
              <w:kinsoku/>
              <w:wordWrap w:val="0"/>
              <w:topLinePunct w:val="0"/>
              <w:spacing w:line="360" w:lineRule="auto"/>
              <w:jc w:val="left"/>
              <w:rPr>
                <w:color w:val="auto"/>
                <w:highlight w:val="none"/>
              </w:rPr>
            </w:pPr>
          </w:p>
        </w:tc>
        <w:tc>
          <w:tcPr>
            <w:tcW w:w="709" w:type="dxa"/>
            <w:vMerge w:val="continue"/>
            <w:vAlign w:val="center"/>
          </w:tcPr>
          <w:p w14:paraId="4850F6A0">
            <w:pPr>
              <w:pageBreakBefore w:val="0"/>
              <w:kinsoku/>
              <w:wordWrap w:val="0"/>
              <w:topLinePunct w:val="0"/>
              <w:spacing w:line="360" w:lineRule="auto"/>
              <w:jc w:val="left"/>
              <w:rPr>
                <w:color w:val="auto"/>
                <w:highlight w:val="none"/>
              </w:rPr>
            </w:pPr>
          </w:p>
        </w:tc>
        <w:tc>
          <w:tcPr>
            <w:tcW w:w="1529" w:type="dxa"/>
            <w:vAlign w:val="center"/>
          </w:tcPr>
          <w:p w14:paraId="3B4B1605">
            <w:pPr>
              <w:pageBreakBefore w:val="0"/>
              <w:kinsoku/>
              <w:wordWrap w:val="0"/>
              <w:topLinePunct w:val="0"/>
              <w:spacing w:line="400" w:lineRule="exact"/>
              <w:jc w:val="left"/>
              <w:rPr>
                <w:rFonts w:hAnsi="宋体" w:cs="宋体"/>
                <w:color w:val="auto"/>
                <w:highlight w:val="none"/>
              </w:rPr>
            </w:pPr>
            <w:r>
              <w:rPr>
                <w:rFonts w:hint="eastAsia" w:ascii="宋体" w:hAnsi="宋体" w:cs="宋体"/>
                <w:color w:val="auto"/>
                <w:highlight w:val="none"/>
              </w:rPr>
              <w:t>确保工期的技术组织措施（</w:t>
            </w:r>
            <w:r>
              <w:rPr>
                <w:rFonts w:ascii="宋体" w:hAnsi="宋体" w:cs="宋体"/>
                <w:color w:val="auto"/>
                <w:highlight w:val="none"/>
              </w:rPr>
              <w:t>5.00</w:t>
            </w:r>
            <w:r>
              <w:rPr>
                <w:rFonts w:hint="eastAsia" w:ascii="宋体" w:hAnsi="宋体" w:cs="宋体"/>
                <w:color w:val="auto"/>
                <w:highlight w:val="none"/>
              </w:rPr>
              <w:t>分）</w:t>
            </w:r>
          </w:p>
        </w:tc>
        <w:tc>
          <w:tcPr>
            <w:tcW w:w="5380" w:type="dxa"/>
            <w:vAlign w:val="center"/>
          </w:tcPr>
          <w:p w14:paraId="1B1BCEB3">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w:t>
            </w:r>
            <w:r>
              <w:rPr>
                <w:rFonts w:ascii="宋体" w:hAnsi="宋体" w:cs="宋体"/>
                <w:color w:val="auto"/>
                <w:highlight w:val="none"/>
              </w:rPr>
              <w:t>5</w:t>
            </w:r>
            <w:r>
              <w:rPr>
                <w:rFonts w:hint="eastAsia" w:ascii="宋体" w:hAnsi="宋体" w:cs="宋体"/>
                <w:color w:val="auto"/>
                <w:highlight w:val="none"/>
              </w:rPr>
              <w:t>分）：有保证工期的具体措施且措施得力。各项计划图表编制详尽周密，安排科学合理，符合本项目施工实际要求。</w:t>
            </w:r>
          </w:p>
          <w:p w14:paraId="788E49E6">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w:t>
            </w:r>
            <w:r>
              <w:rPr>
                <w:rFonts w:ascii="宋体" w:hAnsi="宋体" w:cs="宋体"/>
                <w:color w:val="auto"/>
                <w:highlight w:val="none"/>
              </w:rPr>
              <w:t>4</w:t>
            </w:r>
            <w:r>
              <w:rPr>
                <w:rFonts w:hint="eastAsia" w:ascii="宋体" w:hAnsi="宋体" w:cs="宋体"/>
                <w:color w:val="auto"/>
                <w:highlight w:val="none"/>
              </w:rPr>
              <w:t>分）：有保证工期的具体措施且措施得当。各项计划图表编制完善，安排较合理，符合本项目施工实际要求。</w:t>
            </w:r>
          </w:p>
          <w:p w14:paraId="0267216D">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w:t>
            </w:r>
            <w:r>
              <w:rPr>
                <w:rFonts w:ascii="宋体" w:hAnsi="宋体" w:cs="宋体"/>
                <w:color w:val="auto"/>
                <w:highlight w:val="none"/>
              </w:rPr>
              <w:t>3</w:t>
            </w:r>
            <w:r>
              <w:rPr>
                <w:rFonts w:hint="eastAsia" w:ascii="宋体" w:hAnsi="宋体" w:cs="宋体"/>
                <w:color w:val="auto"/>
                <w:highlight w:val="none"/>
              </w:rPr>
              <w:t>分）：有保证工期的具体措施，措施基本得当。各项计划图表编制基本齐全，安排基本合理，基本符合本项目施工实际要求。</w:t>
            </w:r>
          </w:p>
          <w:p w14:paraId="51FC6E00">
            <w:pPr>
              <w:pageBreakBefore w:val="0"/>
              <w:kinsoku/>
              <w:wordWrap w:val="0"/>
              <w:topLinePunct w:val="0"/>
              <w:spacing w:line="400" w:lineRule="exact"/>
              <w:jc w:val="left"/>
              <w:rPr>
                <w:rFonts w:ascii="宋体" w:hAnsi="宋体"/>
                <w:color w:val="auto"/>
                <w:highlight w:val="none"/>
              </w:rPr>
            </w:pPr>
            <w:r>
              <w:rPr>
                <w:rFonts w:hint="eastAsia" w:ascii="宋体" w:hAnsi="宋体" w:cs="宋体"/>
                <w:color w:val="auto"/>
                <w:highlight w:val="none"/>
              </w:rPr>
              <w:t>差（</w:t>
            </w:r>
            <w:r>
              <w:rPr>
                <w:rFonts w:ascii="宋体" w:hAnsi="宋体" w:cs="宋体"/>
                <w:color w:val="auto"/>
                <w:highlight w:val="none"/>
              </w:rPr>
              <w:t>1.5</w:t>
            </w:r>
            <w:r>
              <w:rPr>
                <w:rFonts w:hint="eastAsia" w:ascii="宋体" w:hAnsi="宋体" w:cs="宋体"/>
                <w:color w:val="auto"/>
                <w:highlight w:val="none"/>
              </w:rPr>
              <w:t>分）</w:t>
            </w:r>
            <w:r>
              <w:rPr>
                <w:rFonts w:ascii="宋体" w:hAnsi="宋体" w:cs="宋体"/>
                <w:color w:val="auto"/>
                <w:highlight w:val="none"/>
              </w:rPr>
              <w:t>:</w:t>
            </w:r>
            <w:r>
              <w:rPr>
                <w:rFonts w:hint="eastAsia" w:ascii="宋体" w:hAnsi="宋体" w:cs="宋体"/>
                <w:color w:val="auto"/>
                <w:highlight w:val="none"/>
              </w:rPr>
              <w:t>有保证工期的具体措施。各项计划图表编制不完善，安排不合理，不能满足本项目施工实际要求。</w:t>
            </w:r>
          </w:p>
        </w:tc>
      </w:tr>
      <w:tr w14:paraId="5D1A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247F3C76">
            <w:pPr>
              <w:pageBreakBefore w:val="0"/>
              <w:kinsoku/>
              <w:wordWrap w:val="0"/>
              <w:topLinePunct w:val="0"/>
              <w:spacing w:line="360" w:lineRule="auto"/>
              <w:jc w:val="left"/>
              <w:rPr>
                <w:color w:val="auto"/>
                <w:highlight w:val="none"/>
              </w:rPr>
            </w:pPr>
          </w:p>
        </w:tc>
        <w:tc>
          <w:tcPr>
            <w:tcW w:w="1280" w:type="dxa"/>
            <w:vMerge w:val="continue"/>
            <w:vAlign w:val="center"/>
          </w:tcPr>
          <w:p w14:paraId="4B786DC6">
            <w:pPr>
              <w:pageBreakBefore w:val="0"/>
              <w:kinsoku/>
              <w:wordWrap w:val="0"/>
              <w:topLinePunct w:val="0"/>
              <w:spacing w:line="360" w:lineRule="auto"/>
              <w:jc w:val="left"/>
              <w:rPr>
                <w:color w:val="auto"/>
                <w:highlight w:val="none"/>
              </w:rPr>
            </w:pPr>
          </w:p>
        </w:tc>
        <w:tc>
          <w:tcPr>
            <w:tcW w:w="709" w:type="dxa"/>
            <w:vMerge w:val="continue"/>
            <w:vAlign w:val="center"/>
          </w:tcPr>
          <w:p w14:paraId="00FBB6B3">
            <w:pPr>
              <w:pageBreakBefore w:val="0"/>
              <w:kinsoku/>
              <w:wordWrap w:val="0"/>
              <w:topLinePunct w:val="0"/>
              <w:spacing w:line="360" w:lineRule="auto"/>
              <w:jc w:val="left"/>
              <w:rPr>
                <w:color w:val="auto"/>
                <w:highlight w:val="none"/>
              </w:rPr>
            </w:pPr>
          </w:p>
        </w:tc>
        <w:tc>
          <w:tcPr>
            <w:tcW w:w="1529" w:type="dxa"/>
            <w:vAlign w:val="center"/>
          </w:tcPr>
          <w:p w14:paraId="76070C52">
            <w:pPr>
              <w:pageBreakBefore w:val="0"/>
              <w:kinsoku/>
              <w:wordWrap w:val="0"/>
              <w:topLinePunct w:val="0"/>
              <w:spacing w:line="400" w:lineRule="exact"/>
              <w:jc w:val="left"/>
              <w:rPr>
                <w:color w:val="auto"/>
                <w:highlight w:val="none"/>
              </w:rPr>
            </w:pPr>
            <w:r>
              <w:rPr>
                <w:rFonts w:hint="eastAsia" w:ascii="宋体" w:hAnsi="宋体" w:cs="宋体"/>
                <w:color w:val="auto"/>
                <w:highlight w:val="none"/>
              </w:rPr>
              <w:t>确保文明施工的技术组织措施（5</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06420E43">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5分）：现场文明施工、环境保护措施和内容达到《建筑施工安全生产检查标准》、《广西壮族自治区建筑工程文明施工导则》要求；有具体实现现场文明施工目标的工作计划和实施承诺，而且各项措施科学、具体、得力的。</w:t>
            </w:r>
          </w:p>
          <w:p w14:paraId="48BA364F">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良（4分）：现场文明施工、环境保护措施和内容达到《建筑施工安全生产检查标准》、《广西壮族自治区建筑工程文明施工导则》；有具体实现现场文明施工目标的承诺，而且各项措施周全、具体、有效的。</w:t>
            </w:r>
          </w:p>
          <w:p w14:paraId="6DC3900E">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3分）：现场文明施工、环境保护措施和内容基本达到《建筑施工安全生产检查标准》、《广西壮族自治区建筑工程文明施工导则》；有具体实现现场文明施工目标的承诺，而且各项措施基本全面、具体、有效的。</w:t>
            </w:r>
          </w:p>
          <w:p w14:paraId="21FD4165">
            <w:pPr>
              <w:pageBreakBefore w:val="0"/>
              <w:kinsoku/>
              <w:wordWrap w:val="0"/>
              <w:topLinePunct w:val="0"/>
              <w:spacing w:line="400" w:lineRule="exact"/>
              <w:jc w:val="left"/>
              <w:rPr>
                <w:color w:val="auto"/>
                <w:highlight w:val="none"/>
              </w:rPr>
            </w:pPr>
            <w:r>
              <w:rPr>
                <w:rFonts w:hint="eastAsia" w:ascii="宋体" w:hAnsi="宋体" w:cs="宋体"/>
                <w:color w:val="auto"/>
                <w:highlight w:val="none"/>
              </w:rPr>
              <w:t>差（</w:t>
            </w:r>
            <w:r>
              <w:rPr>
                <w:rFonts w:ascii="宋体" w:hAnsi="宋体" w:cs="宋体"/>
                <w:color w:val="auto"/>
                <w:highlight w:val="none"/>
              </w:rPr>
              <w:t>1.</w:t>
            </w:r>
            <w:r>
              <w:rPr>
                <w:rFonts w:hint="eastAsia" w:ascii="宋体" w:hAnsi="宋体" w:cs="宋体"/>
                <w:color w:val="auto"/>
                <w:highlight w:val="none"/>
              </w:rPr>
              <w:t>5分）</w:t>
            </w:r>
            <w:r>
              <w:rPr>
                <w:rFonts w:ascii="宋体" w:hAnsi="宋体" w:cs="宋体"/>
                <w:color w:val="auto"/>
                <w:highlight w:val="none"/>
              </w:rPr>
              <w:t xml:space="preserve">: </w:t>
            </w:r>
            <w:r>
              <w:rPr>
                <w:rFonts w:hint="eastAsia" w:ascii="宋体" w:hAnsi="宋体" w:cs="宋体"/>
                <w:color w:val="auto"/>
                <w:highlight w:val="none"/>
              </w:rPr>
              <w:t>现场文明施工、环境保护措施和内容与《建筑施工安全生产检查标准》、《广西壮族自治区建筑工程文明施工导则》的要求偏差大，无现场文明施工目标的承诺。</w:t>
            </w:r>
          </w:p>
        </w:tc>
      </w:tr>
      <w:tr w14:paraId="59F6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1C13FED4">
            <w:pPr>
              <w:pageBreakBefore w:val="0"/>
              <w:kinsoku/>
              <w:wordWrap w:val="0"/>
              <w:topLinePunct w:val="0"/>
              <w:spacing w:line="360" w:lineRule="auto"/>
              <w:jc w:val="left"/>
              <w:rPr>
                <w:color w:val="auto"/>
                <w:highlight w:val="none"/>
              </w:rPr>
            </w:pPr>
          </w:p>
        </w:tc>
        <w:tc>
          <w:tcPr>
            <w:tcW w:w="1280" w:type="dxa"/>
            <w:vMerge w:val="continue"/>
            <w:vAlign w:val="center"/>
          </w:tcPr>
          <w:p w14:paraId="6D632316">
            <w:pPr>
              <w:pageBreakBefore w:val="0"/>
              <w:kinsoku/>
              <w:wordWrap w:val="0"/>
              <w:topLinePunct w:val="0"/>
              <w:spacing w:line="360" w:lineRule="auto"/>
              <w:jc w:val="left"/>
              <w:rPr>
                <w:color w:val="auto"/>
                <w:highlight w:val="none"/>
              </w:rPr>
            </w:pPr>
          </w:p>
        </w:tc>
        <w:tc>
          <w:tcPr>
            <w:tcW w:w="709" w:type="dxa"/>
            <w:vMerge w:val="continue"/>
            <w:vAlign w:val="center"/>
          </w:tcPr>
          <w:p w14:paraId="5CD994A2">
            <w:pPr>
              <w:pageBreakBefore w:val="0"/>
              <w:kinsoku/>
              <w:wordWrap w:val="0"/>
              <w:topLinePunct w:val="0"/>
              <w:spacing w:line="360" w:lineRule="auto"/>
              <w:jc w:val="left"/>
              <w:rPr>
                <w:color w:val="auto"/>
                <w:highlight w:val="none"/>
              </w:rPr>
            </w:pPr>
          </w:p>
        </w:tc>
        <w:tc>
          <w:tcPr>
            <w:tcW w:w="1529" w:type="dxa"/>
            <w:vAlign w:val="center"/>
          </w:tcPr>
          <w:p w14:paraId="176D5416">
            <w:pPr>
              <w:pageBreakBefore w:val="0"/>
              <w:kinsoku/>
              <w:wordWrap w:val="0"/>
              <w:topLinePunct w:val="0"/>
              <w:spacing w:line="400" w:lineRule="exact"/>
              <w:jc w:val="left"/>
              <w:rPr>
                <w:rFonts w:hint="eastAsia" w:ascii="宋体" w:hAnsi="宋体" w:cs="宋体"/>
                <w:color w:val="auto"/>
                <w:highlight w:val="none"/>
              </w:rPr>
            </w:pPr>
            <w:r>
              <w:rPr>
                <w:rFonts w:hint="eastAsia" w:ascii="宋体" w:hAnsi="宋体" w:cs="宋体"/>
                <w:color w:val="auto"/>
                <w:highlight w:val="none"/>
              </w:rPr>
              <w:t>工程施工的重点和难点及保证措施（5</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26B843C7">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优（5分）：对项目关键技术、工艺有深入的表述。对重点、难点有先进合理的施工措施并有可行的安全措施，解决方案完整、经济、安全、切实可行，措施得力。</w:t>
            </w:r>
          </w:p>
          <w:p w14:paraId="296E8096">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良（4分）：对项目关键技术、工艺有深入的表述，对重点、难点有合理的建议，解决方案经济、安全、基本可行。</w:t>
            </w:r>
          </w:p>
          <w:p w14:paraId="162C2F42">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中（3分）：对项目关键技术有一定了解，对重点、难点有建议，解决方案基本可行。</w:t>
            </w:r>
          </w:p>
          <w:p w14:paraId="272DEEDA">
            <w:pPr>
              <w:pageBreakBefore w:val="0"/>
              <w:kinsoku/>
              <w:wordWrap w:val="0"/>
              <w:topLinePunct w:val="0"/>
              <w:spacing w:line="400" w:lineRule="exact"/>
              <w:jc w:val="left"/>
              <w:rPr>
                <w:rFonts w:hint="eastAsia" w:ascii="宋体" w:hAnsi="宋体" w:cs="宋体"/>
                <w:color w:val="auto"/>
                <w:highlight w:val="none"/>
              </w:rPr>
            </w:pPr>
            <w:r>
              <w:rPr>
                <w:rFonts w:hint="eastAsia" w:ascii="宋体" w:hAnsi="宋体" w:cs="宋体"/>
                <w:color w:val="auto"/>
                <w:highlight w:val="none"/>
              </w:rPr>
              <w:t>差（</w:t>
            </w:r>
            <w:r>
              <w:rPr>
                <w:rFonts w:ascii="宋体" w:hAnsi="宋体" w:cs="宋体"/>
                <w:color w:val="auto"/>
                <w:highlight w:val="none"/>
              </w:rPr>
              <w:t>1.</w:t>
            </w:r>
            <w:r>
              <w:rPr>
                <w:rFonts w:hint="eastAsia" w:ascii="宋体" w:hAnsi="宋体" w:cs="宋体"/>
                <w:color w:val="auto"/>
                <w:highlight w:val="none"/>
              </w:rPr>
              <w:t>5分）：对项目关键技术有表述，对重点、难点有建议，解决方案不可行。</w:t>
            </w:r>
          </w:p>
        </w:tc>
      </w:tr>
      <w:tr w14:paraId="3B75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09C9E321">
            <w:pPr>
              <w:pageBreakBefore w:val="0"/>
              <w:kinsoku/>
              <w:wordWrap w:val="0"/>
              <w:topLinePunct w:val="0"/>
              <w:spacing w:line="360" w:lineRule="auto"/>
              <w:jc w:val="left"/>
              <w:rPr>
                <w:color w:val="auto"/>
                <w:highlight w:val="none"/>
              </w:rPr>
            </w:pPr>
          </w:p>
        </w:tc>
        <w:tc>
          <w:tcPr>
            <w:tcW w:w="1280" w:type="dxa"/>
            <w:vMerge w:val="continue"/>
            <w:vAlign w:val="center"/>
          </w:tcPr>
          <w:p w14:paraId="6D01600B">
            <w:pPr>
              <w:pageBreakBefore w:val="0"/>
              <w:kinsoku/>
              <w:wordWrap w:val="0"/>
              <w:topLinePunct w:val="0"/>
              <w:spacing w:line="360" w:lineRule="auto"/>
              <w:jc w:val="left"/>
              <w:rPr>
                <w:color w:val="auto"/>
                <w:highlight w:val="none"/>
              </w:rPr>
            </w:pPr>
          </w:p>
        </w:tc>
        <w:tc>
          <w:tcPr>
            <w:tcW w:w="709" w:type="dxa"/>
            <w:vMerge w:val="continue"/>
            <w:vAlign w:val="center"/>
          </w:tcPr>
          <w:p w14:paraId="7DC27CA6">
            <w:pPr>
              <w:pageBreakBefore w:val="0"/>
              <w:kinsoku/>
              <w:wordWrap w:val="0"/>
              <w:topLinePunct w:val="0"/>
              <w:spacing w:line="360" w:lineRule="auto"/>
              <w:jc w:val="left"/>
              <w:rPr>
                <w:color w:val="auto"/>
                <w:highlight w:val="none"/>
              </w:rPr>
            </w:pPr>
          </w:p>
        </w:tc>
        <w:tc>
          <w:tcPr>
            <w:tcW w:w="1529" w:type="dxa"/>
            <w:vAlign w:val="center"/>
          </w:tcPr>
          <w:p w14:paraId="03BA7317">
            <w:pPr>
              <w:pageBreakBefore w:val="0"/>
              <w:kinsoku/>
              <w:wordWrap w:val="0"/>
              <w:topLinePunct w:val="0"/>
              <w:spacing w:line="400" w:lineRule="exact"/>
              <w:jc w:val="left"/>
              <w:rPr>
                <w:rFonts w:hint="eastAsia" w:ascii="宋体" w:hAnsi="宋体" w:cs="宋体"/>
                <w:color w:val="auto"/>
                <w:highlight w:val="none"/>
              </w:rPr>
            </w:pPr>
            <w:r>
              <w:rPr>
                <w:rFonts w:hint="eastAsia" w:ascii="宋体" w:hAnsi="宋体" w:cs="宋体"/>
                <w:color w:val="auto"/>
                <w:highlight w:val="none"/>
              </w:rPr>
              <w:t>施工总平面布置图（5</w:t>
            </w:r>
            <w:r>
              <w:rPr>
                <w:rFonts w:ascii="宋体" w:hAnsi="宋体" w:cs="宋体"/>
                <w:color w:val="auto"/>
                <w:highlight w:val="none"/>
              </w:rPr>
              <w:t>.00</w:t>
            </w:r>
            <w:r>
              <w:rPr>
                <w:rFonts w:hint="eastAsia" w:ascii="宋体" w:hAnsi="宋体" w:cs="宋体"/>
                <w:color w:val="auto"/>
                <w:highlight w:val="none"/>
              </w:rPr>
              <w:t>分）</w:t>
            </w:r>
          </w:p>
        </w:tc>
        <w:tc>
          <w:tcPr>
            <w:tcW w:w="5380" w:type="dxa"/>
            <w:vAlign w:val="center"/>
          </w:tcPr>
          <w:p w14:paraId="4287273A">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优（5分）：总体布置有针对性、合理，较好满足施工需要，符合安全、文明生产要求。</w:t>
            </w:r>
          </w:p>
          <w:p w14:paraId="0E9DD912">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良（4分）：总体布置合理，能满足施工需要，基本符合安全、文明生产要求。</w:t>
            </w:r>
          </w:p>
          <w:p w14:paraId="24D18134">
            <w:pPr>
              <w:pageBreakBefore w:val="0"/>
              <w:kinsoku/>
              <w:wordWrap w:val="0"/>
              <w:topLinePunct w:val="0"/>
              <w:spacing w:line="400" w:lineRule="exact"/>
              <w:jc w:val="left"/>
              <w:rPr>
                <w:rFonts w:ascii="宋体" w:hAnsi="宋体" w:cs="宋体"/>
                <w:color w:val="auto"/>
                <w:highlight w:val="none"/>
              </w:rPr>
            </w:pPr>
            <w:r>
              <w:rPr>
                <w:rFonts w:hint="eastAsia" w:ascii="宋体" w:hAnsi="宋体" w:cs="宋体"/>
                <w:color w:val="auto"/>
                <w:highlight w:val="none"/>
              </w:rPr>
              <w:t>中（3分）：总体布置基本合理，基本满足施工需要。</w:t>
            </w:r>
          </w:p>
          <w:p w14:paraId="1D2306CB">
            <w:pPr>
              <w:pageBreakBefore w:val="0"/>
              <w:kinsoku/>
              <w:wordWrap w:val="0"/>
              <w:topLinePunct w:val="0"/>
              <w:spacing w:line="400" w:lineRule="exact"/>
              <w:jc w:val="left"/>
              <w:rPr>
                <w:rFonts w:hint="eastAsia" w:ascii="宋体" w:hAnsi="宋体" w:cs="宋体"/>
                <w:color w:val="auto"/>
                <w:highlight w:val="none"/>
              </w:rPr>
            </w:pPr>
            <w:r>
              <w:rPr>
                <w:rFonts w:hint="eastAsia" w:ascii="宋体" w:hAnsi="宋体" w:cs="宋体"/>
                <w:color w:val="auto"/>
                <w:highlight w:val="none"/>
              </w:rPr>
              <w:t>差（</w:t>
            </w:r>
            <w:r>
              <w:rPr>
                <w:rFonts w:ascii="宋体" w:hAnsi="宋体" w:cs="宋体"/>
                <w:color w:val="auto"/>
                <w:highlight w:val="none"/>
              </w:rPr>
              <w:t>1.</w:t>
            </w:r>
            <w:r>
              <w:rPr>
                <w:rFonts w:hint="eastAsia" w:ascii="宋体" w:hAnsi="宋体" w:cs="宋体"/>
                <w:color w:val="auto"/>
                <w:highlight w:val="none"/>
              </w:rPr>
              <w:t>5分）：总体布置不合理，不符合安全、文明生产要求。</w:t>
            </w:r>
          </w:p>
        </w:tc>
      </w:tr>
      <w:tr w14:paraId="2E53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730" w:type="dxa"/>
            <w:vAlign w:val="center"/>
          </w:tcPr>
          <w:p w14:paraId="218D2905">
            <w:pPr>
              <w:pageBreakBefore w:val="0"/>
              <w:kinsoku/>
              <w:wordWrap w:val="0"/>
              <w:topLinePunct w:val="0"/>
              <w:adjustRightInd w:val="0"/>
              <w:spacing w:line="360" w:lineRule="auto"/>
              <w:jc w:val="center"/>
              <w:textAlignment w:val="baseline"/>
              <w:rPr>
                <w:rFonts w:hint="eastAsia" w:ascii="宋体" w:hAnsi="宋体" w:eastAsia="宋体"/>
                <w:b/>
                <w:color w:val="auto"/>
                <w:highlight w:val="none"/>
                <w:lang w:eastAsia="zh-CN"/>
              </w:rPr>
            </w:pPr>
            <w:r>
              <w:rPr>
                <w:rFonts w:hint="eastAsia" w:ascii="宋体" w:hAnsi="宋体"/>
                <w:b/>
                <w:color w:val="auto"/>
                <w:highlight w:val="none"/>
                <w:lang w:val="en-US" w:eastAsia="zh-CN"/>
              </w:rPr>
              <w:t>5</w:t>
            </w:r>
          </w:p>
        </w:tc>
        <w:tc>
          <w:tcPr>
            <w:tcW w:w="1280" w:type="dxa"/>
            <w:vAlign w:val="center"/>
          </w:tcPr>
          <w:p w14:paraId="10A126C4">
            <w:pPr>
              <w:pageBreakBefore w:val="0"/>
              <w:kinsoku/>
              <w:wordWrap w:val="0"/>
              <w:topLinePunct w:val="0"/>
              <w:adjustRightInd w:val="0"/>
              <w:spacing w:line="360" w:lineRule="auto"/>
              <w:jc w:val="center"/>
              <w:textAlignment w:val="baseline"/>
              <w:rPr>
                <w:rFonts w:ascii="宋体" w:hAnsi="宋体"/>
                <w:bCs/>
                <w:color w:val="auto"/>
                <w:highlight w:val="none"/>
              </w:rPr>
            </w:pPr>
            <w:r>
              <w:rPr>
                <w:rFonts w:hint="eastAsia" w:ascii="宋体" w:hAnsi="宋体"/>
                <w:bCs/>
                <w:color w:val="auto"/>
                <w:highlight w:val="none"/>
              </w:rPr>
              <w:t>业绩</w:t>
            </w:r>
          </w:p>
        </w:tc>
        <w:tc>
          <w:tcPr>
            <w:tcW w:w="709" w:type="dxa"/>
            <w:vAlign w:val="center"/>
          </w:tcPr>
          <w:p w14:paraId="391D7E4B">
            <w:pPr>
              <w:pageBreakBefore w:val="0"/>
              <w:kinsoku/>
              <w:wordWrap w:val="0"/>
              <w:topLinePunct w:val="0"/>
              <w:adjustRightInd w:val="0"/>
              <w:spacing w:line="360" w:lineRule="auto"/>
              <w:jc w:val="center"/>
              <w:textAlignment w:val="baseline"/>
              <w:rPr>
                <w:rFonts w:ascii="宋体" w:hAnsi="宋体"/>
                <w:bCs/>
                <w:color w:val="auto"/>
                <w:highlight w:val="none"/>
              </w:rPr>
            </w:pPr>
            <w:r>
              <w:rPr>
                <w:rFonts w:hint="eastAsia" w:ascii="宋体" w:hAnsi="宋体"/>
                <w:bCs/>
                <w:color w:val="auto"/>
                <w:highlight w:val="none"/>
                <w:lang w:val="en-US" w:eastAsia="zh-CN"/>
              </w:rPr>
              <w:t>5</w:t>
            </w:r>
            <w:r>
              <w:rPr>
                <w:rFonts w:hint="eastAsia" w:ascii="宋体" w:hAnsi="宋体"/>
                <w:bCs/>
                <w:color w:val="auto"/>
                <w:highlight w:val="none"/>
              </w:rPr>
              <w:t>分</w:t>
            </w:r>
          </w:p>
        </w:tc>
        <w:tc>
          <w:tcPr>
            <w:tcW w:w="6909" w:type="dxa"/>
            <w:gridSpan w:val="2"/>
            <w:vAlign w:val="center"/>
          </w:tcPr>
          <w:p w14:paraId="64E15B7A">
            <w:pPr>
              <w:pStyle w:val="28"/>
              <w:pageBreakBefore w:val="0"/>
              <w:kinsoku/>
              <w:wordWrap w:val="0"/>
              <w:topLinePunct w:val="0"/>
              <w:spacing w:line="420" w:lineRule="exact"/>
              <w:jc w:val="left"/>
              <w:rPr>
                <w:rFonts w:hAnsi="宋体"/>
                <w:bCs/>
                <w:color w:val="auto"/>
                <w:highlight w:val="none"/>
              </w:rPr>
            </w:pPr>
            <w:r>
              <w:rPr>
                <w:rFonts w:hint="eastAsia" w:hAnsi="宋体" w:cs="宋体"/>
                <w:color w:val="auto"/>
                <w:highlight w:val="none"/>
              </w:rPr>
              <w:t>企业近三年（指项目竣工时间至投标截止时间止不超过三年）有已完成或在建的类似房屋建筑工程施工业绩，</w:t>
            </w:r>
            <w:r>
              <w:rPr>
                <w:rFonts w:hint="eastAsia" w:hAnsi="宋体"/>
                <w:bCs/>
                <w:color w:val="auto"/>
                <w:kern w:val="2"/>
                <w:szCs w:val="21"/>
                <w:highlight w:val="none"/>
              </w:rPr>
              <w:t>每个得2.5分，满分5分。【以中标</w:t>
            </w:r>
            <w:r>
              <w:rPr>
                <w:rFonts w:hint="eastAsia" w:asciiTheme="minorEastAsia" w:hAnsiTheme="minorEastAsia" w:eastAsiaTheme="minorEastAsia" w:cstheme="minorEastAsia"/>
                <w:color w:val="auto"/>
                <w:spacing w:val="2"/>
                <w:szCs w:val="21"/>
                <w:highlight w:val="none"/>
              </w:rPr>
              <w:t>（成</w:t>
            </w:r>
            <w:r>
              <w:rPr>
                <w:rFonts w:hint="eastAsia" w:asciiTheme="minorEastAsia" w:hAnsiTheme="minorEastAsia" w:eastAsiaTheme="minorEastAsia" w:cstheme="minorEastAsia"/>
                <w:color w:val="auto"/>
                <w:szCs w:val="21"/>
                <w:highlight w:val="none"/>
              </w:rPr>
              <w:t>交</w:t>
            </w:r>
            <w:r>
              <w:rPr>
                <w:rFonts w:hint="eastAsia" w:asciiTheme="minorEastAsia" w:hAnsiTheme="minorEastAsia" w:eastAsiaTheme="minorEastAsia" w:cstheme="minorEastAsia"/>
                <w:color w:val="auto"/>
                <w:spacing w:val="-3"/>
                <w:szCs w:val="21"/>
                <w:highlight w:val="none"/>
              </w:rPr>
              <w:t>）</w:t>
            </w:r>
            <w:r>
              <w:rPr>
                <w:rFonts w:hint="eastAsia" w:hAnsi="宋体"/>
                <w:bCs/>
                <w:color w:val="auto"/>
                <w:kern w:val="2"/>
                <w:szCs w:val="21"/>
                <w:highlight w:val="none"/>
              </w:rPr>
              <w:t>通知书（如有）或工程合同协议书有关页面或工程竣工验收证明材料证明为准</w:t>
            </w:r>
            <w:r>
              <w:rPr>
                <w:rFonts w:hint="eastAsia" w:hAnsi="宋体"/>
                <w:color w:val="auto"/>
                <w:highlight w:val="none"/>
              </w:rPr>
              <w:t>，加盖单位公章</w:t>
            </w:r>
            <w:r>
              <w:rPr>
                <w:rFonts w:hint="eastAsia" w:hAnsi="宋体"/>
                <w:bCs/>
                <w:color w:val="auto"/>
                <w:kern w:val="2"/>
                <w:szCs w:val="21"/>
                <w:highlight w:val="none"/>
              </w:rPr>
              <w:t>】。同一项目，不同标段时按最高金额的标段计分，不重复计分</w:t>
            </w:r>
            <w:r>
              <w:rPr>
                <w:rFonts w:hint="eastAsia" w:asciiTheme="minorEastAsia" w:hAnsiTheme="minorEastAsia" w:eastAsiaTheme="minorEastAsia" w:cstheme="minorEastAsia"/>
                <w:bCs/>
                <w:color w:val="auto"/>
                <w:szCs w:val="21"/>
                <w:highlight w:val="none"/>
              </w:rPr>
              <w:t>。</w:t>
            </w:r>
          </w:p>
        </w:tc>
      </w:tr>
      <w:tr w14:paraId="7E14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5"/>
            <w:vAlign w:val="center"/>
          </w:tcPr>
          <w:p w14:paraId="12482966">
            <w:pPr>
              <w:pStyle w:val="28"/>
              <w:pageBreakBefore w:val="0"/>
              <w:kinsoku/>
              <w:wordWrap w:val="0"/>
              <w:topLinePunct w:val="0"/>
              <w:spacing w:line="360" w:lineRule="auto"/>
              <w:rPr>
                <w:rFonts w:hAnsi="宋体" w:cs="Courier New"/>
                <w:bCs/>
                <w:color w:val="auto"/>
                <w:kern w:val="2"/>
                <w:highlight w:val="none"/>
              </w:rPr>
            </w:pPr>
            <w:r>
              <w:rPr>
                <w:rFonts w:hint="eastAsia" w:hAnsi="宋体" w:cs="Courier New"/>
                <w:b/>
                <w:bCs/>
                <w:color w:val="auto"/>
                <w:kern w:val="2"/>
                <w:highlight w:val="none"/>
              </w:rPr>
              <w:t>总得分=1+2+3＋4</w:t>
            </w:r>
            <w:r>
              <w:rPr>
                <w:rFonts w:hint="eastAsia" w:hAnsi="宋体" w:cs="Courier New"/>
                <w:b/>
                <w:bCs/>
                <w:color w:val="auto"/>
                <w:kern w:val="2"/>
                <w:highlight w:val="none"/>
                <w:lang w:val="en-US" w:eastAsia="zh-CN"/>
              </w:rPr>
              <w:t>+5</w:t>
            </w:r>
            <w:r>
              <w:rPr>
                <w:rFonts w:hint="eastAsia" w:hAnsi="宋体" w:cs="Courier New"/>
                <w:b/>
                <w:bCs/>
                <w:color w:val="auto"/>
                <w:kern w:val="2"/>
                <w:highlight w:val="none"/>
              </w:rPr>
              <w:t>。</w:t>
            </w:r>
          </w:p>
        </w:tc>
      </w:tr>
    </w:tbl>
    <w:p w14:paraId="218222E9">
      <w:pPr>
        <w:pageBreakBefore w:val="0"/>
        <w:numPr>
          <w:ilvl w:val="0"/>
          <w:numId w:val="0"/>
        </w:numPr>
        <w:kinsoku/>
        <w:wordWrap w:val="0"/>
        <w:topLinePunct w:val="0"/>
        <w:spacing w:line="360" w:lineRule="auto"/>
        <w:rPr>
          <w:rFonts w:hint="eastAsia" w:ascii="宋体" w:hAnsi="宋体"/>
          <w:bCs/>
          <w:color w:val="auto"/>
          <w:highlight w:val="none"/>
        </w:rPr>
      </w:pPr>
    </w:p>
    <w:p w14:paraId="4902156D">
      <w:pPr>
        <w:pageBreakBefore w:val="0"/>
        <w:kinsoku/>
        <w:wordWrap w:val="0"/>
        <w:topLinePunct w:val="0"/>
        <w:spacing w:line="360" w:lineRule="auto"/>
        <w:ind w:firstLine="420" w:firstLineChars="200"/>
        <w:rPr>
          <w:rFonts w:ascii="宋体" w:hAnsi="宋体" w:cs="宋体"/>
          <w:snapToGrid w:val="0"/>
          <w:color w:val="auto"/>
          <w:kern w:val="0"/>
          <w:sz w:val="24"/>
          <w:highlight w:val="none"/>
        </w:rPr>
      </w:pPr>
      <w:r>
        <w:rPr>
          <w:rFonts w:ascii="宋体" w:hAnsi="宋体"/>
          <w:bCs/>
          <w:color w:val="auto"/>
          <w:highlight w:val="none"/>
        </w:rPr>
        <w:t>7.</w:t>
      </w:r>
      <w:r>
        <w:rPr>
          <w:rFonts w:hint="eastAsia" w:ascii="宋体" w:hAnsi="宋体"/>
          <w:bCs/>
          <w:color w:val="auto"/>
          <w:highlight w:val="none"/>
        </w:rPr>
        <w:t>由磋商小组根据综合评分情况，按照评审得分由高到低顺序推荐3名以上成交候选供应商，并编写评审报告。符合本章第</w:t>
      </w:r>
      <w:r>
        <w:rPr>
          <w:rFonts w:hint="eastAsia" w:ascii="宋体" w:hAnsi="宋体" w:cs="宋体"/>
          <w:color w:val="auto"/>
          <w:highlight w:val="none"/>
        </w:rPr>
        <w:t>2.7、3.7、</w:t>
      </w:r>
      <w:r>
        <w:rPr>
          <w:rFonts w:ascii="宋体" w:hAnsi="宋体" w:cs="宋体"/>
          <w:color w:val="auto"/>
          <w:highlight w:val="none"/>
        </w:rPr>
        <w:t>4.3</w:t>
      </w:r>
      <w:r>
        <w:rPr>
          <w:rFonts w:hint="eastAsia" w:ascii="宋体" w:hAnsi="宋体"/>
          <w:bCs/>
          <w:color w:val="auto"/>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color w:val="auto"/>
          <w:highlight w:val="none"/>
        </w:rPr>
        <w:t>（按综合评分中施工进度计划和各阶段进度的保证措施、</w:t>
      </w:r>
      <w:r>
        <w:rPr>
          <w:rFonts w:ascii="宋体" w:hAnsi="宋体" w:cs="宋体"/>
          <w:b/>
          <w:color w:val="auto"/>
          <w:highlight w:val="none"/>
        </w:rPr>
        <w:t>主要工程项目的施工方案及方法与技术措施</w:t>
      </w:r>
      <w:r>
        <w:rPr>
          <w:rFonts w:hint="eastAsia" w:ascii="宋体" w:hAnsi="宋体"/>
          <w:b/>
          <w:color w:val="auto"/>
          <w:highlight w:val="none"/>
        </w:rPr>
        <w:t>、工程质量管理体系及保证措施得分高低依次确定）</w:t>
      </w:r>
      <w:r>
        <w:rPr>
          <w:rFonts w:hint="eastAsia" w:ascii="宋体" w:hAnsi="宋体"/>
          <w:bCs/>
          <w:color w:val="auto"/>
          <w:highlight w:val="none"/>
        </w:rPr>
        <w:t>。</w:t>
      </w:r>
    </w:p>
    <w:p w14:paraId="126679DF">
      <w:pPr>
        <w:pageBreakBefore w:val="0"/>
        <w:kinsoku/>
        <w:wordWrap w:val="0"/>
        <w:topLinePunct w:val="0"/>
        <w:spacing w:line="400" w:lineRule="exact"/>
        <w:ind w:firstLine="420" w:firstLineChars="200"/>
        <w:rPr>
          <w:rFonts w:ascii="宋体" w:hAnsi="宋体" w:cs="宋体"/>
          <w:color w:val="auto"/>
          <w:highlight w:val="none"/>
        </w:rPr>
      </w:pPr>
    </w:p>
    <w:p w14:paraId="2CF156A5">
      <w:pPr>
        <w:pageBreakBefore w:val="0"/>
        <w:kinsoku/>
        <w:wordWrap w:val="0"/>
        <w:topLinePunct w:val="0"/>
        <w:spacing w:line="400" w:lineRule="exact"/>
        <w:ind w:firstLine="420" w:firstLineChars="200"/>
        <w:rPr>
          <w:rFonts w:ascii="宋体" w:hAnsi="宋体" w:cs="宋体"/>
          <w:color w:val="auto"/>
          <w:highlight w:val="none"/>
        </w:rPr>
      </w:pPr>
    </w:p>
    <w:p w14:paraId="0752EE5A">
      <w:pPr>
        <w:pStyle w:val="3"/>
        <w:pageBreakBefore w:val="0"/>
        <w:numPr>
          <w:ilvl w:val="0"/>
          <w:numId w:val="0"/>
        </w:numPr>
        <w:kinsoku/>
        <w:wordWrap w:val="0"/>
        <w:topLinePunct w:val="0"/>
        <w:jc w:val="center"/>
        <w:rPr>
          <w:rFonts w:eastAsia="宋体"/>
          <w:bCs/>
          <w:color w:val="auto"/>
          <w:highlight w:val="none"/>
        </w:rPr>
      </w:pPr>
      <w:r>
        <w:rPr>
          <w:color w:val="auto"/>
          <w:highlight w:val="none"/>
        </w:rPr>
        <w:br w:type="page"/>
      </w:r>
      <w:bookmarkStart w:id="57" w:name="_Toc4372"/>
      <w:bookmarkStart w:id="58" w:name="_Toc15452"/>
      <w:r>
        <w:rPr>
          <w:rFonts w:hint="eastAsia" w:eastAsia="宋体"/>
          <w:bCs/>
          <w:color w:val="auto"/>
          <w:highlight w:val="none"/>
        </w:rPr>
        <w:t>第六章 响应文件格式</w:t>
      </w:r>
      <w:bookmarkEnd w:id="57"/>
      <w:bookmarkEnd w:id="58"/>
    </w:p>
    <w:p w14:paraId="11FB89F2">
      <w:pPr>
        <w:pageBreakBefore w:val="0"/>
        <w:kinsoku/>
        <w:wordWrap w:val="0"/>
        <w:topLinePunct w:val="0"/>
        <w:rPr>
          <w:rStyle w:val="71"/>
          <w:rFonts w:hAnsi="宋体" w:cs="宋体"/>
          <w:bCs/>
          <w:color w:val="auto"/>
          <w:sz w:val="36"/>
          <w:szCs w:val="36"/>
          <w:highlight w:val="none"/>
        </w:rPr>
      </w:pPr>
      <w:r>
        <w:rPr>
          <w:rStyle w:val="71"/>
          <w:rFonts w:hint="eastAsia" w:hAnsi="宋体" w:cs="宋体"/>
          <w:bCs/>
          <w:color w:val="auto"/>
          <w:sz w:val="36"/>
          <w:szCs w:val="36"/>
          <w:highlight w:val="none"/>
        </w:rPr>
        <w:br w:type="page"/>
      </w:r>
    </w:p>
    <w:p w14:paraId="2F9CC70D">
      <w:pPr>
        <w:pageBreakBefore w:val="0"/>
        <w:kinsoku/>
        <w:wordWrap w:val="0"/>
        <w:topLinePunct w:val="0"/>
        <w:rPr>
          <w:b/>
          <w:color w:val="auto"/>
          <w:sz w:val="32"/>
          <w:szCs w:val="32"/>
          <w:highlight w:val="none"/>
        </w:rPr>
      </w:pPr>
      <w:r>
        <w:rPr>
          <w:rFonts w:hint="eastAsia"/>
          <w:b/>
          <w:color w:val="auto"/>
          <w:sz w:val="32"/>
          <w:szCs w:val="32"/>
          <w:highlight w:val="none"/>
        </w:rPr>
        <w:t>一、资格证明文件格式</w:t>
      </w:r>
    </w:p>
    <w:p w14:paraId="309BF523">
      <w:pPr>
        <w:pageBreakBefore w:val="0"/>
        <w:kinsoku/>
        <w:wordWrap w:val="0"/>
        <w:topLinePunct w:val="0"/>
        <w:snapToGrid w:val="0"/>
        <w:spacing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lang w:val="en-US" w:eastAsia="zh-CN"/>
        </w:rPr>
        <w:t>一）</w:t>
      </w:r>
      <w:r>
        <w:rPr>
          <w:rFonts w:hint="eastAsia" w:ascii="宋体" w:hAnsi="宋体"/>
          <w:b/>
          <w:color w:val="auto"/>
          <w:sz w:val="32"/>
          <w:szCs w:val="32"/>
          <w:highlight w:val="none"/>
        </w:rPr>
        <w:t>资格证明文件封面格式：</w:t>
      </w:r>
    </w:p>
    <w:p w14:paraId="64C1E820">
      <w:pPr>
        <w:pageBreakBefore w:val="0"/>
        <w:kinsoku/>
        <w:wordWrap w:val="0"/>
        <w:topLinePunct w:val="0"/>
        <w:snapToGrid w:val="0"/>
        <w:spacing w:beforeLines="50" w:after="50"/>
        <w:rPr>
          <w:color w:val="auto"/>
          <w:highlight w:val="none"/>
        </w:rPr>
      </w:pPr>
    </w:p>
    <w:p w14:paraId="061411C9">
      <w:pPr>
        <w:pageBreakBefore w:val="0"/>
        <w:kinsoku/>
        <w:wordWrap w:val="0"/>
        <w:topLinePunct w:val="0"/>
        <w:snapToGrid w:val="0"/>
        <w:spacing w:beforeLines="50" w:after="50"/>
        <w:rPr>
          <w:color w:val="auto"/>
          <w:highlight w:val="none"/>
        </w:rPr>
      </w:pPr>
    </w:p>
    <w:p w14:paraId="081135F5">
      <w:pPr>
        <w:pStyle w:val="249"/>
        <w:pageBreakBefore w:val="0"/>
        <w:kinsoku/>
        <w:wordWrap w:val="0"/>
        <w:topLinePunct w:val="0"/>
        <w:rPr>
          <w:color w:val="auto"/>
          <w:highlight w:val="none"/>
        </w:rPr>
      </w:pPr>
    </w:p>
    <w:p w14:paraId="0482D556">
      <w:pPr>
        <w:pStyle w:val="249"/>
        <w:pageBreakBefore w:val="0"/>
        <w:kinsoku/>
        <w:wordWrap w:val="0"/>
        <w:topLinePunct w:val="0"/>
        <w:rPr>
          <w:color w:val="auto"/>
          <w:highlight w:val="none"/>
        </w:rPr>
      </w:pPr>
    </w:p>
    <w:p w14:paraId="2E3C00DC">
      <w:pPr>
        <w:pStyle w:val="249"/>
        <w:pageBreakBefore w:val="0"/>
        <w:kinsoku/>
        <w:wordWrap w:val="0"/>
        <w:topLinePunct w:val="0"/>
        <w:rPr>
          <w:color w:val="auto"/>
          <w:highlight w:val="none"/>
        </w:rPr>
      </w:pPr>
    </w:p>
    <w:p w14:paraId="4F4BC9B2">
      <w:pPr>
        <w:pageBreakBefore w:val="0"/>
        <w:kinsoku/>
        <w:wordWrap w:val="0"/>
        <w:topLinePunct w:val="0"/>
        <w:snapToGrid w:val="0"/>
        <w:spacing w:beforeLines="50" w:after="50"/>
        <w:rPr>
          <w:rFonts w:ascii="宋体" w:hAnsi="宋体"/>
          <w:color w:val="auto"/>
          <w:sz w:val="24"/>
          <w:szCs w:val="20"/>
          <w:highlight w:val="none"/>
        </w:rPr>
      </w:pPr>
    </w:p>
    <w:p w14:paraId="4895D8BE">
      <w:pPr>
        <w:pageBreakBefore w:val="0"/>
        <w:kinsoku/>
        <w:wordWrap w:val="0"/>
        <w:topLinePunct w:val="0"/>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3E61529A">
      <w:pPr>
        <w:pageBreakBefore w:val="0"/>
        <w:kinsoku/>
        <w:wordWrap w:val="0"/>
        <w:topLinePunct w:val="0"/>
        <w:snapToGrid w:val="0"/>
        <w:spacing w:beforeLines="50" w:after="50"/>
        <w:jc w:val="center"/>
        <w:rPr>
          <w:rFonts w:ascii="宋体" w:hAnsi="宋体" w:cs="宋体"/>
          <w:bCs/>
          <w:color w:val="auto"/>
          <w:sz w:val="44"/>
          <w:szCs w:val="44"/>
          <w:highlight w:val="none"/>
        </w:rPr>
      </w:pPr>
    </w:p>
    <w:p w14:paraId="6DB2D764">
      <w:pPr>
        <w:pageBreakBefore w:val="0"/>
        <w:kinsoku/>
        <w:wordWrap w:val="0"/>
        <w:topLinePunct w:val="0"/>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5DA64B87">
      <w:pPr>
        <w:pageBreakBefore w:val="0"/>
        <w:kinsoku/>
        <w:wordWrap w:val="0"/>
        <w:topLinePunct w:val="0"/>
        <w:snapToGrid w:val="0"/>
        <w:spacing w:beforeLines="50" w:after="50"/>
        <w:rPr>
          <w:rFonts w:ascii="宋体" w:hAnsi="宋体" w:cs="仿宋_GB2312"/>
          <w:bCs/>
          <w:color w:val="auto"/>
          <w:sz w:val="32"/>
          <w:szCs w:val="32"/>
          <w:highlight w:val="none"/>
        </w:rPr>
      </w:pPr>
    </w:p>
    <w:p w14:paraId="7255A01E">
      <w:pPr>
        <w:pageBreakBefore w:val="0"/>
        <w:kinsoku/>
        <w:wordWrap w:val="0"/>
        <w:topLinePunct w:val="0"/>
        <w:snapToGrid w:val="0"/>
        <w:spacing w:beforeLines="50" w:after="50"/>
        <w:ind w:firstLine="2560" w:firstLineChars="800"/>
        <w:rPr>
          <w:rFonts w:hint="eastAsia" w:cs="仿宋_GB2312"/>
          <w:bCs/>
          <w:color w:val="auto"/>
          <w:sz w:val="32"/>
          <w:szCs w:val="32"/>
          <w:highlight w:val="none"/>
        </w:rPr>
      </w:pPr>
    </w:p>
    <w:p w14:paraId="7982D237">
      <w:pPr>
        <w:pageBreakBefore w:val="0"/>
        <w:kinsoku/>
        <w:wordWrap w:val="0"/>
        <w:topLinePunct w:val="0"/>
        <w:snapToGrid w:val="0"/>
        <w:spacing w:beforeLines="50" w:after="50"/>
        <w:ind w:firstLine="960" w:firstLineChars="300"/>
        <w:rPr>
          <w:rFonts w:hint="eastAsia" w:ascii="宋体" w:hAnsi="宋体" w:eastAsia="宋体"/>
          <w:color w:val="auto"/>
          <w:sz w:val="24"/>
          <w:highlight w:val="none"/>
          <w:lang w:eastAsia="zh-CN"/>
        </w:rPr>
      </w:pPr>
      <w:r>
        <w:rPr>
          <w:rFonts w:hint="eastAsia" w:cs="仿宋_GB2312"/>
          <w:bCs/>
          <w:color w:val="auto"/>
          <w:sz w:val="32"/>
          <w:szCs w:val="32"/>
          <w:highlight w:val="none"/>
        </w:rPr>
        <w:t>项目名称</w:t>
      </w:r>
      <w:r>
        <w:rPr>
          <w:rFonts w:hint="eastAsia" w:cs="仿宋_GB2312"/>
          <w:bCs/>
          <w:color w:val="auto"/>
          <w:sz w:val="32"/>
          <w:szCs w:val="32"/>
          <w:highlight w:val="none"/>
          <w:lang w:eastAsia="zh-CN"/>
        </w:rPr>
        <w:t>：</w:t>
      </w:r>
    </w:p>
    <w:p w14:paraId="4CBDE79A">
      <w:pPr>
        <w:pageBreakBefore w:val="0"/>
        <w:kinsoku/>
        <w:wordWrap w:val="0"/>
        <w:topLinePunct w:val="0"/>
        <w:snapToGrid w:val="0"/>
        <w:spacing w:beforeLines="50" w:after="50"/>
        <w:rPr>
          <w:rFonts w:ascii="宋体" w:hAnsi="宋体" w:cs="仿宋_GB2312"/>
          <w:bCs/>
          <w:color w:val="auto"/>
          <w:sz w:val="32"/>
          <w:szCs w:val="32"/>
          <w:highlight w:val="none"/>
        </w:rPr>
      </w:pPr>
    </w:p>
    <w:p w14:paraId="515E5F9F">
      <w:pPr>
        <w:pageBreakBefore w:val="0"/>
        <w:kinsoku/>
        <w:wordWrap w:val="0"/>
        <w:topLinePunct w:val="0"/>
        <w:snapToGrid w:val="0"/>
        <w:spacing w:beforeLines="50" w:after="50"/>
        <w:ind w:firstLine="960" w:firstLineChars="300"/>
        <w:rPr>
          <w:rFonts w:ascii="宋体" w:hAnsi="宋体"/>
          <w:bCs/>
          <w:color w:val="auto"/>
          <w:sz w:val="24"/>
          <w:szCs w:val="20"/>
          <w:highlight w:val="none"/>
        </w:rPr>
      </w:pPr>
      <w:r>
        <w:rPr>
          <w:rFonts w:hint="eastAsia" w:ascii="宋体" w:hAnsi="宋体" w:cs="仿宋_GB2312"/>
          <w:bCs/>
          <w:color w:val="auto"/>
          <w:sz w:val="32"/>
          <w:szCs w:val="32"/>
          <w:highlight w:val="none"/>
        </w:rPr>
        <w:t>项目编号：</w:t>
      </w:r>
    </w:p>
    <w:p w14:paraId="1DB2D35B">
      <w:pPr>
        <w:pageBreakBefore w:val="0"/>
        <w:kinsoku/>
        <w:wordWrap w:val="0"/>
        <w:topLinePunct w:val="0"/>
        <w:snapToGrid w:val="0"/>
        <w:spacing w:beforeLines="50" w:after="50"/>
        <w:rPr>
          <w:rFonts w:ascii="宋体" w:hAnsi="宋体" w:cs="仿宋_GB2312"/>
          <w:bCs/>
          <w:color w:val="auto"/>
          <w:sz w:val="32"/>
          <w:szCs w:val="32"/>
          <w:highlight w:val="none"/>
        </w:rPr>
      </w:pPr>
    </w:p>
    <w:p w14:paraId="0CA9AE13">
      <w:pPr>
        <w:pStyle w:val="8"/>
        <w:pageBreakBefore w:val="0"/>
        <w:kinsoku/>
        <w:wordWrap w:val="0"/>
        <w:topLinePunct w:val="0"/>
        <w:snapToGrid w:val="0"/>
        <w:spacing w:before="50" w:after="50"/>
        <w:ind w:firstLine="1040" w:firstLineChars="3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91B0977">
      <w:pPr>
        <w:pageBreakBefore w:val="0"/>
        <w:kinsoku/>
        <w:wordWrap w:val="0"/>
        <w:topLinePunct w:val="0"/>
        <w:snapToGrid w:val="0"/>
        <w:spacing w:beforeLines="50" w:after="50"/>
        <w:jc w:val="center"/>
        <w:rPr>
          <w:rFonts w:ascii="宋体" w:hAnsi="宋体" w:cs="仿宋_GB2312"/>
          <w:color w:val="auto"/>
          <w:sz w:val="32"/>
          <w:szCs w:val="32"/>
          <w:highlight w:val="none"/>
        </w:rPr>
      </w:pPr>
    </w:p>
    <w:p w14:paraId="5D8D689A">
      <w:pPr>
        <w:pageBreakBefore w:val="0"/>
        <w:kinsoku/>
        <w:wordWrap w:val="0"/>
        <w:topLinePunct w:val="0"/>
        <w:snapToGrid w:val="0"/>
        <w:spacing w:beforeLines="50" w:after="50"/>
        <w:jc w:val="center"/>
        <w:rPr>
          <w:rFonts w:ascii="宋体" w:hAnsi="宋体" w:cs="仿宋_GB2312"/>
          <w:color w:val="auto"/>
          <w:sz w:val="32"/>
          <w:szCs w:val="32"/>
          <w:highlight w:val="none"/>
        </w:rPr>
      </w:pPr>
    </w:p>
    <w:p w14:paraId="3D7C52A3">
      <w:pPr>
        <w:pageBreakBefore w:val="0"/>
        <w:kinsoku/>
        <w:wordWrap w:val="0"/>
        <w:topLinePunct w:val="0"/>
        <w:snapToGrid w:val="0"/>
        <w:spacing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6FC9D1E">
      <w:pPr>
        <w:pageBreakBefore w:val="0"/>
        <w:kinsoku/>
        <w:wordWrap w:val="0"/>
        <w:topLinePunct w:val="0"/>
        <w:snapToGrid w:val="0"/>
        <w:spacing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lang w:val="en-US" w:eastAsia="zh-CN"/>
        </w:rPr>
        <w:t>二）</w:t>
      </w:r>
      <w:r>
        <w:rPr>
          <w:rFonts w:hint="eastAsia" w:ascii="宋体" w:hAnsi="宋体"/>
          <w:b/>
          <w:bCs/>
          <w:color w:val="auto"/>
          <w:sz w:val="32"/>
          <w:szCs w:val="32"/>
          <w:highlight w:val="none"/>
        </w:rPr>
        <w:t>资格证明文件目录</w:t>
      </w:r>
    </w:p>
    <w:p w14:paraId="5B9C392C">
      <w:pPr>
        <w:pageBreakBefore w:val="0"/>
        <w:kinsoku/>
        <w:wordWrap w:val="0"/>
        <w:topLinePunct w:val="0"/>
        <w:snapToGrid w:val="0"/>
        <w:spacing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3FF2CB4E">
      <w:pPr>
        <w:pageBreakBefore w:val="0"/>
        <w:kinsoku/>
        <w:wordWrap w:val="0"/>
        <w:topLinePunct w:val="0"/>
        <w:snapToGrid w:val="0"/>
        <w:spacing w:beforeLines="50" w:after="50"/>
        <w:rPr>
          <w:rFonts w:ascii="宋体" w:hAnsi="宋体"/>
          <w:color w:val="auto"/>
          <w:sz w:val="24"/>
          <w:szCs w:val="20"/>
          <w:highlight w:val="none"/>
        </w:rPr>
      </w:pPr>
    </w:p>
    <w:p w14:paraId="65D8D58C">
      <w:pPr>
        <w:pageBreakBefore w:val="0"/>
        <w:kinsoku/>
        <w:wordWrap w:val="0"/>
        <w:topLinePunct w:val="0"/>
        <w:spacing w:line="300" w:lineRule="auto"/>
        <w:rPr>
          <w:rFonts w:ascii="宋体" w:hAnsi="宋体"/>
          <w:color w:val="auto"/>
          <w:highlight w:val="none"/>
        </w:rPr>
      </w:pPr>
    </w:p>
    <w:p w14:paraId="544E12EA">
      <w:pPr>
        <w:pageBreakBefore w:val="0"/>
        <w:kinsoku/>
        <w:wordWrap w:val="0"/>
        <w:topLinePunct w:val="0"/>
        <w:spacing w:line="300" w:lineRule="auto"/>
        <w:rPr>
          <w:rFonts w:ascii="宋体" w:hAnsi="宋体"/>
          <w:color w:val="auto"/>
          <w:highlight w:val="none"/>
        </w:rPr>
      </w:pPr>
    </w:p>
    <w:p w14:paraId="7D674459">
      <w:pPr>
        <w:pageBreakBefore w:val="0"/>
        <w:kinsoku/>
        <w:wordWrap w:val="0"/>
        <w:topLinePunct w:val="0"/>
        <w:spacing w:line="300" w:lineRule="auto"/>
        <w:rPr>
          <w:rFonts w:ascii="宋体" w:hAnsi="宋体"/>
          <w:color w:val="auto"/>
          <w:highlight w:val="none"/>
        </w:rPr>
      </w:pPr>
    </w:p>
    <w:p w14:paraId="59CBB0C0">
      <w:pPr>
        <w:pageBreakBefore w:val="0"/>
        <w:kinsoku/>
        <w:wordWrap w:val="0"/>
        <w:topLinePunct w:val="0"/>
        <w:spacing w:line="300" w:lineRule="auto"/>
        <w:rPr>
          <w:rFonts w:ascii="宋体" w:hAnsi="宋体"/>
          <w:color w:val="auto"/>
          <w:highlight w:val="none"/>
        </w:rPr>
      </w:pPr>
    </w:p>
    <w:p w14:paraId="6D0E496E">
      <w:pPr>
        <w:pageBreakBefore w:val="0"/>
        <w:kinsoku/>
        <w:wordWrap w:val="0"/>
        <w:topLinePunct w:val="0"/>
        <w:spacing w:line="300" w:lineRule="auto"/>
        <w:rPr>
          <w:rFonts w:ascii="宋体" w:hAnsi="宋体"/>
          <w:color w:val="auto"/>
          <w:highlight w:val="none"/>
        </w:rPr>
      </w:pPr>
    </w:p>
    <w:p w14:paraId="44B44E7B">
      <w:pPr>
        <w:pageBreakBefore w:val="0"/>
        <w:kinsoku/>
        <w:wordWrap w:val="0"/>
        <w:topLinePunct w:val="0"/>
        <w:spacing w:line="300" w:lineRule="auto"/>
        <w:rPr>
          <w:rFonts w:ascii="宋体" w:hAnsi="宋体"/>
          <w:color w:val="auto"/>
          <w:highlight w:val="none"/>
        </w:rPr>
      </w:pPr>
    </w:p>
    <w:p w14:paraId="3601A8EC">
      <w:pPr>
        <w:pageBreakBefore w:val="0"/>
        <w:kinsoku/>
        <w:wordWrap w:val="0"/>
        <w:topLinePunct w:val="0"/>
        <w:spacing w:line="300" w:lineRule="auto"/>
        <w:rPr>
          <w:rFonts w:ascii="宋体" w:hAnsi="宋体"/>
          <w:color w:val="auto"/>
          <w:highlight w:val="none"/>
        </w:rPr>
      </w:pPr>
    </w:p>
    <w:p w14:paraId="3AC9CC19">
      <w:pPr>
        <w:pageBreakBefore w:val="0"/>
        <w:kinsoku/>
        <w:wordWrap w:val="0"/>
        <w:topLinePunct w:val="0"/>
        <w:spacing w:line="300" w:lineRule="auto"/>
        <w:rPr>
          <w:rFonts w:ascii="宋体" w:hAnsi="宋体"/>
          <w:color w:val="auto"/>
          <w:highlight w:val="none"/>
        </w:rPr>
      </w:pPr>
    </w:p>
    <w:p w14:paraId="23F5E506">
      <w:pPr>
        <w:pageBreakBefore w:val="0"/>
        <w:kinsoku/>
        <w:wordWrap w:val="0"/>
        <w:topLinePunct w:val="0"/>
        <w:spacing w:line="300" w:lineRule="auto"/>
        <w:rPr>
          <w:rFonts w:ascii="宋体" w:hAnsi="宋体"/>
          <w:color w:val="auto"/>
          <w:highlight w:val="none"/>
        </w:rPr>
      </w:pPr>
    </w:p>
    <w:p w14:paraId="4D332CE8">
      <w:pPr>
        <w:pageBreakBefore w:val="0"/>
        <w:kinsoku/>
        <w:wordWrap w:val="0"/>
        <w:topLinePunct w:val="0"/>
        <w:spacing w:line="300" w:lineRule="auto"/>
        <w:rPr>
          <w:rFonts w:ascii="宋体" w:hAnsi="宋体"/>
          <w:color w:val="auto"/>
          <w:highlight w:val="none"/>
        </w:rPr>
      </w:pPr>
    </w:p>
    <w:p w14:paraId="3516F1D8">
      <w:pPr>
        <w:pageBreakBefore w:val="0"/>
        <w:kinsoku/>
        <w:wordWrap w:val="0"/>
        <w:topLinePunct w:val="0"/>
        <w:spacing w:line="300" w:lineRule="auto"/>
        <w:rPr>
          <w:rFonts w:ascii="宋体" w:hAnsi="宋体"/>
          <w:color w:val="auto"/>
          <w:highlight w:val="none"/>
        </w:rPr>
      </w:pPr>
    </w:p>
    <w:p w14:paraId="38D5BD0F">
      <w:pPr>
        <w:pageBreakBefore w:val="0"/>
        <w:kinsoku/>
        <w:wordWrap w:val="0"/>
        <w:topLinePunct w:val="0"/>
        <w:spacing w:line="300" w:lineRule="auto"/>
        <w:rPr>
          <w:rFonts w:ascii="宋体" w:hAnsi="宋体"/>
          <w:color w:val="auto"/>
          <w:highlight w:val="none"/>
        </w:rPr>
      </w:pPr>
    </w:p>
    <w:p w14:paraId="234AB537">
      <w:pPr>
        <w:pageBreakBefore w:val="0"/>
        <w:kinsoku/>
        <w:wordWrap w:val="0"/>
        <w:topLinePunct w:val="0"/>
        <w:spacing w:line="300" w:lineRule="auto"/>
        <w:rPr>
          <w:rFonts w:ascii="宋体" w:hAnsi="宋体"/>
          <w:color w:val="auto"/>
          <w:highlight w:val="none"/>
        </w:rPr>
      </w:pPr>
    </w:p>
    <w:p w14:paraId="16C80830">
      <w:pPr>
        <w:pageBreakBefore w:val="0"/>
        <w:kinsoku/>
        <w:wordWrap w:val="0"/>
        <w:topLinePunct w:val="0"/>
        <w:spacing w:line="300" w:lineRule="auto"/>
        <w:rPr>
          <w:rFonts w:ascii="宋体" w:hAnsi="宋体"/>
          <w:color w:val="auto"/>
          <w:highlight w:val="none"/>
        </w:rPr>
      </w:pPr>
    </w:p>
    <w:p w14:paraId="333B5B3B">
      <w:pPr>
        <w:pageBreakBefore w:val="0"/>
        <w:kinsoku/>
        <w:wordWrap w:val="0"/>
        <w:topLinePunct w:val="0"/>
        <w:spacing w:line="300" w:lineRule="auto"/>
        <w:rPr>
          <w:rFonts w:ascii="宋体" w:hAnsi="宋体"/>
          <w:color w:val="auto"/>
          <w:highlight w:val="none"/>
        </w:rPr>
      </w:pPr>
    </w:p>
    <w:p w14:paraId="5FF9CD67">
      <w:pPr>
        <w:pageBreakBefore w:val="0"/>
        <w:kinsoku/>
        <w:wordWrap w:val="0"/>
        <w:topLinePunct w:val="0"/>
        <w:spacing w:line="320" w:lineRule="exact"/>
        <w:jc w:val="left"/>
        <w:rPr>
          <w:rFonts w:ascii="宋体" w:hAnsi="宋体"/>
          <w:color w:val="auto"/>
          <w:highlight w:val="none"/>
        </w:rPr>
      </w:pPr>
    </w:p>
    <w:p w14:paraId="7DE16091">
      <w:pPr>
        <w:pageBreakBefore w:val="0"/>
        <w:kinsoku/>
        <w:wordWrap w:val="0"/>
        <w:topLinePunct w:val="0"/>
        <w:spacing w:beforeLines="50" w:after="50" w:line="320" w:lineRule="exact"/>
        <w:ind w:right="482" w:firstLine="210" w:firstLineChars="100"/>
        <w:contextualSpacing/>
        <w:jc w:val="center"/>
        <w:rPr>
          <w:rFonts w:ascii="宋体" w:hAnsi="宋体"/>
          <w:color w:val="auto"/>
          <w:highlight w:val="none"/>
        </w:rPr>
      </w:pPr>
    </w:p>
    <w:p w14:paraId="610482AB">
      <w:pPr>
        <w:pageBreakBefore w:val="0"/>
        <w:kinsoku/>
        <w:wordWrap w:val="0"/>
        <w:topLinePunct w:val="0"/>
        <w:spacing w:line="320" w:lineRule="exact"/>
        <w:jc w:val="center"/>
        <w:rPr>
          <w:rFonts w:ascii="宋体" w:hAnsi="宋体"/>
          <w:b/>
          <w:color w:val="auto"/>
          <w:sz w:val="32"/>
          <w:szCs w:val="32"/>
          <w:highlight w:val="none"/>
        </w:rPr>
      </w:pPr>
    </w:p>
    <w:p w14:paraId="1FC152D4">
      <w:pPr>
        <w:pageBreakBefore w:val="0"/>
        <w:kinsoku/>
        <w:wordWrap w:val="0"/>
        <w:topLinePunct w:val="0"/>
        <w:spacing w:line="320" w:lineRule="exact"/>
        <w:jc w:val="center"/>
        <w:rPr>
          <w:rFonts w:ascii="宋体" w:hAnsi="宋体"/>
          <w:b/>
          <w:color w:val="auto"/>
          <w:sz w:val="32"/>
          <w:szCs w:val="32"/>
          <w:highlight w:val="none"/>
        </w:rPr>
      </w:pPr>
    </w:p>
    <w:p w14:paraId="0B6AB7D6">
      <w:pPr>
        <w:pageBreakBefore w:val="0"/>
        <w:kinsoku/>
        <w:wordWrap w:val="0"/>
        <w:topLinePunct w:val="0"/>
        <w:spacing w:line="320" w:lineRule="exact"/>
        <w:jc w:val="center"/>
        <w:rPr>
          <w:rFonts w:ascii="宋体" w:hAnsi="宋体"/>
          <w:b/>
          <w:color w:val="auto"/>
          <w:sz w:val="32"/>
          <w:szCs w:val="32"/>
          <w:highlight w:val="none"/>
        </w:rPr>
      </w:pPr>
    </w:p>
    <w:p w14:paraId="3281DD3A">
      <w:pPr>
        <w:pageBreakBefore w:val="0"/>
        <w:kinsoku/>
        <w:wordWrap w:val="0"/>
        <w:topLinePunct w:val="0"/>
        <w:spacing w:line="320" w:lineRule="exact"/>
        <w:jc w:val="center"/>
        <w:rPr>
          <w:rFonts w:ascii="宋体" w:hAnsi="宋体"/>
          <w:b/>
          <w:color w:val="auto"/>
          <w:sz w:val="32"/>
          <w:szCs w:val="32"/>
          <w:highlight w:val="none"/>
        </w:rPr>
      </w:pPr>
    </w:p>
    <w:p w14:paraId="244B6A7B">
      <w:pPr>
        <w:pageBreakBefore w:val="0"/>
        <w:kinsoku/>
        <w:wordWrap w:val="0"/>
        <w:topLinePunct w:val="0"/>
        <w:spacing w:line="320" w:lineRule="exact"/>
        <w:jc w:val="center"/>
        <w:rPr>
          <w:rFonts w:ascii="宋体" w:hAnsi="宋体"/>
          <w:b/>
          <w:color w:val="auto"/>
          <w:sz w:val="32"/>
          <w:szCs w:val="32"/>
          <w:highlight w:val="none"/>
        </w:rPr>
      </w:pPr>
    </w:p>
    <w:p w14:paraId="07C459C6">
      <w:pPr>
        <w:pageBreakBefore w:val="0"/>
        <w:kinsoku/>
        <w:wordWrap w:val="0"/>
        <w:topLinePunct w:val="0"/>
        <w:spacing w:line="320" w:lineRule="exact"/>
        <w:jc w:val="center"/>
        <w:rPr>
          <w:rFonts w:ascii="宋体" w:hAnsi="宋体"/>
          <w:b/>
          <w:color w:val="auto"/>
          <w:sz w:val="32"/>
          <w:szCs w:val="32"/>
          <w:highlight w:val="none"/>
        </w:rPr>
      </w:pPr>
    </w:p>
    <w:p w14:paraId="028CFD1D">
      <w:pPr>
        <w:pageBreakBefore w:val="0"/>
        <w:kinsoku/>
        <w:wordWrap w:val="0"/>
        <w:topLinePunct w:val="0"/>
        <w:spacing w:line="320" w:lineRule="exact"/>
        <w:jc w:val="center"/>
        <w:rPr>
          <w:rFonts w:ascii="宋体" w:hAnsi="宋体"/>
          <w:b/>
          <w:color w:val="auto"/>
          <w:sz w:val="32"/>
          <w:szCs w:val="32"/>
          <w:highlight w:val="none"/>
        </w:rPr>
      </w:pPr>
    </w:p>
    <w:p w14:paraId="208A8018">
      <w:pPr>
        <w:pageBreakBefore w:val="0"/>
        <w:kinsoku/>
        <w:wordWrap w:val="0"/>
        <w:topLinePunct w:val="0"/>
        <w:spacing w:line="320" w:lineRule="exact"/>
        <w:jc w:val="center"/>
        <w:rPr>
          <w:rFonts w:ascii="宋体" w:hAnsi="宋体"/>
          <w:b/>
          <w:color w:val="auto"/>
          <w:sz w:val="32"/>
          <w:szCs w:val="32"/>
          <w:highlight w:val="none"/>
        </w:rPr>
      </w:pPr>
    </w:p>
    <w:p w14:paraId="520E1017">
      <w:pPr>
        <w:pageBreakBefore w:val="0"/>
        <w:kinsoku/>
        <w:wordWrap w:val="0"/>
        <w:topLinePunct w:val="0"/>
        <w:spacing w:line="320" w:lineRule="exact"/>
        <w:jc w:val="center"/>
        <w:rPr>
          <w:rFonts w:ascii="宋体" w:hAnsi="宋体"/>
          <w:b/>
          <w:color w:val="auto"/>
          <w:sz w:val="32"/>
          <w:szCs w:val="32"/>
          <w:highlight w:val="none"/>
        </w:rPr>
      </w:pPr>
    </w:p>
    <w:p w14:paraId="32C1A699">
      <w:pPr>
        <w:pageBreakBefore w:val="0"/>
        <w:kinsoku/>
        <w:wordWrap w:val="0"/>
        <w:topLinePunct w:val="0"/>
        <w:spacing w:line="320" w:lineRule="exact"/>
        <w:jc w:val="center"/>
        <w:rPr>
          <w:rFonts w:ascii="宋体" w:hAnsi="宋体"/>
          <w:b/>
          <w:color w:val="auto"/>
          <w:sz w:val="32"/>
          <w:szCs w:val="32"/>
          <w:highlight w:val="none"/>
        </w:rPr>
      </w:pPr>
    </w:p>
    <w:p w14:paraId="1CB0554C">
      <w:pPr>
        <w:pageBreakBefore w:val="0"/>
        <w:kinsoku/>
        <w:wordWrap w:val="0"/>
        <w:topLinePunct w:val="0"/>
        <w:spacing w:line="320" w:lineRule="exact"/>
        <w:jc w:val="center"/>
        <w:rPr>
          <w:rFonts w:ascii="宋体" w:hAnsi="宋体"/>
          <w:b/>
          <w:color w:val="auto"/>
          <w:sz w:val="32"/>
          <w:szCs w:val="32"/>
          <w:highlight w:val="none"/>
        </w:rPr>
      </w:pPr>
    </w:p>
    <w:p w14:paraId="41E6E36F">
      <w:pPr>
        <w:pageBreakBefore w:val="0"/>
        <w:kinsoku/>
        <w:wordWrap w:val="0"/>
        <w:topLinePunct w:val="0"/>
        <w:spacing w:line="320" w:lineRule="exact"/>
        <w:jc w:val="center"/>
        <w:rPr>
          <w:rFonts w:ascii="宋体" w:hAnsi="宋体"/>
          <w:b/>
          <w:color w:val="auto"/>
          <w:sz w:val="32"/>
          <w:szCs w:val="32"/>
          <w:highlight w:val="none"/>
        </w:rPr>
      </w:pPr>
    </w:p>
    <w:p w14:paraId="2CD29E29">
      <w:pPr>
        <w:pageBreakBefore w:val="0"/>
        <w:kinsoku/>
        <w:wordWrap w:val="0"/>
        <w:topLinePunct w:val="0"/>
        <w:spacing w:line="320" w:lineRule="exact"/>
        <w:jc w:val="center"/>
        <w:rPr>
          <w:rFonts w:ascii="宋体" w:hAnsi="宋体"/>
          <w:b/>
          <w:color w:val="auto"/>
          <w:sz w:val="32"/>
          <w:szCs w:val="32"/>
          <w:highlight w:val="none"/>
        </w:rPr>
      </w:pPr>
    </w:p>
    <w:p w14:paraId="4FA06595">
      <w:pPr>
        <w:pageBreakBefore w:val="0"/>
        <w:kinsoku/>
        <w:wordWrap w:val="0"/>
        <w:topLinePunct w:val="0"/>
        <w:spacing w:line="320" w:lineRule="exact"/>
        <w:jc w:val="center"/>
        <w:rPr>
          <w:rFonts w:ascii="宋体" w:hAnsi="宋体"/>
          <w:b/>
          <w:color w:val="auto"/>
          <w:sz w:val="32"/>
          <w:szCs w:val="32"/>
          <w:highlight w:val="none"/>
        </w:rPr>
      </w:pPr>
    </w:p>
    <w:p w14:paraId="32CC81B4">
      <w:pPr>
        <w:pageBreakBefore w:val="0"/>
        <w:kinsoku/>
        <w:wordWrap w:val="0"/>
        <w:topLinePunct w:val="0"/>
        <w:spacing w:line="320" w:lineRule="exact"/>
        <w:rPr>
          <w:rFonts w:ascii="宋体" w:hAnsi="宋体"/>
          <w:b/>
          <w:color w:val="auto"/>
          <w:sz w:val="32"/>
          <w:szCs w:val="32"/>
          <w:highlight w:val="none"/>
        </w:rPr>
      </w:pPr>
    </w:p>
    <w:p w14:paraId="67764AD1">
      <w:pPr>
        <w:pStyle w:val="5"/>
        <w:pageBreakBefore w:val="0"/>
        <w:kinsoku/>
        <w:wordWrap w:val="0"/>
        <w:topLinePunct w:val="0"/>
        <w:rPr>
          <w:color w:val="auto"/>
          <w:highlight w:val="none"/>
        </w:rPr>
      </w:pPr>
      <w:r>
        <w:rPr>
          <w:rFonts w:hint="eastAsia"/>
          <w:color w:val="auto"/>
          <w:highlight w:val="none"/>
        </w:rPr>
        <w:t>1、</w:t>
      </w:r>
      <w:r>
        <w:rPr>
          <w:rFonts w:hint="eastAsia"/>
          <w:b w:val="0"/>
          <w:bCs/>
          <w:color w:val="auto"/>
          <w:highlight w:val="none"/>
        </w:rPr>
        <w:t>供应商为法人或者其他组织的，证明文件为其营业执照复印件（如营业执照或者事业单位法人证书或者执业许可证等）；供应商为自然人的，证明文件为其身份证复印件；</w:t>
      </w:r>
      <w:r>
        <w:rPr>
          <w:rFonts w:hint="eastAsia"/>
          <w:color w:val="auto"/>
          <w:highlight w:val="none"/>
        </w:rPr>
        <w:t>（必须提供，否则响应文件按无效响应处理）</w:t>
      </w:r>
      <w:r>
        <w:rPr>
          <w:color w:val="auto"/>
          <w:highlight w:val="none"/>
        </w:rPr>
        <w:tab/>
      </w:r>
    </w:p>
    <w:p w14:paraId="3EBC0AF5">
      <w:pPr>
        <w:pStyle w:val="5"/>
        <w:pageBreakBefore w:val="0"/>
        <w:kinsoku/>
        <w:wordWrap w:val="0"/>
        <w:topLinePunct w:val="0"/>
        <w:rPr>
          <w:rFonts w:hint="eastAsia" w:eastAsia="宋体"/>
          <w:b w:val="0"/>
          <w:bCs/>
          <w:color w:val="auto"/>
          <w:highlight w:val="none"/>
        </w:rPr>
      </w:pPr>
    </w:p>
    <w:p w14:paraId="0D5A8F3B">
      <w:pPr>
        <w:pStyle w:val="5"/>
        <w:pageBreakBefore w:val="0"/>
        <w:kinsoku/>
        <w:wordWrap w:val="0"/>
        <w:topLinePunct w:val="0"/>
        <w:rPr>
          <w:rFonts w:hint="eastAsia" w:eastAsia="宋体"/>
          <w:b w:val="0"/>
          <w:bCs/>
          <w:color w:val="auto"/>
          <w:highlight w:val="none"/>
        </w:rPr>
      </w:pPr>
    </w:p>
    <w:p w14:paraId="2D82683A">
      <w:pPr>
        <w:pStyle w:val="5"/>
        <w:pageBreakBefore w:val="0"/>
        <w:kinsoku/>
        <w:wordWrap w:val="0"/>
        <w:topLinePunct w:val="0"/>
        <w:rPr>
          <w:rFonts w:hint="eastAsia" w:eastAsia="宋体"/>
          <w:b/>
          <w:bCs w:val="0"/>
          <w:color w:val="auto"/>
          <w:highlight w:val="none"/>
        </w:rPr>
      </w:pPr>
      <w:r>
        <w:rPr>
          <w:rFonts w:hint="eastAsia" w:eastAsia="宋体"/>
          <w:b w:val="0"/>
          <w:bCs/>
          <w:color w:val="auto"/>
          <w:highlight w:val="none"/>
        </w:rPr>
        <w:t>2、</w:t>
      </w:r>
      <w:r>
        <w:rPr>
          <w:rFonts w:hint="eastAsia" w:eastAsia="宋体"/>
          <w:b w:val="0"/>
          <w:bCs/>
          <w:color w:val="auto"/>
          <w:highlight w:val="none"/>
          <w:lang w:eastAsia="zh-CN"/>
        </w:rPr>
        <w:t>供应商</w:t>
      </w:r>
      <w:r>
        <w:rPr>
          <w:rFonts w:hint="eastAsia" w:eastAsia="宋体"/>
          <w:b w:val="0"/>
          <w:bCs/>
          <w:color w:val="auto"/>
          <w:highlight w:val="none"/>
        </w:rPr>
        <w:t>依法缴纳税收的相关材料（202</w:t>
      </w:r>
      <w:r>
        <w:rPr>
          <w:rFonts w:hint="eastAsia" w:eastAsia="宋体"/>
          <w:b w:val="0"/>
          <w:bCs/>
          <w:color w:val="auto"/>
          <w:highlight w:val="none"/>
          <w:lang w:val="en-US" w:eastAsia="zh-CN"/>
        </w:rPr>
        <w:t>6</w:t>
      </w:r>
      <w:r>
        <w:rPr>
          <w:rFonts w:hint="eastAsia" w:eastAsia="宋体"/>
          <w:b w:val="0"/>
          <w:bCs/>
          <w:color w:val="auto"/>
          <w:highlight w:val="none"/>
        </w:rPr>
        <w:t xml:space="preserve"> 年</w:t>
      </w:r>
      <w:r>
        <w:rPr>
          <w:rFonts w:hint="eastAsia" w:eastAsia="宋体"/>
          <w:b w:val="0"/>
          <w:bCs/>
          <w:color w:val="auto"/>
          <w:highlight w:val="none"/>
          <w:lang w:val="en-US" w:eastAsia="zh-CN"/>
        </w:rPr>
        <w:t>1</w:t>
      </w:r>
      <w:r>
        <w:rPr>
          <w:rFonts w:hint="eastAsia" w:eastAsia="宋体"/>
          <w:b w:val="0"/>
          <w:bCs/>
          <w:color w:val="auto"/>
          <w:highlight w:val="none"/>
        </w:rPr>
        <w:t>月至</w:t>
      </w:r>
      <w:r>
        <w:rPr>
          <w:rFonts w:hint="eastAsia" w:eastAsia="宋体"/>
          <w:b w:val="0"/>
          <w:bCs/>
          <w:color w:val="auto"/>
          <w:highlight w:val="none"/>
          <w:lang w:val="en-US" w:eastAsia="zh-CN"/>
        </w:rPr>
        <w:t>竞标截止之日止</w:t>
      </w:r>
      <w:r>
        <w:rPr>
          <w:rFonts w:hint="eastAsia" w:eastAsia="宋体"/>
          <w:b w:val="0"/>
          <w:bCs/>
          <w:color w:val="auto"/>
          <w:highlight w:val="none"/>
        </w:rPr>
        <w:t>连续 3个月的依法缴纳税收的证明材料复印件；依法免税的供应商，必须提供符合免税条件的证明材料。从成立之日起到</w:t>
      </w:r>
      <w:r>
        <w:rPr>
          <w:rFonts w:hint="eastAsia" w:eastAsia="宋体"/>
          <w:b w:val="0"/>
          <w:bCs/>
          <w:color w:val="auto"/>
          <w:highlight w:val="none"/>
          <w:lang w:eastAsia="zh-CN"/>
        </w:rPr>
        <w:t>响应文件</w:t>
      </w:r>
      <w:r>
        <w:rPr>
          <w:rFonts w:hint="eastAsia" w:eastAsia="宋体"/>
          <w:b w:val="0"/>
          <w:bCs/>
          <w:color w:val="auto"/>
          <w:highlight w:val="none"/>
        </w:rPr>
        <w:t>提交截止时间止不足要求月数的，只需提供从成立之日起的依法缴纳税收相应证明文件）；</w:t>
      </w:r>
      <w:r>
        <w:rPr>
          <w:rFonts w:hint="eastAsia" w:eastAsia="宋体"/>
          <w:b/>
          <w:bCs w:val="0"/>
          <w:color w:val="auto"/>
          <w:highlight w:val="none"/>
        </w:rPr>
        <w:t>（必须提供，否则响应文件按无效响应处理）</w:t>
      </w:r>
    </w:p>
    <w:p w14:paraId="3C7EABC2">
      <w:pPr>
        <w:pageBreakBefore w:val="0"/>
        <w:kinsoku/>
        <w:wordWrap w:val="0"/>
        <w:topLinePunct w:val="0"/>
        <w:spacing w:line="300" w:lineRule="auto"/>
        <w:rPr>
          <w:rFonts w:ascii="宋体" w:hAnsi="宋体" w:cs="宋体"/>
          <w:b/>
          <w:bCs/>
          <w:color w:val="auto"/>
          <w:sz w:val="44"/>
          <w:szCs w:val="44"/>
          <w:highlight w:val="none"/>
        </w:rPr>
      </w:pPr>
    </w:p>
    <w:p w14:paraId="14976F26">
      <w:pPr>
        <w:pStyle w:val="5"/>
        <w:pageBreakBefore w:val="0"/>
        <w:kinsoku/>
        <w:wordWrap w:val="0"/>
        <w:topLinePunct w:val="0"/>
        <w:rPr>
          <w:rFonts w:hint="eastAsia" w:eastAsia="宋体"/>
          <w:b w:val="0"/>
          <w:bCs/>
          <w:color w:val="auto"/>
          <w:highlight w:val="none"/>
        </w:rPr>
      </w:pPr>
      <w:r>
        <w:rPr>
          <w:rFonts w:hint="eastAsia" w:eastAsia="宋体"/>
          <w:b w:val="0"/>
          <w:bCs/>
          <w:color w:val="auto"/>
          <w:highlight w:val="none"/>
          <w:lang w:val="en-US" w:eastAsia="zh-CN"/>
        </w:rPr>
        <w:t>3</w:t>
      </w:r>
      <w:r>
        <w:rPr>
          <w:rFonts w:hint="eastAsia" w:eastAsia="宋体"/>
          <w:b w:val="0"/>
          <w:bCs/>
          <w:color w:val="auto"/>
          <w:highlight w:val="none"/>
          <w:lang w:eastAsia="zh-CN"/>
        </w:rPr>
        <w:t>、供应商</w:t>
      </w:r>
      <w:r>
        <w:rPr>
          <w:rFonts w:hint="eastAsia"/>
          <w:b w:val="0"/>
          <w:bCs/>
          <w:color w:val="auto"/>
          <w:highlight w:val="none"/>
          <w:lang w:val="en-US" w:eastAsia="zh-CN"/>
        </w:rPr>
        <w:t>近一个月</w:t>
      </w:r>
      <w:r>
        <w:rPr>
          <w:rFonts w:hint="eastAsia" w:eastAsia="宋体"/>
          <w:b w:val="0"/>
          <w:bCs/>
          <w:color w:val="auto"/>
          <w:highlight w:val="none"/>
        </w:rPr>
        <w:t>依法缴纳社会保障资金的相关材料[202</w:t>
      </w:r>
      <w:r>
        <w:rPr>
          <w:rFonts w:hint="eastAsia" w:eastAsia="宋体"/>
          <w:b w:val="0"/>
          <w:bCs/>
          <w:color w:val="auto"/>
          <w:highlight w:val="none"/>
          <w:lang w:val="en-US" w:eastAsia="zh-CN"/>
        </w:rPr>
        <w:t>6</w:t>
      </w:r>
      <w:r>
        <w:rPr>
          <w:rFonts w:hint="eastAsia" w:eastAsia="宋体"/>
          <w:b w:val="0"/>
          <w:bCs/>
          <w:color w:val="auto"/>
          <w:highlight w:val="none"/>
        </w:rPr>
        <w:t xml:space="preserve"> 年 </w:t>
      </w:r>
      <w:r>
        <w:rPr>
          <w:rFonts w:hint="eastAsia"/>
          <w:b w:val="0"/>
          <w:bCs/>
          <w:color w:val="auto"/>
          <w:highlight w:val="none"/>
          <w:lang w:val="en-US" w:eastAsia="zh-CN"/>
        </w:rPr>
        <w:t>6月</w:t>
      </w:r>
      <w:r>
        <w:rPr>
          <w:rFonts w:hint="eastAsia" w:eastAsia="宋体"/>
          <w:b w:val="0"/>
          <w:bCs/>
          <w:color w:val="auto"/>
          <w:highlight w:val="none"/>
        </w:rPr>
        <w:t>的依法缴纳社会保障资金的缴费证明材料（如：专用收据、社会保险缴纳清单或者社保部门的证明）复印件；依法不需要缴纳社会保障资金的供应商，必须提供相应文件证明不需要缴纳社会保障资金。从成立之日起到</w:t>
      </w:r>
      <w:r>
        <w:rPr>
          <w:rFonts w:hint="eastAsia" w:eastAsia="宋体"/>
          <w:b w:val="0"/>
          <w:bCs/>
          <w:color w:val="auto"/>
          <w:highlight w:val="none"/>
          <w:lang w:eastAsia="zh-CN"/>
        </w:rPr>
        <w:t>响应文件</w:t>
      </w:r>
      <w:r>
        <w:rPr>
          <w:rFonts w:hint="eastAsia" w:eastAsia="宋体"/>
          <w:b w:val="0"/>
          <w:bCs/>
          <w:color w:val="auto"/>
          <w:highlight w:val="none"/>
        </w:rPr>
        <w:t>提交截止时间止不足要求月数的只需提供从成立之日起的依法缴纳社会保障资金的相应证明文件]；</w:t>
      </w:r>
      <w:r>
        <w:rPr>
          <w:rFonts w:hint="eastAsia" w:eastAsia="宋体"/>
          <w:b/>
          <w:bCs w:val="0"/>
          <w:color w:val="auto"/>
          <w:highlight w:val="none"/>
        </w:rPr>
        <w:t>（必须提供，否则响应文件按无效响应处理）</w:t>
      </w:r>
    </w:p>
    <w:p w14:paraId="5D123A1C">
      <w:pPr>
        <w:pStyle w:val="5"/>
        <w:pageBreakBefore w:val="0"/>
        <w:kinsoku/>
        <w:wordWrap w:val="0"/>
        <w:topLinePunct w:val="0"/>
        <w:rPr>
          <w:rFonts w:hint="eastAsia" w:eastAsia="宋体"/>
          <w:b w:val="0"/>
          <w:bCs/>
          <w:color w:val="auto"/>
          <w:highlight w:val="none"/>
          <w:lang w:val="en-US" w:eastAsia="zh-CN"/>
        </w:rPr>
      </w:pPr>
    </w:p>
    <w:p w14:paraId="78254D85">
      <w:pPr>
        <w:pStyle w:val="5"/>
        <w:pageBreakBefore w:val="0"/>
        <w:kinsoku/>
        <w:wordWrap w:val="0"/>
        <w:topLinePunct w:val="0"/>
        <w:rPr>
          <w:rFonts w:hint="eastAsia" w:eastAsia="宋体"/>
          <w:b w:val="0"/>
          <w:bCs/>
          <w:color w:val="auto"/>
          <w:highlight w:val="none"/>
          <w:lang w:val="en-US" w:eastAsia="zh-CN"/>
        </w:rPr>
      </w:pPr>
    </w:p>
    <w:p w14:paraId="62DE7F15">
      <w:pPr>
        <w:pStyle w:val="5"/>
        <w:pageBreakBefore w:val="0"/>
        <w:kinsoku/>
        <w:wordWrap w:val="0"/>
        <w:topLinePunct w:val="0"/>
        <w:rPr>
          <w:rFonts w:hint="eastAsia" w:eastAsia="宋体"/>
          <w:b/>
          <w:bCs w:val="0"/>
          <w:color w:val="auto"/>
          <w:highlight w:val="none"/>
        </w:rPr>
      </w:pPr>
      <w:r>
        <w:rPr>
          <w:rFonts w:hint="eastAsia" w:eastAsia="宋体"/>
          <w:b w:val="0"/>
          <w:bCs/>
          <w:color w:val="auto"/>
          <w:highlight w:val="none"/>
          <w:lang w:val="en-US" w:eastAsia="zh-CN"/>
        </w:rPr>
        <w:t>4、</w:t>
      </w:r>
      <w:r>
        <w:rPr>
          <w:rFonts w:hint="eastAsia" w:eastAsia="宋体"/>
          <w:b w:val="0"/>
          <w:bCs/>
          <w:color w:val="auto"/>
          <w:highlight w:val="none"/>
          <w:lang w:eastAsia="zh-CN"/>
        </w:rPr>
        <w:t>供应商</w:t>
      </w:r>
      <w:r>
        <w:rPr>
          <w:rFonts w:hint="eastAsia" w:eastAsia="宋体"/>
          <w:b w:val="0"/>
          <w:bCs/>
          <w:color w:val="auto"/>
          <w:highlight w:val="none"/>
        </w:rPr>
        <w:t>财务状况报告[202</w:t>
      </w:r>
      <w:r>
        <w:rPr>
          <w:rFonts w:hint="eastAsia"/>
          <w:b w:val="0"/>
          <w:bCs/>
          <w:color w:val="auto"/>
          <w:highlight w:val="none"/>
          <w:lang w:val="en-US" w:eastAsia="zh-CN"/>
        </w:rPr>
        <w:t>5</w:t>
      </w:r>
      <w:r>
        <w:rPr>
          <w:rFonts w:hint="eastAsia" w:eastAsia="宋体"/>
          <w:b w:val="0"/>
          <w:bCs/>
          <w:color w:val="auto"/>
          <w:highlight w:val="none"/>
        </w:rPr>
        <w:t>年度财务报表复印件，或者银行出具的资信证明，或者中国人民银行征信中心出具的信用报告（企业投标的提供企业信用报告，自然人投标的提供个人信用报告，</w:t>
      </w:r>
      <w:r>
        <w:rPr>
          <w:rFonts w:hint="eastAsia" w:eastAsia="宋体"/>
          <w:b w:val="0"/>
          <w:bCs/>
          <w:color w:val="auto"/>
          <w:highlight w:val="none"/>
          <w:lang w:eastAsia="zh-CN"/>
        </w:rPr>
        <w:t>供应商</w:t>
      </w:r>
      <w:r>
        <w:rPr>
          <w:rFonts w:hint="eastAsia" w:eastAsia="宋体"/>
          <w:b w:val="0"/>
          <w:bCs/>
          <w:color w:val="auto"/>
          <w:highlight w:val="none"/>
        </w:rPr>
        <w:t>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eastAsia="宋体"/>
          <w:b/>
          <w:bCs w:val="0"/>
          <w:color w:val="auto"/>
          <w:highlight w:val="none"/>
        </w:rPr>
        <w:t>（必须提供，否则响应文件按无效响应处理）</w:t>
      </w:r>
    </w:p>
    <w:p w14:paraId="37D1576B">
      <w:pPr>
        <w:pageBreakBefore w:val="0"/>
        <w:kinsoku/>
        <w:wordWrap w:val="0"/>
        <w:topLinePunct w:val="0"/>
        <w:spacing w:line="480" w:lineRule="exact"/>
        <w:ind w:right="849"/>
        <w:jc w:val="center"/>
        <w:rPr>
          <w:rFonts w:ascii="宋体" w:hAnsi="宋体"/>
          <w:color w:val="auto"/>
          <w:highlight w:val="none"/>
        </w:rPr>
      </w:pPr>
    </w:p>
    <w:p w14:paraId="363D7153">
      <w:pPr>
        <w:pageBreakBefore w:val="0"/>
        <w:tabs>
          <w:tab w:val="left" w:pos="563"/>
        </w:tabs>
        <w:kinsoku/>
        <w:wordWrap w:val="0"/>
        <w:topLinePunct w:val="0"/>
        <w:spacing w:line="320" w:lineRule="exact"/>
        <w:rPr>
          <w:rFonts w:ascii="宋体" w:hAnsi="宋体"/>
          <w:b/>
          <w:color w:val="auto"/>
          <w:sz w:val="32"/>
          <w:szCs w:val="32"/>
          <w:highlight w:val="none"/>
        </w:rPr>
      </w:pPr>
    </w:p>
    <w:p w14:paraId="5AEE32FE">
      <w:pPr>
        <w:pageBreakBefore w:val="0"/>
        <w:kinsoku/>
        <w:wordWrap w:val="0"/>
        <w:topLinePunct w:val="0"/>
        <w:spacing w:line="360" w:lineRule="auto"/>
        <w:jc w:val="center"/>
        <w:rPr>
          <w:rStyle w:val="97"/>
          <w:color w:val="auto"/>
          <w:highlight w:val="none"/>
        </w:rPr>
      </w:pPr>
      <w:r>
        <w:rPr>
          <w:rFonts w:ascii="宋体" w:hAnsi="宋体"/>
          <w:color w:val="auto"/>
          <w:sz w:val="32"/>
          <w:szCs w:val="32"/>
          <w:highlight w:val="none"/>
        </w:rPr>
        <w:br w:type="page"/>
      </w:r>
      <w:r>
        <w:rPr>
          <w:rStyle w:val="97"/>
          <w:rFonts w:hint="eastAsia"/>
          <w:color w:val="auto"/>
          <w:highlight w:val="none"/>
          <w:lang w:val="en-US" w:eastAsia="zh-CN"/>
        </w:rPr>
        <w:t>5</w:t>
      </w:r>
      <w:r>
        <w:rPr>
          <w:rStyle w:val="97"/>
          <w:rFonts w:hint="eastAsia"/>
          <w:color w:val="auto"/>
          <w:highlight w:val="none"/>
        </w:rPr>
        <w:t>、供应商直接控股、管理关系信息表</w:t>
      </w:r>
    </w:p>
    <w:p w14:paraId="7E7506EC">
      <w:pPr>
        <w:pageBreakBefore w:val="0"/>
        <w:kinsoku/>
        <w:wordWrap w:val="0"/>
        <w:topLinePunct w:val="0"/>
        <w:snapToGrid w:val="0"/>
        <w:spacing w:beforeLines="50" w:after="50" w:line="360" w:lineRule="auto"/>
        <w:jc w:val="center"/>
        <w:rPr>
          <w:rFonts w:ascii="宋体" w:hAnsi="宋体"/>
          <w:b/>
          <w:color w:val="auto"/>
          <w:sz w:val="24"/>
          <w:highlight w:val="none"/>
        </w:rPr>
      </w:pPr>
    </w:p>
    <w:p w14:paraId="08671FDD">
      <w:pPr>
        <w:pageBreakBefore w:val="0"/>
        <w:kinsoku/>
        <w:wordWrap w:val="0"/>
        <w:topLinePunct w:val="0"/>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0BE04F90">
      <w:pPr>
        <w:pageBreakBefore w:val="0"/>
        <w:kinsoku/>
        <w:wordWrap w:val="0"/>
        <w:topLinePunct w:val="0"/>
        <w:spacing w:line="360" w:lineRule="auto"/>
        <w:contextualSpacing/>
        <w:jc w:val="center"/>
        <w:rPr>
          <w:rFonts w:ascii="宋体" w:hAnsi="宋体"/>
          <w:b/>
          <w:color w:val="auto"/>
          <w:sz w:val="24"/>
          <w:highlight w:val="none"/>
        </w:rPr>
      </w:pPr>
    </w:p>
    <w:tbl>
      <w:tblPr>
        <w:tblStyle w:val="4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32FB6B3">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3D9AB9">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DF451F8">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BBB747">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A2EE7C">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001391">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5315EA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2BEE5C">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AA543E">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221057">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2B9E8B">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3CC125">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r w14:paraId="388AC77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CD6D8B">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367C9">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3A933">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EF4C75">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FA3F8F">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r w14:paraId="023AADC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CE3CBD">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2AA1AC">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890754">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043059">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6095B7">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r w14:paraId="02E87E5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96ACF2">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29B9AE">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E0E5F0">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A4FB74">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EC6241">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bl>
    <w:p w14:paraId="61F51F09">
      <w:pPr>
        <w:pageBreakBefore w:val="0"/>
        <w:kinsoku/>
        <w:wordWrap w:val="0"/>
        <w:topLinePunct w:val="0"/>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71F35CBC">
      <w:pPr>
        <w:pageBreakBefore w:val="0"/>
        <w:kinsoku/>
        <w:wordWrap w:val="0"/>
        <w:topLinePunct w:val="0"/>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F21E2F">
      <w:pPr>
        <w:pageBreakBefore w:val="0"/>
        <w:kinsoku/>
        <w:wordWrap w:val="0"/>
        <w:topLinePunct w:val="0"/>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B6A202D">
      <w:pPr>
        <w:pageBreakBefore w:val="0"/>
        <w:kinsoku/>
        <w:wordWrap w:val="0"/>
        <w:topLinePunct w:val="0"/>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5426F3B1">
      <w:pPr>
        <w:pageBreakBefore w:val="0"/>
        <w:kinsoku/>
        <w:wordWrap w:val="0"/>
        <w:topLinePunct w:val="0"/>
        <w:snapToGrid w:val="0"/>
        <w:spacing w:line="360" w:lineRule="auto"/>
        <w:jc w:val="left"/>
        <w:rPr>
          <w:rFonts w:ascii="宋体" w:hAnsi="宋体" w:cs="宋体"/>
          <w:color w:val="auto"/>
          <w:sz w:val="24"/>
          <w:highlight w:val="none"/>
        </w:rPr>
      </w:pPr>
    </w:p>
    <w:p w14:paraId="419659D1">
      <w:pPr>
        <w:pageBreakBefore w:val="0"/>
        <w:kinsoku/>
        <w:wordWrap w:val="0"/>
        <w:topLinePunct w:val="0"/>
        <w:snapToGrid w:val="0"/>
        <w:spacing w:line="360" w:lineRule="auto"/>
        <w:jc w:val="left"/>
        <w:rPr>
          <w:rFonts w:ascii="宋体" w:hAnsi="宋体" w:cs="宋体"/>
          <w:color w:val="auto"/>
          <w:sz w:val="24"/>
          <w:highlight w:val="none"/>
        </w:rPr>
      </w:pPr>
    </w:p>
    <w:p w14:paraId="0435BE77">
      <w:pPr>
        <w:pageBreakBefore w:val="0"/>
        <w:kinsoku/>
        <w:wordWrap w:val="0"/>
        <w:topLinePunct w:val="0"/>
        <w:snapToGrid w:val="0"/>
        <w:spacing w:line="360" w:lineRule="auto"/>
        <w:jc w:val="left"/>
        <w:rPr>
          <w:rFonts w:ascii="宋体" w:hAnsi="宋体" w:cs="宋体"/>
          <w:color w:val="auto"/>
          <w:sz w:val="24"/>
          <w:highlight w:val="none"/>
        </w:rPr>
      </w:pPr>
    </w:p>
    <w:p w14:paraId="41A513F5">
      <w:pPr>
        <w:pageBreakBefore w:val="0"/>
        <w:kinsoku/>
        <w:wordWrap w:val="0"/>
        <w:topLinePunct w:val="0"/>
        <w:snapToGrid w:val="0"/>
        <w:spacing w:beforeLines="50" w:line="360" w:lineRule="auto"/>
        <w:ind w:right="396"/>
        <w:jc w:val="center"/>
        <w:rPr>
          <w:rFonts w:ascii="宋体" w:hAnsi="宋体" w:cs="宋体"/>
          <w:color w:val="auto"/>
          <w:sz w:val="24"/>
          <w:highlight w:val="none"/>
          <w:u w:val="single"/>
        </w:rPr>
      </w:pPr>
      <w:r>
        <w:rPr>
          <w:rFonts w:hint="eastAsia" w:ascii="宋体" w:hAnsi="宋体" w:cs="宋体"/>
          <w:color w:val="auto"/>
          <w:sz w:val="24"/>
          <w:highlight w:val="none"/>
        </w:rPr>
        <w:t>法定代表人（或负责人）或者委托代理人签字：</w:t>
      </w:r>
    </w:p>
    <w:p w14:paraId="4E97BE69">
      <w:pPr>
        <w:pageBreakBefore w:val="0"/>
        <w:kinsoku/>
        <w:wordWrap w:val="0"/>
        <w:topLinePunct w:val="0"/>
        <w:snapToGrid w:val="0"/>
        <w:spacing w:beforeLines="50" w:after="50" w:line="360" w:lineRule="auto"/>
        <w:ind w:right="480" w:firstLine="3480" w:firstLineChars="1450"/>
        <w:rPr>
          <w:rFonts w:ascii="宋体" w:hAnsi="宋体" w:cs="宋体"/>
          <w:color w:val="auto"/>
          <w:sz w:val="24"/>
          <w:highlight w:val="none"/>
          <w:u w:val="single"/>
        </w:rPr>
      </w:pPr>
      <w:r>
        <w:rPr>
          <w:rFonts w:hint="eastAsia" w:ascii="宋体" w:hAnsi="宋体" w:cs="宋体"/>
          <w:color w:val="auto"/>
          <w:sz w:val="24"/>
          <w:highlight w:val="none"/>
        </w:rPr>
        <w:t>供应商（盖公章 ）：</w:t>
      </w:r>
    </w:p>
    <w:p w14:paraId="525D01AF">
      <w:pPr>
        <w:pageBreakBefore w:val="0"/>
        <w:kinsoku/>
        <w:wordWrap w:val="0"/>
        <w:topLinePunct w:val="0"/>
        <w:snapToGrid w:val="0"/>
        <w:spacing w:beforeLines="50" w:after="50" w:line="360" w:lineRule="auto"/>
        <w:ind w:right="480" w:firstLine="5280" w:firstLineChars="2200"/>
        <w:rPr>
          <w:rFonts w:ascii="宋体" w:hAnsi="宋体" w:cs="宋体"/>
          <w:color w:val="auto"/>
          <w:sz w:val="28"/>
          <w:szCs w:val="28"/>
          <w:highlight w:val="none"/>
        </w:rPr>
      </w:pPr>
      <w:r>
        <w:rPr>
          <w:rFonts w:hint="eastAsia" w:ascii="宋体" w:hAnsi="宋体" w:cs="宋体"/>
          <w:color w:val="auto"/>
          <w:sz w:val="24"/>
          <w:highlight w:val="none"/>
        </w:rPr>
        <w:t>年    月    日</w:t>
      </w:r>
    </w:p>
    <w:p w14:paraId="27115866">
      <w:pPr>
        <w:pageBreakBefore w:val="0"/>
        <w:kinsoku/>
        <w:wordWrap w:val="0"/>
        <w:topLinePunct w:val="0"/>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46B72317">
      <w:pPr>
        <w:pageBreakBefore w:val="0"/>
        <w:kinsoku/>
        <w:wordWrap w:val="0"/>
        <w:topLinePunct w:val="0"/>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1CEC20AC">
      <w:pPr>
        <w:pageBreakBefore w:val="0"/>
        <w:kinsoku/>
        <w:wordWrap w:val="0"/>
        <w:topLinePunct w:val="0"/>
        <w:snapToGrid w:val="0"/>
        <w:spacing w:line="360" w:lineRule="auto"/>
        <w:jc w:val="center"/>
        <w:rPr>
          <w:rFonts w:ascii="宋体" w:hAnsi="宋体"/>
          <w:b/>
          <w:color w:val="auto"/>
          <w:sz w:val="24"/>
          <w:highlight w:val="none"/>
        </w:rPr>
      </w:pPr>
    </w:p>
    <w:tbl>
      <w:tblPr>
        <w:tblStyle w:val="4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F9B24A8">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D2DF1F">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6E6EFA">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1E06DE">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CD55DC">
            <w:pPr>
              <w:pageBreakBefore w:val="0"/>
              <w:widowControl/>
              <w:kinsoku/>
              <w:wordWrap w:val="0"/>
              <w:topLinePunct w:val="0"/>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02AB52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678319">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FD8548">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3167BB">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86951F">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r w14:paraId="0516E08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4015C8">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B36DDF">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B34780">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1CBC4B">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r w14:paraId="7E1D8BB4">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FE6A64">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102E3C">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B252C4">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44E26B">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r w14:paraId="25EA16D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C06B17">
            <w:pPr>
              <w:pageBreakBefore w:val="0"/>
              <w:widowControl/>
              <w:kinsoku/>
              <w:wordWrap w:val="0"/>
              <w:topLinePunct w:val="0"/>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86E41F">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005940">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3D4643">
            <w:pPr>
              <w:pageBreakBefore w:val="0"/>
              <w:widowControl/>
              <w:kinsoku/>
              <w:wordWrap w:val="0"/>
              <w:topLinePunct w:val="0"/>
              <w:spacing w:line="360" w:lineRule="auto"/>
              <w:contextualSpacing/>
              <w:jc w:val="center"/>
              <w:rPr>
                <w:rFonts w:ascii="宋体" w:hAnsi="宋体" w:cs="宋体"/>
                <w:color w:val="auto"/>
                <w:kern w:val="0"/>
                <w:sz w:val="24"/>
                <w:highlight w:val="none"/>
              </w:rPr>
            </w:pPr>
          </w:p>
        </w:tc>
      </w:tr>
    </w:tbl>
    <w:p w14:paraId="780AF0F4">
      <w:pPr>
        <w:pageBreakBefore w:val="0"/>
        <w:kinsoku/>
        <w:wordWrap w:val="0"/>
        <w:topLinePunct w:val="0"/>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39FFA752">
      <w:pPr>
        <w:pageBreakBefore w:val="0"/>
        <w:kinsoku/>
        <w:wordWrap w:val="0"/>
        <w:topLinePunct w:val="0"/>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58F63C5">
      <w:pPr>
        <w:pageBreakBefore w:val="0"/>
        <w:kinsoku/>
        <w:wordWrap w:val="0"/>
        <w:topLinePunct w:val="0"/>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57303D03">
      <w:pPr>
        <w:pageBreakBefore w:val="0"/>
        <w:kinsoku/>
        <w:wordWrap w:val="0"/>
        <w:topLinePunct w:val="0"/>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3.供应商不存在直接管理关系的，则填“无”。</w:t>
      </w:r>
    </w:p>
    <w:p w14:paraId="4BC4C4BC">
      <w:pPr>
        <w:pageBreakBefore w:val="0"/>
        <w:kinsoku/>
        <w:wordWrap w:val="0"/>
        <w:topLinePunct w:val="0"/>
        <w:spacing w:line="360" w:lineRule="auto"/>
        <w:contextualSpacing/>
        <w:jc w:val="left"/>
        <w:rPr>
          <w:rFonts w:ascii="宋体" w:hAnsi="宋体"/>
          <w:color w:val="auto"/>
          <w:sz w:val="24"/>
          <w:highlight w:val="none"/>
        </w:rPr>
      </w:pPr>
    </w:p>
    <w:p w14:paraId="66981F7F">
      <w:pPr>
        <w:pageBreakBefore w:val="0"/>
        <w:kinsoku/>
        <w:wordWrap w:val="0"/>
        <w:topLinePunct w:val="0"/>
        <w:spacing w:line="360" w:lineRule="auto"/>
        <w:contextualSpacing/>
        <w:jc w:val="left"/>
        <w:rPr>
          <w:rFonts w:ascii="宋体" w:hAnsi="宋体"/>
          <w:color w:val="auto"/>
          <w:sz w:val="24"/>
          <w:highlight w:val="none"/>
        </w:rPr>
      </w:pPr>
    </w:p>
    <w:p w14:paraId="4EC93B1A">
      <w:pPr>
        <w:pageBreakBefore w:val="0"/>
        <w:kinsoku/>
        <w:wordWrap w:val="0"/>
        <w:topLinePunct w:val="0"/>
        <w:spacing w:line="360" w:lineRule="auto"/>
        <w:contextualSpacing/>
        <w:jc w:val="left"/>
        <w:rPr>
          <w:color w:val="auto"/>
          <w:sz w:val="24"/>
          <w:highlight w:val="none"/>
        </w:rPr>
      </w:pPr>
    </w:p>
    <w:p w14:paraId="2FA8D965">
      <w:pPr>
        <w:pageBreakBefore w:val="0"/>
        <w:kinsoku/>
        <w:wordWrap w:val="0"/>
        <w:topLinePunct w:val="0"/>
        <w:spacing w:line="360" w:lineRule="auto"/>
        <w:contextualSpacing/>
        <w:jc w:val="left"/>
        <w:rPr>
          <w:color w:val="auto"/>
          <w:sz w:val="24"/>
          <w:highlight w:val="none"/>
        </w:rPr>
      </w:pPr>
    </w:p>
    <w:p w14:paraId="212368D1">
      <w:pPr>
        <w:pageBreakBefore w:val="0"/>
        <w:kinsoku/>
        <w:wordWrap w:val="0"/>
        <w:topLinePunct w:val="0"/>
        <w:spacing w:line="360" w:lineRule="auto"/>
        <w:contextualSpacing/>
        <w:jc w:val="left"/>
        <w:rPr>
          <w:color w:val="auto"/>
          <w:sz w:val="24"/>
          <w:highlight w:val="none"/>
        </w:rPr>
      </w:pPr>
    </w:p>
    <w:p w14:paraId="5092E827">
      <w:pPr>
        <w:pageBreakBefore w:val="0"/>
        <w:kinsoku/>
        <w:wordWrap w:val="0"/>
        <w:topLinePunct w:val="0"/>
        <w:spacing w:line="360" w:lineRule="auto"/>
        <w:contextualSpacing/>
        <w:jc w:val="left"/>
        <w:rPr>
          <w:rFonts w:ascii="宋体" w:hAnsi="宋体"/>
          <w:color w:val="auto"/>
          <w:sz w:val="24"/>
          <w:highlight w:val="none"/>
        </w:rPr>
      </w:pPr>
    </w:p>
    <w:p w14:paraId="71B58E4B">
      <w:pPr>
        <w:pageBreakBefore w:val="0"/>
        <w:kinsoku/>
        <w:wordWrap w:val="0"/>
        <w:topLinePunct w:val="0"/>
        <w:spacing w:line="360" w:lineRule="auto"/>
        <w:ind w:right="480" w:firstLine="1440" w:firstLineChars="600"/>
        <w:contextualSpacing/>
        <w:rPr>
          <w:rFonts w:ascii="宋体" w:hAnsi="宋体"/>
          <w:color w:val="auto"/>
          <w:sz w:val="24"/>
          <w:highlight w:val="none"/>
          <w:u w:val="single"/>
        </w:rPr>
      </w:pPr>
      <w:r>
        <w:rPr>
          <w:rFonts w:hint="eastAsia" w:ascii="宋体" w:hAnsi="宋体"/>
          <w:color w:val="auto"/>
          <w:sz w:val="24"/>
          <w:highlight w:val="none"/>
        </w:rPr>
        <w:t>法定代表人（或负责人）或者委托代理人签字：</w:t>
      </w:r>
    </w:p>
    <w:p w14:paraId="613E23E6">
      <w:pPr>
        <w:pageBreakBefore w:val="0"/>
        <w:kinsoku/>
        <w:wordWrap w:val="0"/>
        <w:topLinePunct w:val="0"/>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供应商（盖公章）：</w:t>
      </w:r>
    </w:p>
    <w:p w14:paraId="302E41AD">
      <w:pPr>
        <w:pageBreakBefore w:val="0"/>
        <w:kinsoku/>
        <w:wordWrap w:val="0"/>
        <w:topLinePunct w:val="0"/>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年    月    日</w:t>
      </w:r>
    </w:p>
    <w:p w14:paraId="1BBF3804">
      <w:pPr>
        <w:pageBreakBefore w:val="0"/>
        <w:kinsoku/>
        <w:wordWrap w:val="0"/>
        <w:topLinePunct w:val="0"/>
        <w:spacing w:line="360" w:lineRule="auto"/>
        <w:jc w:val="center"/>
        <w:rPr>
          <w:rStyle w:val="97"/>
          <w:color w:val="auto"/>
          <w:highlight w:val="none"/>
        </w:rPr>
      </w:pPr>
      <w:r>
        <w:rPr>
          <w:rFonts w:ascii="宋体" w:hAnsi="宋体"/>
          <w:color w:val="auto"/>
          <w:sz w:val="28"/>
          <w:szCs w:val="28"/>
          <w:highlight w:val="none"/>
        </w:rPr>
        <w:br w:type="page"/>
      </w:r>
      <w:r>
        <w:rPr>
          <w:rStyle w:val="97"/>
          <w:rFonts w:hint="eastAsia"/>
          <w:color w:val="auto"/>
          <w:highlight w:val="none"/>
          <w:lang w:val="en-US" w:eastAsia="zh-CN"/>
        </w:rPr>
        <w:t>6</w:t>
      </w:r>
      <w:r>
        <w:rPr>
          <w:rStyle w:val="97"/>
          <w:rFonts w:hint="eastAsia"/>
          <w:color w:val="auto"/>
          <w:highlight w:val="none"/>
        </w:rPr>
        <w:t>、竞标声明</w:t>
      </w:r>
    </w:p>
    <w:p w14:paraId="3A3AE35B">
      <w:pPr>
        <w:pageBreakBefore w:val="0"/>
        <w:kinsoku/>
        <w:wordWrap w:val="0"/>
        <w:topLinePunct w:val="0"/>
        <w:spacing w:line="320" w:lineRule="exact"/>
        <w:jc w:val="center"/>
        <w:rPr>
          <w:rFonts w:ascii="宋体" w:hAnsi="宋体"/>
          <w:color w:val="auto"/>
          <w:sz w:val="24"/>
          <w:szCs w:val="20"/>
          <w:highlight w:val="none"/>
        </w:rPr>
      </w:pPr>
    </w:p>
    <w:p w14:paraId="26847B50">
      <w:pPr>
        <w:pageBreakBefore w:val="0"/>
        <w:kinsoku/>
        <w:wordWrap w:val="0"/>
        <w:topLine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A736F23">
      <w:pPr>
        <w:pageBreakBefore w:val="0"/>
        <w:kinsoku/>
        <w:wordWrap w:val="0"/>
        <w:topLinePunct w:val="0"/>
        <w:spacing w:line="360" w:lineRule="auto"/>
        <w:ind w:firstLine="720" w:firstLineChars="3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14:paraId="178905AD">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29BB3B60">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6B46A3C">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1C3E00BC">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5EEC471">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39146C65">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3CEEB96D">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1AE6BDDA">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3F3DA6FC">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1A70FB52">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1B656EC4">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2CEB7942">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A268B00">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1A17D430">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64C762DB">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4B081789">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74BB16D">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1C7FD02">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D16AB99">
      <w:pPr>
        <w:pageBreakBefore w:val="0"/>
        <w:kinsoku/>
        <w:wordWrap w:val="0"/>
        <w:topLinePunct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p>
    <w:p w14:paraId="431A6A9D">
      <w:pPr>
        <w:pStyle w:val="28"/>
        <w:pageBreakBefore w:val="0"/>
        <w:kinsoku/>
        <w:wordWrap w:val="0"/>
        <w:topLinePunct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7.与本磋商有关的一切正式往来信函请寄：</w:t>
      </w:r>
    </w:p>
    <w:p w14:paraId="6D5C58FA">
      <w:pPr>
        <w:pStyle w:val="28"/>
        <w:pageBreakBefore w:val="0"/>
        <w:kinsoku/>
        <w:wordWrap w:val="0"/>
        <w:topLinePunct w:val="0"/>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地址：邮政编号：</w:t>
      </w:r>
    </w:p>
    <w:p w14:paraId="76034B9F">
      <w:pPr>
        <w:pStyle w:val="28"/>
        <w:pageBreakBefore w:val="0"/>
        <w:kinsoku/>
        <w:wordWrap w:val="0"/>
        <w:topLinePunct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 邮箱：</w:t>
      </w:r>
    </w:p>
    <w:p w14:paraId="15B11158">
      <w:pPr>
        <w:pStyle w:val="24"/>
        <w:pageBreakBefore w:val="0"/>
        <w:tabs>
          <w:tab w:val="left" w:pos="939"/>
        </w:tabs>
        <w:kinsoku/>
        <w:wordWrap w:val="0"/>
        <w:topLinePunct w:val="0"/>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  帐号：</w:t>
      </w:r>
    </w:p>
    <w:p w14:paraId="5A292C00">
      <w:pPr>
        <w:pStyle w:val="24"/>
        <w:pageBreakBefore w:val="0"/>
        <w:tabs>
          <w:tab w:val="left" w:pos="939"/>
        </w:tabs>
        <w:kinsoku/>
        <w:wordWrap w:val="0"/>
        <w:topLinePunct w:val="0"/>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2523A8D">
      <w:pPr>
        <w:pStyle w:val="24"/>
        <w:pageBreakBefore w:val="0"/>
        <w:tabs>
          <w:tab w:val="left" w:pos="939"/>
        </w:tabs>
        <w:kinsoku/>
        <w:wordWrap w:val="0"/>
        <w:topLinePunct w:val="0"/>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0B5B32A6">
      <w:pPr>
        <w:pStyle w:val="24"/>
        <w:pageBreakBefore w:val="0"/>
        <w:tabs>
          <w:tab w:val="left" w:pos="939"/>
        </w:tabs>
        <w:kinsoku/>
        <w:wordWrap w:val="0"/>
        <w:topLinePunct w:val="0"/>
        <w:spacing w:line="360" w:lineRule="auto"/>
        <w:ind w:left="0" w:leftChars="0" w:firstLine="480" w:firstLineChars="200"/>
        <w:rPr>
          <w:rFonts w:ascii="宋体" w:hAnsi="宋体" w:cs="宋体"/>
          <w:color w:val="auto"/>
          <w:sz w:val="24"/>
          <w:highlight w:val="none"/>
        </w:rPr>
      </w:pPr>
    </w:p>
    <w:p w14:paraId="50520B2D">
      <w:pPr>
        <w:pageBreakBefore w:val="0"/>
        <w:kinsoku/>
        <w:wordWrap w:val="0"/>
        <w:topLinePunct w:val="0"/>
        <w:spacing w:line="360" w:lineRule="auto"/>
        <w:ind w:firstLine="1440" w:firstLineChars="600"/>
        <w:contextualSpacing/>
        <w:rPr>
          <w:color w:val="auto"/>
          <w:sz w:val="24"/>
          <w:highlight w:val="none"/>
        </w:rPr>
      </w:pPr>
      <w:r>
        <w:rPr>
          <w:rFonts w:hint="eastAsia"/>
          <w:color w:val="auto"/>
          <w:sz w:val="24"/>
          <w:highlight w:val="none"/>
        </w:rPr>
        <w:t>法定代表人（或负责人）（签字或者盖章）：</w:t>
      </w:r>
    </w:p>
    <w:p w14:paraId="5DA9512B">
      <w:pPr>
        <w:pageBreakBefore w:val="0"/>
        <w:kinsoku/>
        <w:wordWrap w:val="0"/>
        <w:topLinePunct w:val="0"/>
        <w:spacing w:line="360" w:lineRule="auto"/>
        <w:ind w:firstLine="4320" w:firstLineChars="1800"/>
        <w:contextualSpacing/>
        <w:rPr>
          <w:rFonts w:ascii="宋体" w:hAnsi="宋体" w:cs="宋体"/>
          <w:color w:val="auto"/>
          <w:sz w:val="24"/>
          <w:highlight w:val="none"/>
          <w:u w:val="single"/>
        </w:rPr>
      </w:pPr>
      <w:r>
        <w:rPr>
          <w:rFonts w:hint="eastAsia"/>
          <w:color w:val="auto"/>
          <w:sz w:val="24"/>
          <w:highlight w:val="none"/>
        </w:rPr>
        <w:t>供应商（盖公章）：</w:t>
      </w:r>
    </w:p>
    <w:p w14:paraId="2BB7328F">
      <w:pPr>
        <w:pageBreakBefore w:val="0"/>
        <w:kinsoku/>
        <w:wordWrap w:val="0"/>
        <w:topLinePunct w:val="0"/>
        <w:spacing w:line="360" w:lineRule="auto"/>
        <w:ind w:right="480" w:firstLine="240" w:firstLineChars="100"/>
        <w:contextualSpacing/>
        <w:jc w:val="center"/>
        <w:rPr>
          <w:color w:val="auto"/>
          <w:sz w:val="24"/>
          <w:highlight w:val="none"/>
        </w:rPr>
      </w:pPr>
      <w:r>
        <w:rPr>
          <w:rFonts w:hint="eastAsia"/>
          <w:color w:val="auto"/>
          <w:sz w:val="24"/>
          <w:highlight w:val="none"/>
        </w:rPr>
        <w:t xml:space="preserve"> 年    月    日</w:t>
      </w:r>
    </w:p>
    <w:p w14:paraId="7DC6BD08">
      <w:pPr>
        <w:pageBreakBefore w:val="0"/>
        <w:kinsoku/>
        <w:wordWrap w:val="0"/>
        <w:topLinePunct w:val="0"/>
        <w:rPr>
          <w:color w:val="auto"/>
          <w:sz w:val="24"/>
          <w:highlight w:val="none"/>
        </w:rPr>
      </w:pPr>
      <w:r>
        <w:rPr>
          <w:rFonts w:hint="eastAsia"/>
          <w:color w:val="auto"/>
          <w:sz w:val="24"/>
          <w:highlight w:val="none"/>
        </w:rPr>
        <w:br w:type="page"/>
      </w:r>
    </w:p>
    <w:p w14:paraId="468B30BD">
      <w:pPr>
        <w:pStyle w:val="5"/>
        <w:pageBreakBefore w:val="0"/>
        <w:numPr>
          <w:ilvl w:val="0"/>
          <w:numId w:val="8"/>
        </w:numPr>
        <w:kinsoku/>
        <w:wordWrap w:val="0"/>
        <w:topLinePunct w:val="0"/>
        <w:rPr>
          <w:rFonts w:hint="eastAsia"/>
          <w:color w:val="auto"/>
          <w:highlight w:val="none"/>
        </w:rPr>
      </w:pPr>
      <w:r>
        <w:rPr>
          <w:rFonts w:hint="eastAsia"/>
          <w:b w:val="0"/>
          <w:bCs/>
          <w:color w:val="auto"/>
          <w:highlight w:val="none"/>
        </w:rPr>
        <w:t>中小企业声明函或者残疾人福利性单位声明函或者供应商属于监狱企业的证明材料；</w:t>
      </w:r>
      <w:r>
        <w:rPr>
          <w:rFonts w:hint="eastAsia"/>
          <w:color w:val="auto"/>
          <w:highlight w:val="none"/>
        </w:rPr>
        <w:t>（本项目如为专门面向中小企业采购时必须提供，否则电子响应文件按无效响应处理）</w:t>
      </w:r>
    </w:p>
    <w:p w14:paraId="36CC94FE">
      <w:pPr>
        <w:pageBreakBefore w:val="0"/>
        <w:numPr>
          <w:ilvl w:val="0"/>
          <w:numId w:val="0"/>
        </w:numPr>
        <w:kinsoku/>
        <w:wordWrap w:val="0"/>
        <w:topLinePunct w:val="0"/>
      </w:pPr>
    </w:p>
    <w:p w14:paraId="22783E14">
      <w:pPr>
        <w:pStyle w:val="5"/>
        <w:pageBreakBefore w:val="0"/>
        <w:kinsoku/>
        <w:wordWrap w:val="0"/>
        <w:topLinePunct w:val="0"/>
        <w:rPr>
          <w:color w:val="auto"/>
          <w:highlight w:val="none"/>
        </w:rPr>
      </w:pPr>
      <w:r>
        <w:rPr>
          <w:rFonts w:hint="eastAsia"/>
          <w:color w:val="auto"/>
          <w:highlight w:val="none"/>
          <w:lang w:val="en-US" w:eastAsia="zh-CN"/>
        </w:rPr>
        <w:t>8</w:t>
      </w:r>
      <w:r>
        <w:rPr>
          <w:rFonts w:hint="eastAsia"/>
          <w:color w:val="auto"/>
          <w:highlight w:val="none"/>
        </w:rPr>
        <w:t>、</w:t>
      </w:r>
      <w:r>
        <w:rPr>
          <w:rFonts w:hint="eastAsia"/>
          <w:b w:val="0"/>
          <w:bCs/>
          <w:color w:val="auto"/>
          <w:highlight w:val="none"/>
        </w:rPr>
        <w:t>（1）要求</w:t>
      </w:r>
      <w:r>
        <w:rPr>
          <w:rFonts w:hint="eastAsia"/>
          <w:b w:val="0"/>
          <w:bCs/>
          <w:color w:val="auto"/>
          <w:highlight w:val="none"/>
          <w:lang w:eastAsia="zh-CN"/>
        </w:rPr>
        <w:t>供应商</w:t>
      </w:r>
      <w:r>
        <w:rPr>
          <w:rFonts w:hint="eastAsia"/>
          <w:b w:val="0"/>
          <w:bCs/>
          <w:color w:val="auto"/>
          <w:highlight w:val="none"/>
        </w:rPr>
        <w:t>须具备建筑工程施工总承包叁级以上（含叁级）资质的企业，具有省级及以上建设行政主管部门颁发的安全生产许可证，并在人员、设备、资金等方面具备相应的施工能力。</w:t>
      </w:r>
      <w:r>
        <w:rPr>
          <w:rFonts w:hint="eastAsia"/>
          <w:color w:val="auto"/>
          <w:highlight w:val="none"/>
        </w:rPr>
        <w:t>（必须提供，否则响应文件按无效响应处理）</w:t>
      </w:r>
    </w:p>
    <w:p w14:paraId="38B151B2">
      <w:pPr>
        <w:pStyle w:val="5"/>
        <w:pageBreakBefore w:val="0"/>
        <w:kinsoku/>
        <w:wordWrap w:val="0"/>
        <w:topLinePunct w:val="0"/>
        <w:rPr>
          <w:rFonts w:hint="eastAsia"/>
          <w:color w:val="auto"/>
          <w:highlight w:val="none"/>
        </w:rPr>
      </w:pPr>
      <w:r>
        <w:rPr>
          <w:rFonts w:hint="eastAsia"/>
          <w:color w:val="auto"/>
          <w:highlight w:val="none"/>
        </w:rPr>
        <w:t>（2）</w:t>
      </w:r>
      <w:r>
        <w:rPr>
          <w:rFonts w:hint="eastAsia"/>
          <w:b w:val="0"/>
          <w:bCs/>
          <w:color w:val="auto"/>
          <w:highlight w:val="none"/>
        </w:rPr>
        <w:t>拟派项目经理须具备建筑工程二级以上（含本级）专业注册建造师执业资格，具备有效的安全生产考核合格证书（B类）。</w:t>
      </w:r>
      <w:r>
        <w:rPr>
          <w:rFonts w:hint="eastAsia"/>
          <w:color w:val="auto"/>
          <w:highlight w:val="none"/>
        </w:rPr>
        <w:t>（必须提供，否则响应文件按无效响应处理）</w:t>
      </w:r>
    </w:p>
    <w:p w14:paraId="5AC97A3E">
      <w:pPr>
        <w:pageBreakBefore w:val="0"/>
        <w:kinsoku/>
        <w:wordWrap w:val="0"/>
        <w:topLinePunct w:val="0"/>
      </w:pPr>
    </w:p>
    <w:p w14:paraId="040B128D">
      <w:pPr>
        <w:pStyle w:val="5"/>
        <w:pageBreakBefore w:val="0"/>
        <w:kinsoku/>
        <w:wordWrap w:val="0"/>
        <w:topLinePunct w:val="0"/>
        <w:rPr>
          <w:color w:val="auto"/>
          <w:highlight w:val="none"/>
        </w:rPr>
      </w:pPr>
      <w:r>
        <w:rPr>
          <w:rFonts w:hint="eastAsia"/>
          <w:color w:val="auto"/>
          <w:highlight w:val="none"/>
          <w:lang w:val="en-US" w:eastAsia="zh-CN"/>
        </w:rPr>
        <w:t>9</w:t>
      </w:r>
      <w:r>
        <w:rPr>
          <w:rFonts w:hint="eastAsia"/>
          <w:color w:val="auto"/>
          <w:highlight w:val="none"/>
        </w:rPr>
        <w:t>、</w:t>
      </w:r>
      <w:r>
        <w:rPr>
          <w:rFonts w:hint="eastAsia"/>
          <w:b w:val="0"/>
          <w:bCs/>
          <w:color w:val="auto"/>
          <w:highlight w:val="none"/>
        </w:rPr>
        <w:t>除磋商文件规定必须提供以外，供应商认为需要提供的其他证明材料。（如有）</w:t>
      </w:r>
    </w:p>
    <w:p w14:paraId="6C176CDD">
      <w:pPr>
        <w:pageBreakBefore w:val="0"/>
        <w:kinsoku/>
        <w:wordWrap w:val="0"/>
        <w:topLinePunct w:val="0"/>
        <w:spacing w:line="360" w:lineRule="auto"/>
        <w:ind w:right="480" w:firstLine="240" w:firstLineChars="100"/>
        <w:contextualSpacing/>
        <w:jc w:val="center"/>
        <w:rPr>
          <w:rFonts w:ascii="宋体" w:hAnsi="宋体"/>
          <w:b/>
          <w:color w:val="auto"/>
          <w:sz w:val="32"/>
          <w:szCs w:val="32"/>
          <w:highlight w:val="none"/>
        </w:rPr>
      </w:pPr>
      <w:r>
        <w:rPr>
          <w:rFonts w:hint="eastAsia"/>
          <w:color w:val="auto"/>
          <w:sz w:val="24"/>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p>
    <w:p w14:paraId="09A6DA03">
      <w:pPr>
        <w:pageBreakBefore w:val="0"/>
        <w:kinsoku/>
        <w:wordWrap w:val="0"/>
        <w:topLinePunct w:val="0"/>
        <w:snapToGrid w:val="0"/>
        <w:spacing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一</w:t>
      </w:r>
      <w:r>
        <w:rPr>
          <w:rFonts w:hint="eastAsia" w:ascii="宋体" w:hAnsi="宋体"/>
          <w:b/>
          <w:color w:val="auto"/>
          <w:sz w:val="32"/>
          <w:szCs w:val="32"/>
          <w:highlight w:val="none"/>
          <w:lang w:eastAsia="zh-CN"/>
        </w:rPr>
        <w:t>）</w:t>
      </w:r>
      <w:r>
        <w:rPr>
          <w:rFonts w:hint="eastAsia" w:ascii="宋体" w:hAnsi="宋体"/>
          <w:b/>
          <w:color w:val="auto"/>
          <w:sz w:val="32"/>
          <w:szCs w:val="32"/>
          <w:highlight w:val="none"/>
        </w:rPr>
        <w:t>报价文件封面格式</w:t>
      </w:r>
    </w:p>
    <w:p w14:paraId="62B98160">
      <w:pPr>
        <w:pageBreakBefore w:val="0"/>
        <w:kinsoku/>
        <w:wordWrap w:val="0"/>
        <w:topLinePunct w:val="0"/>
        <w:snapToGrid w:val="0"/>
        <w:spacing w:beforeLines="50" w:after="50" w:line="360" w:lineRule="auto"/>
        <w:jc w:val="left"/>
        <w:rPr>
          <w:rFonts w:ascii="宋体" w:hAnsi="宋体"/>
          <w:b/>
          <w:color w:val="auto"/>
          <w:sz w:val="32"/>
          <w:szCs w:val="32"/>
          <w:highlight w:val="none"/>
        </w:rPr>
      </w:pPr>
    </w:p>
    <w:p w14:paraId="021C4FAD">
      <w:pPr>
        <w:pageBreakBefore w:val="0"/>
        <w:kinsoku/>
        <w:wordWrap w:val="0"/>
        <w:topLinePunct w:val="0"/>
        <w:snapToGrid w:val="0"/>
        <w:spacing w:beforeLines="50" w:after="50" w:line="360" w:lineRule="auto"/>
        <w:jc w:val="left"/>
        <w:rPr>
          <w:rFonts w:ascii="宋体" w:hAnsi="宋体"/>
          <w:b/>
          <w:color w:val="auto"/>
          <w:sz w:val="32"/>
          <w:szCs w:val="32"/>
          <w:highlight w:val="none"/>
        </w:rPr>
      </w:pPr>
    </w:p>
    <w:p w14:paraId="6DD354C3">
      <w:pPr>
        <w:pStyle w:val="249"/>
        <w:pageBreakBefore w:val="0"/>
        <w:kinsoku/>
        <w:wordWrap w:val="0"/>
        <w:topLinePunct w:val="0"/>
        <w:rPr>
          <w:color w:val="auto"/>
          <w:highlight w:val="none"/>
        </w:rPr>
      </w:pPr>
    </w:p>
    <w:p w14:paraId="604AD9CA">
      <w:pPr>
        <w:pStyle w:val="249"/>
        <w:pageBreakBefore w:val="0"/>
        <w:kinsoku/>
        <w:wordWrap w:val="0"/>
        <w:topLinePunct w:val="0"/>
        <w:rPr>
          <w:color w:val="auto"/>
          <w:highlight w:val="none"/>
        </w:rPr>
      </w:pPr>
    </w:p>
    <w:p w14:paraId="3B456D85">
      <w:pPr>
        <w:pStyle w:val="249"/>
        <w:pageBreakBefore w:val="0"/>
        <w:kinsoku/>
        <w:wordWrap w:val="0"/>
        <w:topLinePunct w:val="0"/>
        <w:rPr>
          <w:color w:val="auto"/>
          <w:highlight w:val="none"/>
        </w:rPr>
      </w:pPr>
    </w:p>
    <w:p w14:paraId="3CE8BB86">
      <w:pPr>
        <w:pStyle w:val="249"/>
        <w:pageBreakBefore w:val="0"/>
        <w:kinsoku/>
        <w:wordWrap w:val="0"/>
        <w:topLinePunct w:val="0"/>
        <w:rPr>
          <w:color w:val="auto"/>
          <w:highlight w:val="none"/>
        </w:rPr>
      </w:pPr>
    </w:p>
    <w:p w14:paraId="28956C2F">
      <w:pPr>
        <w:pStyle w:val="249"/>
        <w:pageBreakBefore w:val="0"/>
        <w:kinsoku/>
        <w:wordWrap w:val="0"/>
        <w:topLinePunct w:val="0"/>
        <w:rPr>
          <w:color w:val="auto"/>
          <w:highlight w:val="none"/>
        </w:rPr>
      </w:pPr>
    </w:p>
    <w:p w14:paraId="0CD2F3BA">
      <w:pPr>
        <w:pageBreakBefore w:val="0"/>
        <w:kinsoku/>
        <w:wordWrap w:val="0"/>
        <w:topLinePunct w:val="0"/>
        <w:snapToGrid w:val="0"/>
        <w:spacing w:beforeLines="50" w:after="50"/>
        <w:rPr>
          <w:rFonts w:ascii="宋体" w:hAnsi="宋体"/>
          <w:color w:val="auto"/>
          <w:sz w:val="24"/>
          <w:szCs w:val="20"/>
          <w:highlight w:val="none"/>
        </w:rPr>
      </w:pPr>
    </w:p>
    <w:p w14:paraId="0B083F94">
      <w:pPr>
        <w:pageBreakBefore w:val="0"/>
        <w:kinsoku/>
        <w:wordWrap w:val="0"/>
        <w:topLinePunct w:val="0"/>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53EFD2F">
      <w:pPr>
        <w:pageBreakBefore w:val="0"/>
        <w:kinsoku/>
        <w:wordWrap w:val="0"/>
        <w:topLinePunct w:val="0"/>
        <w:snapToGrid w:val="0"/>
        <w:spacing w:beforeLines="50" w:after="50"/>
        <w:jc w:val="center"/>
        <w:rPr>
          <w:rFonts w:ascii="宋体" w:hAnsi="宋体" w:cs="宋体"/>
          <w:bCs/>
          <w:color w:val="auto"/>
          <w:sz w:val="44"/>
          <w:szCs w:val="44"/>
          <w:highlight w:val="none"/>
        </w:rPr>
      </w:pPr>
    </w:p>
    <w:p w14:paraId="7B96BD0A">
      <w:pPr>
        <w:pageBreakBefore w:val="0"/>
        <w:kinsoku/>
        <w:wordWrap w:val="0"/>
        <w:topLinePunct w:val="0"/>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  价  文  件</w:t>
      </w:r>
    </w:p>
    <w:p w14:paraId="5AEC4C34">
      <w:pPr>
        <w:pageBreakBefore w:val="0"/>
        <w:kinsoku/>
        <w:wordWrap w:val="0"/>
        <w:topLinePunct w:val="0"/>
        <w:snapToGrid w:val="0"/>
        <w:spacing w:beforeLines="50" w:after="50"/>
        <w:jc w:val="center"/>
        <w:rPr>
          <w:rFonts w:ascii="宋体" w:hAnsi="宋体" w:cs="仿宋_GB2312"/>
          <w:bCs/>
          <w:color w:val="auto"/>
          <w:sz w:val="32"/>
          <w:szCs w:val="32"/>
          <w:highlight w:val="none"/>
        </w:rPr>
      </w:pPr>
    </w:p>
    <w:p w14:paraId="59C047EF">
      <w:pPr>
        <w:pageBreakBefore w:val="0"/>
        <w:kinsoku/>
        <w:wordWrap w:val="0"/>
        <w:topLinePunct w:val="0"/>
        <w:snapToGrid w:val="0"/>
        <w:spacing w:beforeLines="50" w:after="50"/>
        <w:ind w:firstLine="1280" w:firstLineChars="400"/>
        <w:rPr>
          <w:rFonts w:hint="eastAsia" w:ascii="宋体" w:hAnsi="宋体" w:eastAsia="宋体"/>
          <w:color w:val="auto"/>
          <w:sz w:val="24"/>
          <w:highlight w:val="none"/>
          <w:lang w:eastAsia="zh-CN"/>
        </w:rPr>
      </w:pPr>
      <w:r>
        <w:rPr>
          <w:rFonts w:hint="eastAsia" w:cs="仿宋_GB2312"/>
          <w:bCs/>
          <w:color w:val="auto"/>
          <w:sz w:val="32"/>
          <w:szCs w:val="32"/>
          <w:highlight w:val="none"/>
        </w:rPr>
        <w:t>项目名称</w:t>
      </w:r>
      <w:r>
        <w:rPr>
          <w:rFonts w:hint="eastAsia" w:cs="仿宋_GB2312"/>
          <w:bCs/>
          <w:color w:val="auto"/>
          <w:sz w:val="32"/>
          <w:szCs w:val="32"/>
          <w:highlight w:val="none"/>
          <w:lang w:eastAsia="zh-CN"/>
        </w:rPr>
        <w:t>：</w:t>
      </w:r>
    </w:p>
    <w:p w14:paraId="637BE064">
      <w:pPr>
        <w:pageBreakBefore w:val="0"/>
        <w:kinsoku/>
        <w:wordWrap w:val="0"/>
        <w:topLinePunct w:val="0"/>
        <w:snapToGrid w:val="0"/>
        <w:spacing w:beforeLines="50" w:after="50"/>
        <w:jc w:val="center"/>
        <w:rPr>
          <w:rFonts w:ascii="宋体" w:hAnsi="宋体" w:cs="仿宋_GB2312"/>
          <w:bCs/>
          <w:color w:val="auto"/>
          <w:sz w:val="32"/>
          <w:szCs w:val="32"/>
          <w:highlight w:val="none"/>
        </w:rPr>
      </w:pPr>
    </w:p>
    <w:p w14:paraId="36848492">
      <w:pPr>
        <w:pageBreakBefore w:val="0"/>
        <w:kinsoku/>
        <w:wordWrap w:val="0"/>
        <w:topLinePunct w:val="0"/>
        <w:snapToGrid w:val="0"/>
        <w:spacing w:beforeLines="50" w:after="50"/>
        <w:ind w:firstLine="1280" w:firstLineChars="4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62BD060">
      <w:pPr>
        <w:pageBreakBefore w:val="0"/>
        <w:kinsoku/>
        <w:wordWrap w:val="0"/>
        <w:topLinePunct w:val="0"/>
        <w:snapToGrid w:val="0"/>
        <w:spacing w:beforeLines="50" w:after="50"/>
        <w:ind w:firstLine="720" w:firstLineChars="225"/>
        <w:rPr>
          <w:rFonts w:ascii="宋体" w:hAnsi="宋体" w:cs="仿宋_GB2312"/>
          <w:bCs/>
          <w:color w:val="auto"/>
          <w:sz w:val="32"/>
          <w:szCs w:val="32"/>
          <w:highlight w:val="none"/>
        </w:rPr>
      </w:pPr>
    </w:p>
    <w:p w14:paraId="2AFD8AD2">
      <w:pPr>
        <w:pStyle w:val="8"/>
        <w:pageBreakBefore w:val="0"/>
        <w:kinsoku/>
        <w:wordWrap w:val="0"/>
        <w:topLinePunct w:val="0"/>
        <w:snapToGrid w:val="0"/>
        <w:spacing w:before="50" w:after="50"/>
        <w:ind w:firstLine="1360" w:firstLineChars="4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D2D1706">
      <w:pPr>
        <w:pageBreakBefore w:val="0"/>
        <w:kinsoku/>
        <w:wordWrap w:val="0"/>
        <w:topLinePunct w:val="0"/>
        <w:snapToGrid w:val="0"/>
        <w:spacing w:beforeLines="50" w:after="50"/>
        <w:jc w:val="center"/>
        <w:rPr>
          <w:rFonts w:ascii="宋体" w:hAnsi="宋体" w:cs="仿宋_GB2312"/>
          <w:color w:val="auto"/>
          <w:sz w:val="32"/>
          <w:szCs w:val="32"/>
          <w:highlight w:val="none"/>
        </w:rPr>
      </w:pPr>
    </w:p>
    <w:p w14:paraId="7C5C3C30">
      <w:pPr>
        <w:pageBreakBefore w:val="0"/>
        <w:kinsoku/>
        <w:wordWrap w:val="0"/>
        <w:topLinePunct w:val="0"/>
        <w:snapToGrid w:val="0"/>
        <w:spacing w:beforeLines="50" w:after="50"/>
        <w:jc w:val="center"/>
        <w:rPr>
          <w:rFonts w:ascii="宋体" w:hAnsi="宋体" w:cs="仿宋_GB2312"/>
          <w:color w:val="auto"/>
          <w:sz w:val="32"/>
          <w:szCs w:val="32"/>
          <w:highlight w:val="none"/>
        </w:rPr>
      </w:pPr>
    </w:p>
    <w:p w14:paraId="6972736C">
      <w:pPr>
        <w:pageBreakBefore w:val="0"/>
        <w:kinsoku/>
        <w:wordWrap w:val="0"/>
        <w:topLinePunct w:val="0"/>
        <w:snapToGrid w:val="0"/>
        <w:spacing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DDBED88">
      <w:pPr>
        <w:pageBreakBefore w:val="0"/>
        <w:kinsoku/>
        <w:wordWrap w:val="0"/>
        <w:topLinePunct w:val="0"/>
        <w:snapToGrid w:val="0"/>
        <w:spacing w:beforeLines="50" w:after="50" w:line="360" w:lineRule="auto"/>
        <w:ind w:left="142"/>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lang w:eastAsia="zh-CN"/>
        </w:rPr>
        <w:t>（</w:t>
      </w:r>
      <w:r>
        <w:rPr>
          <w:rFonts w:hint="eastAsia" w:ascii="宋体" w:hAnsi="宋体"/>
          <w:b/>
          <w:bCs/>
          <w:color w:val="auto"/>
          <w:sz w:val="32"/>
          <w:szCs w:val="32"/>
          <w:highlight w:val="none"/>
          <w:lang w:val="en-US" w:eastAsia="zh-CN"/>
        </w:rPr>
        <w:t>二</w:t>
      </w:r>
      <w:r>
        <w:rPr>
          <w:rFonts w:hint="eastAsia" w:ascii="宋体" w:hAnsi="宋体"/>
          <w:b/>
          <w:bCs/>
          <w:color w:val="auto"/>
          <w:sz w:val="32"/>
          <w:szCs w:val="32"/>
          <w:highlight w:val="none"/>
          <w:lang w:eastAsia="zh-CN"/>
        </w:rPr>
        <w:t>）</w:t>
      </w:r>
      <w:r>
        <w:rPr>
          <w:rFonts w:hint="eastAsia" w:ascii="宋体" w:hAnsi="宋体"/>
          <w:b/>
          <w:bCs/>
          <w:color w:val="auto"/>
          <w:sz w:val="32"/>
          <w:szCs w:val="32"/>
          <w:highlight w:val="none"/>
        </w:rPr>
        <w:t>报价文件目录</w:t>
      </w:r>
    </w:p>
    <w:p w14:paraId="19B558D3">
      <w:pPr>
        <w:pageBreakBefore w:val="0"/>
        <w:kinsoku/>
        <w:wordWrap w:val="0"/>
        <w:topLinePunct w:val="0"/>
        <w:snapToGrid w:val="0"/>
        <w:spacing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F3E2F6C">
      <w:pPr>
        <w:pageBreakBefore w:val="0"/>
        <w:kinsoku/>
        <w:wordWrap w:val="0"/>
        <w:topLinePunct w:val="0"/>
        <w:spacing w:line="400" w:lineRule="exact"/>
        <w:rPr>
          <w:rFonts w:ascii="仿宋_GB2312" w:hAnsi="仿宋_GB2312" w:eastAsia="仿宋_GB2312" w:cs="仿宋_GB2312"/>
          <w:color w:val="auto"/>
          <w:sz w:val="32"/>
          <w:szCs w:val="32"/>
          <w:highlight w:val="none"/>
        </w:rPr>
      </w:pPr>
    </w:p>
    <w:p w14:paraId="596F2F50">
      <w:pPr>
        <w:pageBreakBefore w:val="0"/>
        <w:kinsoku/>
        <w:wordWrap w:val="0"/>
        <w:topLinePunct w:val="0"/>
        <w:spacing w:line="520" w:lineRule="exact"/>
        <w:jc w:val="left"/>
        <w:rPr>
          <w:rStyle w:val="97"/>
          <w:color w:val="auto"/>
          <w:highlight w:val="none"/>
        </w:rPr>
      </w:pPr>
      <w:r>
        <w:rPr>
          <w:rFonts w:hint="eastAsia" w:ascii="方正小标宋简体" w:hAnsi="方正小标宋简体" w:eastAsia="方正小标宋简体" w:cs="方正小标宋简体"/>
          <w:color w:val="auto"/>
          <w:sz w:val="44"/>
          <w:szCs w:val="44"/>
          <w:highlight w:val="none"/>
        </w:rPr>
        <w:br w:type="page"/>
      </w:r>
      <w:r>
        <w:rPr>
          <w:rStyle w:val="97"/>
          <w:rFonts w:hint="eastAsia"/>
          <w:color w:val="auto"/>
          <w:highlight w:val="none"/>
        </w:rPr>
        <w:t>1、磋商函</w:t>
      </w:r>
    </w:p>
    <w:p w14:paraId="42AF942A">
      <w:pPr>
        <w:pStyle w:val="249"/>
        <w:pageBreakBefore w:val="0"/>
        <w:kinsoku/>
        <w:wordWrap w:val="0"/>
        <w:topLinePunct w:val="0"/>
        <w:rPr>
          <w:rFonts w:ascii="宋体" w:hAnsi="宋体"/>
          <w:color w:val="auto"/>
          <w:highlight w:val="none"/>
        </w:rPr>
      </w:pPr>
    </w:p>
    <w:p w14:paraId="064DC804">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1、根据你方项目编号为</w:t>
      </w:r>
      <w:r>
        <w:rPr>
          <w:rStyle w:val="252"/>
          <w:rFonts w:hint="eastAsia" w:hAnsi="宋体" w:cs="宋体"/>
          <w:color w:val="auto"/>
          <w:kern w:val="0"/>
          <w:sz w:val="24"/>
          <w:highlight w:val="none"/>
          <w:u w:val="single"/>
        </w:rPr>
        <w:t xml:space="preserve">  （项目编号） </w:t>
      </w:r>
      <w:r>
        <w:rPr>
          <w:rStyle w:val="252"/>
          <w:rFonts w:hint="eastAsia" w:hAnsi="宋体" w:cs="宋体"/>
          <w:color w:val="auto"/>
          <w:kern w:val="0"/>
          <w:sz w:val="24"/>
          <w:highlight w:val="none"/>
        </w:rPr>
        <w:t xml:space="preserve"> 的</w:t>
      </w:r>
      <w:r>
        <w:rPr>
          <w:rStyle w:val="252"/>
          <w:rFonts w:hint="eastAsia" w:hAnsi="宋体" w:cs="宋体"/>
          <w:color w:val="auto"/>
          <w:kern w:val="0"/>
          <w:sz w:val="24"/>
          <w:highlight w:val="none"/>
          <w:u w:val="single" w:color="000000"/>
        </w:rPr>
        <w:t xml:space="preserve">   （项目名称）  </w:t>
      </w:r>
      <w:r>
        <w:rPr>
          <w:rStyle w:val="252"/>
          <w:rFonts w:hint="eastAsia" w:hAnsi="宋体" w:cs="宋体"/>
          <w:color w:val="auto"/>
          <w:kern w:val="0"/>
          <w:sz w:val="24"/>
          <w:highlight w:val="none"/>
        </w:rPr>
        <w:t>工程竞争性磋商文件，参照</w:t>
      </w:r>
      <w:r>
        <w:rPr>
          <w:rStyle w:val="252"/>
          <w:rFonts w:hint="eastAsia" w:ascii="微软雅黑" w:hAnsi="微软雅黑" w:eastAsia="微软雅黑" w:cs="微软雅黑"/>
          <w:color w:val="auto"/>
          <w:kern w:val="0"/>
          <w:sz w:val="24"/>
          <w:highlight w:val="none"/>
        </w:rPr>
        <w:t>《</w:t>
      </w:r>
      <w:r>
        <w:rPr>
          <w:rStyle w:val="252"/>
          <w:rFonts w:hint="eastAsia" w:hAnsi="宋体" w:cs="宋体"/>
          <w:color w:val="auto"/>
          <w:kern w:val="0"/>
          <w:sz w:val="24"/>
          <w:highlight w:val="none"/>
        </w:rPr>
        <w:t>政府采购竞争性磋商采购方式管理暂行办法</w:t>
      </w:r>
      <w:r>
        <w:rPr>
          <w:rStyle w:val="252"/>
          <w:rFonts w:hint="eastAsia" w:ascii="微软雅黑" w:hAnsi="微软雅黑" w:eastAsia="微软雅黑" w:cs="微软雅黑"/>
          <w:color w:val="auto"/>
          <w:kern w:val="0"/>
          <w:sz w:val="24"/>
          <w:highlight w:val="none"/>
        </w:rPr>
        <w:t>》</w:t>
      </w:r>
      <w:r>
        <w:rPr>
          <w:rStyle w:val="252"/>
          <w:rFonts w:hint="eastAsia" w:hAnsi="宋体" w:cs="宋体"/>
          <w:color w:val="auto"/>
          <w:kern w:val="0"/>
          <w:sz w:val="24"/>
          <w:highlight w:val="none"/>
        </w:rPr>
        <w:t xml:space="preserve"> 等相关法律法规规定，经研究上述竞争性磋商文件的供应商须知、合同条款、图纸、工程建设标准和工程量清单及其他有关文件后，我方愿以人民币（大写 ）元（RMB¥元） 的磋商报价并按上述图纸、合同条款、工程建设标准和工程量清单（如有时）的条件要求承包上述工程的施工、 竣工， 并承担任何质量缺陷保修责任。我方保证工程质量达到</w:t>
      </w:r>
    </w:p>
    <w:p w14:paraId="72D495CE">
      <w:pPr>
        <w:pStyle w:val="250"/>
        <w:pageBreakBefore w:val="0"/>
        <w:widowControl/>
        <w:kinsoku/>
        <w:wordWrap w:val="0"/>
        <w:topLinePunct w:val="0"/>
        <w:snapToGrid w:val="0"/>
        <w:spacing w:line="500" w:lineRule="exact"/>
        <w:rPr>
          <w:rStyle w:val="252"/>
          <w:rFonts w:hAnsi="宋体" w:cs="宋体"/>
          <w:color w:val="auto"/>
          <w:kern w:val="0"/>
          <w:sz w:val="24"/>
          <w:highlight w:val="none"/>
        </w:rPr>
      </w:pPr>
      <w:r>
        <w:rPr>
          <w:rStyle w:val="252"/>
          <w:rFonts w:hint="eastAsia" w:hAnsi="宋体" w:cs="宋体"/>
          <w:color w:val="auto"/>
          <w:kern w:val="0"/>
          <w:sz w:val="24"/>
          <w:highlight w:val="none"/>
        </w:rPr>
        <w:t>等级。</w:t>
      </w:r>
    </w:p>
    <w:p w14:paraId="1DC723DF">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2、我方已详细审核全部竞争性磋商文件，包括修改文件（如有时）及有关附件。</w:t>
      </w:r>
    </w:p>
    <w:p w14:paraId="79129D6D">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3、我方承认磋商函附录是我方磋商函的组成部分。</w:t>
      </w:r>
    </w:p>
    <w:p w14:paraId="0887EA8A">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4、一旦我方成交，我方保证按合同书中</w:t>
      </w:r>
      <w:r>
        <w:rPr>
          <w:rFonts w:hint="eastAsia" w:hAnsi="宋体" w:cs="宋体"/>
          <w:color w:val="auto"/>
          <w:sz w:val="24"/>
          <w:szCs w:val="24"/>
          <w:highlight w:val="none"/>
        </w:rPr>
        <w:t>承诺合同履行期限（工期）</w:t>
      </w:r>
      <w:r>
        <w:rPr>
          <w:rStyle w:val="252"/>
          <w:rFonts w:hint="eastAsia" w:hAnsi="宋体" w:cs="宋体"/>
          <w:color w:val="auto"/>
          <w:kern w:val="0"/>
          <w:sz w:val="24"/>
          <w:highlight w:val="none"/>
        </w:rPr>
        <w:t>日历天内完成并移交全部工程。</w:t>
      </w:r>
    </w:p>
    <w:p w14:paraId="26712185">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5、如果我方成交，我方将按照磋商文件规定提交履约保证金作为履约担保。</w:t>
      </w:r>
    </w:p>
    <w:p w14:paraId="6B9E980F">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6、我方同意所提交的响应文件在竞争性磋商文件的“供应商须知”中规定的竞标有效期内有效， 在此期间内如果成交，我方将受此约束。</w:t>
      </w:r>
    </w:p>
    <w:p w14:paraId="23C1495A">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7、除非另外达成协议并生效，你方的成交通知书和本响应文件将成为约束双方的合同文件的组成部分。</w:t>
      </w:r>
    </w:p>
    <w:p w14:paraId="38CAD246">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竞标人名称（公章）：</w:t>
      </w:r>
    </w:p>
    <w:p w14:paraId="0029A20F">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单位地址：</w:t>
      </w:r>
    </w:p>
    <w:p w14:paraId="6AC79BA4">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法人代表或委托代理人姓名：（签字）</w:t>
      </w:r>
    </w:p>
    <w:p w14:paraId="6510FF74">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邮政编码：</w:t>
      </w:r>
    </w:p>
    <w:p w14:paraId="71ACEF01">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电话：                    传真：</w:t>
      </w:r>
    </w:p>
    <w:p w14:paraId="455A42B9">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开户银行名称：</w:t>
      </w:r>
    </w:p>
    <w:p w14:paraId="484A1793">
      <w:pPr>
        <w:pStyle w:val="250"/>
        <w:pageBreakBefore w:val="0"/>
        <w:widowControl/>
        <w:kinsoku/>
        <w:wordWrap w:val="0"/>
        <w:topLinePunct w:val="0"/>
        <w:snapToGrid w:val="0"/>
        <w:spacing w:line="500" w:lineRule="exact"/>
        <w:ind w:firstLine="480" w:firstLineChars="200"/>
        <w:rPr>
          <w:rStyle w:val="252"/>
          <w:rFonts w:hAnsi="宋体" w:cs="宋体"/>
          <w:color w:val="auto"/>
          <w:kern w:val="0"/>
          <w:sz w:val="24"/>
          <w:highlight w:val="none"/>
        </w:rPr>
      </w:pPr>
      <w:r>
        <w:rPr>
          <w:rStyle w:val="252"/>
          <w:rFonts w:hint="eastAsia" w:hAnsi="宋体" w:cs="宋体"/>
          <w:color w:val="auto"/>
          <w:kern w:val="0"/>
          <w:sz w:val="24"/>
          <w:highlight w:val="none"/>
        </w:rPr>
        <w:t>开户银行账号：</w:t>
      </w:r>
    </w:p>
    <w:p w14:paraId="5AB8776C">
      <w:pPr>
        <w:pStyle w:val="250"/>
        <w:pageBreakBefore w:val="0"/>
        <w:widowControl/>
        <w:kinsoku/>
        <w:wordWrap w:val="0"/>
        <w:topLinePunct w:val="0"/>
        <w:snapToGrid w:val="0"/>
        <w:spacing w:line="500" w:lineRule="exact"/>
        <w:ind w:firstLine="480" w:firstLineChars="200"/>
        <w:rPr>
          <w:rFonts w:hAnsi="宋体"/>
          <w:color w:val="auto"/>
          <w:highlight w:val="none"/>
        </w:rPr>
      </w:pPr>
      <w:r>
        <w:rPr>
          <w:rStyle w:val="252"/>
          <w:rFonts w:hint="eastAsia" w:hAnsi="宋体" w:cs="宋体"/>
          <w:color w:val="auto"/>
          <w:kern w:val="0"/>
          <w:sz w:val="24"/>
          <w:highlight w:val="none"/>
        </w:rPr>
        <w:t>日期：</w:t>
      </w:r>
    </w:p>
    <w:p w14:paraId="6B967FEF">
      <w:pPr>
        <w:pStyle w:val="5"/>
        <w:pageBreakBefore w:val="0"/>
        <w:kinsoku/>
        <w:wordWrap w:val="0"/>
        <w:topLinePunct w:val="0"/>
        <w:rPr>
          <w:color w:val="auto"/>
          <w:highlight w:val="none"/>
        </w:rPr>
      </w:pPr>
      <w:r>
        <w:rPr>
          <w:rFonts w:hint="eastAsia"/>
          <w:color w:val="auto"/>
          <w:highlight w:val="none"/>
        </w:rPr>
        <w:t>2、磋商函附录</w:t>
      </w:r>
    </w:p>
    <w:p w14:paraId="3BA8C6EC">
      <w:pPr>
        <w:pageBreakBefore w:val="0"/>
        <w:kinsoku/>
        <w:wordWrap w:val="0"/>
        <w:topLinePunct w:val="0"/>
        <w:ind w:left="-178" w:leftChars="-85" w:right="-512" w:rightChars="-244" w:firstLine="840" w:firstLineChars="400"/>
        <w:jc w:val="left"/>
        <w:rPr>
          <w:rFonts w:ascii="宋体" w:hAnsi="宋体" w:cs="宋体"/>
          <w:color w:val="auto"/>
          <w:highlight w:val="none"/>
        </w:rPr>
      </w:pPr>
      <w:r>
        <w:rPr>
          <w:rFonts w:hint="eastAsia" w:ascii="宋体" w:hAnsi="宋体" w:cs="宋体"/>
          <w:color w:val="auto"/>
          <w:highlight w:val="none"/>
        </w:rPr>
        <w:t xml:space="preserve">项目名称： </w:t>
      </w:r>
      <w:r>
        <w:rPr>
          <w:rFonts w:ascii="宋体" w:hAnsi="宋体" w:cs="宋体"/>
          <w:color w:val="auto"/>
          <w:highlight w:val="none"/>
          <w:u w:val="single"/>
        </w:rPr>
        <w:tab/>
      </w:r>
      <w:r>
        <w:rPr>
          <w:rFonts w:ascii="宋体" w:hAnsi="宋体" w:cs="宋体"/>
          <w:color w:val="auto"/>
          <w:highlight w:val="none"/>
          <w:u w:val="single"/>
        </w:rPr>
        <w:tab/>
      </w:r>
      <w:r>
        <w:rPr>
          <w:rFonts w:hint="eastAsia" w:ascii="宋体" w:hAnsi="宋体" w:cs="宋体"/>
          <w:color w:val="auto"/>
          <w:highlight w:val="none"/>
        </w:rPr>
        <w:t>币种：人民币</w:t>
      </w:r>
    </w:p>
    <w:tbl>
      <w:tblPr>
        <w:tblStyle w:val="4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0B79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100" w:type="dxa"/>
            <w:gridSpan w:val="2"/>
            <w:vAlign w:val="center"/>
          </w:tcPr>
          <w:p w14:paraId="2517E70E">
            <w:pPr>
              <w:pageBreakBefore w:val="0"/>
              <w:widowControl/>
              <w:kinsoku/>
              <w:wordWrap w:val="0"/>
              <w:topLinePunct w:val="0"/>
              <w:jc w:val="center"/>
              <w:rPr>
                <w:rFonts w:ascii="宋体" w:hAnsi="宋体" w:cs="宋体"/>
                <w:color w:val="auto"/>
                <w:highlight w:val="none"/>
              </w:rPr>
            </w:pPr>
            <w:r>
              <w:rPr>
                <w:rFonts w:hint="eastAsia" w:ascii="宋体" w:hAnsi="宋体" w:cs="宋体"/>
                <w:color w:val="auto"/>
                <w:highlight w:val="none"/>
              </w:rPr>
              <w:t>投标总价</w:t>
            </w:r>
          </w:p>
        </w:tc>
        <w:tc>
          <w:tcPr>
            <w:tcW w:w="1987" w:type="dxa"/>
            <w:vAlign w:val="center"/>
          </w:tcPr>
          <w:p w14:paraId="4A4A53D3">
            <w:pPr>
              <w:pageBreakBefore w:val="0"/>
              <w:widowControl/>
              <w:kinsoku/>
              <w:wordWrap w:val="0"/>
              <w:topLinePunct w:val="0"/>
              <w:jc w:val="right"/>
              <w:rPr>
                <w:rFonts w:ascii="宋体" w:hAnsi="宋体" w:cs="宋体"/>
                <w:color w:val="auto"/>
                <w:highlight w:val="none"/>
              </w:rPr>
            </w:pPr>
            <w:r>
              <w:rPr>
                <w:rFonts w:hint="eastAsia" w:ascii="宋体" w:hAnsi="宋体" w:cs="宋体"/>
                <w:color w:val="auto"/>
                <w:highlight w:val="none"/>
              </w:rPr>
              <w:t>万元</w:t>
            </w:r>
          </w:p>
        </w:tc>
        <w:tc>
          <w:tcPr>
            <w:tcW w:w="1702" w:type="dxa"/>
            <w:vAlign w:val="center"/>
          </w:tcPr>
          <w:p w14:paraId="17E23B2D">
            <w:pPr>
              <w:pageBreakBefore w:val="0"/>
              <w:widowControl/>
              <w:kinsoku/>
              <w:wordWrap w:val="0"/>
              <w:topLinePunct w:val="0"/>
              <w:jc w:val="center"/>
              <w:rPr>
                <w:rFonts w:ascii="宋体" w:hAnsi="宋体" w:cs="宋体"/>
                <w:color w:val="auto"/>
                <w:highlight w:val="none"/>
              </w:rPr>
            </w:pPr>
            <w:r>
              <w:rPr>
                <w:rFonts w:hint="eastAsia" w:ascii="宋体" w:hAnsi="宋体" w:cs="宋体"/>
                <w:color w:val="auto"/>
                <w:highlight w:val="none"/>
              </w:rPr>
              <w:t>备注</w:t>
            </w:r>
          </w:p>
        </w:tc>
      </w:tr>
      <w:tr w14:paraId="0000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984" w:type="dxa"/>
            <w:vMerge w:val="restart"/>
            <w:vAlign w:val="center"/>
          </w:tcPr>
          <w:p w14:paraId="31BB2A2B">
            <w:pPr>
              <w:pageBreakBefore w:val="0"/>
              <w:kinsoku/>
              <w:wordWrap w:val="0"/>
              <w:topLinePunct w:val="0"/>
              <w:jc w:val="center"/>
              <w:rPr>
                <w:rFonts w:ascii="宋体" w:hAnsi="宋体" w:cs="宋体"/>
                <w:color w:val="auto"/>
                <w:highlight w:val="none"/>
              </w:rPr>
            </w:pPr>
            <w:r>
              <w:rPr>
                <w:rFonts w:hint="eastAsia" w:ascii="宋体" w:hAnsi="宋体" w:cs="宋体"/>
                <w:color w:val="auto"/>
                <w:highlight w:val="none"/>
              </w:rPr>
              <w:t>其中</w:t>
            </w:r>
          </w:p>
        </w:tc>
        <w:tc>
          <w:tcPr>
            <w:tcW w:w="3116" w:type="dxa"/>
            <w:vAlign w:val="center"/>
          </w:tcPr>
          <w:p w14:paraId="33A68E92">
            <w:pPr>
              <w:pageBreakBefore w:val="0"/>
              <w:kinsoku/>
              <w:wordWrap w:val="0"/>
              <w:topLinePunct w:val="0"/>
              <w:jc w:val="center"/>
              <w:rPr>
                <w:rFonts w:ascii="宋体" w:hAnsi="宋体" w:cs="宋体"/>
                <w:color w:val="auto"/>
                <w:highlight w:val="none"/>
              </w:rPr>
            </w:pPr>
            <w:r>
              <w:rPr>
                <w:rFonts w:hint="eastAsia" w:ascii="宋体" w:hAnsi="宋体" w:cs="宋体"/>
                <w:color w:val="auto"/>
                <w:highlight w:val="none"/>
              </w:rPr>
              <w:t>安全文明施工费</w:t>
            </w:r>
          </w:p>
        </w:tc>
        <w:tc>
          <w:tcPr>
            <w:tcW w:w="1987" w:type="dxa"/>
            <w:vAlign w:val="center"/>
          </w:tcPr>
          <w:p w14:paraId="523480F6">
            <w:pPr>
              <w:pageBreakBefore w:val="0"/>
              <w:kinsoku/>
              <w:wordWrap w:val="0"/>
              <w:topLinePunct w:val="0"/>
              <w:jc w:val="right"/>
              <w:rPr>
                <w:rFonts w:ascii="宋体" w:hAnsi="宋体" w:cs="宋体"/>
                <w:color w:val="auto"/>
                <w:highlight w:val="none"/>
              </w:rPr>
            </w:pPr>
            <w:r>
              <w:rPr>
                <w:rFonts w:hint="eastAsia" w:ascii="宋体" w:hAnsi="宋体" w:cs="宋体"/>
                <w:color w:val="auto"/>
                <w:highlight w:val="none"/>
              </w:rPr>
              <w:t>万元</w:t>
            </w:r>
          </w:p>
        </w:tc>
        <w:tc>
          <w:tcPr>
            <w:tcW w:w="1702" w:type="dxa"/>
            <w:vAlign w:val="center"/>
          </w:tcPr>
          <w:p w14:paraId="07FC60F0">
            <w:pPr>
              <w:pageBreakBefore w:val="0"/>
              <w:kinsoku/>
              <w:wordWrap w:val="0"/>
              <w:topLinePunct w:val="0"/>
              <w:jc w:val="center"/>
              <w:rPr>
                <w:rFonts w:ascii="宋体" w:hAnsi="宋体" w:cs="宋体"/>
                <w:color w:val="auto"/>
                <w:highlight w:val="none"/>
              </w:rPr>
            </w:pPr>
          </w:p>
        </w:tc>
      </w:tr>
      <w:tr w14:paraId="006D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984" w:type="dxa"/>
            <w:vMerge w:val="continue"/>
            <w:vAlign w:val="center"/>
          </w:tcPr>
          <w:p w14:paraId="262F6D4C">
            <w:pPr>
              <w:pageBreakBefore w:val="0"/>
              <w:widowControl/>
              <w:kinsoku/>
              <w:wordWrap w:val="0"/>
              <w:topLinePunct w:val="0"/>
              <w:jc w:val="center"/>
              <w:rPr>
                <w:rFonts w:ascii="宋体" w:hAnsi="宋体" w:cs="宋体"/>
                <w:color w:val="auto"/>
                <w:highlight w:val="none"/>
              </w:rPr>
            </w:pPr>
          </w:p>
        </w:tc>
        <w:tc>
          <w:tcPr>
            <w:tcW w:w="3116" w:type="dxa"/>
            <w:vAlign w:val="center"/>
          </w:tcPr>
          <w:p w14:paraId="24CF2B84">
            <w:pPr>
              <w:pageBreakBefore w:val="0"/>
              <w:kinsoku/>
              <w:wordWrap w:val="0"/>
              <w:topLinePunct w:val="0"/>
              <w:jc w:val="center"/>
              <w:rPr>
                <w:rFonts w:ascii="宋体" w:hAnsi="宋体" w:cs="宋体"/>
                <w:color w:val="auto"/>
                <w:highlight w:val="none"/>
              </w:rPr>
            </w:pPr>
            <w:r>
              <w:rPr>
                <w:rFonts w:hint="eastAsia" w:ascii="宋体" w:hAnsi="宋体" w:cs="宋体"/>
                <w:color w:val="auto"/>
                <w:highlight w:val="none"/>
              </w:rPr>
              <w:t>发包人提供材料（设备）暂估价（如有）</w:t>
            </w:r>
          </w:p>
        </w:tc>
        <w:tc>
          <w:tcPr>
            <w:tcW w:w="1987" w:type="dxa"/>
            <w:vAlign w:val="center"/>
          </w:tcPr>
          <w:p w14:paraId="0E832E60">
            <w:pPr>
              <w:pageBreakBefore w:val="0"/>
              <w:widowControl/>
              <w:kinsoku/>
              <w:wordWrap w:val="0"/>
              <w:topLinePunct w:val="0"/>
              <w:jc w:val="right"/>
              <w:rPr>
                <w:rFonts w:ascii="宋体" w:hAnsi="宋体" w:cs="宋体"/>
                <w:color w:val="auto"/>
                <w:highlight w:val="none"/>
              </w:rPr>
            </w:pPr>
            <w:r>
              <w:rPr>
                <w:rFonts w:hint="eastAsia" w:ascii="宋体" w:hAnsi="宋体" w:cs="宋体"/>
                <w:color w:val="auto"/>
                <w:highlight w:val="none"/>
              </w:rPr>
              <w:t>万元</w:t>
            </w:r>
          </w:p>
        </w:tc>
        <w:tc>
          <w:tcPr>
            <w:tcW w:w="1702" w:type="dxa"/>
          </w:tcPr>
          <w:p w14:paraId="229702B0">
            <w:pPr>
              <w:pageBreakBefore w:val="0"/>
              <w:widowControl/>
              <w:kinsoku/>
              <w:wordWrap w:val="0"/>
              <w:topLinePunct w:val="0"/>
              <w:ind w:right="480"/>
              <w:rPr>
                <w:rFonts w:ascii="宋体" w:hAnsi="宋体" w:cs="宋体"/>
                <w:color w:val="auto"/>
                <w:highlight w:val="none"/>
              </w:rPr>
            </w:pPr>
          </w:p>
        </w:tc>
      </w:tr>
      <w:tr w14:paraId="79CE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984" w:type="dxa"/>
            <w:vMerge w:val="continue"/>
            <w:vAlign w:val="center"/>
          </w:tcPr>
          <w:p w14:paraId="0608FC8A">
            <w:pPr>
              <w:pageBreakBefore w:val="0"/>
              <w:widowControl/>
              <w:kinsoku/>
              <w:wordWrap w:val="0"/>
              <w:topLinePunct w:val="0"/>
              <w:jc w:val="center"/>
              <w:rPr>
                <w:rFonts w:ascii="宋体" w:hAnsi="宋体" w:cs="宋体"/>
                <w:color w:val="auto"/>
                <w:highlight w:val="none"/>
              </w:rPr>
            </w:pPr>
          </w:p>
        </w:tc>
        <w:tc>
          <w:tcPr>
            <w:tcW w:w="3116" w:type="dxa"/>
            <w:vAlign w:val="center"/>
          </w:tcPr>
          <w:p w14:paraId="3A3216E1">
            <w:pPr>
              <w:pageBreakBefore w:val="0"/>
              <w:widowControl/>
              <w:kinsoku/>
              <w:wordWrap w:val="0"/>
              <w:topLinePunct w:val="0"/>
              <w:rPr>
                <w:rFonts w:ascii="宋体" w:hAnsi="宋体" w:cs="宋体"/>
                <w:color w:val="auto"/>
                <w:highlight w:val="none"/>
              </w:rPr>
            </w:pPr>
            <w:r>
              <w:rPr>
                <w:rFonts w:hint="eastAsia" w:ascii="宋体" w:hAnsi="宋体" w:cs="宋体"/>
                <w:color w:val="auto"/>
                <w:highlight w:val="none"/>
              </w:rPr>
              <w:t>专业工程暂估价（如有）</w:t>
            </w:r>
          </w:p>
        </w:tc>
        <w:tc>
          <w:tcPr>
            <w:tcW w:w="1987" w:type="dxa"/>
            <w:vAlign w:val="center"/>
          </w:tcPr>
          <w:p w14:paraId="753024C5">
            <w:pPr>
              <w:pageBreakBefore w:val="0"/>
              <w:widowControl/>
              <w:kinsoku/>
              <w:wordWrap w:val="0"/>
              <w:topLinePunct w:val="0"/>
              <w:jc w:val="right"/>
              <w:rPr>
                <w:rFonts w:ascii="宋体" w:hAnsi="宋体" w:cs="宋体"/>
                <w:color w:val="auto"/>
                <w:highlight w:val="none"/>
              </w:rPr>
            </w:pPr>
            <w:r>
              <w:rPr>
                <w:rFonts w:hint="eastAsia" w:ascii="宋体" w:hAnsi="宋体" w:cs="宋体"/>
                <w:color w:val="auto"/>
                <w:highlight w:val="none"/>
              </w:rPr>
              <w:t>万元</w:t>
            </w:r>
          </w:p>
        </w:tc>
        <w:tc>
          <w:tcPr>
            <w:tcW w:w="1702" w:type="dxa"/>
          </w:tcPr>
          <w:p w14:paraId="4B68C070">
            <w:pPr>
              <w:pageBreakBefore w:val="0"/>
              <w:widowControl/>
              <w:kinsoku/>
              <w:wordWrap w:val="0"/>
              <w:topLinePunct w:val="0"/>
              <w:ind w:right="480"/>
              <w:rPr>
                <w:rFonts w:ascii="宋体" w:hAnsi="宋体" w:cs="宋体"/>
                <w:color w:val="auto"/>
                <w:highlight w:val="none"/>
              </w:rPr>
            </w:pPr>
          </w:p>
        </w:tc>
      </w:tr>
      <w:tr w14:paraId="2F65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984" w:type="dxa"/>
            <w:vMerge w:val="continue"/>
            <w:vAlign w:val="center"/>
          </w:tcPr>
          <w:p w14:paraId="48FA1727">
            <w:pPr>
              <w:pageBreakBefore w:val="0"/>
              <w:widowControl/>
              <w:kinsoku/>
              <w:wordWrap w:val="0"/>
              <w:topLinePunct w:val="0"/>
              <w:jc w:val="center"/>
              <w:rPr>
                <w:rFonts w:ascii="宋体" w:hAnsi="宋体" w:cs="宋体"/>
                <w:color w:val="auto"/>
                <w:highlight w:val="none"/>
              </w:rPr>
            </w:pPr>
          </w:p>
        </w:tc>
        <w:tc>
          <w:tcPr>
            <w:tcW w:w="3116" w:type="dxa"/>
            <w:vAlign w:val="center"/>
          </w:tcPr>
          <w:p w14:paraId="41F04556">
            <w:pPr>
              <w:pageBreakBefore w:val="0"/>
              <w:widowControl/>
              <w:kinsoku/>
              <w:wordWrap w:val="0"/>
              <w:topLinePunct w:val="0"/>
              <w:ind w:firstLine="945" w:firstLineChars="450"/>
              <w:rPr>
                <w:rFonts w:ascii="宋体" w:hAnsi="宋体" w:cs="宋体"/>
                <w:color w:val="auto"/>
                <w:highlight w:val="none"/>
              </w:rPr>
            </w:pPr>
            <w:r>
              <w:rPr>
                <w:rFonts w:hint="eastAsia" w:ascii="宋体" w:hAnsi="宋体" w:cs="宋体"/>
                <w:color w:val="auto"/>
                <w:highlight w:val="none"/>
              </w:rPr>
              <w:t>暂列金额（如有）</w:t>
            </w:r>
          </w:p>
        </w:tc>
        <w:tc>
          <w:tcPr>
            <w:tcW w:w="1987" w:type="dxa"/>
            <w:vAlign w:val="center"/>
          </w:tcPr>
          <w:p w14:paraId="237A50C0">
            <w:pPr>
              <w:pageBreakBefore w:val="0"/>
              <w:widowControl/>
              <w:kinsoku/>
              <w:wordWrap w:val="0"/>
              <w:topLinePunct w:val="0"/>
              <w:jc w:val="right"/>
              <w:rPr>
                <w:rFonts w:ascii="宋体" w:hAnsi="宋体" w:cs="宋体"/>
                <w:color w:val="auto"/>
                <w:highlight w:val="none"/>
              </w:rPr>
            </w:pPr>
            <w:r>
              <w:rPr>
                <w:rFonts w:hint="eastAsia" w:ascii="宋体" w:hAnsi="宋体" w:cs="宋体"/>
                <w:color w:val="auto"/>
                <w:highlight w:val="none"/>
              </w:rPr>
              <w:t>万元</w:t>
            </w:r>
          </w:p>
        </w:tc>
        <w:tc>
          <w:tcPr>
            <w:tcW w:w="1702" w:type="dxa"/>
          </w:tcPr>
          <w:p w14:paraId="1439CA32">
            <w:pPr>
              <w:pageBreakBefore w:val="0"/>
              <w:widowControl/>
              <w:kinsoku/>
              <w:wordWrap w:val="0"/>
              <w:topLinePunct w:val="0"/>
              <w:ind w:right="480"/>
              <w:rPr>
                <w:rFonts w:ascii="宋体" w:hAnsi="宋体" w:cs="宋体"/>
                <w:color w:val="auto"/>
                <w:highlight w:val="none"/>
              </w:rPr>
            </w:pPr>
          </w:p>
        </w:tc>
      </w:tr>
      <w:tr w14:paraId="3F94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84" w:type="dxa"/>
            <w:vMerge w:val="restart"/>
            <w:vAlign w:val="center"/>
          </w:tcPr>
          <w:p w14:paraId="3EF62B0C">
            <w:pPr>
              <w:pageBreakBefore w:val="0"/>
              <w:widowControl/>
              <w:kinsoku/>
              <w:wordWrap w:val="0"/>
              <w:topLinePunct w:val="0"/>
              <w:jc w:val="center"/>
              <w:rPr>
                <w:rFonts w:ascii="宋体" w:hAnsi="宋体" w:cs="宋体"/>
                <w:color w:val="auto"/>
                <w:highlight w:val="none"/>
              </w:rPr>
            </w:pPr>
            <w:r>
              <w:rPr>
                <w:rFonts w:hint="eastAsia" w:ascii="宋体" w:hAnsi="宋体" w:cs="宋体"/>
                <w:color w:val="auto"/>
                <w:highlight w:val="none"/>
              </w:rPr>
              <w:t>主要材料</w:t>
            </w:r>
          </w:p>
        </w:tc>
        <w:tc>
          <w:tcPr>
            <w:tcW w:w="3116" w:type="dxa"/>
            <w:vAlign w:val="center"/>
          </w:tcPr>
          <w:p w14:paraId="234B61B4">
            <w:pPr>
              <w:pageBreakBefore w:val="0"/>
              <w:widowControl/>
              <w:kinsoku/>
              <w:wordWrap w:val="0"/>
              <w:topLinePunct w:val="0"/>
              <w:jc w:val="center"/>
              <w:rPr>
                <w:rFonts w:ascii="宋体" w:hAnsi="宋体" w:cs="宋体"/>
                <w:color w:val="auto"/>
                <w:highlight w:val="none"/>
              </w:rPr>
            </w:pPr>
            <w:r>
              <w:rPr>
                <w:rFonts w:hint="eastAsia" w:ascii="宋体" w:hAnsi="宋体" w:cs="宋体"/>
                <w:color w:val="auto"/>
                <w:highlight w:val="none"/>
              </w:rPr>
              <w:t>钢筋</w:t>
            </w:r>
          </w:p>
        </w:tc>
        <w:tc>
          <w:tcPr>
            <w:tcW w:w="1987" w:type="dxa"/>
            <w:vAlign w:val="center"/>
          </w:tcPr>
          <w:p w14:paraId="619063BC">
            <w:pPr>
              <w:pageBreakBefore w:val="0"/>
              <w:widowControl/>
              <w:kinsoku/>
              <w:wordWrap w:val="0"/>
              <w:topLinePunct w:val="0"/>
              <w:jc w:val="right"/>
              <w:rPr>
                <w:rFonts w:ascii="宋体" w:hAnsi="宋体" w:cs="宋体"/>
                <w:color w:val="auto"/>
                <w:highlight w:val="none"/>
              </w:rPr>
            </w:pPr>
            <w:r>
              <w:rPr>
                <w:rFonts w:hint="eastAsia" w:ascii="宋体" w:hAnsi="宋体" w:cs="宋体"/>
                <w:color w:val="auto"/>
                <w:highlight w:val="none"/>
              </w:rPr>
              <w:t>吨</w:t>
            </w:r>
          </w:p>
        </w:tc>
        <w:tc>
          <w:tcPr>
            <w:tcW w:w="1702" w:type="dxa"/>
          </w:tcPr>
          <w:p w14:paraId="7C5C4BA2">
            <w:pPr>
              <w:pageBreakBefore w:val="0"/>
              <w:widowControl/>
              <w:kinsoku/>
              <w:wordWrap w:val="0"/>
              <w:topLinePunct w:val="0"/>
              <w:jc w:val="right"/>
              <w:rPr>
                <w:rFonts w:ascii="宋体" w:hAnsi="宋体" w:cs="宋体"/>
                <w:color w:val="auto"/>
                <w:highlight w:val="none"/>
              </w:rPr>
            </w:pPr>
          </w:p>
        </w:tc>
      </w:tr>
      <w:tr w14:paraId="5038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984" w:type="dxa"/>
            <w:vMerge w:val="continue"/>
            <w:vAlign w:val="center"/>
          </w:tcPr>
          <w:p w14:paraId="5E618687">
            <w:pPr>
              <w:pageBreakBefore w:val="0"/>
              <w:widowControl/>
              <w:kinsoku/>
              <w:wordWrap w:val="0"/>
              <w:topLinePunct w:val="0"/>
              <w:jc w:val="center"/>
              <w:rPr>
                <w:rFonts w:ascii="宋体" w:hAnsi="宋体" w:cs="宋体"/>
                <w:color w:val="auto"/>
                <w:highlight w:val="none"/>
              </w:rPr>
            </w:pPr>
          </w:p>
        </w:tc>
        <w:tc>
          <w:tcPr>
            <w:tcW w:w="3116" w:type="dxa"/>
            <w:vAlign w:val="center"/>
          </w:tcPr>
          <w:p w14:paraId="0F13AA7A">
            <w:pPr>
              <w:pageBreakBefore w:val="0"/>
              <w:widowControl/>
              <w:kinsoku/>
              <w:wordWrap w:val="0"/>
              <w:topLinePunct w:val="0"/>
              <w:jc w:val="center"/>
              <w:rPr>
                <w:rFonts w:ascii="宋体" w:hAnsi="宋体" w:cs="宋体"/>
                <w:color w:val="auto"/>
                <w:highlight w:val="none"/>
              </w:rPr>
            </w:pPr>
            <w:r>
              <w:rPr>
                <w:rFonts w:hint="eastAsia" w:ascii="宋体" w:hAnsi="宋体" w:cs="宋体"/>
                <w:color w:val="auto"/>
                <w:highlight w:val="none"/>
              </w:rPr>
              <w:t>水泥（不含商品混凝土用量）</w:t>
            </w:r>
          </w:p>
        </w:tc>
        <w:tc>
          <w:tcPr>
            <w:tcW w:w="1987" w:type="dxa"/>
            <w:vAlign w:val="center"/>
          </w:tcPr>
          <w:p w14:paraId="578C25CE">
            <w:pPr>
              <w:pageBreakBefore w:val="0"/>
              <w:widowControl/>
              <w:tabs>
                <w:tab w:val="left" w:pos="2398"/>
              </w:tabs>
              <w:kinsoku/>
              <w:wordWrap w:val="0"/>
              <w:topLinePunct w:val="0"/>
              <w:ind w:right="18"/>
              <w:jc w:val="right"/>
              <w:rPr>
                <w:rFonts w:ascii="宋体" w:hAnsi="宋体" w:cs="宋体"/>
                <w:color w:val="auto"/>
                <w:highlight w:val="none"/>
              </w:rPr>
            </w:pPr>
            <w:r>
              <w:rPr>
                <w:rFonts w:hint="eastAsia" w:ascii="宋体" w:hAnsi="宋体" w:cs="宋体"/>
                <w:color w:val="auto"/>
                <w:highlight w:val="none"/>
              </w:rPr>
              <w:t>吨</w:t>
            </w:r>
          </w:p>
        </w:tc>
        <w:tc>
          <w:tcPr>
            <w:tcW w:w="1702" w:type="dxa"/>
          </w:tcPr>
          <w:p w14:paraId="7C85951F">
            <w:pPr>
              <w:pageBreakBefore w:val="0"/>
              <w:widowControl/>
              <w:kinsoku/>
              <w:wordWrap w:val="0"/>
              <w:topLinePunct w:val="0"/>
              <w:jc w:val="right"/>
              <w:rPr>
                <w:rFonts w:ascii="宋体" w:hAnsi="宋体" w:cs="宋体"/>
                <w:color w:val="auto"/>
                <w:highlight w:val="none"/>
              </w:rPr>
            </w:pPr>
          </w:p>
        </w:tc>
      </w:tr>
      <w:tr w14:paraId="0CB6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984" w:type="dxa"/>
            <w:vMerge w:val="continue"/>
            <w:vAlign w:val="center"/>
          </w:tcPr>
          <w:p w14:paraId="10428A67">
            <w:pPr>
              <w:pageBreakBefore w:val="0"/>
              <w:widowControl/>
              <w:kinsoku/>
              <w:wordWrap w:val="0"/>
              <w:topLinePunct w:val="0"/>
              <w:jc w:val="center"/>
              <w:rPr>
                <w:rFonts w:ascii="宋体" w:hAnsi="宋体" w:cs="宋体"/>
                <w:color w:val="auto"/>
                <w:highlight w:val="none"/>
              </w:rPr>
            </w:pPr>
          </w:p>
        </w:tc>
        <w:tc>
          <w:tcPr>
            <w:tcW w:w="3116" w:type="dxa"/>
            <w:vAlign w:val="center"/>
          </w:tcPr>
          <w:p w14:paraId="18810026">
            <w:pPr>
              <w:pageBreakBefore w:val="0"/>
              <w:widowControl/>
              <w:kinsoku/>
              <w:wordWrap w:val="0"/>
              <w:topLinePunct w:val="0"/>
              <w:jc w:val="center"/>
              <w:rPr>
                <w:rFonts w:ascii="宋体" w:hAnsi="宋体" w:cs="宋体"/>
                <w:color w:val="auto"/>
                <w:highlight w:val="none"/>
              </w:rPr>
            </w:pPr>
            <w:r>
              <w:rPr>
                <w:rFonts w:hint="eastAsia" w:ascii="宋体" w:hAnsi="宋体" w:cs="宋体"/>
                <w:color w:val="auto"/>
                <w:highlight w:val="none"/>
              </w:rPr>
              <w:t>商品混凝土</w:t>
            </w:r>
          </w:p>
        </w:tc>
        <w:tc>
          <w:tcPr>
            <w:tcW w:w="1987" w:type="dxa"/>
            <w:vAlign w:val="center"/>
          </w:tcPr>
          <w:p w14:paraId="4E83622B">
            <w:pPr>
              <w:pageBreakBefore w:val="0"/>
              <w:widowControl/>
              <w:kinsoku/>
              <w:wordWrap w:val="0"/>
              <w:topLinePunct w:val="0"/>
              <w:jc w:val="right"/>
              <w:rPr>
                <w:rFonts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1702" w:type="dxa"/>
          </w:tcPr>
          <w:p w14:paraId="7416A215">
            <w:pPr>
              <w:pageBreakBefore w:val="0"/>
              <w:widowControl/>
              <w:kinsoku/>
              <w:wordWrap w:val="0"/>
              <w:topLinePunct w:val="0"/>
              <w:jc w:val="right"/>
              <w:rPr>
                <w:rFonts w:ascii="宋体" w:hAnsi="宋体" w:cs="宋体"/>
                <w:color w:val="auto"/>
                <w:highlight w:val="none"/>
              </w:rPr>
            </w:pPr>
          </w:p>
        </w:tc>
      </w:tr>
    </w:tbl>
    <w:p w14:paraId="46CC549F">
      <w:pPr>
        <w:pStyle w:val="249"/>
        <w:pageBreakBefore w:val="0"/>
        <w:kinsoku/>
        <w:wordWrap w:val="0"/>
        <w:topLinePunct w:val="0"/>
        <w:rPr>
          <w:color w:val="auto"/>
          <w:highlight w:val="none"/>
        </w:rPr>
      </w:pPr>
    </w:p>
    <w:p w14:paraId="4F971E04">
      <w:pPr>
        <w:pageBreakBefore w:val="0"/>
        <w:kinsoku/>
        <w:wordWrap w:val="0"/>
        <w:topLinePunct w:val="0"/>
        <w:snapToGrid w:val="0"/>
        <w:spacing w:beforeLines="50" w:line="360" w:lineRule="auto"/>
        <w:ind w:right="480" w:firstLine="2640" w:firstLineChars="1100"/>
        <w:rPr>
          <w:rFonts w:ascii="宋体" w:hAnsi="宋体" w:cs="仿宋_GB2312"/>
          <w:color w:val="auto"/>
          <w:sz w:val="24"/>
          <w:highlight w:val="none"/>
        </w:rPr>
      </w:pPr>
    </w:p>
    <w:p w14:paraId="67A5AEEA">
      <w:pPr>
        <w:pageBreakBefore w:val="0"/>
        <w:kinsoku/>
        <w:wordWrap w:val="0"/>
        <w:topLinePunct w:val="0"/>
        <w:snapToGrid w:val="0"/>
        <w:spacing w:beforeLines="50" w:line="360" w:lineRule="auto"/>
        <w:ind w:right="480" w:firstLine="2640" w:firstLineChars="1100"/>
        <w:rPr>
          <w:rFonts w:ascii="宋体" w:hAnsi="宋体" w:cs="仿宋_GB2312"/>
          <w:color w:val="auto"/>
          <w:sz w:val="24"/>
          <w:highlight w:val="none"/>
        </w:rPr>
      </w:pPr>
      <w:r>
        <w:rPr>
          <w:rFonts w:hint="eastAsia" w:ascii="宋体" w:hAnsi="宋体" w:cs="仿宋_GB2312"/>
          <w:color w:val="auto"/>
          <w:sz w:val="24"/>
          <w:highlight w:val="none"/>
        </w:rPr>
        <w:t>法定代表人（或负责人）或委托代理人（</w:t>
      </w:r>
      <w:r>
        <w:rPr>
          <w:rFonts w:hint="eastAsia" w:ascii="宋体" w:hAnsi="宋体" w:cs="宋体"/>
          <w:color w:val="auto"/>
          <w:sz w:val="24"/>
          <w:highlight w:val="none"/>
        </w:rPr>
        <w:t>签字）：</w:t>
      </w:r>
    </w:p>
    <w:p w14:paraId="1CB248BB">
      <w:pPr>
        <w:pageBreakBefore w:val="0"/>
        <w:kinsoku/>
        <w:wordWrap w:val="0"/>
        <w:topLinePunct w:val="0"/>
        <w:spacing w:line="360" w:lineRule="auto"/>
        <w:ind w:right="-817" w:rightChars="-389" w:firstLine="2640" w:firstLineChars="1100"/>
        <w:contextualSpacing/>
        <w:rPr>
          <w:rFonts w:ascii="宋体" w:hAnsi="宋体" w:cs="仿宋_GB2312"/>
          <w:color w:val="auto"/>
          <w:sz w:val="24"/>
          <w:highlight w:val="none"/>
        </w:rPr>
      </w:pPr>
    </w:p>
    <w:p w14:paraId="67A17AFC">
      <w:pPr>
        <w:pageBreakBefore w:val="0"/>
        <w:kinsoku/>
        <w:wordWrap w:val="0"/>
        <w:topLinePunct w:val="0"/>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公章</w:t>
      </w:r>
      <w:r>
        <w:rPr>
          <w:rFonts w:hint="eastAsia" w:ascii="宋体" w:hAnsi="宋体" w:cs="仿宋_GB2312"/>
          <w:color w:val="auto"/>
          <w:sz w:val="24"/>
          <w:highlight w:val="none"/>
        </w:rPr>
        <w:t xml:space="preserve">）：      </w:t>
      </w:r>
    </w:p>
    <w:p w14:paraId="400B4E73">
      <w:pPr>
        <w:pageBreakBefore w:val="0"/>
        <w:kinsoku/>
        <w:wordWrap w:val="0"/>
        <w:topLinePunct w:val="0"/>
        <w:spacing w:line="360" w:lineRule="auto"/>
        <w:ind w:right="-817" w:rightChars="-389" w:firstLine="4080" w:firstLineChars="1700"/>
        <w:contextualSpacing/>
        <w:jc w:val="center"/>
        <w:rPr>
          <w:rFonts w:ascii="宋体" w:hAnsi="宋体" w:cs="仿宋_GB2312"/>
          <w:color w:val="auto"/>
          <w:sz w:val="24"/>
          <w:highlight w:val="none"/>
        </w:rPr>
      </w:pPr>
    </w:p>
    <w:p w14:paraId="7ACFA5A5">
      <w:pPr>
        <w:pageBreakBefore w:val="0"/>
        <w:kinsoku/>
        <w:wordWrap w:val="0"/>
        <w:topLinePunct w:val="0"/>
        <w:spacing w:line="360" w:lineRule="auto"/>
        <w:ind w:right="-817" w:rightChars="-389" w:firstLine="4080" w:firstLineChars="1700"/>
        <w:contextualSpacing/>
        <w:jc w:val="left"/>
        <w:rPr>
          <w:rStyle w:val="97"/>
          <w:color w:val="auto"/>
          <w:highlight w:val="none"/>
        </w:rPr>
      </w:pPr>
      <w:r>
        <w:rPr>
          <w:rFonts w:hint="eastAsia" w:ascii="宋体" w:hAnsi="宋体" w:cs="仿宋_GB2312"/>
          <w:color w:val="auto"/>
          <w:sz w:val="24"/>
          <w:highlight w:val="none"/>
        </w:rPr>
        <w:t>日期：   年   月   日</w:t>
      </w:r>
      <w:r>
        <w:rPr>
          <w:rFonts w:hint="eastAsia" w:ascii="宋体" w:hAnsi="Courier New"/>
          <w:color w:val="auto"/>
          <w:sz w:val="32"/>
          <w:szCs w:val="32"/>
          <w:highlight w:val="none"/>
        </w:rPr>
        <w:br w:type="page"/>
      </w:r>
      <w:r>
        <w:rPr>
          <w:rStyle w:val="97"/>
          <w:rFonts w:hint="eastAsia"/>
          <w:color w:val="auto"/>
          <w:highlight w:val="none"/>
        </w:rPr>
        <w:t>3、已标价的工程量清单</w:t>
      </w:r>
    </w:p>
    <w:p w14:paraId="37BCEDA0">
      <w:pPr>
        <w:pageBreakBefore w:val="0"/>
        <w:numPr>
          <w:ilvl w:val="0"/>
          <w:numId w:val="9"/>
        </w:numPr>
        <w:kinsoku/>
        <w:wordWrap w:val="0"/>
        <w:topLinePunct w:val="0"/>
        <w:spacing w:beforeLines="100" w:afterLines="50" w:line="520" w:lineRule="exact"/>
        <w:rPr>
          <w:rFonts w:ascii="宋体" w:hAnsi="Courier New"/>
          <w:bCs/>
          <w:color w:val="auto"/>
          <w:highlight w:val="none"/>
        </w:rPr>
      </w:pPr>
      <w:r>
        <w:rPr>
          <w:rFonts w:hint="eastAsia" w:ascii="宋体" w:hAnsi="Courier New"/>
          <w:bCs/>
          <w:color w:val="auto"/>
          <w:highlight w:val="none"/>
        </w:rPr>
        <w:t>含工程量清单计价表和综合单价分析表、主要材料价格表。</w:t>
      </w:r>
    </w:p>
    <w:p w14:paraId="2856EEF1">
      <w:pPr>
        <w:pageBreakBefore w:val="0"/>
        <w:kinsoku/>
        <w:wordWrap w:val="0"/>
        <w:topLinePunct w:val="0"/>
        <w:spacing w:beforeLines="100" w:afterLines="50" w:line="520" w:lineRule="exact"/>
        <w:rPr>
          <w:rFonts w:ascii="宋体" w:hAnsi="Courier New"/>
          <w:bCs/>
          <w:color w:val="auto"/>
          <w:highlight w:val="none"/>
        </w:rPr>
      </w:pPr>
      <w:r>
        <w:rPr>
          <w:rFonts w:hint="eastAsia" w:ascii="宋体" w:hAnsi="Courier New"/>
          <w:bCs/>
          <w:color w:val="auto"/>
          <w:highlight w:val="none"/>
        </w:rPr>
        <w:t>2.已标价的工程量清单必须加盖电子签章。</w:t>
      </w:r>
    </w:p>
    <w:p w14:paraId="61DF2574">
      <w:pPr>
        <w:pageBreakBefore w:val="0"/>
        <w:kinsoku/>
        <w:wordWrap w:val="0"/>
        <w:topLinePunct w:val="0"/>
        <w:spacing w:line="360" w:lineRule="auto"/>
        <w:ind w:right="-817" w:rightChars="-389"/>
        <w:contextualSpacing/>
        <w:rPr>
          <w:rFonts w:ascii="方正小标宋简体" w:hAnsi="方正小标宋简体" w:eastAsia="方正小标宋简体" w:cs="方正小标宋简体"/>
          <w:bCs/>
          <w:color w:val="auto"/>
          <w:sz w:val="44"/>
          <w:szCs w:val="44"/>
          <w:highlight w:val="none"/>
        </w:rPr>
      </w:pPr>
    </w:p>
    <w:p w14:paraId="6B63713D">
      <w:pPr>
        <w:pStyle w:val="5"/>
        <w:pageBreakBefore w:val="0"/>
        <w:kinsoku/>
        <w:wordWrap w:val="0"/>
        <w:topLinePunct w:val="0"/>
        <w:rPr>
          <w:color w:val="auto"/>
          <w:highlight w:val="none"/>
        </w:rPr>
      </w:pPr>
      <w:r>
        <w:rPr>
          <w:rFonts w:hint="eastAsia"/>
          <w:color w:val="auto"/>
          <w:highlight w:val="none"/>
        </w:rPr>
        <w:t>4、供应商认为需要提供的其他有关资料。</w:t>
      </w:r>
    </w:p>
    <w:p w14:paraId="0154C086">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4925FB70">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5691678D">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510D9E44">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52939EAF">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5C3D2FD9">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0619EE9A">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641BFD06">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62C5D91E">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6E77ADB3">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36B345F3">
      <w:pPr>
        <w:pageBreakBefore w:val="0"/>
        <w:kinsoku/>
        <w:wordWrap w:val="0"/>
        <w:topLinePunct w:val="0"/>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5A749D78">
      <w:pPr>
        <w:pageBreakBefore w:val="0"/>
        <w:kinsoku/>
        <w:wordWrap w:val="0"/>
        <w:topLinePunct w:val="0"/>
        <w:snapToGrid w:val="0"/>
        <w:spacing w:beforeLines="50" w:after="50" w:line="360" w:lineRule="auto"/>
        <w:ind w:right="480"/>
        <w:rPr>
          <w:rFonts w:ascii="宋体" w:hAnsi="宋体"/>
          <w:b/>
          <w:color w:val="auto"/>
          <w:sz w:val="32"/>
          <w:szCs w:val="32"/>
          <w:highlight w:val="none"/>
        </w:rPr>
      </w:pPr>
      <w:r>
        <w:rPr>
          <w:rFonts w:ascii="方正小标宋简体" w:hAnsi="方正小标宋简体" w:eastAsia="方正小标宋简体" w:cs="方正小标宋简体"/>
          <w:bCs/>
          <w:color w:val="auto"/>
          <w:sz w:val="44"/>
          <w:szCs w:val="44"/>
          <w:highlight w:val="none"/>
        </w:rPr>
        <w:br w:type="page"/>
      </w:r>
      <w:r>
        <w:rPr>
          <w:rFonts w:ascii="方正小标宋简体" w:hAnsi="方正小标宋简体" w:eastAsia="方正小标宋简体" w:cs="方正小标宋简体"/>
          <w:bCs/>
          <w:color w:val="auto"/>
          <w:sz w:val="44"/>
          <w:szCs w:val="44"/>
          <w:highlight w:val="none"/>
        </w:rPr>
        <w:tab/>
      </w:r>
      <w:r>
        <w:rPr>
          <w:rFonts w:hint="eastAsia" w:ascii="宋体" w:hAnsi="宋体"/>
          <w:b/>
          <w:color w:val="auto"/>
          <w:sz w:val="32"/>
          <w:szCs w:val="32"/>
          <w:highlight w:val="none"/>
        </w:rPr>
        <w:t>三、商务技术文件格式</w:t>
      </w:r>
    </w:p>
    <w:p w14:paraId="0BB8DD1F">
      <w:pPr>
        <w:pageBreakBefore w:val="0"/>
        <w:kinsoku/>
        <w:wordWrap w:val="0"/>
        <w:topLinePunct w:val="0"/>
        <w:snapToGrid w:val="0"/>
        <w:spacing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一</w:t>
      </w:r>
      <w:r>
        <w:rPr>
          <w:rFonts w:hint="eastAsia" w:ascii="宋体" w:hAnsi="宋体"/>
          <w:b/>
          <w:color w:val="auto"/>
          <w:sz w:val="32"/>
          <w:szCs w:val="32"/>
          <w:highlight w:val="none"/>
          <w:lang w:eastAsia="zh-CN"/>
        </w:rPr>
        <w:t>）</w:t>
      </w:r>
      <w:r>
        <w:rPr>
          <w:rFonts w:hint="eastAsia" w:ascii="宋体" w:hAnsi="宋体"/>
          <w:b/>
          <w:color w:val="auto"/>
          <w:sz w:val="32"/>
          <w:szCs w:val="32"/>
          <w:highlight w:val="none"/>
        </w:rPr>
        <w:t>商务技术文件封面格式</w:t>
      </w:r>
    </w:p>
    <w:p w14:paraId="0985DC1D">
      <w:pPr>
        <w:pageBreakBefore w:val="0"/>
        <w:kinsoku/>
        <w:wordWrap w:val="0"/>
        <w:topLinePunct w:val="0"/>
        <w:snapToGrid w:val="0"/>
        <w:spacing w:beforeLines="50" w:after="50"/>
        <w:rPr>
          <w:rFonts w:ascii="宋体" w:hAnsi="宋体"/>
          <w:bCs/>
          <w:color w:val="auto"/>
          <w:sz w:val="32"/>
          <w:szCs w:val="20"/>
          <w:highlight w:val="none"/>
        </w:rPr>
      </w:pPr>
    </w:p>
    <w:p w14:paraId="30E87FC5">
      <w:pPr>
        <w:pStyle w:val="249"/>
        <w:pageBreakBefore w:val="0"/>
        <w:kinsoku/>
        <w:wordWrap w:val="0"/>
        <w:topLinePunct w:val="0"/>
        <w:rPr>
          <w:color w:val="auto"/>
          <w:highlight w:val="none"/>
        </w:rPr>
      </w:pPr>
    </w:p>
    <w:p w14:paraId="2DA749FD">
      <w:pPr>
        <w:pStyle w:val="249"/>
        <w:pageBreakBefore w:val="0"/>
        <w:kinsoku/>
        <w:wordWrap w:val="0"/>
        <w:topLinePunct w:val="0"/>
        <w:rPr>
          <w:color w:val="auto"/>
          <w:highlight w:val="none"/>
        </w:rPr>
      </w:pPr>
    </w:p>
    <w:p w14:paraId="24EC9C35">
      <w:pPr>
        <w:pStyle w:val="249"/>
        <w:pageBreakBefore w:val="0"/>
        <w:kinsoku/>
        <w:wordWrap w:val="0"/>
        <w:topLinePunct w:val="0"/>
        <w:rPr>
          <w:color w:val="auto"/>
          <w:highlight w:val="none"/>
        </w:rPr>
      </w:pPr>
    </w:p>
    <w:p w14:paraId="5F4B3645">
      <w:pPr>
        <w:pStyle w:val="249"/>
        <w:pageBreakBefore w:val="0"/>
        <w:kinsoku/>
        <w:wordWrap w:val="0"/>
        <w:topLinePunct w:val="0"/>
        <w:rPr>
          <w:color w:val="auto"/>
          <w:highlight w:val="none"/>
        </w:rPr>
      </w:pPr>
    </w:p>
    <w:p w14:paraId="63646E88">
      <w:pPr>
        <w:pageBreakBefore w:val="0"/>
        <w:kinsoku/>
        <w:wordWrap w:val="0"/>
        <w:topLinePunct w:val="0"/>
        <w:snapToGrid w:val="0"/>
        <w:spacing w:beforeLines="50" w:after="50"/>
        <w:rPr>
          <w:rFonts w:ascii="宋体" w:hAnsi="宋体"/>
          <w:color w:val="auto"/>
          <w:sz w:val="24"/>
          <w:szCs w:val="20"/>
          <w:highlight w:val="none"/>
        </w:rPr>
      </w:pPr>
    </w:p>
    <w:p w14:paraId="1D711100">
      <w:pPr>
        <w:pageBreakBefore w:val="0"/>
        <w:kinsoku/>
        <w:wordWrap w:val="0"/>
        <w:topLinePunct w:val="0"/>
        <w:snapToGrid w:val="0"/>
        <w:spacing w:beforeLines="50" w:after="5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205635C4">
      <w:pPr>
        <w:pageBreakBefore w:val="0"/>
        <w:kinsoku/>
        <w:wordWrap w:val="0"/>
        <w:topLinePunct w:val="0"/>
        <w:snapToGrid w:val="0"/>
        <w:spacing w:beforeLines="50" w:after="50"/>
        <w:jc w:val="center"/>
        <w:rPr>
          <w:rFonts w:ascii="宋体" w:hAnsi="宋体" w:cs="宋体"/>
          <w:bCs/>
          <w:color w:val="auto"/>
          <w:sz w:val="44"/>
          <w:szCs w:val="44"/>
          <w:highlight w:val="none"/>
        </w:rPr>
      </w:pPr>
    </w:p>
    <w:p w14:paraId="58FEC801">
      <w:pPr>
        <w:pageBreakBefore w:val="0"/>
        <w:kinsoku/>
        <w:wordWrap w:val="0"/>
        <w:topLinePunct w:val="0"/>
        <w:snapToGrid w:val="0"/>
        <w:spacing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  务  技  术  文  件</w:t>
      </w:r>
    </w:p>
    <w:p w14:paraId="24B73A09">
      <w:pPr>
        <w:pageBreakBefore w:val="0"/>
        <w:kinsoku/>
        <w:wordWrap w:val="0"/>
        <w:topLinePunct w:val="0"/>
        <w:snapToGrid w:val="0"/>
        <w:spacing w:beforeLines="50" w:after="50"/>
        <w:rPr>
          <w:rFonts w:ascii="宋体" w:hAnsi="宋体" w:cs="仿宋_GB2312"/>
          <w:bCs/>
          <w:color w:val="auto"/>
          <w:sz w:val="32"/>
          <w:szCs w:val="32"/>
          <w:highlight w:val="none"/>
        </w:rPr>
      </w:pPr>
    </w:p>
    <w:p w14:paraId="337EC649">
      <w:pPr>
        <w:pageBreakBefore w:val="0"/>
        <w:kinsoku/>
        <w:wordWrap w:val="0"/>
        <w:topLinePunct w:val="0"/>
        <w:snapToGrid w:val="0"/>
        <w:spacing w:beforeLines="50" w:after="50"/>
        <w:rPr>
          <w:rFonts w:ascii="宋体" w:hAnsi="宋体" w:cs="仿宋_GB2312"/>
          <w:bCs/>
          <w:color w:val="auto"/>
          <w:sz w:val="32"/>
          <w:szCs w:val="32"/>
          <w:highlight w:val="none"/>
        </w:rPr>
      </w:pPr>
    </w:p>
    <w:p w14:paraId="237FC569">
      <w:pPr>
        <w:pageBreakBefore w:val="0"/>
        <w:kinsoku/>
        <w:wordWrap w:val="0"/>
        <w:topLinePunct w:val="0"/>
        <w:snapToGrid w:val="0"/>
        <w:spacing w:beforeLines="50" w:after="50"/>
        <w:ind w:firstLine="1280" w:firstLineChars="400"/>
        <w:rPr>
          <w:rFonts w:hint="eastAsia" w:ascii="宋体" w:hAnsi="宋体" w:eastAsia="宋体"/>
          <w:color w:val="auto"/>
          <w:sz w:val="24"/>
          <w:highlight w:val="none"/>
          <w:lang w:eastAsia="zh-CN"/>
        </w:rPr>
      </w:pPr>
      <w:r>
        <w:rPr>
          <w:rFonts w:hint="eastAsia" w:cs="仿宋_GB2312"/>
          <w:bCs/>
          <w:color w:val="auto"/>
          <w:sz w:val="32"/>
          <w:szCs w:val="32"/>
          <w:highlight w:val="none"/>
        </w:rPr>
        <w:t>项目名称</w:t>
      </w:r>
      <w:r>
        <w:rPr>
          <w:rFonts w:hint="eastAsia" w:cs="仿宋_GB2312"/>
          <w:bCs/>
          <w:color w:val="auto"/>
          <w:sz w:val="32"/>
          <w:szCs w:val="32"/>
          <w:highlight w:val="none"/>
          <w:lang w:eastAsia="zh-CN"/>
        </w:rPr>
        <w:t>：</w:t>
      </w:r>
    </w:p>
    <w:p w14:paraId="087813D8">
      <w:pPr>
        <w:pageBreakBefore w:val="0"/>
        <w:kinsoku/>
        <w:wordWrap w:val="0"/>
        <w:topLinePunct w:val="0"/>
        <w:snapToGrid w:val="0"/>
        <w:spacing w:beforeLines="50" w:after="50"/>
        <w:jc w:val="center"/>
        <w:rPr>
          <w:rFonts w:ascii="宋体" w:hAnsi="宋体" w:cs="仿宋_GB2312"/>
          <w:bCs/>
          <w:color w:val="auto"/>
          <w:sz w:val="32"/>
          <w:szCs w:val="32"/>
          <w:highlight w:val="none"/>
        </w:rPr>
      </w:pPr>
    </w:p>
    <w:p w14:paraId="0A1F92FA">
      <w:pPr>
        <w:pageBreakBefore w:val="0"/>
        <w:kinsoku/>
        <w:wordWrap w:val="0"/>
        <w:topLinePunct w:val="0"/>
        <w:snapToGrid w:val="0"/>
        <w:spacing w:beforeLines="50" w:after="50"/>
        <w:ind w:firstLine="1280" w:firstLineChars="4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1340070">
      <w:pPr>
        <w:pageBreakBefore w:val="0"/>
        <w:kinsoku/>
        <w:wordWrap w:val="0"/>
        <w:topLinePunct w:val="0"/>
        <w:snapToGrid w:val="0"/>
        <w:spacing w:beforeLines="50" w:after="50"/>
        <w:ind w:firstLine="720" w:firstLineChars="225"/>
        <w:rPr>
          <w:rFonts w:ascii="宋体" w:hAnsi="宋体" w:cs="仿宋_GB2312"/>
          <w:bCs/>
          <w:color w:val="auto"/>
          <w:sz w:val="32"/>
          <w:szCs w:val="32"/>
          <w:highlight w:val="none"/>
        </w:rPr>
      </w:pPr>
    </w:p>
    <w:p w14:paraId="29609A2A">
      <w:pPr>
        <w:pStyle w:val="8"/>
        <w:pageBreakBefore w:val="0"/>
        <w:kinsoku/>
        <w:wordWrap w:val="0"/>
        <w:topLinePunct w:val="0"/>
        <w:snapToGrid w:val="0"/>
        <w:spacing w:before="50" w:after="50"/>
        <w:ind w:firstLine="1360" w:firstLineChars="4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6DEE1A3">
      <w:pPr>
        <w:pageBreakBefore w:val="0"/>
        <w:kinsoku/>
        <w:wordWrap w:val="0"/>
        <w:topLinePunct w:val="0"/>
        <w:snapToGrid w:val="0"/>
        <w:spacing w:beforeLines="50" w:after="50"/>
        <w:jc w:val="center"/>
        <w:rPr>
          <w:rFonts w:ascii="宋体" w:hAnsi="宋体" w:cs="仿宋_GB2312"/>
          <w:color w:val="auto"/>
          <w:sz w:val="32"/>
          <w:szCs w:val="32"/>
          <w:highlight w:val="none"/>
        </w:rPr>
      </w:pPr>
    </w:p>
    <w:p w14:paraId="0B4F73C2">
      <w:pPr>
        <w:pageBreakBefore w:val="0"/>
        <w:kinsoku/>
        <w:wordWrap w:val="0"/>
        <w:topLinePunct w:val="0"/>
        <w:snapToGrid w:val="0"/>
        <w:spacing w:beforeLines="50" w:after="50"/>
        <w:jc w:val="center"/>
        <w:rPr>
          <w:rFonts w:ascii="宋体" w:hAnsi="宋体" w:cs="仿宋_GB2312"/>
          <w:color w:val="auto"/>
          <w:sz w:val="32"/>
          <w:szCs w:val="32"/>
          <w:highlight w:val="none"/>
        </w:rPr>
      </w:pPr>
    </w:p>
    <w:p w14:paraId="1DA13466">
      <w:pPr>
        <w:pageBreakBefore w:val="0"/>
        <w:kinsoku/>
        <w:wordWrap w:val="0"/>
        <w:topLinePunct w:val="0"/>
        <w:snapToGrid w:val="0"/>
        <w:spacing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18B4F76">
      <w:pPr>
        <w:pageBreakBefore w:val="0"/>
        <w:kinsoku/>
        <w:wordWrap w:val="0"/>
        <w:topLinePunct w:val="0"/>
        <w:snapToGrid w:val="0"/>
        <w:spacing w:beforeLines="50" w:after="50"/>
        <w:rPr>
          <w:rFonts w:ascii="宋体" w:hAnsi="宋体"/>
          <w:color w:val="auto"/>
          <w:sz w:val="24"/>
          <w:szCs w:val="20"/>
          <w:highlight w:val="none"/>
        </w:rPr>
      </w:pPr>
      <w:r>
        <w:rPr>
          <w:rFonts w:ascii="宋体" w:hAnsi="宋体"/>
          <w:color w:val="auto"/>
          <w:sz w:val="24"/>
          <w:highlight w:val="none"/>
        </w:rPr>
        <w:br w:type="page"/>
      </w:r>
    </w:p>
    <w:p w14:paraId="6F8EA363">
      <w:pPr>
        <w:pageBreakBefore w:val="0"/>
        <w:kinsoku/>
        <w:wordWrap w:val="0"/>
        <w:topLinePunct w:val="0"/>
        <w:snapToGrid w:val="0"/>
        <w:spacing w:beforeLines="50" w:after="50" w:line="360" w:lineRule="auto"/>
        <w:ind w:left="142"/>
        <w:jc w:val="left"/>
        <w:rPr>
          <w:rFonts w:ascii="宋体" w:hAnsi="宋体"/>
          <w:b/>
          <w:bCs/>
          <w:color w:val="auto"/>
          <w:sz w:val="24"/>
          <w:highlight w:val="none"/>
        </w:rPr>
      </w:pPr>
      <w:r>
        <w:rPr>
          <w:rFonts w:hint="eastAsia" w:ascii="宋体" w:hAnsi="宋体"/>
          <w:b/>
          <w:bCs/>
          <w:color w:val="auto"/>
          <w:sz w:val="32"/>
          <w:szCs w:val="32"/>
          <w:highlight w:val="none"/>
          <w:lang w:eastAsia="zh-CN"/>
        </w:rPr>
        <w:t>（</w:t>
      </w:r>
      <w:r>
        <w:rPr>
          <w:rFonts w:hint="eastAsia" w:ascii="宋体" w:hAnsi="宋体"/>
          <w:b/>
          <w:bCs/>
          <w:color w:val="auto"/>
          <w:sz w:val="32"/>
          <w:szCs w:val="32"/>
          <w:highlight w:val="none"/>
          <w:lang w:val="en-US" w:eastAsia="zh-CN"/>
        </w:rPr>
        <w:t>二</w:t>
      </w:r>
      <w:r>
        <w:rPr>
          <w:rFonts w:hint="eastAsia" w:ascii="宋体" w:hAnsi="宋体"/>
          <w:b/>
          <w:bCs/>
          <w:color w:val="auto"/>
          <w:sz w:val="32"/>
          <w:szCs w:val="32"/>
          <w:highlight w:val="none"/>
          <w:lang w:eastAsia="zh-CN"/>
        </w:rPr>
        <w:t>）</w:t>
      </w:r>
      <w:r>
        <w:rPr>
          <w:rFonts w:hint="eastAsia" w:ascii="宋体" w:hAnsi="宋体"/>
          <w:b/>
          <w:bCs/>
          <w:color w:val="auto"/>
          <w:sz w:val="32"/>
          <w:szCs w:val="32"/>
          <w:highlight w:val="none"/>
        </w:rPr>
        <w:t>商务技术文件目录</w:t>
      </w:r>
    </w:p>
    <w:p w14:paraId="00E88AF6">
      <w:pPr>
        <w:pageBreakBefore w:val="0"/>
        <w:kinsoku/>
        <w:wordWrap w:val="0"/>
        <w:topLinePunct w:val="0"/>
        <w:snapToGrid w:val="0"/>
        <w:spacing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AF4920D">
      <w:pPr>
        <w:pageBreakBefore w:val="0"/>
        <w:kinsoku/>
        <w:wordWrap w:val="0"/>
        <w:topLinePunct w:val="0"/>
        <w:spacing w:line="400" w:lineRule="exact"/>
        <w:rPr>
          <w:rFonts w:ascii="仿宋_GB2312" w:hAnsi="仿宋_GB2312" w:eastAsia="仿宋_GB2312" w:cs="仿宋_GB2312"/>
          <w:color w:val="auto"/>
          <w:sz w:val="32"/>
          <w:szCs w:val="32"/>
          <w:highlight w:val="none"/>
        </w:rPr>
      </w:pPr>
    </w:p>
    <w:p w14:paraId="04F30338">
      <w:pPr>
        <w:pageBreakBefore w:val="0"/>
        <w:kinsoku/>
        <w:wordWrap w:val="0"/>
        <w:topLinePunct w:val="0"/>
        <w:spacing w:line="520" w:lineRule="exact"/>
        <w:jc w:val="left"/>
        <w:rPr>
          <w:rStyle w:val="97"/>
          <w:color w:val="auto"/>
          <w:highlight w:val="none"/>
        </w:rPr>
      </w:pPr>
      <w:r>
        <w:rPr>
          <w:rFonts w:hint="eastAsia" w:ascii="方正小标宋简体" w:hAnsi="方正小标宋简体" w:eastAsia="方正小标宋简体" w:cs="方正小标宋简体"/>
          <w:color w:val="auto"/>
          <w:sz w:val="44"/>
          <w:szCs w:val="44"/>
          <w:highlight w:val="none"/>
        </w:rPr>
        <w:br w:type="page"/>
      </w:r>
      <w:r>
        <w:rPr>
          <w:rStyle w:val="97"/>
          <w:rFonts w:hint="eastAsia"/>
          <w:color w:val="auto"/>
          <w:highlight w:val="none"/>
        </w:rPr>
        <w:t>1、无串通竞标行为的承诺函</w:t>
      </w:r>
    </w:p>
    <w:p w14:paraId="0B0C7580">
      <w:pPr>
        <w:pageBreakBefore w:val="0"/>
        <w:kinsoku/>
        <w:wordWrap w:val="0"/>
        <w:topLinePunct w:val="0"/>
        <w:spacing w:line="360" w:lineRule="auto"/>
        <w:ind w:firstLine="640" w:firstLineChars="200"/>
        <w:contextualSpacing/>
        <w:rPr>
          <w:rFonts w:ascii="仿宋_GB2312" w:hAnsi="仿宋_GB2312" w:eastAsia="仿宋_GB2312" w:cs="仿宋_GB2312"/>
          <w:color w:val="auto"/>
          <w:sz w:val="32"/>
          <w:szCs w:val="32"/>
          <w:highlight w:val="none"/>
        </w:rPr>
      </w:pPr>
    </w:p>
    <w:p w14:paraId="62DA773E">
      <w:pPr>
        <w:pageBreakBefore w:val="0"/>
        <w:kinsoku/>
        <w:wordWrap w:val="0"/>
        <w:topLinePunct w:val="0"/>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D6EF020">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1243FEBC">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66B4E52F">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212446E0">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3770A8FD">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363C2A86">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1374C45D">
      <w:pPr>
        <w:pageBreakBefore w:val="0"/>
        <w:kinsoku/>
        <w:wordWrap w:val="0"/>
        <w:topLinePunct w:val="0"/>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0D522F4A">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4AF9D81">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5A6F2A4">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5D197833">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69666106">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04C63D46">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6A9DFF39">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9E86198">
      <w:pPr>
        <w:pageBreakBefore w:val="0"/>
        <w:kinsoku/>
        <w:wordWrap w:val="0"/>
        <w:topLinePunct w:val="0"/>
        <w:spacing w:line="360" w:lineRule="auto"/>
        <w:ind w:firstLine="480" w:firstLineChars="200"/>
        <w:contextualSpacing/>
        <w:rPr>
          <w:rFonts w:ascii="宋体" w:hAnsi="宋体" w:cs="仿宋_GB2312"/>
          <w:color w:val="auto"/>
          <w:sz w:val="24"/>
          <w:highlight w:val="none"/>
        </w:rPr>
      </w:pPr>
    </w:p>
    <w:p w14:paraId="61CC1ADF">
      <w:pPr>
        <w:pageBreakBefore w:val="0"/>
        <w:kinsoku/>
        <w:wordWrap w:val="0"/>
        <w:topLinePunct w:val="0"/>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DC2B40F">
      <w:pPr>
        <w:pageBreakBefore w:val="0"/>
        <w:kinsoku/>
        <w:wordWrap w:val="0"/>
        <w:topLinePunct w:val="0"/>
        <w:spacing w:line="360" w:lineRule="auto"/>
        <w:contextualSpacing/>
        <w:rPr>
          <w:rFonts w:ascii="宋体" w:hAnsi="宋体" w:cs="仿宋_GB2312"/>
          <w:color w:val="auto"/>
          <w:sz w:val="24"/>
          <w:highlight w:val="none"/>
        </w:rPr>
      </w:pPr>
    </w:p>
    <w:p w14:paraId="1DCC91E6">
      <w:pPr>
        <w:pageBreakBefore w:val="0"/>
        <w:kinsoku/>
        <w:wordWrap w:val="0"/>
        <w:topLinePunct w:val="0"/>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供应商（盖公章）：</w:t>
      </w:r>
    </w:p>
    <w:p w14:paraId="7F893F88">
      <w:pPr>
        <w:pageBreakBefore w:val="0"/>
        <w:kinsoku/>
        <w:wordWrap w:val="0"/>
        <w:topLinePunct w:val="0"/>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402A040">
      <w:pPr>
        <w:pStyle w:val="5"/>
        <w:pageBreakBefore w:val="0"/>
        <w:numPr>
          <w:ilvl w:val="0"/>
          <w:numId w:val="10"/>
        </w:numPr>
        <w:kinsoku/>
        <w:wordWrap w:val="0"/>
        <w:topLinePunct w:val="0"/>
        <w:rPr>
          <w:color w:val="auto"/>
          <w:highlight w:val="none"/>
        </w:rPr>
      </w:pPr>
      <w:r>
        <w:rPr>
          <w:rFonts w:hint="eastAsia"/>
          <w:color w:val="auto"/>
          <w:highlight w:val="none"/>
        </w:rPr>
        <w:t>法定代表人身份证明及法定代表人有效身份证正反面复印件</w:t>
      </w:r>
    </w:p>
    <w:p w14:paraId="7666900C">
      <w:pPr>
        <w:pageBreakBefore w:val="0"/>
        <w:kinsoku/>
        <w:wordWrap w:val="0"/>
        <w:topLinePunct w:val="0"/>
        <w:spacing w:line="520" w:lineRule="exact"/>
        <w:jc w:val="center"/>
        <w:rPr>
          <w:rFonts w:ascii="宋体" w:hAnsi="宋体"/>
          <w:b/>
          <w:color w:val="auto"/>
          <w:sz w:val="32"/>
          <w:szCs w:val="32"/>
          <w:highlight w:val="none"/>
        </w:rPr>
      </w:pPr>
      <w:r>
        <w:rPr>
          <w:rFonts w:hint="eastAsia" w:ascii="宋体" w:hAnsi="宋体"/>
          <w:b/>
          <w:color w:val="auto"/>
          <w:sz w:val="32"/>
          <w:szCs w:val="32"/>
          <w:highlight w:val="none"/>
        </w:rPr>
        <w:t>法定代表人身份证明</w:t>
      </w:r>
    </w:p>
    <w:p w14:paraId="4DA9366D">
      <w:pPr>
        <w:pageBreakBefore w:val="0"/>
        <w:kinsoku/>
        <w:wordWrap w:val="0"/>
        <w:topLinePunct w:val="0"/>
        <w:spacing w:line="360" w:lineRule="auto"/>
        <w:ind w:left="540"/>
        <w:contextualSpacing/>
        <w:rPr>
          <w:rFonts w:ascii="仿宋_GB2312" w:hAnsi="仿宋_GB2312" w:eastAsia="仿宋_GB2312" w:cs="仿宋_GB2312"/>
          <w:color w:val="auto"/>
          <w:sz w:val="32"/>
          <w:szCs w:val="32"/>
          <w:highlight w:val="none"/>
        </w:rPr>
      </w:pPr>
    </w:p>
    <w:p w14:paraId="5C7CAD59">
      <w:pPr>
        <w:pageBreakBefore w:val="0"/>
        <w:kinsoku/>
        <w:wordWrap w:val="0"/>
        <w:topLinePunct w:val="0"/>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5843FCFB">
      <w:pPr>
        <w:pageBreakBefore w:val="0"/>
        <w:kinsoku/>
        <w:wordWrap w:val="0"/>
        <w:topLinePunct w:val="0"/>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p>
    <w:p w14:paraId="70F469F0">
      <w:pPr>
        <w:pageBreakBefore w:val="0"/>
        <w:kinsoku/>
        <w:wordWrap w:val="0"/>
        <w:topLinePunct w:val="0"/>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                      性     别：</w:t>
      </w:r>
    </w:p>
    <w:p w14:paraId="4E51A037">
      <w:pPr>
        <w:pageBreakBefore w:val="0"/>
        <w:kinsoku/>
        <w:wordWrap w:val="0"/>
        <w:topLinePunct w:val="0"/>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                      职     务：</w:t>
      </w:r>
    </w:p>
    <w:p w14:paraId="7E25B055">
      <w:pPr>
        <w:pageBreakBefore w:val="0"/>
        <w:kinsoku/>
        <w:wordWrap w:val="0"/>
        <w:topLinePunct w:val="0"/>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3B6BB2AA">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70CE6747">
      <w:pPr>
        <w:pageBreakBefore w:val="0"/>
        <w:kinsoku/>
        <w:wordWrap w:val="0"/>
        <w:topLinePunct w:val="0"/>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63D8584B">
      <w:pPr>
        <w:pageBreakBefore w:val="0"/>
        <w:kinsoku/>
        <w:wordWrap w:val="0"/>
        <w:topLinePunct w:val="0"/>
        <w:spacing w:line="360" w:lineRule="auto"/>
        <w:ind w:left="540"/>
        <w:contextualSpacing/>
        <w:rPr>
          <w:rFonts w:ascii="宋体" w:hAnsi="宋体" w:cs="仿宋_GB2312"/>
          <w:color w:val="auto"/>
          <w:sz w:val="24"/>
          <w:highlight w:val="none"/>
        </w:rPr>
      </w:pPr>
    </w:p>
    <w:p w14:paraId="7136D4E2">
      <w:pPr>
        <w:pageBreakBefore w:val="0"/>
        <w:kinsoku/>
        <w:wordWrap w:val="0"/>
        <w:topLinePunct w:val="0"/>
        <w:spacing w:line="360" w:lineRule="auto"/>
        <w:ind w:left="540"/>
        <w:contextualSpacing/>
        <w:rPr>
          <w:rFonts w:ascii="宋体" w:hAnsi="宋体" w:cs="仿宋_GB2312"/>
          <w:color w:val="auto"/>
          <w:sz w:val="24"/>
          <w:highlight w:val="none"/>
        </w:rPr>
      </w:pPr>
    </w:p>
    <w:p w14:paraId="74ABE61F">
      <w:pPr>
        <w:pageBreakBefore w:val="0"/>
        <w:kinsoku/>
        <w:wordWrap w:val="0"/>
        <w:topLinePunct w:val="0"/>
        <w:spacing w:line="360" w:lineRule="auto"/>
        <w:ind w:left="540"/>
        <w:contextualSpacing/>
        <w:rPr>
          <w:rFonts w:ascii="宋体" w:hAnsi="宋体" w:cs="仿宋_GB2312"/>
          <w:color w:val="auto"/>
          <w:sz w:val="24"/>
          <w:highlight w:val="none"/>
        </w:rPr>
      </w:pPr>
    </w:p>
    <w:p w14:paraId="7DA5C539">
      <w:pPr>
        <w:pageBreakBefore w:val="0"/>
        <w:kinsoku/>
        <w:wordWrap w:val="0"/>
        <w:topLinePunct w:val="0"/>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7CB947BA">
      <w:pPr>
        <w:pageBreakBefore w:val="0"/>
        <w:kinsoku/>
        <w:wordWrap w:val="0"/>
        <w:topLinePunct w:val="0"/>
        <w:spacing w:line="360" w:lineRule="auto"/>
        <w:ind w:left="540"/>
        <w:contextualSpacing/>
        <w:rPr>
          <w:rFonts w:ascii="宋体" w:hAnsi="宋体" w:cs="仿宋_GB2312"/>
          <w:color w:val="auto"/>
          <w:sz w:val="24"/>
          <w:highlight w:val="none"/>
        </w:rPr>
      </w:pPr>
    </w:p>
    <w:p w14:paraId="36B525E1">
      <w:pPr>
        <w:pageBreakBefore w:val="0"/>
        <w:kinsoku/>
        <w:wordWrap w:val="0"/>
        <w:topLinePunct w:val="0"/>
        <w:spacing w:line="360" w:lineRule="auto"/>
        <w:ind w:left="540" w:right="960"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供应商（盖公章）：</w:t>
      </w:r>
    </w:p>
    <w:p w14:paraId="2656D5B7">
      <w:pPr>
        <w:pageBreakBefore w:val="0"/>
        <w:kinsoku/>
        <w:wordWrap w:val="0"/>
        <w:topLinePunct w:val="0"/>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年月日</w:t>
      </w:r>
    </w:p>
    <w:p w14:paraId="6A04F51C">
      <w:pPr>
        <w:pageBreakBefore w:val="0"/>
        <w:kinsoku/>
        <w:wordWrap w:val="0"/>
        <w:topLinePunct w:val="0"/>
        <w:spacing w:line="360" w:lineRule="auto"/>
        <w:contextualSpacing/>
        <w:jc w:val="center"/>
        <w:rPr>
          <w:rFonts w:ascii="宋体" w:hAnsi="宋体" w:cs="仿宋_GB2312"/>
          <w:b/>
          <w:color w:val="auto"/>
          <w:sz w:val="24"/>
          <w:highlight w:val="none"/>
        </w:rPr>
      </w:pPr>
    </w:p>
    <w:p w14:paraId="3EF0288B">
      <w:pPr>
        <w:pageBreakBefore w:val="0"/>
        <w:kinsoku/>
        <w:wordWrap w:val="0"/>
        <w:topLinePunct w:val="0"/>
        <w:spacing w:line="360" w:lineRule="auto"/>
        <w:contextualSpacing/>
        <w:jc w:val="left"/>
        <w:rPr>
          <w:rFonts w:ascii="宋体" w:hAnsi="宋体" w:cs="仿宋_GB2312"/>
          <w:color w:val="auto"/>
          <w:sz w:val="24"/>
          <w:highlight w:val="none"/>
        </w:rPr>
      </w:pPr>
    </w:p>
    <w:p w14:paraId="3E763E2B">
      <w:pPr>
        <w:pageBreakBefore w:val="0"/>
        <w:kinsoku/>
        <w:wordWrap w:val="0"/>
        <w:topLinePunct w:val="0"/>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27E52CAB">
      <w:pPr>
        <w:pageBreakBefore w:val="0"/>
        <w:kinsoku/>
        <w:wordWrap w:val="0"/>
        <w:topLinePunct w:val="0"/>
        <w:adjustRightInd w:val="0"/>
        <w:snapToGrid w:val="0"/>
        <w:spacing w:line="300" w:lineRule="auto"/>
        <w:jc w:val="left"/>
        <w:rPr>
          <w:rFonts w:ascii="宋体" w:hAnsi="宋体"/>
          <w:b/>
          <w:color w:val="auto"/>
          <w:highlight w:val="none"/>
        </w:rPr>
      </w:pPr>
    </w:p>
    <w:p w14:paraId="15B89AEF">
      <w:pPr>
        <w:pageBreakBefore w:val="0"/>
        <w:kinsoku/>
        <w:wordWrap w:val="0"/>
        <w:topLinePunct w:val="0"/>
        <w:spacing w:line="500" w:lineRule="exact"/>
        <w:jc w:val="center"/>
        <w:rPr>
          <w:rStyle w:val="97"/>
          <w:color w:val="auto"/>
          <w:highlight w:val="none"/>
        </w:rPr>
      </w:pPr>
      <w:r>
        <w:rPr>
          <w:rFonts w:hint="eastAsia" w:ascii="方正小标宋简体" w:hAnsi="方正小标宋简体" w:eastAsia="方正小标宋简体" w:cs="方正小标宋简体"/>
          <w:color w:val="auto"/>
          <w:sz w:val="44"/>
          <w:szCs w:val="44"/>
          <w:highlight w:val="none"/>
        </w:rPr>
        <w:br w:type="page"/>
      </w:r>
      <w:r>
        <w:rPr>
          <w:rStyle w:val="97"/>
          <w:rFonts w:hint="eastAsia"/>
          <w:color w:val="auto"/>
          <w:highlight w:val="none"/>
        </w:rPr>
        <w:t>3、授权委托书及委托代理人有效身份证正反面复印件</w:t>
      </w:r>
    </w:p>
    <w:p w14:paraId="701217F9">
      <w:pPr>
        <w:pageBreakBefore w:val="0"/>
        <w:kinsoku/>
        <w:wordWrap w:val="0"/>
        <w:topLinePunct w:val="0"/>
        <w:spacing w:line="520" w:lineRule="exact"/>
        <w:jc w:val="center"/>
        <w:rPr>
          <w:rFonts w:ascii="宋体" w:hAnsi="宋体"/>
          <w:b/>
          <w:color w:val="auto"/>
          <w:sz w:val="32"/>
          <w:szCs w:val="32"/>
          <w:highlight w:val="none"/>
        </w:rPr>
      </w:pPr>
      <w:r>
        <w:rPr>
          <w:rFonts w:hint="eastAsia" w:ascii="宋体" w:hAnsi="宋体"/>
          <w:b/>
          <w:color w:val="auto"/>
          <w:sz w:val="32"/>
          <w:szCs w:val="32"/>
          <w:highlight w:val="none"/>
        </w:rPr>
        <w:t>授权委托书</w:t>
      </w:r>
    </w:p>
    <w:p w14:paraId="0B868A50">
      <w:pPr>
        <w:pageBreakBefore w:val="0"/>
        <w:kinsoku/>
        <w:wordWrap w:val="0"/>
        <w:topLinePunct w:val="0"/>
        <w:spacing w:line="520" w:lineRule="exact"/>
        <w:rPr>
          <w:rFonts w:ascii="仿宋_GB2312" w:hAnsi="仿宋_GB2312" w:eastAsia="仿宋_GB2312" w:cs="仿宋_GB2312"/>
          <w:color w:val="auto"/>
          <w:sz w:val="32"/>
          <w:szCs w:val="32"/>
          <w:highlight w:val="none"/>
        </w:rPr>
      </w:pPr>
    </w:p>
    <w:p w14:paraId="5614A946">
      <w:pPr>
        <w:pageBreakBefore w:val="0"/>
        <w:kinsoku/>
        <w:wordWrap w:val="0"/>
        <w:topLinePunct w:val="0"/>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A15C72A">
      <w:pPr>
        <w:pageBreakBefore w:val="0"/>
        <w:kinsoku/>
        <w:wordWrap w:val="0"/>
        <w:topLinePunct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14:paraId="72FFF91F">
      <w:pPr>
        <w:pageBreakBefore w:val="0"/>
        <w:kinsoku/>
        <w:wordWrap w:val="0"/>
        <w:topLinePunct w:val="0"/>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24C8845B">
      <w:pPr>
        <w:pageBreakBefore w:val="0"/>
        <w:kinsoku/>
        <w:wordWrap w:val="0"/>
        <w:topLinePunct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2FE8722">
      <w:pPr>
        <w:pageBreakBefore w:val="0"/>
        <w:kinsoku/>
        <w:wordWrap w:val="0"/>
        <w:topLinePunct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262C6F">
      <w:pPr>
        <w:pageBreakBefore w:val="0"/>
        <w:kinsoku/>
        <w:wordWrap w:val="0"/>
        <w:topLinePunct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附：法定代表人身份证明及委托代理人有效身份证正反面复印件</w:t>
      </w:r>
    </w:p>
    <w:p w14:paraId="5586F8E1">
      <w:pPr>
        <w:pageBreakBefore w:val="0"/>
        <w:kinsoku/>
        <w:wordWrap w:val="0"/>
        <w:topLinePunct w:val="0"/>
        <w:spacing w:line="360" w:lineRule="auto"/>
        <w:rPr>
          <w:rFonts w:ascii="宋体" w:hAnsi="宋体" w:cs="仿宋_GB2312"/>
          <w:color w:val="auto"/>
          <w:sz w:val="24"/>
          <w:highlight w:val="none"/>
        </w:rPr>
      </w:pPr>
    </w:p>
    <w:p w14:paraId="18AFEFA5">
      <w:pPr>
        <w:pageBreakBefore w:val="0"/>
        <w:kinsoku/>
        <w:wordWrap w:val="0"/>
        <w:topLinePunct w:val="0"/>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法定代表人（签字或者盖章）：                    </w:t>
      </w:r>
    </w:p>
    <w:p w14:paraId="10047C87">
      <w:pPr>
        <w:pageBreakBefore w:val="0"/>
        <w:kinsoku/>
        <w:wordWrap w:val="0"/>
        <w:topLinePunct w:val="0"/>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4A06927">
      <w:pPr>
        <w:pageBreakBefore w:val="0"/>
        <w:kinsoku/>
        <w:wordWrap w:val="0"/>
        <w:topLinePunct w:val="0"/>
        <w:spacing w:line="360" w:lineRule="auto"/>
        <w:rPr>
          <w:rFonts w:ascii="宋体" w:hAnsi="宋体" w:cs="仿宋_GB2312"/>
          <w:color w:val="auto"/>
          <w:sz w:val="24"/>
          <w:highlight w:val="none"/>
        </w:rPr>
      </w:pPr>
    </w:p>
    <w:p w14:paraId="6C105020">
      <w:pPr>
        <w:pageBreakBefore w:val="0"/>
        <w:kinsoku/>
        <w:wordWrap w:val="0"/>
        <w:topLinePunct w:val="0"/>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供应商（盖公章）：                      </w:t>
      </w:r>
    </w:p>
    <w:p w14:paraId="40414601">
      <w:pPr>
        <w:pageBreakBefore w:val="0"/>
        <w:kinsoku/>
        <w:wordWrap w:val="0"/>
        <w:topLinePunct w:val="0"/>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7F8F7D91">
      <w:pPr>
        <w:pageBreakBefore w:val="0"/>
        <w:kinsoku/>
        <w:wordWrap w:val="0"/>
        <w:topLinePunct w:val="0"/>
        <w:spacing w:line="360" w:lineRule="auto"/>
        <w:rPr>
          <w:rFonts w:ascii="宋体" w:hAnsi="宋体" w:cs="仿宋_GB2312"/>
          <w:color w:val="auto"/>
          <w:sz w:val="24"/>
          <w:highlight w:val="none"/>
        </w:rPr>
      </w:pPr>
    </w:p>
    <w:p w14:paraId="402D04BC">
      <w:pPr>
        <w:pageBreakBefore w:val="0"/>
        <w:kinsoku/>
        <w:wordWrap w:val="0"/>
        <w:topLinePunct w:val="0"/>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法定代表人必须在授权委托书上亲笔签字或者盖章，委托代理人必须在授权委托书上亲笔签字，</w:t>
      </w:r>
      <w:r>
        <w:rPr>
          <w:rFonts w:hint="eastAsia" w:ascii="宋体" w:hAnsi="宋体" w:cs="仿宋_GB2312"/>
          <w:b/>
          <w:color w:val="auto"/>
          <w:sz w:val="24"/>
          <w:highlight w:val="none"/>
        </w:rPr>
        <w:t>否则其响应文件按无效响应处理。</w:t>
      </w:r>
    </w:p>
    <w:p w14:paraId="11B38C21">
      <w:pPr>
        <w:pageBreakBefore w:val="0"/>
        <w:kinsoku/>
        <w:wordWrap w:val="0"/>
        <w:topLinePunct w:val="0"/>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2BF54F28">
      <w:pPr>
        <w:pageBreakBefore w:val="0"/>
        <w:kinsoku/>
        <w:wordWrap w:val="0"/>
        <w:topLinePunct w:val="0"/>
        <w:spacing w:line="360" w:lineRule="auto"/>
        <w:ind w:firstLine="420" w:firstLineChars="200"/>
        <w:jc w:val="left"/>
        <w:rPr>
          <w:rFonts w:ascii="仿宋_GB2312" w:hAnsi="仿宋_GB2312" w:eastAsia="仿宋_GB2312" w:cs="仿宋_GB2312"/>
          <w:color w:val="auto"/>
          <w:highlight w:val="none"/>
        </w:rPr>
      </w:pPr>
    </w:p>
    <w:p w14:paraId="575DDC93">
      <w:pPr>
        <w:pStyle w:val="187"/>
        <w:pageBreakBefore w:val="0"/>
        <w:kinsoku/>
        <w:wordWrap w:val="0"/>
        <w:topLinePunct w:val="0"/>
        <w:jc w:val="center"/>
        <w:rPr>
          <w:rStyle w:val="97"/>
          <w:color w:val="auto"/>
          <w:highlight w:val="none"/>
        </w:rPr>
      </w:pPr>
      <w:r>
        <w:rPr>
          <w:rFonts w:ascii="仿宋_GB2312" w:hAnsi="仿宋_GB2312" w:eastAsia="仿宋_GB2312" w:cs="仿宋_GB2312"/>
          <w:color w:val="auto"/>
          <w:szCs w:val="21"/>
          <w:highlight w:val="none"/>
        </w:rPr>
        <w:br w:type="page"/>
      </w:r>
      <w:r>
        <w:rPr>
          <w:rStyle w:val="97"/>
          <w:rFonts w:hint="eastAsia"/>
          <w:color w:val="auto"/>
          <w:highlight w:val="none"/>
        </w:rPr>
        <w:t>4、建设工程项目管理承诺书</w:t>
      </w:r>
    </w:p>
    <w:p w14:paraId="5C40EC17">
      <w:pPr>
        <w:pStyle w:val="187"/>
        <w:pageBreakBefore w:val="0"/>
        <w:kinsoku/>
        <w:wordWrap w:val="0"/>
        <w:topLinePunct w:val="0"/>
        <w:jc w:val="center"/>
        <w:rPr>
          <w:rFonts w:ascii="方正小标宋简体" w:hAnsi="方正小标宋简体" w:eastAsia="方正小标宋简体" w:cs="方正小标宋简体"/>
          <w:bCs/>
          <w:color w:val="auto"/>
          <w:sz w:val="24"/>
          <w:highlight w:val="none"/>
        </w:rPr>
      </w:pPr>
    </w:p>
    <w:p w14:paraId="3604E350">
      <w:pPr>
        <w:pageBreakBefore w:val="0"/>
        <w:kinsoku/>
        <w:wordWrap w:val="0"/>
        <w:topLinePunct w:val="0"/>
        <w:spacing w:line="440" w:lineRule="exact"/>
        <w:rPr>
          <w:rFonts w:ascii="宋体" w:hAnsi="宋体"/>
          <w:color w:val="auto"/>
          <w:sz w:val="24"/>
          <w:highlight w:val="none"/>
        </w:rPr>
      </w:pPr>
      <w:r>
        <w:rPr>
          <w:rFonts w:hint="eastAsia" w:ascii="宋体" w:hAnsi="宋体"/>
          <w:color w:val="auto"/>
          <w:sz w:val="24"/>
          <w:highlight w:val="none"/>
        </w:rPr>
        <w:t>致（采购单位名称）：</w:t>
      </w:r>
    </w:p>
    <w:p w14:paraId="55C3459B">
      <w:pPr>
        <w:pStyle w:val="249"/>
        <w:pageBreakBefore w:val="0"/>
        <w:kinsoku/>
        <w:wordWrap w:val="0"/>
        <w:topLinePunct w:val="0"/>
        <w:spacing w:line="440" w:lineRule="exact"/>
        <w:rPr>
          <w:rFonts w:ascii="宋体" w:hAnsi="宋体"/>
          <w:bCs w:val="0"/>
          <w:color w:val="auto"/>
          <w:highlight w:val="none"/>
        </w:rPr>
      </w:pPr>
    </w:p>
    <w:p w14:paraId="0B4A2F65">
      <w:pPr>
        <w:pStyle w:val="249"/>
        <w:pageBreakBefore w:val="0"/>
        <w:kinsoku/>
        <w:wordWrap w:val="0"/>
        <w:topLinePunct w:val="0"/>
        <w:spacing w:line="440" w:lineRule="exact"/>
        <w:ind w:firstLine="520" w:firstLineChars="200"/>
        <w:rPr>
          <w:rFonts w:ascii="宋体" w:hAnsi="宋体"/>
          <w:bCs w:val="0"/>
          <w:color w:val="auto"/>
          <w:highlight w:val="none"/>
        </w:rPr>
      </w:pPr>
      <w:r>
        <w:rPr>
          <w:rFonts w:hint="eastAsia" w:ascii="宋体" w:hAnsi="宋体"/>
          <w:bCs w:val="0"/>
          <w:color w:val="auto"/>
          <w:highlight w:val="none"/>
        </w:rPr>
        <w:t>作为参与</w:t>
      </w:r>
      <w:r>
        <w:rPr>
          <w:rFonts w:hint="eastAsia" w:ascii="宋体" w:hAnsi="宋体"/>
          <w:bCs w:val="0"/>
          <w:color w:val="auto"/>
          <w:highlight w:val="none"/>
          <w:u w:val="single"/>
        </w:rPr>
        <w:t xml:space="preserve">（工程名称）  </w:t>
      </w:r>
      <w:r>
        <w:rPr>
          <w:rFonts w:hint="eastAsia" w:ascii="宋体" w:hAnsi="宋体"/>
          <w:bCs w:val="0"/>
          <w:color w:val="auto"/>
          <w:highlight w:val="none"/>
        </w:rPr>
        <w:t>项目的投标方，根据国家、自治区相关文件规定，我方在此向招标人承诺：</w:t>
      </w:r>
    </w:p>
    <w:p w14:paraId="4BF6AB14">
      <w:pPr>
        <w:pStyle w:val="249"/>
        <w:pageBreakBefore w:val="0"/>
        <w:kinsoku/>
        <w:wordWrap w:val="0"/>
        <w:topLinePunct w:val="0"/>
        <w:spacing w:line="440" w:lineRule="exact"/>
        <w:ind w:firstLine="520" w:firstLineChars="200"/>
        <w:rPr>
          <w:rFonts w:ascii="宋体" w:hAnsi="宋体"/>
          <w:bCs w:val="0"/>
          <w:color w:val="auto"/>
          <w:highlight w:val="none"/>
        </w:rPr>
      </w:pPr>
      <w:r>
        <w:rPr>
          <w:rFonts w:hint="eastAsia" w:ascii="宋体" w:hAnsi="宋体"/>
          <w:bCs w:val="0"/>
          <w:color w:val="auto"/>
          <w:highlight w:val="none"/>
        </w:rPr>
        <w:t>1、一旦中标，我方保证按照政府相关部门的规定，在发出中标通知书之日起7 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 号）从我方农民工工资保障金中先予划支。</w:t>
      </w:r>
    </w:p>
    <w:p w14:paraId="30C94153">
      <w:pPr>
        <w:pStyle w:val="249"/>
        <w:pageBreakBefore w:val="0"/>
        <w:kinsoku/>
        <w:wordWrap w:val="0"/>
        <w:topLinePunct w:val="0"/>
        <w:spacing w:line="440" w:lineRule="exact"/>
        <w:ind w:firstLine="520" w:firstLineChars="200"/>
        <w:rPr>
          <w:rFonts w:ascii="宋体" w:hAnsi="宋体"/>
          <w:bCs w:val="0"/>
          <w:color w:val="auto"/>
          <w:highlight w:val="none"/>
        </w:rPr>
      </w:pPr>
      <w:r>
        <w:rPr>
          <w:rFonts w:hint="eastAsia" w:ascii="宋体" w:hAnsi="宋体"/>
          <w:bCs w:val="0"/>
          <w:color w:val="auto"/>
          <w:highlight w:val="none"/>
        </w:rPr>
        <w:t>2、一旦中标，我方保证在施工过程中，严格执行《广西壮族自治区建筑工程安全防护、文明施工措施费及使用管理细则》（桂建质【2015】16 号）的有关规定，确保建设工程各项安全防护、文明施工措施落实到位。如我方在该项目的承包中出现未按桂建质【2015】16 号文规定执行的情形，我方愿意按照相关规定接受建设单位及有关主管部门的处罚。</w:t>
      </w:r>
    </w:p>
    <w:p w14:paraId="68257AC8">
      <w:pPr>
        <w:pStyle w:val="249"/>
        <w:pageBreakBefore w:val="0"/>
        <w:kinsoku/>
        <w:wordWrap w:val="0"/>
        <w:topLinePunct w:val="0"/>
        <w:spacing w:line="440" w:lineRule="exact"/>
        <w:ind w:firstLine="520" w:firstLineChars="200"/>
        <w:rPr>
          <w:rFonts w:ascii="宋体" w:hAnsi="宋体"/>
          <w:bCs w:val="0"/>
          <w:color w:val="auto"/>
          <w:highlight w:val="none"/>
        </w:rPr>
      </w:pPr>
      <w:r>
        <w:rPr>
          <w:rFonts w:hint="eastAsia" w:ascii="宋体" w:hAnsi="宋体"/>
          <w:bCs w:val="0"/>
          <w:color w:val="auto"/>
          <w:highlight w:val="none"/>
        </w:rPr>
        <w:t>3、一旦中标，我方保证在施工过程中，严格执行散装水泥和预拌混凝土（或商品混凝土）管理的有关规定，确保建设工程按规定使用散装水泥和预拌混凝土。如我方在该项目的承包中出现未按规定执行的情形，我方愿意按照相关规定接受建设单位及有关主管部门的处罚。</w:t>
      </w:r>
    </w:p>
    <w:p w14:paraId="068DD097">
      <w:pPr>
        <w:pStyle w:val="249"/>
        <w:pageBreakBefore w:val="0"/>
        <w:kinsoku/>
        <w:wordWrap w:val="0"/>
        <w:topLinePunct w:val="0"/>
        <w:spacing w:line="440" w:lineRule="exact"/>
        <w:ind w:firstLine="520" w:firstLineChars="200"/>
        <w:rPr>
          <w:rFonts w:ascii="宋体" w:hAnsi="宋体"/>
          <w:bCs w:val="0"/>
          <w:color w:val="auto"/>
          <w:highlight w:val="none"/>
        </w:rPr>
      </w:pPr>
      <w:r>
        <w:rPr>
          <w:rFonts w:hint="eastAsia" w:ascii="宋体" w:hAnsi="宋体"/>
          <w:bCs w:val="0"/>
          <w:color w:val="auto"/>
          <w:highlight w:val="none"/>
        </w:rPr>
        <w:t>4、一旦中标，我方保证在施工过程中，严格执行《关于禁止使用不符合规范要求的竹脚手架的通知》（桂建管字〔2003〕40 号）的有关规定，不使用竹脚手架。如我方在该项目的承包中出现未按规定执行的情形，我方愿意按照相关规定接受建设单位及有关主管部门的处罚。</w:t>
      </w:r>
    </w:p>
    <w:p w14:paraId="70CA1051">
      <w:pPr>
        <w:pStyle w:val="249"/>
        <w:pageBreakBefore w:val="0"/>
        <w:kinsoku/>
        <w:wordWrap w:val="0"/>
        <w:topLinePunct w:val="0"/>
        <w:spacing w:line="440" w:lineRule="exact"/>
        <w:rPr>
          <w:rFonts w:ascii="宋体" w:hAnsi="宋体"/>
          <w:bCs w:val="0"/>
          <w:color w:val="auto"/>
          <w:highlight w:val="none"/>
        </w:rPr>
      </w:pPr>
    </w:p>
    <w:p w14:paraId="2737C298">
      <w:pPr>
        <w:pStyle w:val="249"/>
        <w:pageBreakBefore w:val="0"/>
        <w:kinsoku/>
        <w:wordWrap w:val="0"/>
        <w:topLinePunct w:val="0"/>
        <w:spacing w:line="440" w:lineRule="exact"/>
        <w:rPr>
          <w:rFonts w:ascii="宋体" w:hAnsi="宋体"/>
          <w:bCs w:val="0"/>
          <w:color w:val="auto"/>
          <w:highlight w:val="none"/>
        </w:rPr>
      </w:pPr>
    </w:p>
    <w:p w14:paraId="7FED2932">
      <w:pPr>
        <w:pStyle w:val="249"/>
        <w:pageBreakBefore w:val="0"/>
        <w:kinsoku/>
        <w:wordWrap w:val="0"/>
        <w:topLinePunct w:val="0"/>
        <w:spacing w:line="440" w:lineRule="exact"/>
        <w:rPr>
          <w:rFonts w:ascii="宋体" w:hAnsi="宋体"/>
          <w:bCs w:val="0"/>
          <w:color w:val="auto"/>
          <w:highlight w:val="none"/>
        </w:rPr>
      </w:pPr>
      <w:r>
        <w:rPr>
          <w:rFonts w:hint="eastAsia" w:ascii="宋体" w:hAnsi="宋体"/>
          <w:bCs w:val="0"/>
          <w:color w:val="auto"/>
          <w:highlight w:val="none"/>
        </w:rPr>
        <w:t xml:space="preserve">            供应商：（公章）</w:t>
      </w:r>
    </w:p>
    <w:p w14:paraId="368F48C2">
      <w:pPr>
        <w:pStyle w:val="249"/>
        <w:pageBreakBefore w:val="0"/>
        <w:kinsoku/>
        <w:wordWrap w:val="0"/>
        <w:topLinePunct w:val="0"/>
        <w:spacing w:line="440" w:lineRule="exact"/>
        <w:rPr>
          <w:rFonts w:ascii="宋体" w:hAnsi="宋体"/>
          <w:bCs w:val="0"/>
          <w:color w:val="auto"/>
          <w:highlight w:val="none"/>
        </w:rPr>
      </w:pPr>
      <w:r>
        <w:rPr>
          <w:rFonts w:hint="eastAsia" w:ascii="宋体" w:hAnsi="宋体"/>
          <w:bCs w:val="0"/>
          <w:color w:val="auto"/>
          <w:highlight w:val="none"/>
        </w:rPr>
        <w:t xml:space="preserve">            法定代表人（或负责人）或授权代理人：（签字）</w:t>
      </w:r>
    </w:p>
    <w:p w14:paraId="2BB92501">
      <w:pPr>
        <w:pStyle w:val="249"/>
        <w:pageBreakBefore w:val="0"/>
        <w:kinsoku/>
        <w:wordWrap w:val="0"/>
        <w:topLinePunct w:val="0"/>
        <w:spacing w:line="440" w:lineRule="exact"/>
        <w:rPr>
          <w:rFonts w:ascii="宋体" w:hAnsi="宋体"/>
          <w:bCs w:val="0"/>
          <w:color w:val="auto"/>
          <w:highlight w:val="none"/>
        </w:rPr>
      </w:pPr>
      <w:r>
        <w:rPr>
          <w:rFonts w:hint="eastAsia" w:ascii="宋体" w:hAnsi="宋体"/>
          <w:bCs w:val="0"/>
          <w:color w:val="auto"/>
          <w:highlight w:val="none"/>
        </w:rPr>
        <w:t xml:space="preserve">            日期：年月日</w:t>
      </w:r>
    </w:p>
    <w:p w14:paraId="50D9038A">
      <w:pPr>
        <w:pageBreakBefore w:val="0"/>
        <w:kinsoku/>
        <w:wordWrap w:val="0"/>
        <w:topLinePunct w:val="0"/>
        <w:adjustRightInd w:val="0"/>
        <w:snapToGrid w:val="0"/>
        <w:spacing w:line="520" w:lineRule="exact"/>
        <w:jc w:val="center"/>
        <w:rPr>
          <w:rStyle w:val="97"/>
          <w:color w:val="auto"/>
          <w:highlight w:val="none"/>
        </w:rPr>
      </w:pPr>
      <w:r>
        <w:rPr>
          <w:rStyle w:val="97"/>
          <w:rFonts w:hint="eastAsia"/>
          <w:color w:val="auto"/>
          <w:highlight w:val="none"/>
        </w:rPr>
        <w:t>5、供应商类似业绩的证明文件</w:t>
      </w:r>
      <w:r>
        <w:rPr>
          <w:rStyle w:val="97"/>
          <w:rFonts w:hint="eastAsia"/>
          <w:color w:val="auto"/>
          <w:highlight w:val="none"/>
        </w:rPr>
        <w:br w:type="page"/>
      </w:r>
      <w:r>
        <w:rPr>
          <w:rStyle w:val="97"/>
          <w:rFonts w:hint="eastAsia"/>
          <w:color w:val="auto"/>
          <w:highlight w:val="none"/>
        </w:rPr>
        <w:t>6、施工组织设计或施工方案</w:t>
      </w:r>
    </w:p>
    <w:p w14:paraId="3F86E731">
      <w:pPr>
        <w:pStyle w:val="249"/>
        <w:pageBreakBefore w:val="0"/>
        <w:kinsoku/>
        <w:wordWrap w:val="0"/>
        <w:topLinePunct w:val="0"/>
        <w:rPr>
          <w:color w:val="auto"/>
          <w:highlight w:val="none"/>
        </w:rPr>
      </w:pPr>
    </w:p>
    <w:p w14:paraId="0E19B399">
      <w:pPr>
        <w:pageBreakBefore w:val="0"/>
        <w:kinsoku/>
        <w:wordWrap w:val="0"/>
        <w:topLinePunct w:val="0"/>
        <w:spacing w:line="400" w:lineRule="exact"/>
        <w:rPr>
          <w:rFonts w:ascii="宋体" w:cs="宋体"/>
          <w:color w:val="auto"/>
          <w:highlight w:val="none"/>
        </w:rPr>
      </w:pPr>
      <w:r>
        <w:rPr>
          <w:rFonts w:ascii="宋体" w:hAnsi="宋体" w:cs="宋体"/>
          <w:color w:val="auto"/>
          <w:highlight w:val="none"/>
        </w:rPr>
        <w:t>1.</w:t>
      </w:r>
      <w:r>
        <w:rPr>
          <w:rFonts w:hint="eastAsia" w:ascii="宋体" w:hAnsi="宋体" w:cs="宋体"/>
          <w:color w:val="auto"/>
          <w:highlight w:val="none"/>
        </w:rPr>
        <w:t>竞标人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EBCA370">
      <w:pPr>
        <w:pageBreakBefore w:val="0"/>
        <w:kinsoku/>
        <w:wordWrap w:val="0"/>
        <w:topLinePunct w:val="0"/>
        <w:spacing w:line="400" w:lineRule="exact"/>
        <w:rPr>
          <w:rFonts w:ascii="宋体" w:cs="宋体"/>
          <w:color w:val="auto"/>
          <w:highlight w:val="none"/>
        </w:rPr>
      </w:pPr>
      <w:r>
        <w:rPr>
          <w:rFonts w:ascii="宋体" w:hAnsi="宋体" w:cs="宋体"/>
          <w:color w:val="auto"/>
          <w:highlight w:val="none"/>
        </w:rPr>
        <w:t>2.</w:t>
      </w:r>
      <w:r>
        <w:rPr>
          <w:rFonts w:hint="eastAsia" w:ascii="宋体" w:hAnsi="宋体" w:cs="宋体"/>
          <w:color w:val="auto"/>
          <w:highlight w:val="none"/>
        </w:rPr>
        <w:t>施工组织设计除采用文字表述外可附下列图表，图表及格式要求附后。</w:t>
      </w:r>
    </w:p>
    <w:p w14:paraId="6AF85241">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附表一拟投入本工程的主要施工设备表</w:t>
      </w:r>
    </w:p>
    <w:p w14:paraId="731D9877">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附表二拟配备本工程的试验和检测仪器设备表</w:t>
      </w:r>
    </w:p>
    <w:p w14:paraId="07CE36AA">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附表三劳动力计划表</w:t>
      </w:r>
    </w:p>
    <w:p w14:paraId="3715AF60">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附表四计划开、竣工日期和施工进度网络图</w:t>
      </w:r>
    </w:p>
    <w:p w14:paraId="2D10E912">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附表五施工总平面图</w:t>
      </w:r>
    </w:p>
    <w:p w14:paraId="218818DF">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附表六临时用地表</w:t>
      </w:r>
    </w:p>
    <w:p w14:paraId="11F7501B">
      <w:pPr>
        <w:pageBreakBefore w:val="0"/>
        <w:kinsoku/>
        <w:wordWrap w:val="0"/>
        <w:topLinePunct w:val="0"/>
        <w:spacing w:line="400" w:lineRule="exact"/>
        <w:rPr>
          <w:rFonts w:ascii="宋体" w:cs="宋体"/>
          <w:color w:val="auto"/>
          <w:highlight w:val="none"/>
        </w:rPr>
      </w:pPr>
    </w:p>
    <w:p w14:paraId="2D5F234D">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附表一：拟投入本工程的主要施工设备表</w:t>
      </w:r>
    </w:p>
    <w:tbl>
      <w:tblPr>
        <w:tblStyle w:val="48"/>
        <w:tblW w:w="93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993"/>
        <w:gridCol w:w="993"/>
        <w:gridCol w:w="994"/>
        <w:gridCol w:w="993"/>
        <w:gridCol w:w="993"/>
        <w:gridCol w:w="994"/>
        <w:gridCol w:w="993"/>
        <w:gridCol w:w="993"/>
        <w:gridCol w:w="679"/>
      </w:tblGrid>
      <w:tr w14:paraId="6923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64" w:type="dxa"/>
            <w:vAlign w:val="center"/>
          </w:tcPr>
          <w:p w14:paraId="5DB3C9B6">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序号</w:t>
            </w:r>
          </w:p>
        </w:tc>
        <w:tc>
          <w:tcPr>
            <w:tcW w:w="993" w:type="dxa"/>
            <w:vAlign w:val="center"/>
          </w:tcPr>
          <w:p w14:paraId="69D22F00">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设备名称</w:t>
            </w:r>
          </w:p>
        </w:tc>
        <w:tc>
          <w:tcPr>
            <w:tcW w:w="993" w:type="dxa"/>
            <w:vAlign w:val="center"/>
          </w:tcPr>
          <w:p w14:paraId="3B4591AA">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型号规格</w:t>
            </w:r>
          </w:p>
        </w:tc>
        <w:tc>
          <w:tcPr>
            <w:tcW w:w="994" w:type="dxa"/>
            <w:vAlign w:val="center"/>
          </w:tcPr>
          <w:p w14:paraId="7AC2A037">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数量</w:t>
            </w:r>
          </w:p>
        </w:tc>
        <w:tc>
          <w:tcPr>
            <w:tcW w:w="993" w:type="dxa"/>
            <w:vAlign w:val="center"/>
          </w:tcPr>
          <w:p w14:paraId="6D8EAE76">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国别产地</w:t>
            </w:r>
          </w:p>
        </w:tc>
        <w:tc>
          <w:tcPr>
            <w:tcW w:w="993" w:type="dxa"/>
            <w:vAlign w:val="center"/>
          </w:tcPr>
          <w:p w14:paraId="088B575D">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制造年份</w:t>
            </w:r>
          </w:p>
        </w:tc>
        <w:tc>
          <w:tcPr>
            <w:tcW w:w="994" w:type="dxa"/>
            <w:vAlign w:val="center"/>
          </w:tcPr>
          <w:p w14:paraId="2DCC0600">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额定功率</w:t>
            </w:r>
          </w:p>
          <w:p w14:paraId="2F9B6679">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 xml:space="preserve"> KW </w:t>
            </w:r>
            <w:r>
              <w:rPr>
                <w:rFonts w:hint="eastAsia" w:ascii="宋体" w:hAnsi="宋体" w:cs="宋体"/>
                <w:color w:val="auto"/>
                <w:highlight w:val="none"/>
              </w:rPr>
              <w:t>）</w:t>
            </w:r>
          </w:p>
        </w:tc>
        <w:tc>
          <w:tcPr>
            <w:tcW w:w="993" w:type="dxa"/>
            <w:vAlign w:val="center"/>
          </w:tcPr>
          <w:p w14:paraId="72D2D364">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生产能力</w:t>
            </w:r>
          </w:p>
        </w:tc>
        <w:tc>
          <w:tcPr>
            <w:tcW w:w="993" w:type="dxa"/>
            <w:vAlign w:val="center"/>
          </w:tcPr>
          <w:p w14:paraId="1D0D11D2">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用于施工部位</w:t>
            </w:r>
          </w:p>
        </w:tc>
        <w:tc>
          <w:tcPr>
            <w:tcW w:w="679" w:type="dxa"/>
            <w:vAlign w:val="center"/>
          </w:tcPr>
          <w:p w14:paraId="60EA2356">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备注</w:t>
            </w:r>
          </w:p>
        </w:tc>
      </w:tr>
      <w:tr w14:paraId="3611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64" w:type="dxa"/>
            <w:vAlign w:val="center"/>
          </w:tcPr>
          <w:p w14:paraId="2F82BA84">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w:t>
            </w:r>
          </w:p>
        </w:tc>
        <w:tc>
          <w:tcPr>
            <w:tcW w:w="993" w:type="dxa"/>
            <w:vAlign w:val="center"/>
          </w:tcPr>
          <w:p w14:paraId="311C2938">
            <w:pPr>
              <w:pageBreakBefore w:val="0"/>
              <w:kinsoku/>
              <w:wordWrap w:val="0"/>
              <w:topLinePunct w:val="0"/>
              <w:spacing w:line="300" w:lineRule="exact"/>
              <w:ind w:firstLine="420" w:firstLineChars="200"/>
              <w:jc w:val="center"/>
              <w:rPr>
                <w:rFonts w:ascii="宋体" w:cs="宋体"/>
                <w:color w:val="auto"/>
                <w:highlight w:val="none"/>
              </w:rPr>
            </w:pPr>
          </w:p>
        </w:tc>
        <w:tc>
          <w:tcPr>
            <w:tcW w:w="993" w:type="dxa"/>
            <w:vAlign w:val="center"/>
          </w:tcPr>
          <w:p w14:paraId="2694535C">
            <w:pPr>
              <w:pageBreakBefore w:val="0"/>
              <w:kinsoku/>
              <w:wordWrap w:val="0"/>
              <w:topLinePunct w:val="0"/>
              <w:spacing w:line="300" w:lineRule="exact"/>
              <w:jc w:val="center"/>
              <w:rPr>
                <w:rFonts w:ascii="宋体" w:cs="宋体"/>
                <w:color w:val="auto"/>
                <w:highlight w:val="none"/>
              </w:rPr>
            </w:pPr>
          </w:p>
        </w:tc>
        <w:tc>
          <w:tcPr>
            <w:tcW w:w="994" w:type="dxa"/>
            <w:vAlign w:val="center"/>
          </w:tcPr>
          <w:p w14:paraId="6C8A4B4D">
            <w:pPr>
              <w:pageBreakBefore w:val="0"/>
              <w:kinsoku/>
              <w:wordWrap w:val="0"/>
              <w:topLinePunct w:val="0"/>
              <w:spacing w:line="300" w:lineRule="exact"/>
              <w:jc w:val="center"/>
              <w:rPr>
                <w:rFonts w:ascii="宋体" w:cs="宋体"/>
                <w:color w:val="auto"/>
                <w:highlight w:val="none"/>
              </w:rPr>
            </w:pPr>
          </w:p>
        </w:tc>
        <w:tc>
          <w:tcPr>
            <w:tcW w:w="993" w:type="dxa"/>
            <w:vAlign w:val="center"/>
          </w:tcPr>
          <w:p w14:paraId="0FEB3CBE">
            <w:pPr>
              <w:pageBreakBefore w:val="0"/>
              <w:kinsoku/>
              <w:wordWrap w:val="0"/>
              <w:topLinePunct w:val="0"/>
              <w:spacing w:line="300" w:lineRule="exact"/>
              <w:jc w:val="center"/>
              <w:rPr>
                <w:rFonts w:ascii="宋体" w:cs="宋体"/>
                <w:color w:val="auto"/>
                <w:highlight w:val="none"/>
              </w:rPr>
            </w:pPr>
          </w:p>
        </w:tc>
        <w:tc>
          <w:tcPr>
            <w:tcW w:w="993" w:type="dxa"/>
            <w:vAlign w:val="center"/>
          </w:tcPr>
          <w:p w14:paraId="31AB93DE">
            <w:pPr>
              <w:pageBreakBefore w:val="0"/>
              <w:kinsoku/>
              <w:wordWrap w:val="0"/>
              <w:topLinePunct w:val="0"/>
              <w:spacing w:line="300" w:lineRule="exact"/>
              <w:jc w:val="center"/>
              <w:rPr>
                <w:rFonts w:ascii="宋体" w:cs="宋体"/>
                <w:color w:val="auto"/>
                <w:highlight w:val="none"/>
              </w:rPr>
            </w:pPr>
          </w:p>
        </w:tc>
        <w:tc>
          <w:tcPr>
            <w:tcW w:w="994" w:type="dxa"/>
            <w:vAlign w:val="center"/>
          </w:tcPr>
          <w:p w14:paraId="596F61A7">
            <w:pPr>
              <w:pageBreakBefore w:val="0"/>
              <w:kinsoku/>
              <w:wordWrap w:val="0"/>
              <w:topLinePunct w:val="0"/>
              <w:spacing w:line="300" w:lineRule="exact"/>
              <w:jc w:val="center"/>
              <w:rPr>
                <w:rFonts w:ascii="宋体" w:cs="宋体"/>
                <w:color w:val="auto"/>
                <w:highlight w:val="none"/>
              </w:rPr>
            </w:pPr>
          </w:p>
        </w:tc>
        <w:tc>
          <w:tcPr>
            <w:tcW w:w="993" w:type="dxa"/>
            <w:vAlign w:val="center"/>
          </w:tcPr>
          <w:p w14:paraId="5CB5A42B">
            <w:pPr>
              <w:pageBreakBefore w:val="0"/>
              <w:kinsoku/>
              <w:wordWrap w:val="0"/>
              <w:topLinePunct w:val="0"/>
              <w:spacing w:line="300" w:lineRule="exact"/>
              <w:jc w:val="center"/>
              <w:rPr>
                <w:rFonts w:ascii="宋体" w:cs="宋体"/>
                <w:color w:val="auto"/>
                <w:highlight w:val="none"/>
              </w:rPr>
            </w:pPr>
          </w:p>
        </w:tc>
        <w:tc>
          <w:tcPr>
            <w:tcW w:w="993" w:type="dxa"/>
            <w:vAlign w:val="center"/>
          </w:tcPr>
          <w:p w14:paraId="5004AAA3">
            <w:pPr>
              <w:pageBreakBefore w:val="0"/>
              <w:kinsoku/>
              <w:wordWrap w:val="0"/>
              <w:topLinePunct w:val="0"/>
              <w:spacing w:line="300" w:lineRule="exact"/>
              <w:jc w:val="center"/>
              <w:rPr>
                <w:rFonts w:ascii="宋体" w:cs="宋体"/>
                <w:color w:val="auto"/>
                <w:highlight w:val="none"/>
              </w:rPr>
            </w:pPr>
          </w:p>
        </w:tc>
        <w:tc>
          <w:tcPr>
            <w:tcW w:w="679" w:type="dxa"/>
            <w:vAlign w:val="center"/>
          </w:tcPr>
          <w:p w14:paraId="7B3F50E6">
            <w:pPr>
              <w:pageBreakBefore w:val="0"/>
              <w:kinsoku/>
              <w:wordWrap w:val="0"/>
              <w:topLinePunct w:val="0"/>
              <w:spacing w:line="300" w:lineRule="exact"/>
              <w:jc w:val="center"/>
              <w:rPr>
                <w:rFonts w:ascii="宋体" w:cs="宋体"/>
                <w:color w:val="auto"/>
                <w:highlight w:val="none"/>
              </w:rPr>
            </w:pPr>
          </w:p>
        </w:tc>
      </w:tr>
      <w:tr w14:paraId="4526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64" w:type="dxa"/>
            <w:vAlign w:val="center"/>
          </w:tcPr>
          <w:p w14:paraId="389774B6">
            <w:pPr>
              <w:pageBreakBefore w:val="0"/>
              <w:kinsoku/>
              <w:wordWrap w:val="0"/>
              <w:topLinePunct w:val="0"/>
              <w:spacing w:line="300" w:lineRule="exact"/>
              <w:jc w:val="center"/>
              <w:rPr>
                <w:rFonts w:ascii="宋体" w:cs="宋体"/>
                <w:color w:val="auto"/>
                <w:highlight w:val="none"/>
              </w:rPr>
            </w:pPr>
            <w:r>
              <w:rPr>
                <w:rFonts w:ascii="宋体" w:hAnsi="宋体" w:cs="宋体"/>
                <w:color w:val="auto"/>
                <w:highlight w:val="none"/>
              </w:rPr>
              <w:t>N</w:t>
            </w:r>
          </w:p>
        </w:tc>
        <w:tc>
          <w:tcPr>
            <w:tcW w:w="993" w:type="dxa"/>
            <w:vAlign w:val="center"/>
          </w:tcPr>
          <w:p w14:paraId="724E1FCA">
            <w:pPr>
              <w:pageBreakBefore w:val="0"/>
              <w:kinsoku/>
              <w:wordWrap w:val="0"/>
              <w:topLinePunct w:val="0"/>
              <w:spacing w:line="300" w:lineRule="exact"/>
              <w:jc w:val="center"/>
              <w:rPr>
                <w:rFonts w:ascii="宋体" w:cs="宋体"/>
                <w:color w:val="auto"/>
                <w:highlight w:val="none"/>
              </w:rPr>
            </w:pPr>
          </w:p>
        </w:tc>
        <w:tc>
          <w:tcPr>
            <w:tcW w:w="993" w:type="dxa"/>
            <w:vAlign w:val="center"/>
          </w:tcPr>
          <w:p w14:paraId="205CBF1A">
            <w:pPr>
              <w:pageBreakBefore w:val="0"/>
              <w:kinsoku/>
              <w:wordWrap w:val="0"/>
              <w:topLinePunct w:val="0"/>
              <w:spacing w:line="300" w:lineRule="exact"/>
              <w:jc w:val="center"/>
              <w:rPr>
                <w:rFonts w:ascii="宋体" w:cs="宋体"/>
                <w:color w:val="auto"/>
                <w:highlight w:val="none"/>
              </w:rPr>
            </w:pPr>
          </w:p>
        </w:tc>
        <w:tc>
          <w:tcPr>
            <w:tcW w:w="994" w:type="dxa"/>
            <w:vAlign w:val="center"/>
          </w:tcPr>
          <w:p w14:paraId="41333D35">
            <w:pPr>
              <w:pageBreakBefore w:val="0"/>
              <w:kinsoku/>
              <w:wordWrap w:val="0"/>
              <w:topLinePunct w:val="0"/>
              <w:spacing w:line="300" w:lineRule="exact"/>
              <w:jc w:val="center"/>
              <w:rPr>
                <w:rFonts w:ascii="宋体" w:cs="宋体"/>
                <w:color w:val="auto"/>
                <w:highlight w:val="none"/>
              </w:rPr>
            </w:pPr>
          </w:p>
        </w:tc>
        <w:tc>
          <w:tcPr>
            <w:tcW w:w="993" w:type="dxa"/>
            <w:vAlign w:val="center"/>
          </w:tcPr>
          <w:p w14:paraId="013462C5">
            <w:pPr>
              <w:pageBreakBefore w:val="0"/>
              <w:kinsoku/>
              <w:wordWrap w:val="0"/>
              <w:topLinePunct w:val="0"/>
              <w:spacing w:line="300" w:lineRule="exact"/>
              <w:jc w:val="center"/>
              <w:rPr>
                <w:rFonts w:ascii="宋体" w:cs="宋体"/>
                <w:color w:val="auto"/>
                <w:highlight w:val="none"/>
              </w:rPr>
            </w:pPr>
          </w:p>
        </w:tc>
        <w:tc>
          <w:tcPr>
            <w:tcW w:w="993" w:type="dxa"/>
            <w:vAlign w:val="center"/>
          </w:tcPr>
          <w:p w14:paraId="057D8554">
            <w:pPr>
              <w:pageBreakBefore w:val="0"/>
              <w:kinsoku/>
              <w:wordWrap w:val="0"/>
              <w:topLinePunct w:val="0"/>
              <w:spacing w:line="300" w:lineRule="exact"/>
              <w:jc w:val="center"/>
              <w:rPr>
                <w:rFonts w:ascii="宋体" w:cs="宋体"/>
                <w:color w:val="auto"/>
                <w:highlight w:val="none"/>
              </w:rPr>
            </w:pPr>
          </w:p>
        </w:tc>
        <w:tc>
          <w:tcPr>
            <w:tcW w:w="994" w:type="dxa"/>
            <w:vAlign w:val="center"/>
          </w:tcPr>
          <w:p w14:paraId="43E582ED">
            <w:pPr>
              <w:pageBreakBefore w:val="0"/>
              <w:kinsoku/>
              <w:wordWrap w:val="0"/>
              <w:topLinePunct w:val="0"/>
              <w:spacing w:line="300" w:lineRule="exact"/>
              <w:jc w:val="center"/>
              <w:rPr>
                <w:rFonts w:ascii="宋体" w:cs="宋体"/>
                <w:color w:val="auto"/>
                <w:highlight w:val="none"/>
              </w:rPr>
            </w:pPr>
          </w:p>
        </w:tc>
        <w:tc>
          <w:tcPr>
            <w:tcW w:w="993" w:type="dxa"/>
            <w:vAlign w:val="center"/>
          </w:tcPr>
          <w:p w14:paraId="188DCB23">
            <w:pPr>
              <w:pageBreakBefore w:val="0"/>
              <w:kinsoku/>
              <w:wordWrap w:val="0"/>
              <w:topLinePunct w:val="0"/>
              <w:spacing w:line="300" w:lineRule="exact"/>
              <w:jc w:val="center"/>
              <w:rPr>
                <w:rFonts w:ascii="宋体" w:cs="宋体"/>
                <w:color w:val="auto"/>
                <w:highlight w:val="none"/>
              </w:rPr>
            </w:pPr>
          </w:p>
        </w:tc>
        <w:tc>
          <w:tcPr>
            <w:tcW w:w="993" w:type="dxa"/>
            <w:vAlign w:val="center"/>
          </w:tcPr>
          <w:p w14:paraId="5296D532">
            <w:pPr>
              <w:pageBreakBefore w:val="0"/>
              <w:kinsoku/>
              <w:wordWrap w:val="0"/>
              <w:topLinePunct w:val="0"/>
              <w:spacing w:line="300" w:lineRule="exact"/>
              <w:jc w:val="center"/>
              <w:rPr>
                <w:rFonts w:ascii="宋体" w:cs="宋体"/>
                <w:color w:val="auto"/>
                <w:highlight w:val="none"/>
              </w:rPr>
            </w:pPr>
          </w:p>
        </w:tc>
        <w:tc>
          <w:tcPr>
            <w:tcW w:w="679" w:type="dxa"/>
            <w:vAlign w:val="center"/>
          </w:tcPr>
          <w:p w14:paraId="5ECC288D">
            <w:pPr>
              <w:pageBreakBefore w:val="0"/>
              <w:kinsoku/>
              <w:wordWrap w:val="0"/>
              <w:topLinePunct w:val="0"/>
              <w:spacing w:line="300" w:lineRule="exact"/>
              <w:jc w:val="center"/>
              <w:rPr>
                <w:rFonts w:ascii="宋体" w:cs="宋体"/>
                <w:color w:val="auto"/>
                <w:highlight w:val="none"/>
              </w:rPr>
            </w:pPr>
          </w:p>
        </w:tc>
      </w:tr>
    </w:tbl>
    <w:p w14:paraId="3C897BAD">
      <w:pPr>
        <w:pageBreakBefore w:val="0"/>
        <w:kinsoku/>
        <w:wordWrap w:val="0"/>
        <w:topLinePunct w:val="0"/>
        <w:spacing w:line="400" w:lineRule="exact"/>
        <w:rPr>
          <w:rFonts w:ascii="宋体" w:cs="宋体"/>
          <w:color w:val="auto"/>
          <w:highlight w:val="none"/>
        </w:rPr>
      </w:pPr>
    </w:p>
    <w:p w14:paraId="3FB34FFC">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附表二：拟配备本工程的试验和检测仪器设备表</w:t>
      </w:r>
    </w:p>
    <w:tbl>
      <w:tblPr>
        <w:tblStyle w:val="48"/>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138"/>
        <w:gridCol w:w="1138"/>
        <w:gridCol w:w="1138"/>
        <w:gridCol w:w="1138"/>
        <w:gridCol w:w="1138"/>
        <w:gridCol w:w="1138"/>
        <w:gridCol w:w="1138"/>
        <w:gridCol w:w="795"/>
      </w:tblGrid>
      <w:tr w14:paraId="5870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99" w:type="dxa"/>
            <w:vAlign w:val="center"/>
          </w:tcPr>
          <w:p w14:paraId="27827EE5">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序号</w:t>
            </w:r>
          </w:p>
        </w:tc>
        <w:tc>
          <w:tcPr>
            <w:tcW w:w="1138" w:type="dxa"/>
            <w:vAlign w:val="center"/>
          </w:tcPr>
          <w:p w14:paraId="51A07179">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仪器设备</w:t>
            </w:r>
          </w:p>
          <w:p w14:paraId="5A1AF247">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名称</w:t>
            </w:r>
          </w:p>
        </w:tc>
        <w:tc>
          <w:tcPr>
            <w:tcW w:w="1138" w:type="dxa"/>
            <w:vAlign w:val="center"/>
          </w:tcPr>
          <w:p w14:paraId="60C9B8BB">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型号</w:t>
            </w:r>
          </w:p>
          <w:p w14:paraId="2801F87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规格</w:t>
            </w:r>
          </w:p>
        </w:tc>
        <w:tc>
          <w:tcPr>
            <w:tcW w:w="1138" w:type="dxa"/>
            <w:vAlign w:val="center"/>
          </w:tcPr>
          <w:p w14:paraId="2C0F76C5">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数量</w:t>
            </w:r>
          </w:p>
        </w:tc>
        <w:tc>
          <w:tcPr>
            <w:tcW w:w="1138" w:type="dxa"/>
            <w:vAlign w:val="center"/>
          </w:tcPr>
          <w:p w14:paraId="0996B400">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国别</w:t>
            </w:r>
          </w:p>
          <w:p w14:paraId="546710DF">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产地</w:t>
            </w:r>
          </w:p>
        </w:tc>
        <w:tc>
          <w:tcPr>
            <w:tcW w:w="1138" w:type="dxa"/>
            <w:vAlign w:val="center"/>
          </w:tcPr>
          <w:p w14:paraId="2A4B62EC">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制造年份</w:t>
            </w:r>
          </w:p>
        </w:tc>
        <w:tc>
          <w:tcPr>
            <w:tcW w:w="1138" w:type="dxa"/>
            <w:vAlign w:val="center"/>
          </w:tcPr>
          <w:p w14:paraId="755C4A7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已使用</w:t>
            </w:r>
          </w:p>
          <w:p w14:paraId="4372170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台时数</w:t>
            </w:r>
          </w:p>
        </w:tc>
        <w:tc>
          <w:tcPr>
            <w:tcW w:w="1138" w:type="dxa"/>
            <w:vAlign w:val="center"/>
          </w:tcPr>
          <w:p w14:paraId="416FAAAE">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用途</w:t>
            </w:r>
          </w:p>
        </w:tc>
        <w:tc>
          <w:tcPr>
            <w:tcW w:w="795" w:type="dxa"/>
            <w:vAlign w:val="center"/>
          </w:tcPr>
          <w:p w14:paraId="63ED0969">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备注</w:t>
            </w:r>
          </w:p>
        </w:tc>
      </w:tr>
      <w:tr w14:paraId="44D8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99" w:type="dxa"/>
            <w:vAlign w:val="center"/>
          </w:tcPr>
          <w:p w14:paraId="35C00574">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w:t>
            </w:r>
          </w:p>
        </w:tc>
        <w:tc>
          <w:tcPr>
            <w:tcW w:w="1138" w:type="dxa"/>
            <w:vAlign w:val="center"/>
          </w:tcPr>
          <w:p w14:paraId="0ABB557F">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1F2CD0BD">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16D20CE2">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6E93F05F">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19CE8494">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2D530772">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0239769D">
            <w:pPr>
              <w:pageBreakBefore w:val="0"/>
              <w:kinsoku/>
              <w:wordWrap w:val="0"/>
              <w:topLinePunct w:val="0"/>
              <w:spacing w:line="300" w:lineRule="exact"/>
              <w:ind w:firstLine="420" w:firstLineChars="200"/>
              <w:rPr>
                <w:rFonts w:ascii="宋体" w:cs="宋体"/>
                <w:color w:val="auto"/>
                <w:highlight w:val="none"/>
              </w:rPr>
            </w:pPr>
          </w:p>
        </w:tc>
        <w:tc>
          <w:tcPr>
            <w:tcW w:w="795" w:type="dxa"/>
          </w:tcPr>
          <w:p w14:paraId="3E03DC33">
            <w:pPr>
              <w:pageBreakBefore w:val="0"/>
              <w:kinsoku/>
              <w:wordWrap w:val="0"/>
              <w:topLinePunct w:val="0"/>
              <w:spacing w:line="300" w:lineRule="exact"/>
              <w:ind w:firstLine="420" w:firstLineChars="200"/>
              <w:rPr>
                <w:rFonts w:ascii="宋体" w:cs="宋体"/>
                <w:color w:val="auto"/>
                <w:highlight w:val="none"/>
              </w:rPr>
            </w:pPr>
          </w:p>
        </w:tc>
      </w:tr>
      <w:tr w14:paraId="0EF6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99" w:type="dxa"/>
            <w:vAlign w:val="center"/>
          </w:tcPr>
          <w:p w14:paraId="74F47B14">
            <w:pPr>
              <w:pageBreakBefore w:val="0"/>
              <w:kinsoku/>
              <w:wordWrap w:val="0"/>
              <w:topLinePunct w:val="0"/>
              <w:spacing w:line="300" w:lineRule="exact"/>
              <w:jc w:val="center"/>
              <w:rPr>
                <w:rFonts w:ascii="宋体" w:cs="宋体"/>
                <w:color w:val="auto"/>
                <w:highlight w:val="none"/>
              </w:rPr>
            </w:pPr>
            <w:r>
              <w:rPr>
                <w:rFonts w:ascii="宋体" w:hAnsi="宋体" w:cs="宋体"/>
                <w:color w:val="auto"/>
                <w:highlight w:val="none"/>
              </w:rPr>
              <w:t>N</w:t>
            </w:r>
          </w:p>
        </w:tc>
        <w:tc>
          <w:tcPr>
            <w:tcW w:w="1138" w:type="dxa"/>
            <w:vAlign w:val="center"/>
          </w:tcPr>
          <w:p w14:paraId="1ACE6E54">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6EF666B6">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2B371006">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7E28B597">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28DB63ED">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62AE3B51">
            <w:pPr>
              <w:pageBreakBefore w:val="0"/>
              <w:kinsoku/>
              <w:wordWrap w:val="0"/>
              <w:topLinePunct w:val="0"/>
              <w:spacing w:line="300" w:lineRule="exact"/>
              <w:ind w:firstLine="420" w:firstLineChars="200"/>
              <w:rPr>
                <w:rFonts w:ascii="宋体" w:cs="宋体"/>
                <w:color w:val="auto"/>
                <w:highlight w:val="none"/>
              </w:rPr>
            </w:pPr>
          </w:p>
        </w:tc>
        <w:tc>
          <w:tcPr>
            <w:tcW w:w="1138" w:type="dxa"/>
            <w:vAlign w:val="center"/>
          </w:tcPr>
          <w:p w14:paraId="1D3D2B80">
            <w:pPr>
              <w:pageBreakBefore w:val="0"/>
              <w:kinsoku/>
              <w:wordWrap w:val="0"/>
              <w:topLinePunct w:val="0"/>
              <w:spacing w:line="300" w:lineRule="exact"/>
              <w:ind w:firstLine="420" w:firstLineChars="200"/>
              <w:rPr>
                <w:rFonts w:ascii="宋体" w:cs="宋体"/>
                <w:color w:val="auto"/>
                <w:highlight w:val="none"/>
              </w:rPr>
            </w:pPr>
          </w:p>
        </w:tc>
        <w:tc>
          <w:tcPr>
            <w:tcW w:w="795" w:type="dxa"/>
          </w:tcPr>
          <w:p w14:paraId="6B1CF14C">
            <w:pPr>
              <w:pageBreakBefore w:val="0"/>
              <w:kinsoku/>
              <w:wordWrap w:val="0"/>
              <w:topLinePunct w:val="0"/>
              <w:spacing w:line="300" w:lineRule="exact"/>
              <w:ind w:firstLine="420" w:firstLineChars="200"/>
              <w:rPr>
                <w:rFonts w:ascii="宋体" w:cs="宋体"/>
                <w:color w:val="auto"/>
                <w:highlight w:val="none"/>
              </w:rPr>
            </w:pPr>
          </w:p>
        </w:tc>
      </w:tr>
    </w:tbl>
    <w:p w14:paraId="398CBC23">
      <w:pPr>
        <w:pageBreakBefore w:val="0"/>
        <w:kinsoku/>
        <w:wordWrap w:val="0"/>
        <w:topLinePunct w:val="0"/>
        <w:spacing w:line="400" w:lineRule="exact"/>
        <w:rPr>
          <w:rFonts w:ascii="宋体" w:cs="宋体"/>
          <w:color w:val="auto"/>
          <w:highlight w:val="none"/>
        </w:rPr>
      </w:pPr>
    </w:p>
    <w:p w14:paraId="57EABC44">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附表三：劳动力计划表</w:t>
      </w:r>
    </w:p>
    <w:p w14:paraId="5A71AC75">
      <w:pPr>
        <w:pageBreakBefore w:val="0"/>
        <w:kinsoku/>
        <w:wordWrap w:val="0"/>
        <w:topLinePunct w:val="0"/>
        <w:spacing w:line="400" w:lineRule="exact"/>
        <w:ind w:firstLine="7245" w:firstLineChars="3450"/>
        <w:rPr>
          <w:rFonts w:ascii="宋体" w:cs="宋体"/>
          <w:color w:val="auto"/>
          <w:highlight w:val="none"/>
        </w:rPr>
      </w:pPr>
      <w:r>
        <w:rPr>
          <w:rFonts w:hint="eastAsia" w:ascii="宋体" w:hAnsi="宋体" w:cs="宋体"/>
          <w:color w:val="auto"/>
          <w:highlight w:val="none"/>
        </w:rPr>
        <w:t>单位：人</w:t>
      </w:r>
    </w:p>
    <w:tbl>
      <w:tblPr>
        <w:tblStyle w:val="48"/>
        <w:tblW w:w="9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912"/>
        <w:gridCol w:w="1193"/>
        <w:gridCol w:w="1194"/>
        <w:gridCol w:w="1193"/>
        <w:gridCol w:w="1194"/>
        <w:gridCol w:w="1193"/>
        <w:gridCol w:w="1767"/>
      </w:tblGrid>
      <w:tr w14:paraId="6310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10" w:type="dxa"/>
            <w:vAlign w:val="center"/>
          </w:tcPr>
          <w:p w14:paraId="49BE2B27">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工种</w:t>
            </w:r>
          </w:p>
        </w:tc>
        <w:tc>
          <w:tcPr>
            <w:tcW w:w="8646" w:type="dxa"/>
            <w:gridSpan w:val="7"/>
            <w:vAlign w:val="center"/>
          </w:tcPr>
          <w:p w14:paraId="26290969">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按工程施工阶段投入劳动力情况</w:t>
            </w:r>
          </w:p>
        </w:tc>
      </w:tr>
      <w:tr w14:paraId="47DC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10" w:type="dxa"/>
            <w:vAlign w:val="center"/>
          </w:tcPr>
          <w:p w14:paraId="71845FCD">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w:t>
            </w:r>
          </w:p>
        </w:tc>
        <w:tc>
          <w:tcPr>
            <w:tcW w:w="912" w:type="dxa"/>
            <w:vAlign w:val="center"/>
          </w:tcPr>
          <w:p w14:paraId="466098FF">
            <w:pPr>
              <w:pageBreakBefore w:val="0"/>
              <w:kinsoku/>
              <w:wordWrap w:val="0"/>
              <w:topLinePunct w:val="0"/>
              <w:spacing w:line="300" w:lineRule="exact"/>
              <w:rPr>
                <w:rFonts w:ascii="宋体" w:cs="宋体"/>
                <w:color w:val="auto"/>
                <w:highlight w:val="none"/>
              </w:rPr>
            </w:pPr>
          </w:p>
        </w:tc>
        <w:tc>
          <w:tcPr>
            <w:tcW w:w="1193" w:type="dxa"/>
            <w:vAlign w:val="center"/>
          </w:tcPr>
          <w:p w14:paraId="41D857D1">
            <w:pPr>
              <w:pageBreakBefore w:val="0"/>
              <w:kinsoku/>
              <w:wordWrap w:val="0"/>
              <w:topLinePunct w:val="0"/>
              <w:spacing w:line="300" w:lineRule="exact"/>
              <w:rPr>
                <w:rFonts w:ascii="宋体" w:cs="宋体"/>
                <w:color w:val="auto"/>
                <w:highlight w:val="none"/>
              </w:rPr>
            </w:pPr>
          </w:p>
        </w:tc>
        <w:tc>
          <w:tcPr>
            <w:tcW w:w="1194" w:type="dxa"/>
            <w:vAlign w:val="center"/>
          </w:tcPr>
          <w:p w14:paraId="3379EF05">
            <w:pPr>
              <w:pageBreakBefore w:val="0"/>
              <w:kinsoku/>
              <w:wordWrap w:val="0"/>
              <w:topLinePunct w:val="0"/>
              <w:spacing w:line="300" w:lineRule="exact"/>
              <w:rPr>
                <w:rFonts w:ascii="宋体" w:cs="宋体"/>
                <w:color w:val="auto"/>
                <w:highlight w:val="none"/>
              </w:rPr>
            </w:pPr>
          </w:p>
        </w:tc>
        <w:tc>
          <w:tcPr>
            <w:tcW w:w="1193" w:type="dxa"/>
            <w:vAlign w:val="center"/>
          </w:tcPr>
          <w:p w14:paraId="1E7A3CA8">
            <w:pPr>
              <w:pageBreakBefore w:val="0"/>
              <w:kinsoku/>
              <w:wordWrap w:val="0"/>
              <w:topLinePunct w:val="0"/>
              <w:spacing w:line="300" w:lineRule="exact"/>
              <w:rPr>
                <w:rFonts w:ascii="宋体" w:cs="宋体"/>
                <w:color w:val="auto"/>
                <w:highlight w:val="none"/>
              </w:rPr>
            </w:pPr>
          </w:p>
        </w:tc>
        <w:tc>
          <w:tcPr>
            <w:tcW w:w="1194" w:type="dxa"/>
            <w:vAlign w:val="center"/>
          </w:tcPr>
          <w:p w14:paraId="53A93219">
            <w:pPr>
              <w:pageBreakBefore w:val="0"/>
              <w:kinsoku/>
              <w:wordWrap w:val="0"/>
              <w:topLinePunct w:val="0"/>
              <w:spacing w:line="300" w:lineRule="exact"/>
              <w:rPr>
                <w:rFonts w:ascii="宋体" w:cs="宋体"/>
                <w:color w:val="auto"/>
                <w:highlight w:val="none"/>
              </w:rPr>
            </w:pPr>
          </w:p>
        </w:tc>
        <w:tc>
          <w:tcPr>
            <w:tcW w:w="1193" w:type="dxa"/>
            <w:vAlign w:val="center"/>
          </w:tcPr>
          <w:p w14:paraId="591F06A4">
            <w:pPr>
              <w:pageBreakBefore w:val="0"/>
              <w:kinsoku/>
              <w:wordWrap w:val="0"/>
              <w:topLinePunct w:val="0"/>
              <w:spacing w:line="300" w:lineRule="exact"/>
              <w:rPr>
                <w:rFonts w:ascii="宋体" w:cs="宋体"/>
                <w:color w:val="auto"/>
                <w:highlight w:val="none"/>
              </w:rPr>
            </w:pPr>
          </w:p>
        </w:tc>
        <w:tc>
          <w:tcPr>
            <w:tcW w:w="1767" w:type="dxa"/>
            <w:vAlign w:val="center"/>
          </w:tcPr>
          <w:p w14:paraId="6466A933">
            <w:pPr>
              <w:pageBreakBefore w:val="0"/>
              <w:kinsoku/>
              <w:wordWrap w:val="0"/>
              <w:topLinePunct w:val="0"/>
              <w:spacing w:line="300" w:lineRule="exact"/>
              <w:rPr>
                <w:rFonts w:ascii="宋体" w:cs="宋体"/>
                <w:color w:val="auto"/>
                <w:highlight w:val="none"/>
              </w:rPr>
            </w:pPr>
          </w:p>
        </w:tc>
      </w:tr>
      <w:tr w14:paraId="5152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10" w:type="dxa"/>
            <w:vAlign w:val="center"/>
          </w:tcPr>
          <w:p w14:paraId="7E899E48">
            <w:pPr>
              <w:pageBreakBefore w:val="0"/>
              <w:kinsoku/>
              <w:wordWrap w:val="0"/>
              <w:topLinePunct w:val="0"/>
              <w:spacing w:line="300" w:lineRule="exact"/>
              <w:jc w:val="center"/>
              <w:rPr>
                <w:rFonts w:ascii="宋体" w:cs="宋体"/>
                <w:color w:val="auto"/>
                <w:highlight w:val="none"/>
              </w:rPr>
            </w:pPr>
            <w:r>
              <w:rPr>
                <w:rFonts w:ascii="宋体" w:hAnsi="宋体" w:cs="宋体"/>
                <w:color w:val="auto"/>
                <w:highlight w:val="none"/>
              </w:rPr>
              <w:t>N</w:t>
            </w:r>
          </w:p>
        </w:tc>
        <w:tc>
          <w:tcPr>
            <w:tcW w:w="912" w:type="dxa"/>
            <w:vAlign w:val="center"/>
          </w:tcPr>
          <w:p w14:paraId="1AA53B74">
            <w:pPr>
              <w:pageBreakBefore w:val="0"/>
              <w:kinsoku/>
              <w:wordWrap w:val="0"/>
              <w:topLinePunct w:val="0"/>
              <w:spacing w:line="300" w:lineRule="exact"/>
              <w:rPr>
                <w:rFonts w:ascii="宋体" w:cs="宋体"/>
                <w:color w:val="auto"/>
                <w:highlight w:val="none"/>
              </w:rPr>
            </w:pPr>
          </w:p>
        </w:tc>
        <w:tc>
          <w:tcPr>
            <w:tcW w:w="1193" w:type="dxa"/>
            <w:vAlign w:val="center"/>
          </w:tcPr>
          <w:p w14:paraId="2BB3FEC4">
            <w:pPr>
              <w:pageBreakBefore w:val="0"/>
              <w:kinsoku/>
              <w:wordWrap w:val="0"/>
              <w:topLinePunct w:val="0"/>
              <w:spacing w:line="300" w:lineRule="exact"/>
              <w:rPr>
                <w:rFonts w:ascii="宋体" w:cs="宋体"/>
                <w:color w:val="auto"/>
                <w:highlight w:val="none"/>
              </w:rPr>
            </w:pPr>
          </w:p>
        </w:tc>
        <w:tc>
          <w:tcPr>
            <w:tcW w:w="1194" w:type="dxa"/>
            <w:vAlign w:val="center"/>
          </w:tcPr>
          <w:p w14:paraId="3D53D859">
            <w:pPr>
              <w:pageBreakBefore w:val="0"/>
              <w:kinsoku/>
              <w:wordWrap w:val="0"/>
              <w:topLinePunct w:val="0"/>
              <w:spacing w:line="300" w:lineRule="exact"/>
              <w:rPr>
                <w:rFonts w:ascii="宋体" w:cs="宋体"/>
                <w:color w:val="auto"/>
                <w:highlight w:val="none"/>
              </w:rPr>
            </w:pPr>
          </w:p>
        </w:tc>
        <w:tc>
          <w:tcPr>
            <w:tcW w:w="1193" w:type="dxa"/>
            <w:vAlign w:val="center"/>
          </w:tcPr>
          <w:p w14:paraId="6FB935EB">
            <w:pPr>
              <w:pageBreakBefore w:val="0"/>
              <w:kinsoku/>
              <w:wordWrap w:val="0"/>
              <w:topLinePunct w:val="0"/>
              <w:spacing w:line="300" w:lineRule="exact"/>
              <w:rPr>
                <w:rFonts w:ascii="宋体" w:cs="宋体"/>
                <w:color w:val="auto"/>
                <w:highlight w:val="none"/>
              </w:rPr>
            </w:pPr>
          </w:p>
        </w:tc>
        <w:tc>
          <w:tcPr>
            <w:tcW w:w="1194" w:type="dxa"/>
            <w:vAlign w:val="center"/>
          </w:tcPr>
          <w:p w14:paraId="54EB43D9">
            <w:pPr>
              <w:pageBreakBefore w:val="0"/>
              <w:kinsoku/>
              <w:wordWrap w:val="0"/>
              <w:topLinePunct w:val="0"/>
              <w:spacing w:line="300" w:lineRule="exact"/>
              <w:rPr>
                <w:rFonts w:ascii="宋体" w:cs="宋体"/>
                <w:color w:val="auto"/>
                <w:highlight w:val="none"/>
              </w:rPr>
            </w:pPr>
          </w:p>
        </w:tc>
        <w:tc>
          <w:tcPr>
            <w:tcW w:w="1193" w:type="dxa"/>
            <w:vAlign w:val="center"/>
          </w:tcPr>
          <w:p w14:paraId="53B53C05">
            <w:pPr>
              <w:pageBreakBefore w:val="0"/>
              <w:kinsoku/>
              <w:wordWrap w:val="0"/>
              <w:topLinePunct w:val="0"/>
              <w:spacing w:line="300" w:lineRule="exact"/>
              <w:rPr>
                <w:rFonts w:ascii="宋体" w:cs="宋体"/>
                <w:color w:val="auto"/>
                <w:highlight w:val="none"/>
              </w:rPr>
            </w:pPr>
          </w:p>
        </w:tc>
        <w:tc>
          <w:tcPr>
            <w:tcW w:w="1767" w:type="dxa"/>
            <w:vAlign w:val="center"/>
          </w:tcPr>
          <w:p w14:paraId="55ABCC12">
            <w:pPr>
              <w:pageBreakBefore w:val="0"/>
              <w:kinsoku/>
              <w:wordWrap w:val="0"/>
              <w:topLinePunct w:val="0"/>
              <w:spacing w:line="300" w:lineRule="exact"/>
              <w:rPr>
                <w:rFonts w:ascii="宋体" w:cs="宋体"/>
                <w:color w:val="auto"/>
                <w:highlight w:val="none"/>
              </w:rPr>
            </w:pPr>
          </w:p>
        </w:tc>
      </w:tr>
    </w:tbl>
    <w:p w14:paraId="674DE6F7">
      <w:pPr>
        <w:pageBreakBefore w:val="0"/>
        <w:kinsoku/>
        <w:wordWrap w:val="0"/>
        <w:topLinePunct w:val="0"/>
        <w:spacing w:line="400" w:lineRule="exact"/>
        <w:rPr>
          <w:rFonts w:ascii="宋体" w:cs="宋体"/>
          <w:color w:val="auto"/>
          <w:highlight w:val="none"/>
        </w:rPr>
      </w:pPr>
    </w:p>
    <w:p w14:paraId="15D908CB">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附表四：计划开、竣工日期和施工进度网络图</w:t>
      </w:r>
    </w:p>
    <w:p w14:paraId="58BF2FC2">
      <w:pPr>
        <w:pageBreakBefore w:val="0"/>
        <w:kinsoku/>
        <w:wordWrap w:val="0"/>
        <w:topLinePunct w:val="0"/>
        <w:spacing w:line="400" w:lineRule="exact"/>
        <w:rPr>
          <w:rFonts w:ascii="宋体" w:cs="宋体"/>
          <w:color w:val="auto"/>
          <w:highlight w:val="none"/>
        </w:rPr>
      </w:pPr>
      <w:r>
        <w:rPr>
          <w:rFonts w:ascii="宋体" w:hAnsi="宋体" w:cs="宋体"/>
          <w:color w:val="auto"/>
          <w:highlight w:val="none"/>
        </w:rPr>
        <w:t>1.</w:t>
      </w:r>
      <w:r>
        <w:rPr>
          <w:rFonts w:hint="eastAsia" w:ascii="宋体" w:hAnsi="宋体" w:cs="宋体"/>
          <w:color w:val="auto"/>
          <w:highlight w:val="none"/>
        </w:rPr>
        <w:t>竞标人应提交的施工进度网络图或施工进度表，说明按《竞争性磋商文件》要求的工期进行施工的各个关键日期。成交的竞标人还应按合同条件有关条款的要求提交详细的施工进度计划。</w:t>
      </w:r>
    </w:p>
    <w:p w14:paraId="13A6E853">
      <w:pPr>
        <w:pageBreakBefore w:val="0"/>
        <w:kinsoku/>
        <w:wordWrap w:val="0"/>
        <w:topLinePunct w:val="0"/>
        <w:spacing w:line="400" w:lineRule="exact"/>
        <w:rPr>
          <w:rFonts w:ascii="宋体" w:cs="宋体"/>
          <w:color w:val="auto"/>
          <w:highlight w:val="none"/>
        </w:rPr>
      </w:pPr>
      <w:r>
        <w:rPr>
          <w:rFonts w:ascii="宋体" w:hAnsi="宋体" w:cs="宋体"/>
          <w:color w:val="auto"/>
          <w:highlight w:val="none"/>
        </w:rPr>
        <w:t>2.</w:t>
      </w:r>
      <w:r>
        <w:rPr>
          <w:rFonts w:hint="eastAsia" w:ascii="宋体" w:hAnsi="宋体" w:cs="宋体"/>
          <w:color w:val="auto"/>
          <w:highlight w:val="none"/>
        </w:rPr>
        <w:t>施工进度表可采用网络图（或横道图）表示，说明计划开工日期和各分项工程各阶段的完工日期和分包合同签订的日期。</w:t>
      </w:r>
    </w:p>
    <w:p w14:paraId="33ADE1A7">
      <w:pPr>
        <w:pageBreakBefore w:val="0"/>
        <w:kinsoku/>
        <w:wordWrap w:val="0"/>
        <w:topLinePunct w:val="0"/>
        <w:spacing w:line="400" w:lineRule="exact"/>
        <w:rPr>
          <w:rFonts w:ascii="宋体" w:cs="宋体"/>
          <w:color w:val="auto"/>
          <w:highlight w:val="none"/>
        </w:rPr>
      </w:pPr>
      <w:r>
        <w:rPr>
          <w:rFonts w:ascii="宋体" w:hAnsi="宋体" w:cs="宋体"/>
          <w:color w:val="auto"/>
          <w:highlight w:val="none"/>
        </w:rPr>
        <w:t>3.</w:t>
      </w:r>
      <w:r>
        <w:rPr>
          <w:rFonts w:hint="eastAsia" w:ascii="宋体" w:hAnsi="宋体" w:cs="宋体"/>
          <w:color w:val="auto"/>
          <w:highlight w:val="none"/>
        </w:rPr>
        <w:t>施工进度计划应与施工组织设计相适应。</w:t>
      </w:r>
    </w:p>
    <w:p w14:paraId="292BACBC">
      <w:pPr>
        <w:pageBreakBefore w:val="0"/>
        <w:kinsoku/>
        <w:wordWrap w:val="0"/>
        <w:topLinePunct w:val="0"/>
        <w:spacing w:line="400" w:lineRule="exact"/>
        <w:rPr>
          <w:rFonts w:ascii="宋体" w:cs="宋体"/>
          <w:color w:val="auto"/>
          <w:highlight w:val="none"/>
        </w:rPr>
      </w:pPr>
    </w:p>
    <w:p w14:paraId="5E259E70">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附表五：施工总平面图</w:t>
      </w:r>
    </w:p>
    <w:p w14:paraId="718904FA">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竞标人应递交一份施工总平面图，绘出现场临时设施布置图表并附文字说明，说明临时设施、加工车间、现场办公、设备及仓储、供电、供水、卫生、生活、道路、消防等设施的情况和布置。</w:t>
      </w:r>
    </w:p>
    <w:p w14:paraId="5813E7E7">
      <w:pPr>
        <w:pageBreakBefore w:val="0"/>
        <w:kinsoku/>
        <w:wordWrap w:val="0"/>
        <w:topLinePunct w:val="0"/>
        <w:spacing w:line="400" w:lineRule="exact"/>
        <w:rPr>
          <w:rFonts w:ascii="宋体" w:cs="宋体"/>
          <w:color w:val="auto"/>
          <w:highlight w:val="none"/>
        </w:rPr>
      </w:pPr>
    </w:p>
    <w:p w14:paraId="4E718458">
      <w:pPr>
        <w:pageBreakBefore w:val="0"/>
        <w:kinsoku/>
        <w:wordWrap w:val="0"/>
        <w:topLinePunct w:val="0"/>
        <w:spacing w:line="400" w:lineRule="exact"/>
        <w:rPr>
          <w:rFonts w:ascii="宋体" w:cs="宋体"/>
          <w:color w:val="auto"/>
          <w:highlight w:val="none"/>
        </w:rPr>
      </w:pPr>
      <w:r>
        <w:rPr>
          <w:rFonts w:hint="eastAsia" w:ascii="宋体" w:hAnsi="宋体" w:cs="宋体"/>
          <w:color w:val="auto"/>
          <w:highlight w:val="none"/>
        </w:rPr>
        <w:t>附表六：临时用地表</w:t>
      </w:r>
    </w:p>
    <w:p w14:paraId="3E212725">
      <w:pPr>
        <w:pageBreakBefore w:val="0"/>
        <w:kinsoku/>
        <w:wordWrap w:val="0"/>
        <w:topLinePunct w:val="0"/>
        <w:rPr>
          <w:rFonts w:ascii="宋体" w:cs="宋体"/>
          <w:color w:val="auto"/>
          <w:highlight w:val="none"/>
        </w:rPr>
      </w:pPr>
    </w:p>
    <w:tbl>
      <w:tblPr>
        <w:tblStyle w:val="48"/>
        <w:tblW w:w="93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2450"/>
        <w:gridCol w:w="2450"/>
        <w:gridCol w:w="2029"/>
      </w:tblGrid>
      <w:tr w14:paraId="0C17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450" w:type="dxa"/>
            <w:vAlign w:val="center"/>
          </w:tcPr>
          <w:p w14:paraId="67D6BDE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用途</w:t>
            </w:r>
          </w:p>
        </w:tc>
        <w:tc>
          <w:tcPr>
            <w:tcW w:w="2450" w:type="dxa"/>
            <w:vAlign w:val="center"/>
          </w:tcPr>
          <w:p w14:paraId="5566594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面积（平方米）</w:t>
            </w:r>
          </w:p>
        </w:tc>
        <w:tc>
          <w:tcPr>
            <w:tcW w:w="2450" w:type="dxa"/>
            <w:vAlign w:val="center"/>
          </w:tcPr>
          <w:p w14:paraId="63EDE6F5">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位置</w:t>
            </w:r>
          </w:p>
        </w:tc>
        <w:tc>
          <w:tcPr>
            <w:tcW w:w="2029" w:type="dxa"/>
            <w:vAlign w:val="center"/>
          </w:tcPr>
          <w:p w14:paraId="5B86C805">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需用时间</w:t>
            </w:r>
          </w:p>
        </w:tc>
      </w:tr>
      <w:tr w14:paraId="4C38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450" w:type="dxa"/>
            <w:vAlign w:val="center"/>
          </w:tcPr>
          <w:p w14:paraId="3128731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w:t>
            </w:r>
          </w:p>
        </w:tc>
        <w:tc>
          <w:tcPr>
            <w:tcW w:w="2450" w:type="dxa"/>
          </w:tcPr>
          <w:p w14:paraId="4D16E6F4">
            <w:pPr>
              <w:pageBreakBefore w:val="0"/>
              <w:kinsoku/>
              <w:wordWrap w:val="0"/>
              <w:topLinePunct w:val="0"/>
              <w:spacing w:line="300" w:lineRule="exact"/>
              <w:rPr>
                <w:rFonts w:ascii="宋体" w:cs="宋体"/>
                <w:color w:val="auto"/>
                <w:highlight w:val="none"/>
              </w:rPr>
            </w:pPr>
          </w:p>
        </w:tc>
        <w:tc>
          <w:tcPr>
            <w:tcW w:w="2450" w:type="dxa"/>
          </w:tcPr>
          <w:p w14:paraId="5BE74316">
            <w:pPr>
              <w:pageBreakBefore w:val="0"/>
              <w:kinsoku/>
              <w:wordWrap w:val="0"/>
              <w:topLinePunct w:val="0"/>
              <w:spacing w:line="300" w:lineRule="exact"/>
              <w:rPr>
                <w:rFonts w:ascii="宋体" w:cs="宋体"/>
                <w:color w:val="auto"/>
                <w:highlight w:val="none"/>
              </w:rPr>
            </w:pPr>
          </w:p>
        </w:tc>
        <w:tc>
          <w:tcPr>
            <w:tcW w:w="2029" w:type="dxa"/>
          </w:tcPr>
          <w:p w14:paraId="5CF27E9C">
            <w:pPr>
              <w:pageBreakBefore w:val="0"/>
              <w:kinsoku/>
              <w:wordWrap w:val="0"/>
              <w:topLinePunct w:val="0"/>
              <w:spacing w:line="300" w:lineRule="exact"/>
              <w:rPr>
                <w:rFonts w:ascii="宋体" w:cs="宋体"/>
                <w:color w:val="auto"/>
                <w:highlight w:val="none"/>
              </w:rPr>
            </w:pPr>
          </w:p>
        </w:tc>
      </w:tr>
      <w:tr w14:paraId="774F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450" w:type="dxa"/>
            <w:vAlign w:val="center"/>
          </w:tcPr>
          <w:p w14:paraId="5727D40B">
            <w:pPr>
              <w:pageBreakBefore w:val="0"/>
              <w:kinsoku/>
              <w:wordWrap w:val="0"/>
              <w:topLinePunct w:val="0"/>
              <w:spacing w:line="300" w:lineRule="exact"/>
              <w:jc w:val="center"/>
              <w:rPr>
                <w:rFonts w:ascii="宋体" w:cs="宋体"/>
                <w:color w:val="auto"/>
                <w:highlight w:val="none"/>
              </w:rPr>
            </w:pPr>
            <w:r>
              <w:rPr>
                <w:rFonts w:ascii="宋体" w:hAnsi="宋体" w:cs="宋体"/>
                <w:color w:val="auto"/>
                <w:highlight w:val="none"/>
              </w:rPr>
              <w:t>N</w:t>
            </w:r>
          </w:p>
        </w:tc>
        <w:tc>
          <w:tcPr>
            <w:tcW w:w="2450" w:type="dxa"/>
          </w:tcPr>
          <w:p w14:paraId="0A120A0C">
            <w:pPr>
              <w:pageBreakBefore w:val="0"/>
              <w:kinsoku/>
              <w:wordWrap w:val="0"/>
              <w:topLinePunct w:val="0"/>
              <w:spacing w:line="300" w:lineRule="exact"/>
              <w:rPr>
                <w:rFonts w:ascii="宋体" w:cs="宋体"/>
                <w:color w:val="auto"/>
                <w:highlight w:val="none"/>
              </w:rPr>
            </w:pPr>
          </w:p>
        </w:tc>
        <w:tc>
          <w:tcPr>
            <w:tcW w:w="2450" w:type="dxa"/>
          </w:tcPr>
          <w:p w14:paraId="143CC886">
            <w:pPr>
              <w:pageBreakBefore w:val="0"/>
              <w:kinsoku/>
              <w:wordWrap w:val="0"/>
              <w:topLinePunct w:val="0"/>
              <w:spacing w:line="300" w:lineRule="exact"/>
              <w:rPr>
                <w:rFonts w:ascii="宋体" w:cs="宋体"/>
                <w:color w:val="auto"/>
                <w:highlight w:val="none"/>
              </w:rPr>
            </w:pPr>
          </w:p>
        </w:tc>
        <w:tc>
          <w:tcPr>
            <w:tcW w:w="2029" w:type="dxa"/>
          </w:tcPr>
          <w:p w14:paraId="26C95969">
            <w:pPr>
              <w:pageBreakBefore w:val="0"/>
              <w:kinsoku/>
              <w:wordWrap w:val="0"/>
              <w:topLinePunct w:val="0"/>
              <w:spacing w:line="300" w:lineRule="exact"/>
              <w:rPr>
                <w:rFonts w:ascii="宋体" w:cs="宋体"/>
                <w:color w:val="auto"/>
                <w:highlight w:val="none"/>
              </w:rPr>
            </w:pPr>
          </w:p>
        </w:tc>
      </w:tr>
    </w:tbl>
    <w:p w14:paraId="75626D5D">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70C5A9FF">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76E79392">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4357A2A">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063D0B37">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6ECDC24E">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626E46F8">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220007CB">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70025C2C">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2ABDA49B">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81EE0BE">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39286BB0">
      <w:pPr>
        <w:pageBreakBefore w:val="0"/>
        <w:kinsoku/>
        <w:wordWrap w:val="0"/>
        <w:topLinePunct w:val="0"/>
        <w:adjustRightInd w:val="0"/>
        <w:snapToGrid w:val="0"/>
        <w:spacing w:line="520" w:lineRule="exact"/>
        <w:rPr>
          <w:rFonts w:ascii="方正小标宋简体" w:hAnsi="方正小标宋简体" w:eastAsia="方正小标宋简体" w:cs="方正小标宋简体"/>
          <w:bCs/>
          <w:color w:val="auto"/>
          <w:sz w:val="28"/>
          <w:szCs w:val="28"/>
          <w:highlight w:val="none"/>
        </w:rPr>
      </w:pPr>
    </w:p>
    <w:p w14:paraId="3BC5B357">
      <w:pPr>
        <w:pStyle w:val="5"/>
        <w:pageBreakBefore w:val="0"/>
        <w:kinsoku/>
        <w:wordWrap w:val="0"/>
        <w:topLinePunct w:val="0"/>
        <w:rPr>
          <w:color w:val="auto"/>
          <w:highlight w:val="none"/>
        </w:rPr>
      </w:pPr>
      <w:r>
        <w:rPr>
          <w:rFonts w:hint="eastAsia"/>
          <w:color w:val="auto"/>
          <w:highlight w:val="none"/>
        </w:rPr>
        <w:t>7、项目管理机构配备情况</w:t>
      </w:r>
    </w:p>
    <w:p w14:paraId="1B7243B0">
      <w:pPr>
        <w:pStyle w:val="7"/>
        <w:pageBreakBefore w:val="0"/>
        <w:kinsoku/>
        <w:wordWrap w:val="0"/>
        <w:topLinePunct w:val="0"/>
        <w:jc w:val="center"/>
        <w:rPr>
          <w:color w:val="auto"/>
          <w:highlight w:val="none"/>
        </w:rPr>
      </w:pPr>
      <w:r>
        <w:rPr>
          <w:color w:val="auto"/>
          <w:highlight w:val="none"/>
        </w:rPr>
        <w:t>（</w:t>
      </w:r>
      <w:r>
        <w:rPr>
          <w:rFonts w:hint="eastAsia"/>
          <w:color w:val="auto"/>
          <w:highlight w:val="none"/>
        </w:rPr>
        <w:t>1）项目管理机构配备情况表</w:t>
      </w:r>
    </w:p>
    <w:tbl>
      <w:tblPr>
        <w:tblStyle w:val="4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0E4A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8E1DC5">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岗位</w:t>
            </w:r>
          </w:p>
        </w:tc>
        <w:tc>
          <w:tcPr>
            <w:tcW w:w="829" w:type="dxa"/>
            <w:vMerge w:val="restart"/>
            <w:vAlign w:val="center"/>
          </w:tcPr>
          <w:p w14:paraId="4ABF9C3D">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姓名</w:t>
            </w:r>
          </w:p>
        </w:tc>
        <w:tc>
          <w:tcPr>
            <w:tcW w:w="816" w:type="dxa"/>
            <w:vMerge w:val="restart"/>
            <w:vAlign w:val="center"/>
          </w:tcPr>
          <w:p w14:paraId="2FD8BAD6">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职称</w:t>
            </w:r>
          </w:p>
        </w:tc>
        <w:tc>
          <w:tcPr>
            <w:tcW w:w="4592" w:type="dxa"/>
            <w:gridSpan w:val="4"/>
            <w:vAlign w:val="center"/>
          </w:tcPr>
          <w:p w14:paraId="5402AD4A">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执业或职业资格证明</w:t>
            </w:r>
          </w:p>
        </w:tc>
        <w:tc>
          <w:tcPr>
            <w:tcW w:w="2126" w:type="dxa"/>
            <w:gridSpan w:val="2"/>
            <w:vAlign w:val="center"/>
          </w:tcPr>
          <w:p w14:paraId="6C0C7226">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承担完工工程情况</w:t>
            </w:r>
          </w:p>
        </w:tc>
      </w:tr>
      <w:tr w14:paraId="62AD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2C0214AA">
            <w:pPr>
              <w:pageBreakBefore w:val="0"/>
              <w:kinsoku/>
              <w:wordWrap w:val="0"/>
              <w:topLinePunct w:val="0"/>
              <w:ind w:left="223" w:hanging="222" w:hangingChars="106"/>
              <w:jc w:val="center"/>
              <w:rPr>
                <w:rFonts w:ascii="宋体" w:hAnsi="宋体"/>
                <w:color w:val="auto"/>
                <w:highlight w:val="none"/>
              </w:rPr>
            </w:pPr>
          </w:p>
        </w:tc>
        <w:tc>
          <w:tcPr>
            <w:tcW w:w="829" w:type="dxa"/>
            <w:vMerge w:val="continue"/>
            <w:vAlign w:val="center"/>
          </w:tcPr>
          <w:p w14:paraId="1EC1C9A4">
            <w:pPr>
              <w:pageBreakBefore w:val="0"/>
              <w:kinsoku/>
              <w:wordWrap w:val="0"/>
              <w:topLinePunct w:val="0"/>
              <w:ind w:left="223" w:hanging="222" w:hangingChars="106"/>
              <w:jc w:val="center"/>
              <w:rPr>
                <w:rFonts w:ascii="宋体" w:hAnsi="宋体"/>
                <w:color w:val="auto"/>
                <w:highlight w:val="none"/>
              </w:rPr>
            </w:pPr>
          </w:p>
        </w:tc>
        <w:tc>
          <w:tcPr>
            <w:tcW w:w="816" w:type="dxa"/>
            <w:vMerge w:val="continue"/>
            <w:vAlign w:val="center"/>
          </w:tcPr>
          <w:p w14:paraId="2BEA1E49">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501F022">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证书名称</w:t>
            </w:r>
          </w:p>
        </w:tc>
        <w:tc>
          <w:tcPr>
            <w:tcW w:w="1148" w:type="dxa"/>
            <w:vAlign w:val="center"/>
          </w:tcPr>
          <w:p w14:paraId="2838E25F">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级别</w:t>
            </w:r>
          </w:p>
        </w:tc>
        <w:tc>
          <w:tcPr>
            <w:tcW w:w="1148" w:type="dxa"/>
            <w:vAlign w:val="center"/>
          </w:tcPr>
          <w:p w14:paraId="6200BAE0">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证号</w:t>
            </w:r>
          </w:p>
        </w:tc>
        <w:tc>
          <w:tcPr>
            <w:tcW w:w="1148" w:type="dxa"/>
            <w:vAlign w:val="center"/>
          </w:tcPr>
          <w:p w14:paraId="0FCD5BA5">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专业</w:t>
            </w:r>
          </w:p>
        </w:tc>
        <w:tc>
          <w:tcPr>
            <w:tcW w:w="850" w:type="dxa"/>
            <w:vAlign w:val="center"/>
          </w:tcPr>
          <w:p w14:paraId="7BDB8618">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项目数</w:t>
            </w:r>
          </w:p>
        </w:tc>
        <w:tc>
          <w:tcPr>
            <w:tcW w:w="1276" w:type="dxa"/>
            <w:vAlign w:val="center"/>
          </w:tcPr>
          <w:p w14:paraId="2B1E2483">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主要项目</w:t>
            </w:r>
          </w:p>
          <w:p w14:paraId="31F6B0FA">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名称</w:t>
            </w:r>
          </w:p>
        </w:tc>
      </w:tr>
      <w:tr w14:paraId="73E4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Align w:val="center"/>
          </w:tcPr>
          <w:p w14:paraId="3B0060B1">
            <w:pPr>
              <w:pageBreakBefore w:val="0"/>
              <w:kinsoku/>
              <w:wordWrap w:val="0"/>
              <w:topLinePunct w:val="0"/>
              <w:ind w:left="223" w:hanging="222" w:hangingChars="106"/>
              <w:rPr>
                <w:rFonts w:ascii="宋体" w:hAnsi="宋体"/>
                <w:color w:val="auto"/>
                <w:highlight w:val="none"/>
              </w:rPr>
            </w:pPr>
            <w:r>
              <w:rPr>
                <w:rFonts w:hint="eastAsia" w:ascii="宋体" w:hAnsi="宋体"/>
                <w:color w:val="auto"/>
                <w:highlight w:val="none"/>
              </w:rPr>
              <w:t>项目经理</w:t>
            </w:r>
          </w:p>
        </w:tc>
        <w:tc>
          <w:tcPr>
            <w:tcW w:w="829" w:type="dxa"/>
            <w:vAlign w:val="center"/>
          </w:tcPr>
          <w:p w14:paraId="2B77DCF9">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48CBA65E">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33C37B54">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48A50025">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41D19876">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79ABA6A">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4891A4E3">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4406CB0C">
            <w:pPr>
              <w:pageBreakBefore w:val="0"/>
              <w:kinsoku/>
              <w:wordWrap w:val="0"/>
              <w:topLinePunct w:val="0"/>
              <w:ind w:left="223" w:hanging="222" w:hangingChars="106"/>
              <w:jc w:val="center"/>
              <w:rPr>
                <w:rFonts w:ascii="宋体" w:hAnsi="宋体"/>
                <w:color w:val="auto"/>
                <w:highlight w:val="none"/>
              </w:rPr>
            </w:pPr>
          </w:p>
        </w:tc>
      </w:tr>
      <w:tr w14:paraId="0F64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Align w:val="center"/>
          </w:tcPr>
          <w:p w14:paraId="5B8E9DC0">
            <w:pPr>
              <w:pageBreakBefore w:val="0"/>
              <w:kinsoku/>
              <w:wordWrap w:val="0"/>
              <w:topLinePunct w:val="0"/>
              <w:ind w:left="223" w:hanging="222" w:hangingChars="106"/>
              <w:rPr>
                <w:rFonts w:ascii="宋体" w:hAnsi="宋体"/>
                <w:color w:val="auto"/>
                <w:highlight w:val="none"/>
              </w:rPr>
            </w:pPr>
            <w:r>
              <w:rPr>
                <w:rFonts w:hint="eastAsia" w:ascii="宋体" w:hAnsi="宋体"/>
                <w:color w:val="auto"/>
                <w:highlight w:val="none"/>
              </w:rPr>
              <w:t>技术负责人</w:t>
            </w:r>
          </w:p>
        </w:tc>
        <w:tc>
          <w:tcPr>
            <w:tcW w:w="829" w:type="dxa"/>
            <w:vAlign w:val="center"/>
          </w:tcPr>
          <w:p w14:paraId="559B1723">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2DA389AB">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4B7A800D">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3D7F5063">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6C30F714">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1DC6BB4">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601950D5">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6A711387">
            <w:pPr>
              <w:pageBreakBefore w:val="0"/>
              <w:kinsoku/>
              <w:wordWrap w:val="0"/>
              <w:topLinePunct w:val="0"/>
              <w:ind w:left="223" w:hanging="222" w:hangingChars="106"/>
              <w:jc w:val="center"/>
              <w:rPr>
                <w:rFonts w:ascii="宋体" w:hAnsi="宋体"/>
                <w:color w:val="auto"/>
                <w:highlight w:val="none"/>
              </w:rPr>
            </w:pPr>
          </w:p>
        </w:tc>
      </w:tr>
      <w:tr w14:paraId="3A6C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3DFC701">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施工员</w:t>
            </w:r>
          </w:p>
        </w:tc>
        <w:tc>
          <w:tcPr>
            <w:tcW w:w="829" w:type="dxa"/>
            <w:vAlign w:val="center"/>
          </w:tcPr>
          <w:p w14:paraId="20AD196B">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12DE9BC7">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A56673F">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08809DA9">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3D33FF36">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399667F1">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0F233E82">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251E579D">
            <w:pPr>
              <w:pageBreakBefore w:val="0"/>
              <w:kinsoku/>
              <w:wordWrap w:val="0"/>
              <w:topLinePunct w:val="0"/>
              <w:ind w:left="223" w:hanging="222" w:hangingChars="106"/>
              <w:jc w:val="center"/>
              <w:rPr>
                <w:rFonts w:ascii="宋体" w:hAnsi="宋体"/>
                <w:color w:val="auto"/>
                <w:highlight w:val="none"/>
              </w:rPr>
            </w:pPr>
          </w:p>
        </w:tc>
      </w:tr>
      <w:tr w14:paraId="3B94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1113D72">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质量员</w:t>
            </w:r>
          </w:p>
        </w:tc>
        <w:tc>
          <w:tcPr>
            <w:tcW w:w="829" w:type="dxa"/>
            <w:vAlign w:val="center"/>
          </w:tcPr>
          <w:p w14:paraId="2A54A9EC">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3B419D6D">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611A0742">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2F2921F1">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13D5ADCF">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7D668BF1">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680278B7">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1EB22E83">
            <w:pPr>
              <w:pageBreakBefore w:val="0"/>
              <w:kinsoku/>
              <w:wordWrap w:val="0"/>
              <w:topLinePunct w:val="0"/>
              <w:ind w:left="223" w:hanging="222" w:hangingChars="106"/>
              <w:jc w:val="center"/>
              <w:rPr>
                <w:rFonts w:ascii="宋体" w:hAnsi="宋体"/>
                <w:color w:val="auto"/>
                <w:highlight w:val="none"/>
              </w:rPr>
            </w:pPr>
          </w:p>
        </w:tc>
      </w:tr>
      <w:tr w14:paraId="2C50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vAlign w:val="center"/>
          </w:tcPr>
          <w:p w14:paraId="47AFD933">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安全员</w:t>
            </w:r>
          </w:p>
        </w:tc>
        <w:tc>
          <w:tcPr>
            <w:tcW w:w="829" w:type="dxa"/>
            <w:vAlign w:val="center"/>
          </w:tcPr>
          <w:p w14:paraId="02391D1E">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6838CC76">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05FC5B87">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32D42C3F">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F7AD24B">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780236BD">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35C38D1D">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541534E2">
            <w:pPr>
              <w:pageBreakBefore w:val="0"/>
              <w:kinsoku/>
              <w:wordWrap w:val="0"/>
              <w:topLinePunct w:val="0"/>
              <w:ind w:left="223" w:hanging="222" w:hangingChars="106"/>
              <w:jc w:val="center"/>
              <w:rPr>
                <w:rFonts w:ascii="宋体" w:hAnsi="宋体"/>
                <w:color w:val="auto"/>
                <w:highlight w:val="none"/>
              </w:rPr>
            </w:pPr>
          </w:p>
        </w:tc>
      </w:tr>
      <w:tr w14:paraId="6DB7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4948BC8B">
            <w:pPr>
              <w:pageBreakBefore w:val="0"/>
              <w:kinsoku/>
              <w:wordWrap w:val="0"/>
              <w:topLinePunct w:val="0"/>
              <w:ind w:left="223" w:hanging="222" w:hangingChars="106"/>
              <w:jc w:val="center"/>
              <w:rPr>
                <w:rFonts w:ascii="宋体" w:hAnsi="宋体"/>
                <w:color w:val="auto"/>
                <w:highlight w:val="none"/>
              </w:rPr>
            </w:pPr>
          </w:p>
        </w:tc>
        <w:tc>
          <w:tcPr>
            <w:tcW w:w="829" w:type="dxa"/>
            <w:vAlign w:val="center"/>
          </w:tcPr>
          <w:p w14:paraId="328DC146">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074BB407">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69662CB6">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603F51F4">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2E338A13">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486E4C7D">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199AF94F">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1E871BF5">
            <w:pPr>
              <w:pageBreakBefore w:val="0"/>
              <w:kinsoku/>
              <w:wordWrap w:val="0"/>
              <w:topLinePunct w:val="0"/>
              <w:ind w:left="223" w:hanging="222" w:hangingChars="106"/>
              <w:jc w:val="center"/>
              <w:rPr>
                <w:rFonts w:ascii="宋体" w:hAnsi="宋体"/>
                <w:color w:val="auto"/>
                <w:highlight w:val="none"/>
              </w:rPr>
            </w:pPr>
          </w:p>
        </w:tc>
      </w:tr>
      <w:tr w14:paraId="5E28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4D49FDD8">
            <w:pPr>
              <w:pageBreakBefore w:val="0"/>
              <w:kinsoku/>
              <w:wordWrap w:val="0"/>
              <w:topLinePunct w:val="0"/>
              <w:ind w:left="223" w:hanging="222" w:hangingChars="106"/>
              <w:jc w:val="center"/>
              <w:rPr>
                <w:rFonts w:ascii="宋体" w:hAnsi="宋体"/>
                <w:color w:val="auto"/>
                <w:highlight w:val="none"/>
              </w:rPr>
            </w:pPr>
          </w:p>
        </w:tc>
        <w:tc>
          <w:tcPr>
            <w:tcW w:w="829" w:type="dxa"/>
            <w:vAlign w:val="center"/>
          </w:tcPr>
          <w:p w14:paraId="414F9A56">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0F5698D5">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1AF6DD15">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1496F217">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4A213678">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212EA46F">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2EDC7BE0">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202065F4">
            <w:pPr>
              <w:pageBreakBefore w:val="0"/>
              <w:kinsoku/>
              <w:wordWrap w:val="0"/>
              <w:topLinePunct w:val="0"/>
              <w:ind w:left="223" w:hanging="222" w:hangingChars="106"/>
              <w:jc w:val="center"/>
              <w:rPr>
                <w:rFonts w:ascii="宋体" w:hAnsi="宋体"/>
                <w:color w:val="auto"/>
                <w:highlight w:val="none"/>
              </w:rPr>
            </w:pPr>
          </w:p>
        </w:tc>
      </w:tr>
      <w:tr w14:paraId="37C7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26B9317">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材料员</w:t>
            </w:r>
          </w:p>
        </w:tc>
        <w:tc>
          <w:tcPr>
            <w:tcW w:w="829" w:type="dxa"/>
            <w:vAlign w:val="center"/>
          </w:tcPr>
          <w:p w14:paraId="5578F230">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446DC9D0">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0235F1C7">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2ADACE42">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3DD901BB">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836764A">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4975FDE7">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104080A4">
            <w:pPr>
              <w:pageBreakBefore w:val="0"/>
              <w:kinsoku/>
              <w:wordWrap w:val="0"/>
              <w:topLinePunct w:val="0"/>
              <w:ind w:left="223" w:hanging="222" w:hangingChars="106"/>
              <w:jc w:val="center"/>
              <w:rPr>
                <w:rFonts w:ascii="宋体" w:hAnsi="宋体"/>
                <w:color w:val="auto"/>
                <w:highlight w:val="none"/>
              </w:rPr>
            </w:pPr>
          </w:p>
        </w:tc>
      </w:tr>
      <w:tr w14:paraId="2530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CF7E77A">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w:t>
            </w:r>
          </w:p>
        </w:tc>
        <w:tc>
          <w:tcPr>
            <w:tcW w:w="829" w:type="dxa"/>
            <w:vAlign w:val="center"/>
          </w:tcPr>
          <w:p w14:paraId="3DC19804">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230EDB9C">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160F4AB4">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6E459E4A">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2F276C3B">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45C922A8">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0DE8139D">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546EE6D3">
            <w:pPr>
              <w:pageBreakBefore w:val="0"/>
              <w:kinsoku/>
              <w:wordWrap w:val="0"/>
              <w:topLinePunct w:val="0"/>
              <w:ind w:left="223" w:hanging="222" w:hangingChars="106"/>
              <w:jc w:val="center"/>
              <w:rPr>
                <w:rFonts w:ascii="宋体" w:hAnsi="宋体"/>
                <w:color w:val="auto"/>
                <w:highlight w:val="none"/>
              </w:rPr>
            </w:pPr>
          </w:p>
        </w:tc>
      </w:tr>
      <w:tr w14:paraId="15AF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14DEEB6">
            <w:pPr>
              <w:pageBreakBefore w:val="0"/>
              <w:kinsoku/>
              <w:wordWrap w:val="0"/>
              <w:topLinePunct w:val="0"/>
              <w:ind w:left="223" w:hanging="222" w:hangingChars="106"/>
              <w:jc w:val="center"/>
              <w:rPr>
                <w:rFonts w:ascii="宋体" w:hAnsi="宋体"/>
                <w:color w:val="auto"/>
                <w:highlight w:val="none"/>
              </w:rPr>
            </w:pPr>
            <w:r>
              <w:rPr>
                <w:rFonts w:ascii="宋体" w:hAnsi="宋体"/>
                <w:color w:val="auto"/>
                <w:highlight w:val="none"/>
              </w:rPr>
              <w:t>……</w:t>
            </w:r>
          </w:p>
        </w:tc>
        <w:tc>
          <w:tcPr>
            <w:tcW w:w="829" w:type="dxa"/>
            <w:vAlign w:val="center"/>
          </w:tcPr>
          <w:p w14:paraId="1B106FB3">
            <w:pPr>
              <w:pageBreakBefore w:val="0"/>
              <w:kinsoku/>
              <w:wordWrap w:val="0"/>
              <w:topLinePunct w:val="0"/>
              <w:ind w:left="223" w:hanging="222" w:hangingChars="106"/>
              <w:jc w:val="center"/>
              <w:rPr>
                <w:rFonts w:ascii="宋体" w:hAnsi="宋体"/>
                <w:color w:val="auto"/>
                <w:highlight w:val="none"/>
              </w:rPr>
            </w:pPr>
          </w:p>
        </w:tc>
        <w:tc>
          <w:tcPr>
            <w:tcW w:w="816" w:type="dxa"/>
            <w:vAlign w:val="center"/>
          </w:tcPr>
          <w:p w14:paraId="6EDFA639">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1480D8E">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52CA1F87">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6E6127E3">
            <w:pPr>
              <w:pageBreakBefore w:val="0"/>
              <w:kinsoku/>
              <w:wordWrap w:val="0"/>
              <w:topLinePunct w:val="0"/>
              <w:ind w:left="223" w:hanging="222" w:hangingChars="106"/>
              <w:jc w:val="center"/>
              <w:rPr>
                <w:rFonts w:ascii="宋体" w:hAnsi="宋体"/>
                <w:color w:val="auto"/>
                <w:highlight w:val="none"/>
              </w:rPr>
            </w:pPr>
          </w:p>
        </w:tc>
        <w:tc>
          <w:tcPr>
            <w:tcW w:w="1148" w:type="dxa"/>
            <w:vAlign w:val="center"/>
          </w:tcPr>
          <w:p w14:paraId="740E250C">
            <w:pPr>
              <w:pageBreakBefore w:val="0"/>
              <w:kinsoku/>
              <w:wordWrap w:val="0"/>
              <w:topLinePunct w:val="0"/>
              <w:ind w:left="223" w:hanging="222" w:hangingChars="106"/>
              <w:jc w:val="center"/>
              <w:rPr>
                <w:rFonts w:ascii="宋体" w:hAnsi="宋体"/>
                <w:color w:val="auto"/>
                <w:highlight w:val="none"/>
              </w:rPr>
            </w:pPr>
          </w:p>
        </w:tc>
        <w:tc>
          <w:tcPr>
            <w:tcW w:w="850" w:type="dxa"/>
            <w:vAlign w:val="center"/>
          </w:tcPr>
          <w:p w14:paraId="68AA0C05">
            <w:pPr>
              <w:pageBreakBefore w:val="0"/>
              <w:kinsoku/>
              <w:wordWrap w:val="0"/>
              <w:topLinePunct w:val="0"/>
              <w:ind w:left="223" w:hanging="222" w:hangingChars="106"/>
              <w:jc w:val="center"/>
              <w:rPr>
                <w:rFonts w:ascii="宋体" w:hAnsi="宋体"/>
                <w:color w:val="auto"/>
                <w:highlight w:val="none"/>
              </w:rPr>
            </w:pPr>
          </w:p>
        </w:tc>
        <w:tc>
          <w:tcPr>
            <w:tcW w:w="1276" w:type="dxa"/>
            <w:vAlign w:val="center"/>
          </w:tcPr>
          <w:p w14:paraId="5769179F">
            <w:pPr>
              <w:pageBreakBefore w:val="0"/>
              <w:kinsoku/>
              <w:wordWrap w:val="0"/>
              <w:topLinePunct w:val="0"/>
              <w:ind w:left="223" w:hanging="222" w:hangingChars="106"/>
              <w:jc w:val="center"/>
              <w:rPr>
                <w:rFonts w:ascii="宋体" w:hAnsi="宋体"/>
                <w:color w:val="auto"/>
                <w:highlight w:val="none"/>
              </w:rPr>
            </w:pPr>
          </w:p>
        </w:tc>
      </w:tr>
      <w:tr w14:paraId="7363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5FE5C658">
            <w:pPr>
              <w:pageBreakBefore w:val="0"/>
              <w:kinsoku/>
              <w:wordWrap w:val="0"/>
              <w:topLinePunct w:val="0"/>
              <w:spacing w:line="360" w:lineRule="auto"/>
              <w:rPr>
                <w:rFonts w:ascii="宋体" w:hAnsi="宋体"/>
                <w:color w:val="auto"/>
                <w:highlight w:val="none"/>
              </w:rPr>
            </w:pPr>
            <w:r>
              <w:rPr>
                <w:rFonts w:ascii="宋体" w:hAnsi="宋体"/>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34B10F0E">
      <w:pPr>
        <w:pageBreakBefore w:val="0"/>
        <w:tabs>
          <w:tab w:val="left" w:pos="0"/>
        </w:tabs>
        <w:kinsoku/>
        <w:wordWrap w:val="0"/>
        <w:topLinePunct w:val="0"/>
        <w:spacing w:line="360" w:lineRule="auto"/>
        <w:ind w:right="-210"/>
        <w:rPr>
          <w:rFonts w:ascii="宋体" w:hAnsi="宋体"/>
          <w:color w:val="auto"/>
          <w:highlight w:val="none"/>
        </w:rPr>
      </w:pPr>
    </w:p>
    <w:p w14:paraId="1F279852">
      <w:pPr>
        <w:pageBreakBefore w:val="0"/>
        <w:kinsoku/>
        <w:wordWrap w:val="0"/>
        <w:topLinePunct w:val="0"/>
        <w:spacing w:line="360" w:lineRule="auto"/>
        <w:contextualSpacing/>
        <w:rPr>
          <w:rFonts w:ascii="宋体" w:hAnsi="宋体"/>
          <w:color w:val="auto"/>
          <w:sz w:val="24"/>
          <w:szCs w:val="20"/>
          <w:highlight w:val="none"/>
        </w:rPr>
      </w:pPr>
      <w:r>
        <w:rPr>
          <w:rFonts w:ascii="宋体" w:hAnsi="宋体" w:eastAsia="楷体_GB2312"/>
          <w:color w:val="auto"/>
          <w:highlight w:val="none"/>
        </w:rPr>
        <w:t>【备注：</w:t>
      </w:r>
      <w:r>
        <w:rPr>
          <w:rFonts w:hint="eastAsia" w:ascii="宋体" w:hAnsi="宋体" w:eastAsia="楷体_GB2312"/>
          <w:color w:val="auto"/>
          <w:highlight w:val="none"/>
        </w:rPr>
        <w:t>附以上各岗位人员资格证件等相关证明材料复印件。】</w:t>
      </w:r>
    </w:p>
    <w:p w14:paraId="157B0E74">
      <w:pPr>
        <w:pageBreakBefore w:val="0"/>
        <w:kinsoku/>
        <w:wordWrap w:val="0"/>
        <w:topLinePunct w:val="0"/>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21157200">
      <w:pPr>
        <w:pStyle w:val="15"/>
        <w:pageBreakBefore w:val="0"/>
        <w:kinsoku/>
        <w:wordWrap w:val="0"/>
        <w:topLinePunct w:val="0"/>
        <w:ind w:left="0"/>
        <w:rPr>
          <w:rFonts w:ascii="宋体" w:hAnsi="宋体"/>
          <w:color w:val="auto"/>
          <w:highlight w:val="none"/>
          <w:u w:val="single"/>
        </w:rPr>
      </w:pPr>
    </w:p>
    <w:p w14:paraId="05A65E42">
      <w:pPr>
        <w:pStyle w:val="187"/>
        <w:pageBreakBefore w:val="0"/>
        <w:kinsoku/>
        <w:wordWrap w:val="0"/>
        <w:topLinePunct w:val="0"/>
        <w:rPr>
          <w:rFonts w:ascii="方正小标宋简体" w:hAnsi="方正小标宋简体" w:eastAsia="方正小标宋简体" w:cs="方正小标宋简体"/>
          <w:bCs/>
          <w:color w:val="auto"/>
          <w:sz w:val="28"/>
          <w:szCs w:val="28"/>
          <w:highlight w:val="none"/>
        </w:rPr>
      </w:pPr>
      <w:r>
        <w:rPr>
          <w:rFonts w:ascii="方正小标宋简体" w:hAnsi="方正小标宋简体" w:eastAsia="方正小标宋简体" w:cs="方正小标宋简体"/>
          <w:bCs/>
          <w:color w:val="auto"/>
          <w:sz w:val="44"/>
          <w:szCs w:val="44"/>
          <w:highlight w:val="none"/>
        </w:rPr>
        <w:br w:type="page"/>
      </w:r>
    </w:p>
    <w:p w14:paraId="175C9F1D">
      <w:pPr>
        <w:pStyle w:val="7"/>
        <w:pageBreakBefore w:val="0"/>
        <w:kinsoku/>
        <w:wordWrap w:val="0"/>
        <w:topLinePunct w:val="0"/>
        <w:jc w:val="center"/>
        <w:rPr>
          <w:color w:val="auto"/>
          <w:highlight w:val="none"/>
        </w:rPr>
      </w:pPr>
      <w:r>
        <w:rPr>
          <w:rFonts w:hint="eastAsia"/>
          <w:color w:val="auto"/>
          <w:highlight w:val="none"/>
        </w:rPr>
        <w:t>（2）项目经理（注册建造师）简历表</w:t>
      </w:r>
    </w:p>
    <w:p w14:paraId="590641E6">
      <w:pPr>
        <w:pageBreakBefore w:val="0"/>
        <w:kinsoku/>
        <w:wordWrap w:val="0"/>
        <w:topLinePunct w:val="0"/>
        <w:spacing w:line="400" w:lineRule="exact"/>
        <w:rPr>
          <w:rFonts w:ascii="宋体" w:cs="宋体"/>
          <w:b/>
          <w:color w:val="auto"/>
          <w:sz w:val="28"/>
          <w:szCs w:val="28"/>
          <w:highlight w:val="none"/>
        </w:rPr>
      </w:pPr>
    </w:p>
    <w:p w14:paraId="65FB071A">
      <w:pPr>
        <w:pageBreakBefore w:val="0"/>
        <w:kinsoku/>
        <w:wordWrap w:val="0"/>
        <w:topLinePunct w:val="0"/>
        <w:spacing w:line="400" w:lineRule="exact"/>
        <w:rPr>
          <w:color w:val="auto"/>
          <w:highlight w:val="none"/>
        </w:rPr>
      </w:pPr>
      <w:r>
        <w:rPr>
          <w:rFonts w:hint="eastAsia"/>
          <w:color w:val="auto"/>
          <w:highlight w:val="none"/>
        </w:rPr>
        <w:t>采购项目名称：</w:t>
      </w:r>
    </w:p>
    <w:tbl>
      <w:tblPr>
        <w:tblStyle w:val="48"/>
        <w:tblW w:w="9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463"/>
        <w:gridCol w:w="1544"/>
        <w:gridCol w:w="327"/>
        <w:gridCol w:w="1216"/>
        <w:gridCol w:w="672"/>
        <w:gridCol w:w="872"/>
        <w:gridCol w:w="708"/>
        <w:gridCol w:w="835"/>
        <w:gridCol w:w="271"/>
        <w:gridCol w:w="1734"/>
      </w:tblGrid>
      <w:tr w14:paraId="2AE5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080" w:type="dxa"/>
            <w:vAlign w:val="center"/>
          </w:tcPr>
          <w:p w14:paraId="12E94307">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姓名</w:t>
            </w:r>
          </w:p>
        </w:tc>
        <w:tc>
          <w:tcPr>
            <w:tcW w:w="2334" w:type="dxa"/>
            <w:gridSpan w:val="3"/>
            <w:vAlign w:val="center"/>
          </w:tcPr>
          <w:p w14:paraId="33F3C772">
            <w:pPr>
              <w:pageBreakBefore w:val="0"/>
              <w:kinsoku/>
              <w:wordWrap w:val="0"/>
              <w:topLinePunct w:val="0"/>
              <w:spacing w:line="300" w:lineRule="exact"/>
              <w:jc w:val="center"/>
              <w:rPr>
                <w:rFonts w:ascii="宋体" w:cs="宋体"/>
                <w:color w:val="auto"/>
                <w:highlight w:val="none"/>
              </w:rPr>
            </w:pPr>
          </w:p>
        </w:tc>
        <w:tc>
          <w:tcPr>
            <w:tcW w:w="1888" w:type="dxa"/>
            <w:gridSpan w:val="2"/>
            <w:vAlign w:val="center"/>
          </w:tcPr>
          <w:p w14:paraId="1304D3E1">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性别</w:t>
            </w:r>
          </w:p>
        </w:tc>
        <w:tc>
          <w:tcPr>
            <w:tcW w:w="1580" w:type="dxa"/>
            <w:gridSpan w:val="2"/>
            <w:vAlign w:val="center"/>
          </w:tcPr>
          <w:p w14:paraId="5C6829DD">
            <w:pPr>
              <w:pageBreakBefore w:val="0"/>
              <w:kinsoku/>
              <w:wordWrap w:val="0"/>
              <w:topLinePunct w:val="0"/>
              <w:spacing w:line="300" w:lineRule="exact"/>
              <w:jc w:val="center"/>
              <w:rPr>
                <w:rFonts w:ascii="宋体" w:cs="宋体"/>
                <w:color w:val="auto"/>
                <w:highlight w:val="none"/>
              </w:rPr>
            </w:pPr>
          </w:p>
        </w:tc>
        <w:tc>
          <w:tcPr>
            <w:tcW w:w="1106" w:type="dxa"/>
            <w:gridSpan w:val="2"/>
            <w:vAlign w:val="center"/>
          </w:tcPr>
          <w:p w14:paraId="25D11FA5">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年龄</w:t>
            </w:r>
          </w:p>
        </w:tc>
        <w:tc>
          <w:tcPr>
            <w:tcW w:w="1734" w:type="dxa"/>
            <w:vAlign w:val="center"/>
          </w:tcPr>
          <w:p w14:paraId="1A62218E">
            <w:pPr>
              <w:pageBreakBefore w:val="0"/>
              <w:kinsoku/>
              <w:wordWrap w:val="0"/>
              <w:topLinePunct w:val="0"/>
              <w:spacing w:line="300" w:lineRule="exact"/>
              <w:jc w:val="center"/>
              <w:rPr>
                <w:rFonts w:ascii="宋体" w:cs="宋体"/>
                <w:color w:val="auto"/>
                <w:highlight w:val="none"/>
              </w:rPr>
            </w:pPr>
          </w:p>
        </w:tc>
      </w:tr>
      <w:tr w14:paraId="552A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080" w:type="dxa"/>
            <w:vAlign w:val="center"/>
          </w:tcPr>
          <w:p w14:paraId="4155ED1B">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职务</w:t>
            </w:r>
          </w:p>
        </w:tc>
        <w:tc>
          <w:tcPr>
            <w:tcW w:w="2334" w:type="dxa"/>
            <w:gridSpan w:val="3"/>
            <w:vAlign w:val="center"/>
          </w:tcPr>
          <w:p w14:paraId="5E2FF890">
            <w:pPr>
              <w:pageBreakBefore w:val="0"/>
              <w:kinsoku/>
              <w:wordWrap w:val="0"/>
              <w:topLinePunct w:val="0"/>
              <w:spacing w:line="300" w:lineRule="exact"/>
              <w:jc w:val="center"/>
              <w:rPr>
                <w:rFonts w:ascii="宋体" w:cs="宋体"/>
                <w:color w:val="auto"/>
                <w:highlight w:val="none"/>
              </w:rPr>
            </w:pPr>
          </w:p>
        </w:tc>
        <w:tc>
          <w:tcPr>
            <w:tcW w:w="1888" w:type="dxa"/>
            <w:gridSpan w:val="2"/>
            <w:vAlign w:val="center"/>
          </w:tcPr>
          <w:p w14:paraId="5B75A81E">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职称</w:t>
            </w:r>
          </w:p>
        </w:tc>
        <w:tc>
          <w:tcPr>
            <w:tcW w:w="1580" w:type="dxa"/>
            <w:gridSpan w:val="2"/>
            <w:vAlign w:val="center"/>
          </w:tcPr>
          <w:p w14:paraId="7BF580A2">
            <w:pPr>
              <w:pageBreakBefore w:val="0"/>
              <w:kinsoku/>
              <w:wordWrap w:val="0"/>
              <w:topLinePunct w:val="0"/>
              <w:spacing w:line="300" w:lineRule="exact"/>
              <w:jc w:val="center"/>
              <w:rPr>
                <w:rFonts w:ascii="宋体" w:cs="宋体"/>
                <w:color w:val="auto"/>
                <w:highlight w:val="none"/>
              </w:rPr>
            </w:pPr>
          </w:p>
        </w:tc>
        <w:tc>
          <w:tcPr>
            <w:tcW w:w="1106" w:type="dxa"/>
            <w:gridSpan w:val="2"/>
            <w:vAlign w:val="center"/>
          </w:tcPr>
          <w:p w14:paraId="09CB1122">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学历</w:t>
            </w:r>
          </w:p>
        </w:tc>
        <w:tc>
          <w:tcPr>
            <w:tcW w:w="1734" w:type="dxa"/>
            <w:vAlign w:val="center"/>
          </w:tcPr>
          <w:p w14:paraId="27C2D2DF">
            <w:pPr>
              <w:pageBreakBefore w:val="0"/>
              <w:kinsoku/>
              <w:wordWrap w:val="0"/>
              <w:topLinePunct w:val="0"/>
              <w:spacing w:line="300" w:lineRule="exact"/>
              <w:jc w:val="center"/>
              <w:rPr>
                <w:rFonts w:ascii="宋体" w:cs="宋体"/>
                <w:color w:val="auto"/>
                <w:highlight w:val="none"/>
              </w:rPr>
            </w:pPr>
          </w:p>
        </w:tc>
      </w:tr>
      <w:tr w14:paraId="7961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414" w:type="dxa"/>
            <w:gridSpan w:val="4"/>
            <w:vAlign w:val="center"/>
          </w:tcPr>
          <w:p w14:paraId="02A0DBC1">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参加工作时间</w:t>
            </w:r>
          </w:p>
        </w:tc>
        <w:tc>
          <w:tcPr>
            <w:tcW w:w="1888" w:type="dxa"/>
            <w:gridSpan w:val="2"/>
            <w:vAlign w:val="center"/>
          </w:tcPr>
          <w:p w14:paraId="5A8B4BD9">
            <w:pPr>
              <w:pageBreakBefore w:val="0"/>
              <w:kinsoku/>
              <w:wordWrap w:val="0"/>
              <w:topLinePunct w:val="0"/>
              <w:spacing w:line="300" w:lineRule="exact"/>
              <w:jc w:val="center"/>
              <w:rPr>
                <w:rFonts w:ascii="宋体" w:cs="宋体"/>
                <w:color w:val="auto"/>
                <w:highlight w:val="none"/>
              </w:rPr>
            </w:pPr>
          </w:p>
        </w:tc>
        <w:tc>
          <w:tcPr>
            <w:tcW w:w="2686" w:type="dxa"/>
            <w:gridSpan w:val="4"/>
            <w:vAlign w:val="center"/>
          </w:tcPr>
          <w:p w14:paraId="6885320F">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担任项目经理年限</w:t>
            </w:r>
          </w:p>
        </w:tc>
        <w:tc>
          <w:tcPr>
            <w:tcW w:w="1734" w:type="dxa"/>
            <w:vAlign w:val="center"/>
          </w:tcPr>
          <w:p w14:paraId="0233E6C2">
            <w:pPr>
              <w:pageBreakBefore w:val="0"/>
              <w:kinsoku/>
              <w:wordWrap w:val="0"/>
              <w:topLinePunct w:val="0"/>
              <w:spacing w:line="300" w:lineRule="exact"/>
              <w:jc w:val="center"/>
              <w:rPr>
                <w:rFonts w:ascii="宋体" w:cs="宋体"/>
                <w:color w:val="auto"/>
                <w:highlight w:val="none"/>
              </w:rPr>
            </w:pPr>
          </w:p>
        </w:tc>
      </w:tr>
      <w:tr w14:paraId="5B71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414" w:type="dxa"/>
            <w:gridSpan w:val="4"/>
            <w:vAlign w:val="center"/>
          </w:tcPr>
          <w:p w14:paraId="0C9754B1">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项目经理注册证书编号</w:t>
            </w:r>
          </w:p>
        </w:tc>
        <w:tc>
          <w:tcPr>
            <w:tcW w:w="6308" w:type="dxa"/>
            <w:gridSpan w:val="7"/>
            <w:vAlign w:val="center"/>
          </w:tcPr>
          <w:p w14:paraId="4EC59BAC">
            <w:pPr>
              <w:pageBreakBefore w:val="0"/>
              <w:kinsoku/>
              <w:wordWrap w:val="0"/>
              <w:topLinePunct w:val="0"/>
              <w:spacing w:line="300" w:lineRule="exact"/>
              <w:jc w:val="center"/>
              <w:rPr>
                <w:rFonts w:ascii="宋体" w:cs="宋体"/>
                <w:color w:val="auto"/>
                <w:highlight w:val="none"/>
              </w:rPr>
            </w:pPr>
          </w:p>
        </w:tc>
      </w:tr>
      <w:tr w14:paraId="14F8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722" w:type="dxa"/>
            <w:gridSpan w:val="11"/>
            <w:vAlign w:val="center"/>
          </w:tcPr>
          <w:p w14:paraId="4E7DE09D">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在建和已完工程项目情况</w:t>
            </w:r>
          </w:p>
        </w:tc>
      </w:tr>
      <w:tr w14:paraId="7AAE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543" w:type="dxa"/>
            <w:gridSpan w:val="2"/>
            <w:vAlign w:val="center"/>
          </w:tcPr>
          <w:p w14:paraId="36BDA1A4">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建设单位</w:t>
            </w:r>
          </w:p>
        </w:tc>
        <w:tc>
          <w:tcPr>
            <w:tcW w:w="1544" w:type="dxa"/>
            <w:vAlign w:val="center"/>
          </w:tcPr>
          <w:p w14:paraId="4C9403FC">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项目名称</w:t>
            </w:r>
          </w:p>
        </w:tc>
        <w:tc>
          <w:tcPr>
            <w:tcW w:w="1543" w:type="dxa"/>
            <w:gridSpan w:val="2"/>
            <w:vAlign w:val="center"/>
          </w:tcPr>
          <w:p w14:paraId="5BFFE9B1">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建设规模</w:t>
            </w:r>
          </w:p>
        </w:tc>
        <w:tc>
          <w:tcPr>
            <w:tcW w:w="1544" w:type="dxa"/>
            <w:gridSpan w:val="2"/>
            <w:vAlign w:val="center"/>
          </w:tcPr>
          <w:p w14:paraId="50E221E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开、竣工日期</w:t>
            </w:r>
          </w:p>
        </w:tc>
        <w:tc>
          <w:tcPr>
            <w:tcW w:w="1543" w:type="dxa"/>
            <w:gridSpan w:val="2"/>
            <w:vAlign w:val="center"/>
          </w:tcPr>
          <w:p w14:paraId="0770B7B1">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在建或已完</w:t>
            </w:r>
          </w:p>
        </w:tc>
        <w:tc>
          <w:tcPr>
            <w:tcW w:w="2005" w:type="dxa"/>
            <w:gridSpan w:val="2"/>
            <w:vAlign w:val="center"/>
          </w:tcPr>
          <w:p w14:paraId="520AF424">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工程质量</w:t>
            </w:r>
          </w:p>
        </w:tc>
      </w:tr>
      <w:tr w14:paraId="786D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543" w:type="dxa"/>
            <w:gridSpan w:val="2"/>
            <w:vAlign w:val="center"/>
          </w:tcPr>
          <w:p w14:paraId="48D0DB40">
            <w:pPr>
              <w:pageBreakBefore w:val="0"/>
              <w:kinsoku/>
              <w:wordWrap w:val="0"/>
              <w:topLinePunct w:val="0"/>
              <w:spacing w:line="300" w:lineRule="exact"/>
              <w:jc w:val="center"/>
              <w:rPr>
                <w:rFonts w:ascii="宋体" w:cs="宋体"/>
                <w:color w:val="auto"/>
                <w:highlight w:val="none"/>
              </w:rPr>
            </w:pPr>
          </w:p>
        </w:tc>
        <w:tc>
          <w:tcPr>
            <w:tcW w:w="1544" w:type="dxa"/>
            <w:vAlign w:val="center"/>
          </w:tcPr>
          <w:p w14:paraId="19C47603">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6A8CAD64">
            <w:pPr>
              <w:pageBreakBefore w:val="0"/>
              <w:kinsoku/>
              <w:wordWrap w:val="0"/>
              <w:topLinePunct w:val="0"/>
              <w:spacing w:line="300" w:lineRule="exact"/>
              <w:jc w:val="center"/>
              <w:rPr>
                <w:rFonts w:ascii="宋体" w:cs="宋体"/>
                <w:color w:val="auto"/>
                <w:highlight w:val="none"/>
              </w:rPr>
            </w:pPr>
          </w:p>
        </w:tc>
        <w:tc>
          <w:tcPr>
            <w:tcW w:w="1544" w:type="dxa"/>
            <w:gridSpan w:val="2"/>
            <w:vAlign w:val="center"/>
          </w:tcPr>
          <w:p w14:paraId="260BBC32">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19D3DFE7">
            <w:pPr>
              <w:pageBreakBefore w:val="0"/>
              <w:kinsoku/>
              <w:wordWrap w:val="0"/>
              <w:topLinePunct w:val="0"/>
              <w:spacing w:line="300" w:lineRule="exact"/>
              <w:jc w:val="center"/>
              <w:rPr>
                <w:rFonts w:ascii="宋体" w:cs="宋体"/>
                <w:color w:val="auto"/>
                <w:highlight w:val="none"/>
              </w:rPr>
            </w:pPr>
          </w:p>
        </w:tc>
        <w:tc>
          <w:tcPr>
            <w:tcW w:w="2005" w:type="dxa"/>
            <w:gridSpan w:val="2"/>
            <w:vAlign w:val="center"/>
          </w:tcPr>
          <w:p w14:paraId="5833A39F">
            <w:pPr>
              <w:pageBreakBefore w:val="0"/>
              <w:kinsoku/>
              <w:wordWrap w:val="0"/>
              <w:topLinePunct w:val="0"/>
              <w:spacing w:line="300" w:lineRule="exact"/>
              <w:jc w:val="center"/>
              <w:rPr>
                <w:rFonts w:ascii="宋体" w:cs="宋体"/>
                <w:color w:val="auto"/>
                <w:highlight w:val="none"/>
              </w:rPr>
            </w:pPr>
          </w:p>
        </w:tc>
      </w:tr>
      <w:tr w14:paraId="3389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543" w:type="dxa"/>
            <w:gridSpan w:val="2"/>
            <w:vAlign w:val="center"/>
          </w:tcPr>
          <w:p w14:paraId="77861D34">
            <w:pPr>
              <w:pageBreakBefore w:val="0"/>
              <w:kinsoku/>
              <w:wordWrap w:val="0"/>
              <w:topLinePunct w:val="0"/>
              <w:spacing w:line="300" w:lineRule="exact"/>
              <w:jc w:val="center"/>
              <w:rPr>
                <w:rFonts w:ascii="宋体" w:cs="宋体"/>
                <w:color w:val="auto"/>
                <w:highlight w:val="none"/>
              </w:rPr>
            </w:pPr>
          </w:p>
        </w:tc>
        <w:tc>
          <w:tcPr>
            <w:tcW w:w="1544" w:type="dxa"/>
            <w:vAlign w:val="center"/>
          </w:tcPr>
          <w:p w14:paraId="374E77C1">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110797D2">
            <w:pPr>
              <w:pageBreakBefore w:val="0"/>
              <w:kinsoku/>
              <w:wordWrap w:val="0"/>
              <w:topLinePunct w:val="0"/>
              <w:spacing w:line="300" w:lineRule="exact"/>
              <w:jc w:val="center"/>
              <w:rPr>
                <w:rFonts w:ascii="宋体" w:cs="宋体"/>
                <w:color w:val="auto"/>
                <w:highlight w:val="none"/>
              </w:rPr>
            </w:pPr>
          </w:p>
        </w:tc>
        <w:tc>
          <w:tcPr>
            <w:tcW w:w="1544" w:type="dxa"/>
            <w:gridSpan w:val="2"/>
            <w:vAlign w:val="center"/>
          </w:tcPr>
          <w:p w14:paraId="539002E3">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2FEC1D61">
            <w:pPr>
              <w:pageBreakBefore w:val="0"/>
              <w:kinsoku/>
              <w:wordWrap w:val="0"/>
              <w:topLinePunct w:val="0"/>
              <w:spacing w:line="300" w:lineRule="exact"/>
              <w:jc w:val="center"/>
              <w:rPr>
                <w:rFonts w:ascii="宋体" w:cs="宋体"/>
                <w:color w:val="auto"/>
                <w:highlight w:val="none"/>
              </w:rPr>
            </w:pPr>
          </w:p>
        </w:tc>
        <w:tc>
          <w:tcPr>
            <w:tcW w:w="2005" w:type="dxa"/>
            <w:gridSpan w:val="2"/>
            <w:vAlign w:val="center"/>
          </w:tcPr>
          <w:p w14:paraId="3E2486EA">
            <w:pPr>
              <w:pageBreakBefore w:val="0"/>
              <w:kinsoku/>
              <w:wordWrap w:val="0"/>
              <w:topLinePunct w:val="0"/>
              <w:spacing w:line="300" w:lineRule="exact"/>
              <w:jc w:val="center"/>
              <w:rPr>
                <w:rFonts w:ascii="宋体" w:cs="宋体"/>
                <w:color w:val="auto"/>
                <w:highlight w:val="none"/>
              </w:rPr>
            </w:pPr>
          </w:p>
        </w:tc>
      </w:tr>
      <w:tr w14:paraId="5D09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543" w:type="dxa"/>
            <w:gridSpan w:val="2"/>
            <w:vAlign w:val="center"/>
          </w:tcPr>
          <w:p w14:paraId="5D97BAA7">
            <w:pPr>
              <w:pageBreakBefore w:val="0"/>
              <w:kinsoku/>
              <w:wordWrap w:val="0"/>
              <w:topLinePunct w:val="0"/>
              <w:spacing w:line="300" w:lineRule="exact"/>
              <w:jc w:val="center"/>
              <w:rPr>
                <w:rFonts w:ascii="宋体" w:cs="宋体"/>
                <w:color w:val="auto"/>
                <w:highlight w:val="none"/>
              </w:rPr>
            </w:pPr>
          </w:p>
        </w:tc>
        <w:tc>
          <w:tcPr>
            <w:tcW w:w="1544" w:type="dxa"/>
            <w:vAlign w:val="center"/>
          </w:tcPr>
          <w:p w14:paraId="0B70FA7A">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3394EC1D">
            <w:pPr>
              <w:pageBreakBefore w:val="0"/>
              <w:kinsoku/>
              <w:wordWrap w:val="0"/>
              <w:topLinePunct w:val="0"/>
              <w:spacing w:line="300" w:lineRule="exact"/>
              <w:jc w:val="center"/>
              <w:rPr>
                <w:rFonts w:ascii="宋体" w:cs="宋体"/>
                <w:color w:val="auto"/>
                <w:highlight w:val="none"/>
              </w:rPr>
            </w:pPr>
          </w:p>
        </w:tc>
        <w:tc>
          <w:tcPr>
            <w:tcW w:w="1544" w:type="dxa"/>
            <w:gridSpan w:val="2"/>
            <w:vAlign w:val="center"/>
          </w:tcPr>
          <w:p w14:paraId="2ACD26F1">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01BE83A1">
            <w:pPr>
              <w:pageBreakBefore w:val="0"/>
              <w:kinsoku/>
              <w:wordWrap w:val="0"/>
              <w:topLinePunct w:val="0"/>
              <w:spacing w:line="300" w:lineRule="exact"/>
              <w:jc w:val="center"/>
              <w:rPr>
                <w:rFonts w:ascii="宋体" w:cs="宋体"/>
                <w:color w:val="auto"/>
                <w:highlight w:val="none"/>
              </w:rPr>
            </w:pPr>
          </w:p>
        </w:tc>
        <w:tc>
          <w:tcPr>
            <w:tcW w:w="2005" w:type="dxa"/>
            <w:gridSpan w:val="2"/>
            <w:vAlign w:val="center"/>
          </w:tcPr>
          <w:p w14:paraId="1C5AF404">
            <w:pPr>
              <w:pageBreakBefore w:val="0"/>
              <w:kinsoku/>
              <w:wordWrap w:val="0"/>
              <w:topLinePunct w:val="0"/>
              <w:spacing w:line="300" w:lineRule="exact"/>
              <w:jc w:val="center"/>
              <w:rPr>
                <w:rFonts w:ascii="宋体" w:cs="宋体"/>
                <w:color w:val="auto"/>
                <w:highlight w:val="none"/>
              </w:rPr>
            </w:pPr>
          </w:p>
        </w:tc>
      </w:tr>
      <w:tr w14:paraId="43EF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543" w:type="dxa"/>
            <w:gridSpan w:val="2"/>
            <w:vAlign w:val="center"/>
          </w:tcPr>
          <w:p w14:paraId="10FB11DE">
            <w:pPr>
              <w:pageBreakBefore w:val="0"/>
              <w:kinsoku/>
              <w:wordWrap w:val="0"/>
              <w:topLinePunct w:val="0"/>
              <w:spacing w:line="300" w:lineRule="exact"/>
              <w:jc w:val="center"/>
              <w:rPr>
                <w:rFonts w:ascii="宋体" w:cs="宋体"/>
                <w:color w:val="auto"/>
                <w:highlight w:val="none"/>
              </w:rPr>
            </w:pPr>
          </w:p>
        </w:tc>
        <w:tc>
          <w:tcPr>
            <w:tcW w:w="1544" w:type="dxa"/>
            <w:vAlign w:val="center"/>
          </w:tcPr>
          <w:p w14:paraId="53162F70">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7DA6D91B">
            <w:pPr>
              <w:pageBreakBefore w:val="0"/>
              <w:kinsoku/>
              <w:wordWrap w:val="0"/>
              <w:topLinePunct w:val="0"/>
              <w:spacing w:line="300" w:lineRule="exact"/>
              <w:jc w:val="center"/>
              <w:rPr>
                <w:rFonts w:ascii="宋体" w:cs="宋体"/>
                <w:color w:val="auto"/>
                <w:highlight w:val="none"/>
              </w:rPr>
            </w:pPr>
          </w:p>
        </w:tc>
        <w:tc>
          <w:tcPr>
            <w:tcW w:w="1544" w:type="dxa"/>
            <w:gridSpan w:val="2"/>
            <w:vAlign w:val="center"/>
          </w:tcPr>
          <w:p w14:paraId="2F0E6B4C">
            <w:pPr>
              <w:pageBreakBefore w:val="0"/>
              <w:kinsoku/>
              <w:wordWrap w:val="0"/>
              <w:topLinePunct w:val="0"/>
              <w:spacing w:line="300" w:lineRule="exact"/>
              <w:jc w:val="center"/>
              <w:rPr>
                <w:rFonts w:ascii="宋体" w:cs="宋体"/>
                <w:color w:val="auto"/>
                <w:highlight w:val="none"/>
              </w:rPr>
            </w:pPr>
          </w:p>
        </w:tc>
        <w:tc>
          <w:tcPr>
            <w:tcW w:w="1543" w:type="dxa"/>
            <w:gridSpan w:val="2"/>
            <w:vAlign w:val="center"/>
          </w:tcPr>
          <w:p w14:paraId="134E0E13">
            <w:pPr>
              <w:pageBreakBefore w:val="0"/>
              <w:kinsoku/>
              <w:wordWrap w:val="0"/>
              <w:topLinePunct w:val="0"/>
              <w:spacing w:line="300" w:lineRule="exact"/>
              <w:jc w:val="center"/>
              <w:rPr>
                <w:rFonts w:ascii="宋体" w:cs="宋体"/>
                <w:color w:val="auto"/>
                <w:highlight w:val="none"/>
              </w:rPr>
            </w:pPr>
          </w:p>
        </w:tc>
        <w:tc>
          <w:tcPr>
            <w:tcW w:w="2005" w:type="dxa"/>
            <w:gridSpan w:val="2"/>
            <w:vAlign w:val="center"/>
          </w:tcPr>
          <w:p w14:paraId="56EEF387">
            <w:pPr>
              <w:pageBreakBefore w:val="0"/>
              <w:kinsoku/>
              <w:wordWrap w:val="0"/>
              <w:topLinePunct w:val="0"/>
              <w:spacing w:line="300" w:lineRule="exact"/>
              <w:jc w:val="center"/>
              <w:rPr>
                <w:rFonts w:ascii="宋体" w:cs="宋体"/>
                <w:color w:val="auto"/>
                <w:highlight w:val="none"/>
              </w:rPr>
            </w:pPr>
          </w:p>
        </w:tc>
      </w:tr>
    </w:tbl>
    <w:p w14:paraId="66B2F275">
      <w:pPr>
        <w:pageBreakBefore w:val="0"/>
        <w:kinsoku/>
        <w:wordWrap w:val="0"/>
        <w:topLinePunct w:val="0"/>
        <w:spacing w:line="360" w:lineRule="auto"/>
        <w:rPr>
          <w:rFonts w:ascii="宋体" w:hAnsi="宋体" w:cs="宋体"/>
          <w:color w:val="auto"/>
          <w:highlight w:val="none"/>
        </w:rPr>
      </w:pPr>
    </w:p>
    <w:p w14:paraId="1D183BF3">
      <w:pPr>
        <w:pageBreakBefore w:val="0"/>
        <w:kinsoku/>
        <w:wordWrap w:val="0"/>
        <w:topLinePunct w:val="0"/>
        <w:spacing w:line="360" w:lineRule="auto"/>
        <w:rPr>
          <w:rFonts w:ascii="宋体" w:hAnsi="宋体" w:cs="宋体"/>
          <w:color w:val="auto"/>
          <w:highlight w:val="none"/>
        </w:rPr>
      </w:pPr>
    </w:p>
    <w:p w14:paraId="7D4C2097">
      <w:pPr>
        <w:pageBreakBefore w:val="0"/>
        <w:kinsoku/>
        <w:wordWrap w:val="0"/>
        <w:topLinePunct w:val="0"/>
        <w:spacing w:line="360" w:lineRule="auto"/>
        <w:rPr>
          <w:rFonts w:ascii="宋体" w:hAnsi="宋体" w:cs="宋体"/>
          <w:color w:val="auto"/>
          <w:highlight w:val="none"/>
        </w:rPr>
      </w:pPr>
      <w:r>
        <w:rPr>
          <w:rFonts w:hint="eastAsia" w:ascii="宋体" w:hAnsi="宋体" w:cs="宋体"/>
          <w:color w:val="auto"/>
          <w:highlight w:val="none"/>
        </w:rPr>
        <w:t>备注：附项目经理注册建造师注册证书、职称证书、安全生产考核合格证书（B 证）扫描件，以及供应商认为需要增加的其他证明材料扫描件。</w:t>
      </w:r>
    </w:p>
    <w:p w14:paraId="0C02F7D0">
      <w:pPr>
        <w:pageBreakBefore w:val="0"/>
        <w:kinsoku/>
        <w:wordWrap w:val="0"/>
        <w:topLinePunct w:val="0"/>
        <w:spacing w:line="300" w:lineRule="auto"/>
        <w:rPr>
          <w:rFonts w:ascii="宋体" w:hAnsi="宋体"/>
          <w:b/>
          <w:bCs/>
          <w:color w:val="auto"/>
          <w:sz w:val="24"/>
          <w:highlight w:val="none"/>
        </w:rPr>
      </w:pPr>
    </w:p>
    <w:p w14:paraId="73E4CCB5">
      <w:pPr>
        <w:pageBreakBefore w:val="0"/>
        <w:kinsoku/>
        <w:wordWrap w:val="0"/>
        <w:topLinePunct w:val="0"/>
        <w:spacing w:line="300" w:lineRule="auto"/>
        <w:rPr>
          <w:rFonts w:ascii="宋体" w:hAnsi="宋体"/>
          <w:b/>
          <w:bCs/>
          <w:color w:val="auto"/>
          <w:sz w:val="24"/>
          <w:highlight w:val="none"/>
        </w:rPr>
      </w:pPr>
    </w:p>
    <w:p w14:paraId="40CE9DBD">
      <w:pPr>
        <w:pageBreakBefore w:val="0"/>
        <w:kinsoku/>
        <w:wordWrap w:val="0"/>
        <w:topLinePunct w:val="0"/>
        <w:spacing w:line="300" w:lineRule="auto"/>
        <w:rPr>
          <w:rFonts w:ascii="宋体" w:hAnsi="宋体"/>
          <w:b/>
          <w:bCs/>
          <w:color w:val="auto"/>
          <w:sz w:val="24"/>
          <w:highlight w:val="none"/>
        </w:rPr>
      </w:pPr>
    </w:p>
    <w:p w14:paraId="4C27A1CD">
      <w:pPr>
        <w:pageBreakBefore w:val="0"/>
        <w:kinsoku/>
        <w:wordWrap w:val="0"/>
        <w:topLinePunct w:val="0"/>
        <w:spacing w:line="300" w:lineRule="auto"/>
        <w:rPr>
          <w:rFonts w:ascii="宋体" w:hAnsi="宋体"/>
          <w:b/>
          <w:bCs/>
          <w:color w:val="auto"/>
          <w:sz w:val="24"/>
          <w:highlight w:val="none"/>
        </w:rPr>
      </w:pPr>
    </w:p>
    <w:p w14:paraId="214CDD12">
      <w:pPr>
        <w:pStyle w:val="249"/>
        <w:pageBreakBefore w:val="0"/>
        <w:kinsoku/>
        <w:wordWrap w:val="0"/>
        <w:topLinePunct w:val="0"/>
        <w:rPr>
          <w:color w:val="auto"/>
          <w:highlight w:val="none"/>
        </w:rPr>
      </w:pPr>
    </w:p>
    <w:p w14:paraId="18AB092F">
      <w:pPr>
        <w:pStyle w:val="249"/>
        <w:pageBreakBefore w:val="0"/>
        <w:kinsoku/>
        <w:wordWrap w:val="0"/>
        <w:topLinePunct w:val="0"/>
        <w:rPr>
          <w:color w:val="auto"/>
          <w:highlight w:val="none"/>
        </w:rPr>
      </w:pPr>
    </w:p>
    <w:p w14:paraId="5630C0EE">
      <w:pPr>
        <w:pStyle w:val="249"/>
        <w:pageBreakBefore w:val="0"/>
        <w:kinsoku/>
        <w:wordWrap w:val="0"/>
        <w:topLinePunct w:val="0"/>
        <w:rPr>
          <w:color w:val="auto"/>
          <w:highlight w:val="none"/>
        </w:rPr>
      </w:pPr>
    </w:p>
    <w:p w14:paraId="6746EEE2">
      <w:pPr>
        <w:pStyle w:val="249"/>
        <w:pageBreakBefore w:val="0"/>
        <w:kinsoku/>
        <w:wordWrap w:val="0"/>
        <w:topLinePunct w:val="0"/>
        <w:rPr>
          <w:color w:val="auto"/>
          <w:highlight w:val="none"/>
        </w:rPr>
      </w:pPr>
    </w:p>
    <w:p w14:paraId="7E00DF30">
      <w:pPr>
        <w:pageBreakBefore w:val="0"/>
        <w:kinsoku/>
        <w:wordWrap w:val="0"/>
        <w:topLinePunct w:val="0"/>
        <w:spacing w:line="300" w:lineRule="auto"/>
        <w:rPr>
          <w:rFonts w:ascii="宋体" w:hAnsi="宋体"/>
          <w:b/>
          <w:bCs/>
          <w:color w:val="auto"/>
          <w:sz w:val="24"/>
          <w:highlight w:val="none"/>
        </w:rPr>
      </w:pPr>
    </w:p>
    <w:p w14:paraId="54749F73">
      <w:pPr>
        <w:pageBreakBefore w:val="0"/>
        <w:kinsoku/>
        <w:wordWrap w:val="0"/>
        <w:topLinePunct w:val="0"/>
        <w:spacing w:line="300" w:lineRule="auto"/>
        <w:rPr>
          <w:rFonts w:ascii="宋体" w:hAnsi="宋体"/>
          <w:b/>
          <w:bCs/>
          <w:color w:val="auto"/>
          <w:sz w:val="24"/>
          <w:highlight w:val="none"/>
        </w:rPr>
      </w:pPr>
    </w:p>
    <w:p w14:paraId="3CEDD52C">
      <w:pPr>
        <w:pStyle w:val="249"/>
        <w:pageBreakBefore w:val="0"/>
        <w:kinsoku/>
        <w:wordWrap w:val="0"/>
        <w:topLinePunct w:val="0"/>
        <w:rPr>
          <w:color w:val="auto"/>
          <w:highlight w:val="none"/>
        </w:rPr>
      </w:pPr>
    </w:p>
    <w:p w14:paraId="79BAECA6">
      <w:pPr>
        <w:pageBreakBefore w:val="0"/>
        <w:kinsoku/>
        <w:wordWrap w:val="0"/>
        <w:topLinePunct w:val="0"/>
        <w:spacing w:line="300" w:lineRule="auto"/>
        <w:rPr>
          <w:rFonts w:ascii="宋体" w:hAnsi="宋体"/>
          <w:b/>
          <w:bCs/>
          <w:color w:val="auto"/>
          <w:sz w:val="24"/>
          <w:highlight w:val="none"/>
        </w:rPr>
      </w:pPr>
    </w:p>
    <w:p w14:paraId="5898F060">
      <w:pPr>
        <w:pStyle w:val="7"/>
        <w:pageBreakBefore w:val="0"/>
        <w:kinsoku/>
        <w:wordWrap w:val="0"/>
        <w:topLinePunct w:val="0"/>
        <w:jc w:val="center"/>
        <w:rPr>
          <w:color w:val="auto"/>
          <w:highlight w:val="none"/>
        </w:rPr>
      </w:pPr>
      <w:r>
        <w:rPr>
          <w:rFonts w:hint="eastAsia"/>
          <w:color w:val="auto"/>
          <w:highlight w:val="none"/>
        </w:rPr>
        <w:t>（3）项目技术负责人简历表</w:t>
      </w:r>
    </w:p>
    <w:p w14:paraId="0E8672D2">
      <w:pPr>
        <w:pageBreakBefore w:val="0"/>
        <w:kinsoku/>
        <w:wordWrap w:val="0"/>
        <w:topLinePunct w:val="0"/>
        <w:spacing w:line="400" w:lineRule="exact"/>
        <w:rPr>
          <w:rFonts w:ascii="宋体" w:cs="宋体"/>
          <w:b/>
          <w:color w:val="auto"/>
          <w:sz w:val="28"/>
          <w:szCs w:val="28"/>
          <w:highlight w:val="none"/>
        </w:rPr>
      </w:pPr>
    </w:p>
    <w:p w14:paraId="19D0D9E0">
      <w:pPr>
        <w:pageBreakBefore w:val="0"/>
        <w:kinsoku/>
        <w:wordWrap w:val="0"/>
        <w:topLinePunct w:val="0"/>
        <w:spacing w:line="400" w:lineRule="exact"/>
        <w:rPr>
          <w:rFonts w:ascii="宋体" w:cs="宋体"/>
          <w:color w:val="auto"/>
          <w:highlight w:val="none"/>
        </w:rPr>
      </w:pPr>
      <w:bookmarkStart w:id="59" w:name="_Toc251052220"/>
      <w:r>
        <w:rPr>
          <w:rFonts w:hint="eastAsia" w:ascii="宋体" w:hAnsi="宋体" w:cs="宋体"/>
          <w:color w:val="auto"/>
          <w:highlight w:val="none"/>
        </w:rPr>
        <w:t>采购项目名称：</w:t>
      </w:r>
      <w:r>
        <w:rPr>
          <w:rFonts w:ascii="宋体" w:hAnsi="宋体" w:cs="宋体"/>
          <w:color w:val="auto"/>
          <w:highlight w:val="none"/>
        </w:rPr>
        <w:tab/>
      </w:r>
      <w:r>
        <w:rPr>
          <w:rFonts w:ascii="宋体" w:hAnsi="宋体" w:cs="宋体"/>
          <w:color w:val="auto"/>
          <w:highlight w:val="none"/>
        </w:rPr>
        <w:tab/>
      </w:r>
      <w:r>
        <w:rPr>
          <w:rFonts w:ascii="宋体" w:hAnsi="宋体" w:cs="宋体"/>
          <w:color w:val="auto"/>
          <w:highlight w:val="none"/>
        </w:rPr>
        <w:tab/>
      </w:r>
      <w:bookmarkEnd w:id="59"/>
    </w:p>
    <w:tbl>
      <w:tblPr>
        <w:tblStyle w:val="48"/>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428"/>
        <w:gridCol w:w="1427"/>
        <w:gridCol w:w="304"/>
        <w:gridCol w:w="1122"/>
        <w:gridCol w:w="624"/>
        <w:gridCol w:w="803"/>
        <w:gridCol w:w="658"/>
        <w:gridCol w:w="768"/>
        <w:gridCol w:w="254"/>
        <w:gridCol w:w="1771"/>
      </w:tblGrid>
      <w:tr w14:paraId="5F83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998" w:type="dxa"/>
            <w:vAlign w:val="center"/>
          </w:tcPr>
          <w:p w14:paraId="4F6DC54A">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姓名</w:t>
            </w:r>
          </w:p>
        </w:tc>
        <w:tc>
          <w:tcPr>
            <w:tcW w:w="2159" w:type="dxa"/>
            <w:gridSpan w:val="3"/>
            <w:vAlign w:val="center"/>
          </w:tcPr>
          <w:p w14:paraId="55CBD9E2">
            <w:pPr>
              <w:pageBreakBefore w:val="0"/>
              <w:kinsoku/>
              <w:wordWrap w:val="0"/>
              <w:topLinePunct w:val="0"/>
              <w:spacing w:line="300" w:lineRule="exact"/>
              <w:jc w:val="center"/>
              <w:rPr>
                <w:rFonts w:ascii="宋体" w:cs="宋体"/>
                <w:color w:val="auto"/>
                <w:highlight w:val="none"/>
              </w:rPr>
            </w:pPr>
          </w:p>
        </w:tc>
        <w:tc>
          <w:tcPr>
            <w:tcW w:w="1746" w:type="dxa"/>
            <w:gridSpan w:val="2"/>
            <w:vAlign w:val="center"/>
          </w:tcPr>
          <w:p w14:paraId="523E1A39">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性别</w:t>
            </w:r>
          </w:p>
        </w:tc>
        <w:tc>
          <w:tcPr>
            <w:tcW w:w="1461" w:type="dxa"/>
            <w:gridSpan w:val="2"/>
            <w:vAlign w:val="center"/>
          </w:tcPr>
          <w:p w14:paraId="7748ED4B">
            <w:pPr>
              <w:pageBreakBefore w:val="0"/>
              <w:kinsoku/>
              <w:wordWrap w:val="0"/>
              <w:topLinePunct w:val="0"/>
              <w:spacing w:line="300" w:lineRule="exact"/>
              <w:jc w:val="center"/>
              <w:rPr>
                <w:rFonts w:ascii="宋体" w:cs="宋体"/>
                <w:color w:val="auto"/>
                <w:highlight w:val="none"/>
              </w:rPr>
            </w:pPr>
          </w:p>
        </w:tc>
        <w:tc>
          <w:tcPr>
            <w:tcW w:w="1022" w:type="dxa"/>
            <w:gridSpan w:val="2"/>
            <w:vAlign w:val="center"/>
          </w:tcPr>
          <w:p w14:paraId="19F73C5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年龄</w:t>
            </w:r>
          </w:p>
        </w:tc>
        <w:tc>
          <w:tcPr>
            <w:tcW w:w="1771" w:type="dxa"/>
            <w:vAlign w:val="center"/>
          </w:tcPr>
          <w:p w14:paraId="67088053">
            <w:pPr>
              <w:pageBreakBefore w:val="0"/>
              <w:kinsoku/>
              <w:wordWrap w:val="0"/>
              <w:topLinePunct w:val="0"/>
              <w:spacing w:line="300" w:lineRule="exact"/>
              <w:jc w:val="center"/>
              <w:rPr>
                <w:rFonts w:ascii="宋体" w:cs="宋体"/>
                <w:color w:val="auto"/>
                <w:highlight w:val="none"/>
              </w:rPr>
            </w:pPr>
          </w:p>
        </w:tc>
      </w:tr>
      <w:tr w14:paraId="054C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998" w:type="dxa"/>
            <w:vAlign w:val="center"/>
          </w:tcPr>
          <w:p w14:paraId="2061D19F">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职务</w:t>
            </w:r>
          </w:p>
        </w:tc>
        <w:tc>
          <w:tcPr>
            <w:tcW w:w="2159" w:type="dxa"/>
            <w:gridSpan w:val="3"/>
            <w:vAlign w:val="center"/>
          </w:tcPr>
          <w:p w14:paraId="3D97D523">
            <w:pPr>
              <w:pageBreakBefore w:val="0"/>
              <w:kinsoku/>
              <w:wordWrap w:val="0"/>
              <w:topLinePunct w:val="0"/>
              <w:spacing w:line="300" w:lineRule="exact"/>
              <w:jc w:val="center"/>
              <w:rPr>
                <w:rFonts w:ascii="宋体" w:cs="宋体"/>
                <w:color w:val="auto"/>
                <w:highlight w:val="none"/>
              </w:rPr>
            </w:pPr>
          </w:p>
        </w:tc>
        <w:tc>
          <w:tcPr>
            <w:tcW w:w="1746" w:type="dxa"/>
            <w:gridSpan w:val="2"/>
            <w:vAlign w:val="center"/>
          </w:tcPr>
          <w:p w14:paraId="6A0B9EC2">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职称</w:t>
            </w:r>
          </w:p>
        </w:tc>
        <w:tc>
          <w:tcPr>
            <w:tcW w:w="1461" w:type="dxa"/>
            <w:gridSpan w:val="2"/>
            <w:vAlign w:val="center"/>
          </w:tcPr>
          <w:p w14:paraId="38F919C1">
            <w:pPr>
              <w:pageBreakBefore w:val="0"/>
              <w:kinsoku/>
              <w:wordWrap w:val="0"/>
              <w:topLinePunct w:val="0"/>
              <w:spacing w:line="300" w:lineRule="exact"/>
              <w:jc w:val="center"/>
              <w:rPr>
                <w:rFonts w:ascii="宋体" w:cs="宋体"/>
                <w:color w:val="auto"/>
                <w:highlight w:val="none"/>
              </w:rPr>
            </w:pPr>
          </w:p>
        </w:tc>
        <w:tc>
          <w:tcPr>
            <w:tcW w:w="1022" w:type="dxa"/>
            <w:gridSpan w:val="2"/>
            <w:vAlign w:val="center"/>
          </w:tcPr>
          <w:p w14:paraId="668F208C">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学历</w:t>
            </w:r>
          </w:p>
        </w:tc>
        <w:tc>
          <w:tcPr>
            <w:tcW w:w="1771" w:type="dxa"/>
            <w:vAlign w:val="center"/>
          </w:tcPr>
          <w:p w14:paraId="0D7F0146">
            <w:pPr>
              <w:pageBreakBefore w:val="0"/>
              <w:kinsoku/>
              <w:wordWrap w:val="0"/>
              <w:topLinePunct w:val="0"/>
              <w:spacing w:line="300" w:lineRule="exact"/>
              <w:jc w:val="center"/>
              <w:rPr>
                <w:rFonts w:ascii="宋体" w:cs="宋体"/>
                <w:color w:val="auto"/>
                <w:highlight w:val="none"/>
              </w:rPr>
            </w:pPr>
          </w:p>
        </w:tc>
      </w:tr>
      <w:tr w14:paraId="0AEA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157" w:type="dxa"/>
            <w:gridSpan w:val="4"/>
            <w:vAlign w:val="center"/>
          </w:tcPr>
          <w:p w14:paraId="43537491">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参加工作时间</w:t>
            </w:r>
          </w:p>
        </w:tc>
        <w:tc>
          <w:tcPr>
            <w:tcW w:w="1746" w:type="dxa"/>
            <w:gridSpan w:val="2"/>
            <w:vAlign w:val="center"/>
          </w:tcPr>
          <w:p w14:paraId="1A7EEF41">
            <w:pPr>
              <w:pageBreakBefore w:val="0"/>
              <w:kinsoku/>
              <w:wordWrap w:val="0"/>
              <w:topLinePunct w:val="0"/>
              <w:spacing w:line="300" w:lineRule="exact"/>
              <w:jc w:val="center"/>
              <w:rPr>
                <w:rFonts w:ascii="宋体" w:cs="宋体"/>
                <w:color w:val="auto"/>
                <w:highlight w:val="none"/>
              </w:rPr>
            </w:pPr>
          </w:p>
        </w:tc>
        <w:tc>
          <w:tcPr>
            <w:tcW w:w="2483" w:type="dxa"/>
            <w:gridSpan w:val="4"/>
            <w:vAlign w:val="center"/>
          </w:tcPr>
          <w:p w14:paraId="1A233F5E">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担任技术负责人年限</w:t>
            </w:r>
          </w:p>
        </w:tc>
        <w:tc>
          <w:tcPr>
            <w:tcW w:w="1771" w:type="dxa"/>
            <w:vAlign w:val="center"/>
          </w:tcPr>
          <w:p w14:paraId="311FAAED">
            <w:pPr>
              <w:pageBreakBefore w:val="0"/>
              <w:kinsoku/>
              <w:wordWrap w:val="0"/>
              <w:topLinePunct w:val="0"/>
              <w:spacing w:line="300" w:lineRule="exact"/>
              <w:jc w:val="center"/>
              <w:rPr>
                <w:rFonts w:ascii="宋体" w:cs="宋体"/>
                <w:color w:val="auto"/>
                <w:highlight w:val="none"/>
              </w:rPr>
            </w:pPr>
          </w:p>
        </w:tc>
      </w:tr>
      <w:tr w14:paraId="4C2E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9157" w:type="dxa"/>
            <w:gridSpan w:val="11"/>
            <w:vAlign w:val="center"/>
          </w:tcPr>
          <w:p w14:paraId="5819C297">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在建和已完工程项目情况</w:t>
            </w:r>
          </w:p>
        </w:tc>
      </w:tr>
      <w:tr w14:paraId="7C24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426" w:type="dxa"/>
            <w:gridSpan w:val="2"/>
            <w:vAlign w:val="center"/>
          </w:tcPr>
          <w:p w14:paraId="451F29BA">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建设单位</w:t>
            </w:r>
          </w:p>
        </w:tc>
        <w:tc>
          <w:tcPr>
            <w:tcW w:w="1427" w:type="dxa"/>
            <w:vAlign w:val="center"/>
          </w:tcPr>
          <w:p w14:paraId="3D33A4F8">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项目名称</w:t>
            </w:r>
          </w:p>
        </w:tc>
        <w:tc>
          <w:tcPr>
            <w:tcW w:w="1426" w:type="dxa"/>
            <w:gridSpan w:val="2"/>
            <w:vAlign w:val="center"/>
          </w:tcPr>
          <w:p w14:paraId="037D1D6C">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建设规模</w:t>
            </w:r>
          </w:p>
        </w:tc>
        <w:tc>
          <w:tcPr>
            <w:tcW w:w="1427" w:type="dxa"/>
            <w:gridSpan w:val="2"/>
            <w:vAlign w:val="center"/>
          </w:tcPr>
          <w:p w14:paraId="4BEA1774">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开、竣工日期</w:t>
            </w:r>
          </w:p>
        </w:tc>
        <w:tc>
          <w:tcPr>
            <w:tcW w:w="1426" w:type="dxa"/>
            <w:gridSpan w:val="2"/>
            <w:vAlign w:val="center"/>
          </w:tcPr>
          <w:p w14:paraId="2985A4E5">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在建或已完</w:t>
            </w:r>
          </w:p>
        </w:tc>
        <w:tc>
          <w:tcPr>
            <w:tcW w:w="2025" w:type="dxa"/>
            <w:gridSpan w:val="2"/>
            <w:vAlign w:val="center"/>
          </w:tcPr>
          <w:p w14:paraId="29F98603">
            <w:pPr>
              <w:pageBreakBefore w:val="0"/>
              <w:kinsoku/>
              <w:wordWrap w:val="0"/>
              <w:topLinePunct w:val="0"/>
              <w:spacing w:line="300" w:lineRule="exact"/>
              <w:jc w:val="center"/>
              <w:rPr>
                <w:rFonts w:ascii="宋体" w:cs="宋体"/>
                <w:color w:val="auto"/>
                <w:highlight w:val="none"/>
              </w:rPr>
            </w:pPr>
            <w:r>
              <w:rPr>
                <w:rFonts w:hint="eastAsia" w:ascii="宋体" w:hAnsi="宋体" w:cs="宋体"/>
                <w:color w:val="auto"/>
                <w:highlight w:val="none"/>
              </w:rPr>
              <w:t>工程质量</w:t>
            </w:r>
          </w:p>
        </w:tc>
      </w:tr>
      <w:tr w14:paraId="776A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426" w:type="dxa"/>
            <w:gridSpan w:val="2"/>
            <w:vAlign w:val="center"/>
          </w:tcPr>
          <w:p w14:paraId="43D1BD33">
            <w:pPr>
              <w:pageBreakBefore w:val="0"/>
              <w:kinsoku/>
              <w:wordWrap w:val="0"/>
              <w:topLinePunct w:val="0"/>
              <w:spacing w:line="300" w:lineRule="exact"/>
              <w:jc w:val="center"/>
              <w:rPr>
                <w:rFonts w:ascii="宋体" w:cs="宋体"/>
                <w:color w:val="auto"/>
                <w:highlight w:val="none"/>
              </w:rPr>
            </w:pPr>
          </w:p>
        </w:tc>
        <w:tc>
          <w:tcPr>
            <w:tcW w:w="1427" w:type="dxa"/>
            <w:vAlign w:val="center"/>
          </w:tcPr>
          <w:p w14:paraId="1A0E4846">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026EC2E4">
            <w:pPr>
              <w:pageBreakBefore w:val="0"/>
              <w:kinsoku/>
              <w:wordWrap w:val="0"/>
              <w:topLinePunct w:val="0"/>
              <w:spacing w:line="300" w:lineRule="exact"/>
              <w:jc w:val="center"/>
              <w:rPr>
                <w:rFonts w:ascii="宋体" w:cs="宋体"/>
                <w:color w:val="auto"/>
                <w:highlight w:val="none"/>
              </w:rPr>
            </w:pPr>
          </w:p>
        </w:tc>
        <w:tc>
          <w:tcPr>
            <w:tcW w:w="1427" w:type="dxa"/>
            <w:gridSpan w:val="2"/>
            <w:vAlign w:val="center"/>
          </w:tcPr>
          <w:p w14:paraId="704A3EA7">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3B9CB05B">
            <w:pPr>
              <w:pageBreakBefore w:val="0"/>
              <w:kinsoku/>
              <w:wordWrap w:val="0"/>
              <w:topLinePunct w:val="0"/>
              <w:spacing w:line="300" w:lineRule="exact"/>
              <w:jc w:val="center"/>
              <w:rPr>
                <w:rFonts w:ascii="宋体" w:cs="宋体"/>
                <w:color w:val="auto"/>
                <w:highlight w:val="none"/>
              </w:rPr>
            </w:pPr>
          </w:p>
        </w:tc>
        <w:tc>
          <w:tcPr>
            <w:tcW w:w="2025" w:type="dxa"/>
            <w:gridSpan w:val="2"/>
            <w:vAlign w:val="center"/>
          </w:tcPr>
          <w:p w14:paraId="0233817A">
            <w:pPr>
              <w:pageBreakBefore w:val="0"/>
              <w:kinsoku/>
              <w:wordWrap w:val="0"/>
              <w:topLinePunct w:val="0"/>
              <w:spacing w:line="300" w:lineRule="exact"/>
              <w:jc w:val="center"/>
              <w:rPr>
                <w:rFonts w:ascii="宋体" w:cs="宋体"/>
                <w:color w:val="auto"/>
                <w:highlight w:val="none"/>
              </w:rPr>
            </w:pPr>
          </w:p>
        </w:tc>
      </w:tr>
      <w:tr w14:paraId="58B4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426" w:type="dxa"/>
            <w:gridSpan w:val="2"/>
            <w:vAlign w:val="center"/>
          </w:tcPr>
          <w:p w14:paraId="43D53860">
            <w:pPr>
              <w:pageBreakBefore w:val="0"/>
              <w:kinsoku/>
              <w:wordWrap w:val="0"/>
              <w:topLinePunct w:val="0"/>
              <w:spacing w:line="300" w:lineRule="exact"/>
              <w:jc w:val="center"/>
              <w:rPr>
                <w:rFonts w:ascii="宋体" w:cs="宋体"/>
                <w:color w:val="auto"/>
                <w:highlight w:val="none"/>
              </w:rPr>
            </w:pPr>
          </w:p>
        </w:tc>
        <w:tc>
          <w:tcPr>
            <w:tcW w:w="1427" w:type="dxa"/>
            <w:vAlign w:val="center"/>
          </w:tcPr>
          <w:p w14:paraId="6591731E">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519FCEF1">
            <w:pPr>
              <w:pageBreakBefore w:val="0"/>
              <w:kinsoku/>
              <w:wordWrap w:val="0"/>
              <w:topLinePunct w:val="0"/>
              <w:spacing w:line="300" w:lineRule="exact"/>
              <w:jc w:val="center"/>
              <w:rPr>
                <w:rFonts w:ascii="宋体" w:cs="宋体"/>
                <w:color w:val="auto"/>
                <w:highlight w:val="none"/>
              </w:rPr>
            </w:pPr>
          </w:p>
        </w:tc>
        <w:tc>
          <w:tcPr>
            <w:tcW w:w="1427" w:type="dxa"/>
            <w:gridSpan w:val="2"/>
            <w:vAlign w:val="center"/>
          </w:tcPr>
          <w:p w14:paraId="062D383A">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73A0A3A3">
            <w:pPr>
              <w:pageBreakBefore w:val="0"/>
              <w:kinsoku/>
              <w:wordWrap w:val="0"/>
              <w:topLinePunct w:val="0"/>
              <w:spacing w:line="300" w:lineRule="exact"/>
              <w:jc w:val="center"/>
              <w:rPr>
                <w:rFonts w:ascii="宋体" w:cs="宋体"/>
                <w:color w:val="auto"/>
                <w:highlight w:val="none"/>
              </w:rPr>
            </w:pPr>
          </w:p>
        </w:tc>
        <w:tc>
          <w:tcPr>
            <w:tcW w:w="2025" w:type="dxa"/>
            <w:gridSpan w:val="2"/>
            <w:vAlign w:val="center"/>
          </w:tcPr>
          <w:p w14:paraId="305BEF43">
            <w:pPr>
              <w:pageBreakBefore w:val="0"/>
              <w:kinsoku/>
              <w:wordWrap w:val="0"/>
              <w:topLinePunct w:val="0"/>
              <w:spacing w:line="300" w:lineRule="exact"/>
              <w:jc w:val="center"/>
              <w:rPr>
                <w:rFonts w:ascii="宋体" w:cs="宋体"/>
                <w:color w:val="auto"/>
                <w:highlight w:val="none"/>
              </w:rPr>
            </w:pPr>
          </w:p>
        </w:tc>
      </w:tr>
      <w:tr w14:paraId="50F5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426" w:type="dxa"/>
            <w:gridSpan w:val="2"/>
            <w:vAlign w:val="center"/>
          </w:tcPr>
          <w:p w14:paraId="21BE57B1">
            <w:pPr>
              <w:pageBreakBefore w:val="0"/>
              <w:kinsoku/>
              <w:wordWrap w:val="0"/>
              <w:topLinePunct w:val="0"/>
              <w:spacing w:line="300" w:lineRule="exact"/>
              <w:jc w:val="center"/>
              <w:rPr>
                <w:rFonts w:ascii="宋体" w:cs="宋体"/>
                <w:color w:val="auto"/>
                <w:highlight w:val="none"/>
              </w:rPr>
            </w:pPr>
          </w:p>
        </w:tc>
        <w:tc>
          <w:tcPr>
            <w:tcW w:w="1427" w:type="dxa"/>
            <w:vAlign w:val="center"/>
          </w:tcPr>
          <w:p w14:paraId="4DA00924">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162F6C3F">
            <w:pPr>
              <w:pageBreakBefore w:val="0"/>
              <w:kinsoku/>
              <w:wordWrap w:val="0"/>
              <w:topLinePunct w:val="0"/>
              <w:spacing w:line="300" w:lineRule="exact"/>
              <w:jc w:val="center"/>
              <w:rPr>
                <w:rFonts w:ascii="宋体" w:cs="宋体"/>
                <w:color w:val="auto"/>
                <w:highlight w:val="none"/>
              </w:rPr>
            </w:pPr>
          </w:p>
        </w:tc>
        <w:tc>
          <w:tcPr>
            <w:tcW w:w="1427" w:type="dxa"/>
            <w:gridSpan w:val="2"/>
            <w:vAlign w:val="center"/>
          </w:tcPr>
          <w:p w14:paraId="0DEF4EA8">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772936C8">
            <w:pPr>
              <w:pageBreakBefore w:val="0"/>
              <w:kinsoku/>
              <w:wordWrap w:val="0"/>
              <w:topLinePunct w:val="0"/>
              <w:spacing w:line="300" w:lineRule="exact"/>
              <w:jc w:val="center"/>
              <w:rPr>
                <w:rFonts w:ascii="宋体" w:cs="宋体"/>
                <w:color w:val="auto"/>
                <w:highlight w:val="none"/>
              </w:rPr>
            </w:pPr>
          </w:p>
        </w:tc>
        <w:tc>
          <w:tcPr>
            <w:tcW w:w="2025" w:type="dxa"/>
            <w:gridSpan w:val="2"/>
            <w:vAlign w:val="center"/>
          </w:tcPr>
          <w:p w14:paraId="58DDEBB6">
            <w:pPr>
              <w:pageBreakBefore w:val="0"/>
              <w:kinsoku/>
              <w:wordWrap w:val="0"/>
              <w:topLinePunct w:val="0"/>
              <w:spacing w:line="300" w:lineRule="exact"/>
              <w:jc w:val="center"/>
              <w:rPr>
                <w:rFonts w:ascii="宋体" w:cs="宋体"/>
                <w:color w:val="auto"/>
                <w:highlight w:val="none"/>
              </w:rPr>
            </w:pPr>
          </w:p>
        </w:tc>
      </w:tr>
      <w:tr w14:paraId="666A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426" w:type="dxa"/>
            <w:gridSpan w:val="2"/>
            <w:vAlign w:val="center"/>
          </w:tcPr>
          <w:p w14:paraId="634E7055">
            <w:pPr>
              <w:pageBreakBefore w:val="0"/>
              <w:kinsoku/>
              <w:wordWrap w:val="0"/>
              <w:topLinePunct w:val="0"/>
              <w:spacing w:line="300" w:lineRule="exact"/>
              <w:jc w:val="center"/>
              <w:rPr>
                <w:rFonts w:ascii="宋体" w:cs="宋体"/>
                <w:color w:val="auto"/>
                <w:highlight w:val="none"/>
              </w:rPr>
            </w:pPr>
          </w:p>
        </w:tc>
        <w:tc>
          <w:tcPr>
            <w:tcW w:w="1427" w:type="dxa"/>
            <w:vAlign w:val="center"/>
          </w:tcPr>
          <w:p w14:paraId="5CAEF077">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63B2B68B">
            <w:pPr>
              <w:pageBreakBefore w:val="0"/>
              <w:kinsoku/>
              <w:wordWrap w:val="0"/>
              <w:topLinePunct w:val="0"/>
              <w:spacing w:line="300" w:lineRule="exact"/>
              <w:jc w:val="center"/>
              <w:rPr>
                <w:rFonts w:ascii="宋体" w:cs="宋体"/>
                <w:color w:val="auto"/>
                <w:highlight w:val="none"/>
              </w:rPr>
            </w:pPr>
          </w:p>
        </w:tc>
        <w:tc>
          <w:tcPr>
            <w:tcW w:w="1427" w:type="dxa"/>
            <w:gridSpan w:val="2"/>
            <w:vAlign w:val="center"/>
          </w:tcPr>
          <w:p w14:paraId="5AB23D08">
            <w:pPr>
              <w:pageBreakBefore w:val="0"/>
              <w:kinsoku/>
              <w:wordWrap w:val="0"/>
              <w:topLinePunct w:val="0"/>
              <w:spacing w:line="300" w:lineRule="exact"/>
              <w:jc w:val="center"/>
              <w:rPr>
                <w:rFonts w:ascii="宋体" w:cs="宋体"/>
                <w:color w:val="auto"/>
                <w:highlight w:val="none"/>
              </w:rPr>
            </w:pPr>
          </w:p>
        </w:tc>
        <w:tc>
          <w:tcPr>
            <w:tcW w:w="1426" w:type="dxa"/>
            <w:gridSpan w:val="2"/>
            <w:vAlign w:val="center"/>
          </w:tcPr>
          <w:p w14:paraId="3ECDBDBE">
            <w:pPr>
              <w:pageBreakBefore w:val="0"/>
              <w:kinsoku/>
              <w:wordWrap w:val="0"/>
              <w:topLinePunct w:val="0"/>
              <w:spacing w:line="300" w:lineRule="exact"/>
              <w:jc w:val="center"/>
              <w:rPr>
                <w:rFonts w:ascii="宋体" w:cs="宋体"/>
                <w:color w:val="auto"/>
                <w:highlight w:val="none"/>
              </w:rPr>
            </w:pPr>
          </w:p>
        </w:tc>
        <w:tc>
          <w:tcPr>
            <w:tcW w:w="2025" w:type="dxa"/>
            <w:gridSpan w:val="2"/>
            <w:vAlign w:val="center"/>
          </w:tcPr>
          <w:p w14:paraId="091262F4">
            <w:pPr>
              <w:pageBreakBefore w:val="0"/>
              <w:kinsoku/>
              <w:wordWrap w:val="0"/>
              <w:topLinePunct w:val="0"/>
              <w:spacing w:line="300" w:lineRule="exact"/>
              <w:jc w:val="center"/>
              <w:rPr>
                <w:rFonts w:ascii="宋体" w:cs="宋体"/>
                <w:color w:val="auto"/>
                <w:highlight w:val="none"/>
              </w:rPr>
            </w:pPr>
          </w:p>
        </w:tc>
      </w:tr>
    </w:tbl>
    <w:p w14:paraId="59C24290">
      <w:pPr>
        <w:pageBreakBefore w:val="0"/>
        <w:kinsoku/>
        <w:wordWrap w:val="0"/>
        <w:topLinePunct w:val="0"/>
        <w:spacing w:line="360" w:lineRule="auto"/>
        <w:jc w:val="center"/>
        <w:rPr>
          <w:rFonts w:ascii="宋体" w:hAnsi="宋体" w:cs="宋体"/>
          <w:color w:val="auto"/>
          <w:highlight w:val="none"/>
        </w:rPr>
      </w:pPr>
    </w:p>
    <w:p w14:paraId="33CEC5D6">
      <w:pPr>
        <w:pageBreakBefore w:val="0"/>
        <w:kinsoku/>
        <w:wordWrap w:val="0"/>
        <w:topLinePunct w:val="0"/>
        <w:spacing w:line="360" w:lineRule="auto"/>
        <w:jc w:val="left"/>
        <w:rPr>
          <w:rFonts w:ascii="宋体" w:hAnsi="宋体" w:cs="宋体"/>
          <w:color w:val="auto"/>
          <w:highlight w:val="none"/>
        </w:rPr>
      </w:pPr>
      <w:r>
        <w:rPr>
          <w:rFonts w:hint="eastAsia" w:ascii="宋体" w:hAnsi="宋体" w:cs="宋体"/>
          <w:color w:val="auto"/>
          <w:highlight w:val="none"/>
        </w:rPr>
        <w:t>备注：附项目技术负责人职称证书，以及供应商认为需要增加的其他证明材料扫描件。</w:t>
      </w:r>
    </w:p>
    <w:p w14:paraId="6E0E111A">
      <w:pPr>
        <w:pageBreakBefore w:val="0"/>
        <w:kinsoku/>
        <w:wordWrap w:val="0"/>
        <w:topLinePunct w:val="0"/>
        <w:spacing w:line="360" w:lineRule="auto"/>
        <w:ind w:firstLine="3600" w:firstLineChars="1500"/>
        <w:contextualSpacing/>
        <w:rPr>
          <w:rFonts w:ascii="宋体" w:hAnsi="宋体" w:cs="仿宋_GB2312"/>
          <w:color w:val="auto"/>
          <w:sz w:val="24"/>
          <w:highlight w:val="none"/>
        </w:rPr>
      </w:pPr>
    </w:p>
    <w:p w14:paraId="3FC8ED56">
      <w:pPr>
        <w:pageBreakBefore w:val="0"/>
        <w:kinsoku/>
        <w:wordWrap w:val="0"/>
        <w:topLinePunct w:val="0"/>
        <w:spacing w:line="360" w:lineRule="auto"/>
        <w:jc w:val="center"/>
        <w:rPr>
          <w:rFonts w:ascii="宋体" w:hAnsi="宋体" w:cs="仿宋_GB2312"/>
          <w:color w:val="auto"/>
          <w:sz w:val="24"/>
          <w:highlight w:val="none"/>
        </w:rPr>
      </w:pPr>
    </w:p>
    <w:p w14:paraId="2BC23F56">
      <w:pPr>
        <w:pStyle w:val="249"/>
        <w:pageBreakBefore w:val="0"/>
        <w:kinsoku/>
        <w:wordWrap w:val="0"/>
        <w:topLinePunct w:val="0"/>
        <w:rPr>
          <w:color w:val="auto"/>
          <w:highlight w:val="none"/>
        </w:rPr>
      </w:pPr>
    </w:p>
    <w:p w14:paraId="43823773">
      <w:pPr>
        <w:pageBreakBefore w:val="0"/>
        <w:kinsoku/>
        <w:wordWrap w:val="0"/>
        <w:topLinePunct w:val="0"/>
        <w:spacing w:line="360" w:lineRule="auto"/>
        <w:jc w:val="center"/>
        <w:rPr>
          <w:rStyle w:val="97"/>
          <w:color w:val="auto"/>
          <w:highlight w:val="none"/>
        </w:rPr>
      </w:pPr>
      <w:r>
        <w:rPr>
          <w:rFonts w:ascii="宋体" w:hAnsi="宋体"/>
          <w:b/>
          <w:bCs/>
          <w:color w:val="auto"/>
          <w:sz w:val="24"/>
          <w:highlight w:val="none"/>
        </w:rPr>
        <w:br w:type="page"/>
      </w:r>
      <w:r>
        <w:rPr>
          <w:rStyle w:val="97"/>
          <w:color w:val="auto"/>
          <w:highlight w:val="none"/>
        </w:rPr>
        <w:t>8</w:t>
      </w:r>
      <w:r>
        <w:rPr>
          <w:rStyle w:val="97"/>
          <w:rFonts w:hint="eastAsia"/>
          <w:color w:val="auto"/>
          <w:highlight w:val="none"/>
        </w:rPr>
        <w:t>、供应商认为需要提供的其他有关资料。</w:t>
      </w:r>
    </w:p>
    <w:p w14:paraId="687BF5DF">
      <w:pPr>
        <w:pageBreakBefore w:val="0"/>
        <w:kinsoku/>
        <w:wordWrap w:val="0"/>
        <w:topLinePunct w:val="0"/>
        <w:spacing w:line="300" w:lineRule="auto"/>
        <w:rPr>
          <w:rFonts w:ascii="宋体" w:hAnsi="宋体"/>
          <w:b/>
          <w:bCs/>
          <w:color w:val="auto"/>
          <w:sz w:val="24"/>
          <w:highlight w:val="none"/>
        </w:rPr>
      </w:pPr>
    </w:p>
    <w:p w14:paraId="792AEB24">
      <w:pPr>
        <w:pageBreakBefore w:val="0"/>
        <w:kinsoku/>
        <w:wordWrap w:val="0"/>
        <w:topLinePunct w:val="0"/>
        <w:spacing w:line="300" w:lineRule="auto"/>
        <w:rPr>
          <w:rFonts w:ascii="宋体" w:hAnsi="宋体"/>
          <w:color w:val="auto"/>
          <w:highlight w:val="none"/>
        </w:rPr>
      </w:pPr>
      <w:r>
        <w:rPr>
          <w:rFonts w:hint="eastAsia" w:ascii="宋体" w:hAnsi="宋体"/>
          <w:b/>
          <w:bCs/>
          <w:color w:val="auto"/>
          <w:sz w:val="24"/>
          <w:highlight w:val="none"/>
        </w:rPr>
        <w:t>其他文书、文件格式</w:t>
      </w:r>
    </w:p>
    <w:p w14:paraId="75B0A0F0">
      <w:pPr>
        <w:pageBreakBefore w:val="0"/>
        <w:kinsoku/>
        <w:wordWrap w:val="0"/>
        <w:topLinePunct w:val="0"/>
        <w:adjustRightInd w:val="0"/>
        <w:snapToGrid w:val="0"/>
        <w:spacing w:line="520" w:lineRule="exact"/>
        <w:jc w:val="center"/>
        <w:rPr>
          <w:rFonts w:ascii="宋体" w:hAnsi="宋体"/>
          <w:b/>
          <w:color w:val="auto"/>
          <w:sz w:val="32"/>
          <w:szCs w:val="32"/>
          <w:highlight w:val="none"/>
        </w:rPr>
      </w:pPr>
      <w:r>
        <w:rPr>
          <w:rFonts w:hint="eastAsia" w:ascii="宋体" w:hAnsi="宋体"/>
          <w:b/>
          <w:color w:val="auto"/>
          <w:sz w:val="32"/>
          <w:szCs w:val="32"/>
          <w:highlight w:val="none"/>
        </w:rPr>
        <w:t>中小企业声明函（工程）</w:t>
      </w:r>
    </w:p>
    <w:p w14:paraId="38976DAD">
      <w:pPr>
        <w:pageBreakBefore w:val="0"/>
        <w:kinsoku/>
        <w:wordWrap w:val="0"/>
        <w:topLinePunct w:val="0"/>
        <w:spacing w:before="2" w:line="500" w:lineRule="exact"/>
        <w:ind w:firstLine="708" w:firstLineChars="294"/>
        <w:rPr>
          <w:rFonts w:ascii="宋体" w:hAnsi="宋体" w:cs="宋体"/>
          <w:b/>
          <w:bCs/>
          <w:color w:val="auto"/>
          <w:sz w:val="24"/>
          <w:highlight w:val="none"/>
        </w:rPr>
      </w:pPr>
    </w:p>
    <w:p w14:paraId="0FABA02F">
      <w:pPr>
        <w:pStyle w:val="20"/>
        <w:pageBreakBefore w:val="0"/>
        <w:kinsoku/>
        <w:wordWrap w:val="0"/>
        <w:topLinePunct w:val="0"/>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w:t>
      </w:r>
      <w:r>
        <w:rPr>
          <w:rFonts w:hint="eastAsia" w:ascii="宋体" w:hAnsi="宋体"/>
          <w:color w:val="auto"/>
          <w:sz w:val="24"/>
          <w:highlight w:val="none"/>
          <w:u w:val="single"/>
        </w:rPr>
        <w:t>采购单位名称</w:t>
      </w:r>
      <w:r>
        <w:rPr>
          <w:rFonts w:ascii="宋体" w:hAnsi="宋体"/>
          <w:color w:val="auto"/>
          <w:sz w:val="24"/>
          <w:highlight w:val="none"/>
          <w:u w:val="single"/>
        </w:rPr>
        <w:t>）</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543FF7B8">
      <w:pPr>
        <w:pageBreakBefore w:val="0"/>
        <w:tabs>
          <w:tab w:val="left" w:pos="1384"/>
          <w:tab w:val="left" w:pos="4562"/>
          <w:tab w:val="left" w:pos="6803"/>
        </w:tabs>
        <w:kinsoku/>
        <w:wordWrap w:val="0"/>
        <w:topLinePunct w:val="0"/>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hint="eastAsia" w:ascii="宋体" w:hAnsi="宋体"/>
          <w:color w:val="auto"/>
          <w:sz w:val="24"/>
          <w:highlight w:val="none"/>
          <w:u w:val="single"/>
        </w:rPr>
        <w:t>建筑行业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62346E0B">
      <w:pPr>
        <w:pageBreakBefore w:val="0"/>
        <w:tabs>
          <w:tab w:val="left" w:pos="1065"/>
          <w:tab w:val="left" w:pos="4262"/>
          <w:tab w:val="left" w:pos="6477"/>
        </w:tabs>
        <w:kinsoku/>
        <w:wordWrap w:val="0"/>
        <w:topLinePunct w:val="0"/>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hint="eastAsia" w:ascii="宋体" w:hAnsi="宋体"/>
          <w:color w:val="auto"/>
          <w:sz w:val="24"/>
          <w:highlight w:val="none"/>
          <w:u w:val="single"/>
        </w:rPr>
        <w:t>建筑行业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2F6396B1">
      <w:pPr>
        <w:pStyle w:val="20"/>
        <w:pageBreakBefore w:val="0"/>
        <w:kinsoku/>
        <w:wordWrap w:val="0"/>
        <w:topLinePunct w:val="0"/>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5BF02BC5">
      <w:pPr>
        <w:pStyle w:val="20"/>
        <w:pageBreakBefore w:val="0"/>
        <w:kinsoku/>
        <w:wordWrap w:val="0"/>
        <w:topLinePunct w:val="0"/>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7DB2389E">
      <w:pPr>
        <w:pStyle w:val="20"/>
        <w:pageBreakBefore w:val="0"/>
        <w:kinsoku/>
        <w:wordWrap w:val="0"/>
        <w:topLinePunct w:val="0"/>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6AE77FE">
      <w:pPr>
        <w:pStyle w:val="20"/>
        <w:pageBreakBefore w:val="0"/>
        <w:kinsoku/>
        <w:wordWrap w:val="0"/>
        <w:topLinePunct w:val="0"/>
        <w:spacing w:before="56" w:line="500" w:lineRule="exact"/>
        <w:ind w:right="1808" w:firstLine="705" w:firstLineChars="294"/>
        <w:rPr>
          <w:rFonts w:ascii="宋体" w:hAnsi="宋体"/>
          <w:color w:val="auto"/>
          <w:sz w:val="24"/>
          <w:highlight w:val="none"/>
        </w:rPr>
      </w:pPr>
    </w:p>
    <w:p w14:paraId="20725F11">
      <w:pPr>
        <w:pStyle w:val="20"/>
        <w:pageBreakBefore w:val="0"/>
        <w:kinsoku/>
        <w:wordWrap w:val="0"/>
        <w:topLinePunct w:val="0"/>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66DA88BB">
      <w:pPr>
        <w:pStyle w:val="20"/>
        <w:pageBreakBefore w:val="0"/>
        <w:kinsoku/>
        <w:wordWrap w:val="0"/>
        <w:topLinePunct w:val="0"/>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5A2CB506">
      <w:pPr>
        <w:pageBreakBefore w:val="0"/>
        <w:kinsoku/>
        <w:wordWrap w:val="0"/>
        <w:topLinePunct w:val="0"/>
        <w:spacing w:line="520" w:lineRule="exact"/>
        <w:jc w:val="left"/>
        <w:rPr>
          <w:rFonts w:ascii="宋体" w:hAnsi="宋体" w:cs="仿宋_GB2312"/>
          <w:color w:val="auto"/>
          <w:sz w:val="24"/>
          <w:highlight w:val="none"/>
        </w:rPr>
      </w:pPr>
      <w:r>
        <w:rPr>
          <w:rFonts w:hint="eastAsia" w:ascii="宋体" w:hAnsi="宋体" w:cs="仿宋_GB2312"/>
          <w:color w:val="auto"/>
          <w:sz w:val="24"/>
          <w:highlight w:val="none"/>
        </w:rPr>
        <w:t>注：从业人员、营业收入、资产总额填报上一年度数据，无上一年度数据的新成立企业可不填报。</w:t>
      </w:r>
    </w:p>
    <w:p w14:paraId="349A5920">
      <w:pPr>
        <w:pageBreakBefore w:val="0"/>
        <w:kinsoku/>
        <w:wordWrap w:val="0"/>
        <w:topLinePunct w:val="0"/>
        <w:spacing w:line="520" w:lineRule="exact"/>
        <w:jc w:val="center"/>
        <w:rPr>
          <w:rFonts w:ascii="宋体" w:hAnsi="宋体"/>
          <w:color w:val="auto"/>
          <w:sz w:val="24"/>
          <w:highlight w:val="none"/>
        </w:rPr>
      </w:pPr>
    </w:p>
    <w:p w14:paraId="40F5DCA4">
      <w:pPr>
        <w:pageBreakBefore w:val="0"/>
        <w:kinsoku/>
        <w:wordWrap w:val="0"/>
        <w:topLinePunct w:val="0"/>
        <w:rPr>
          <w:color w:val="auto"/>
          <w:highlight w:val="none"/>
        </w:rPr>
      </w:pPr>
    </w:p>
    <w:p w14:paraId="53194FEB">
      <w:pPr>
        <w:pStyle w:val="249"/>
        <w:pageBreakBefore w:val="0"/>
        <w:kinsoku/>
        <w:wordWrap w:val="0"/>
        <w:topLinePunct w:val="0"/>
        <w:rPr>
          <w:color w:val="auto"/>
          <w:highlight w:val="none"/>
        </w:rPr>
      </w:pPr>
    </w:p>
    <w:p w14:paraId="088E1571">
      <w:pPr>
        <w:pStyle w:val="28"/>
        <w:pageBreakBefore w:val="0"/>
        <w:kinsoku/>
        <w:wordWrap w:val="0"/>
        <w:topLinePunct w:val="0"/>
        <w:jc w:val="left"/>
        <w:rPr>
          <w:rFonts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w:t>
      </w:r>
    </w:p>
    <w:p w14:paraId="37C99BC0">
      <w:pPr>
        <w:pageBreakBefore w:val="0"/>
        <w:kinsoku/>
        <w:wordWrap w:val="0"/>
        <w:topLinePunct w:val="0"/>
        <w:jc w:val="center"/>
        <w:rPr>
          <w:rFonts w:ascii="宋体" w:hAnsi="宋体" w:cs="Arial Unicode MS"/>
          <w:color w:val="auto"/>
          <w:sz w:val="44"/>
          <w:szCs w:val="44"/>
          <w:highlight w:val="none"/>
        </w:rPr>
      </w:pPr>
      <w:r>
        <w:rPr>
          <w:rFonts w:hint="eastAsia" w:ascii="宋体" w:hAnsi="宋体" w:cs="Arial Unicode MS"/>
          <w:color w:val="auto"/>
          <w:sz w:val="44"/>
          <w:szCs w:val="44"/>
          <w:highlight w:val="none"/>
        </w:rPr>
        <w:t>中小微企业划型标准</w:t>
      </w:r>
    </w:p>
    <w:p w14:paraId="60879DAA">
      <w:pPr>
        <w:pageBreakBefore w:val="0"/>
        <w:kinsoku/>
        <w:wordWrap w:val="0"/>
        <w:topLinePunct w:val="0"/>
        <w:ind w:left="1871"/>
        <w:rPr>
          <w:rFonts w:ascii="宋体" w:hAnsi="宋体" w:cs="Arial Unicode MS"/>
          <w:color w:val="auto"/>
          <w:highlight w:val="none"/>
        </w:rPr>
      </w:pPr>
    </w:p>
    <w:tbl>
      <w:tblPr>
        <w:tblStyle w:val="48"/>
        <w:tblW w:w="7983" w:type="dxa"/>
        <w:jc w:val="center"/>
        <w:tblLayout w:type="fixed"/>
        <w:tblCellMar>
          <w:top w:w="0" w:type="dxa"/>
          <w:left w:w="108" w:type="dxa"/>
          <w:bottom w:w="0" w:type="dxa"/>
          <w:right w:w="108" w:type="dxa"/>
        </w:tblCellMar>
      </w:tblPr>
      <w:tblGrid>
        <w:gridCol w:w="1701"/>
        <w:gridCol w:w="1384"/>
        <w:gridCol w:w="913"/>
        <w:gridCol w:w="1620"/>
        <w:gridCol w:w="1440"/>
        <w:gridCol w:w="925"/>
      </w:tblGrid>
      <w:tr w14:paraId="78C7586A">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EC61B47">
            <w:pPr>
              <w:pageBreakBefore w:val="0"/>
              <w:widowControl/>
              <w:kinsoku/>
              <w:wordWrap w:val="0"/>
              <w:topLinePunct w:val="0"/>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41369F49">
            <w:pPr>
              <w:pageBreakBefore w:val="0"/>
              <w:widowControl/>
              <w:kinsoku/>
              <w:wordWrap w:val="0"/>
              <w:topLinePunct w:val="0"/>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745D669B">
            <w:pPr>
              <w:pageBreakBefore w:val="0"/>
              <w:widowControl/>
              <w:kinsoku/>
              <w:wordWrap w:val="0"/>
              <w:topLinePunct w:val="0"/>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vAlign w:val="center"/>
          </w:tcPr>
          <w:p w14:paraId="3BAA9575">
            <w:pPr>
              <w:pageBreakBefore w:val="0"/>
              <w:widowControl/>
              <w:kinsoku/>
              <w:wordWrap w:val="0"/>
              <w:topLinePunct w:val="0"/>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5967FCDF">
            <w:pPr>
              <w:pageBreakBefore w:val="0"/>
              <w:widowControl/>
              <w:kinsoku/>
              <w:wordWrap w:val="0"/>
              <w:topLinePunct w:val="0"/>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1AAC2E9E">
            <w:pPr>
              <w:pageBreakBefore w:val="0"/>
              <w:widowControl/>
              <w:kinsoku/>
              <w:wordWrap w:val="0"/>
              <w:topLinePunct w:val="0"/>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0F0975C9">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415446F1">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66EEA06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075A19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0B6824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4CB6F2A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7037C9A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BBEB1C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02D7261">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6DD717F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75D8AD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4D94121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6E9A7AA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4B30BB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CAE21A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A9EC449">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032260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9320A12">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706A0E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6B721AF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0FFE1FD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2DBC520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1C73E51">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5F314F5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7E1EC5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0179D97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41EC4EA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7952C29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0FC5B65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BE47E6A">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52313B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70D4D84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290DE3D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7BC95E6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41027E02">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0011E65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AC72B24">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5AA8775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2A991D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26A998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10B42CC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1FB50ED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24A9E3C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4945E3E">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B3FE6E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9BC197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765339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0257A8A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15ADCDB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158EE0B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5F7B452">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2C772E9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D7B840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92FCA8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7F3D660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381773F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17DE9B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603F181">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517CF1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DFD9DE2">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F83717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026276A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54BD7E3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32CBFB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CC6A9A7">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2EDEF49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4D04BE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25E02FD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0ECC4A4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C2F3F2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056950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D20B09B">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2E889D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508EF1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8A26DB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5F18892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6BC13BE4">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5DCE839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6293585">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18404E7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B340DF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2189D35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6C5A53E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70C3F32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EE30B1C">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CDB831E">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500AC6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3F0217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B80190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21FD535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1E618C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CFFB3A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42640CF">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3D7F3E9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F7AA06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573E9BB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654716F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5457BA8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1F238E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20434BD">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F6C85C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E79E9D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33B782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1A01D62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7C574EC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B18D6C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F3D43DD">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1C1793F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40C1AB4">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B2BE8E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A17001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2D38D11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24F96D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0C8C8D4">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99A18F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D2D2F6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2D8C0D4">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3936148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3923EAF2">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224AE2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9DCA30B">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58839602">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7F438E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E9DA5D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3E2015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F36113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B441A1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6F8C84B">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9F6A29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75C8908">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C1478E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1C70E3D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7E595E32">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B6FF7F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40A6C93">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1532D07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B82E4A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AE46B0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50B5D44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3832804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9128FB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AAA4A55">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9AC5E1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4681E28">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CFBB62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481367D6">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96F465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175C49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FBCDCEE">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3629C71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97D986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21445C2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019CF1E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14FC28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EA1D8F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08704DB">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DC8750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FD5A7A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A3BBEF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3E0500F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20F193F4">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53D297B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2789D20">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4C53939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5634836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B4DCA5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57F7102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34E78E7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F2DCAE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800C75E">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8C9F0E3">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7DDFD49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8EC0382">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50039888">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2A85445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7A04AB0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F1FE8AB">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3C5E3C5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BEAF69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D683F9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4559A07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78DECB08">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54EEC46C">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4EC63BD">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49281F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211C1B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BC11609">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11025D4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3998962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56B3DB7A">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4089D5C">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3B66C91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9EDE3ED">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D78A11A">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F2D356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0DC549C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0E72D8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953CE49">
            <w:pPr>
              <w:pageBreakBefore w:val="0"/>
              <w:widowControl/>
              <w:kinsoku/>
              <w:wordWrap w:val="0"/>
              <w:topLinePunct w:val="0"/>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E1916A5">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13433FF7">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8988A4C">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0BA729C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14183A2B">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FCCEDCF">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6BC4C790">
            <w:pPr>
              <w:pageBreakBefore w:val="0"/>
              <w:widowControl/>
              <w:kinsoku/>
              <w:wordWrap w:val="0"/>
              <w:topLinePunct w:val="0"/>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23749A6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14AE29F">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DD95501">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4860026E">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348B4DB0">
            <w:pPr>
              <w:pageBreakBefore w:val="0"/>
              <w:widowControl/>
              <w:kinsoku/>
              <w:wordWrap w:val="0"/>
              <w:topLinePunct w:val="0"/>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1067E6AD">
      <w:pPr>
        <w:pageBreakBefore w:val="0"/>
        <w:kinsoku/>
        <w:wordWrap w:val="0"/>
        <w:topLinePunct w:val="0"/>
        <w:spacing w:line="360" w:lineRule="auto"/>
        <w:ind w:firstLine="525" w:firstLineChars="250"/>
        <w:rPr>
          <w:rFonts w:ascii="仿宋_GB2312" w:hAnsi="仿宋" w:eastAsia="仿宋_GB2312"/>
          <w:color w:val="auto"/>
          <w:highlight w:val="none"/>
        </w:rPr>
      </w:pPr>
    </w:p>
    <w:p w14:paraId="0DAFABD5">
      <w:pPr>
        <w:pageBreakBefore w:val="0"/>
        <w:kinsoku/>
        <w:wordWrap w:val="0"/>
        <w:topLinePunct w:val="0"/>
        <w:spacing w:line="360" w:lineRule="auto"/>
        <w:ind w:firstLine="525" w:firstLineChars="250"/>
        <w:rPr>
          <w:rFonts w:ascii="宋体" w:hAnsi="宋体"/>
          <w:b/>
          <w:color w:val="auto"/>
          <w:sz w:val="32"/>
          <w:szCs w:val="32"/>
          <w:highlight w:val="none"/>
        </w:rPr>
      </w:pPr>
      <w:r>
        <w:rPr>
          <w:rFonts w:hint="eastAsia" w:ascii="仿宋_GB2312" w:hAnsi="仿宋" w:eastAsia="仿宋_GB2312"/>
          <w:color w:val="auto"/>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ascii="宋体" w:hAnsi="宋体"/>
          <w:color w:val="auto"/>
          <w:sz w:val="24"/>
          <w:highlight w:val="none"/>
        </w:rPr>
        <w:br w:type="page"/>
      </w:r>
      <w:r>
        <w:rPr>
          <w:rFonts w:hint="eastAsia" w:ascii="宋体" w:hAnsi="宋体"/>
          <w:b/>
          <w:color w:val="auto"/>
          <w:sz w:val="32"/>
          <w:szCs w:val="32"/>
          <w:highlight w:val="none"/>
        </w:rPr>
        <w:t>残疾人福利性单位声明函</w:t>
      </w:r>
    </w:p>
    <w:p w14:paraId="6EB98899">
      <w:pPr>
        <w:pageBreakBefore w:val="0"/>
        <w:kinsoku/>
        <w:wordWrap w:val="0"/>
        <w:topLinePunct w:val="0"/>
        <w:spacing w:line="360" w:lineRule="auto"/>
        <w:contextualSpacing/>
        <w:rPr>
          <w:rFonts w:ascii="仿宋_GB2312" w:hAnsi="仿宋_GB2312" w:eastAsia="仿宋_GB2312" w:cs="仿宋_GB2312"/>
          <w:color w:val="auto"/>
          <w:sz w:val="32"/>
          <w:szCs w:val="32"/>
          <w:highlight w:val="none"/>
        </w:rPr>
      </w:pPr>
    </w:p>
    <w:p w14:paraId="7B31B79C">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D663B7">
      <w:pPr>
        <w:pageBreakBefore w:val="0"/>
        <w:kinsoku/>
        <w:wordWrap w:val="0"/>
        <w:topLinePunct w:val="0"/>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7F20C31F">
      <w:pPr>
        <w:pageBreakBefore w:val="0"/>
        <w:kinsoku/>
        <w:wordWrap w:val="0"/>
        <w:topLinePunct w:val="0"/>
        <w:spacing w:line="360" w:lineRule="auto"/>
        <w:contextualSpacing/>
        <w:rPr>
          <w:rFonts w:ascii="宋体" w:hAnsi="宋体" w:cs="仿宋_GB2312"/>
          <w:color w:val="auto"/>
          <w:sz w:val="24"/>
          <w:highlight w:val="none"/>
        </w:rPr>
      </w:pPr>
    </w:p>
    <w:p w14:paraId="64B52627">
      <w:pPr>
        <w:pageBreakBefore w:val="0"/>
        <w:kinsoku/>
        <w:wordWrap w:val="0"/>
        <w:topLinePunct w:val="0"/>
        <w:spacing w:line="360" w:lineRule="auto"/>
        <w:contextualSpacing/>
        <w:rPr>
          <w:rFonts w:ascii="宋体" w:hAnsi="宋体" w:cs="仿宋_GB2312"/>
          <w:color w:val="auto"/>
          <w:sz w:val="24"/>
          <w:highlight w:val="none"/>
        </w:rPr>
      </w:pPr>
    </w:p>
    <w:p w14:paraId="5103BFEA">
      <w:pPr>
        <w:pageBreakBefore w:val="0"/>
        <w:kinsoku/>
        <w:wordWrap w:val="0"/>
        <w:topLinePunct w:val="0"/>
        <w:spacing w:line="360" w:lineRule="auto"/>
        <w:contextualSpacing/>
        <w:rPr>
          <w:rFonts w:ascii="宋体" w:hAnsi="宋体" w:cs="仿宋_GB2312"/>
          <w:color w:val="auto"/>
          <w:sz w:val="24"/>
          <w:highlight w:val="none"/>
        </w:rPr>
      </w:pPr>
    </w:p>
    <w:p w14:paraId="7E1C3C70">
      <w:pPr>
        <w:pageBreakBefore w:val="0"/>
        <w:kinsoku/>
        <w:wordWrap w:val="0"/>
        <w:topLinePunct w:val="0"/>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573BCE75">
      <w:pPr>
        <w:pageBreakBefore w:val="0"/>
        <w:kinsoku/>
        <w:wordWrap w:val="0"/>
        <w:topLinePunct w:val="0"/>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7D93B2FD">
      <w:pPr>
        <w:pageBreakBefore w:val="0"/>
        <w:kinsoku/>
        <w:wordWrap w:val="0"/>
        <w:topLinePunct w:val="0"/>
        <w:spacing w:line="360" w:lineRule="auto"/>
        <w:contextualSpacing/>
        <w:rPr>
          <w:rFonts w:ascii="宋体" w:hAnsi="宋体" w:cs="仿宋_GB2312"/>
          <w:color w:val="auto"/>
          <w:sz w:val="24"/>
          <w:highlight w:val="none"/>
        </w:rPr>
      </w:pPr>
    </w:p>
    <w:p w14:paraId="2FE38F3D">
      <w:pPr>
        <w:pageBreakBefore w:val="0"/>
        <w:kinsoku/>
        <w:wordWrap w:val="0"/>
        <w:topLinePunct w:val="0"/>
        <w:spacing w:line="360" w:lineRule="auto"/>
        <w:contextualSpacing/>
        <w:rPr>
          <w:rFonts w:ascii="宋体" w:hAnsi="宋体" w:cs="仿宋_GB2312"/>
          <w:color w:val="auto"/>
          <w:sz w:val="24"/>
          <w:highlight w:val="none"/>
        </w:rPr>
      </w:pPr>
    </w:p>
    <w:p w14:paraId="161A15AF">
      <w:pPr>
        <w:pageBreakBefore w:val="0"/>
        <w:kinsoku/>
        <w:wordWrap w:val="0"/>
        <w:topLinePunct w:val="0"/>
        <w:spacing w:line="360" w:lineRule="auto"/>
        <w:contextualSpacing/>
        <w:rPr>
          <w:rFonts w:ascii="宋体" w:hAnsi="宋体" w:cs="仿宋_GB2312"/>
          <w:color w:val="auto"/>
          <w:sz w:val="24"/>
          <w:highlight w:val="none"/>
        </w:rPr>
      </w:pPr>
    </w:p>
    <w:p w14:paraId="50FEA094">
      <w:pPr>
        <w:pageBreakBefore w:val="0"/>
        <w:kinsoku/>
        <w:wordWrap w:val="0"/>
        <w:topLinePunct w:val="0"/>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435A1448">
      <w:pPr>
        <w:pageBreakBefore w:val="0"/>
        <w:kinsoku/>
        <w:wordWrap w:val="0"/>
        <w:topLinePunct w:val="0"/>
        <w:spacing w:line="360" w:lineRule="auto"/>
        <w:jc w:val="center"/>
        <w:rPr>
          <w:rFonts w:ascii="宋体" w:hAnsi="宋体" w:cs="仿宋_GB2312"/>
          <w:color w:val="auto"/>
          <w:sz w:val="24"/>
          <w:highlight w:val="none"/>
        </w:rPr>
      </w:pPr>
      <w:r>
        <w:rPr>
          <w:rFonts w:ascii="宋体" w:hAnsi="宋体" w:cs="仿宋_GB2312"/>
          <w:color w:val="auto"/>
          <w:sz w:val="24"/>
          <w:highlight w:val="none"/>
        </w:rPr>
        <w:br w:type="page"/>
      </w:r>
    </w:p>
    <w:p w14:paraId="7F35D2AB">
      <w:pPr>
        <w:pageBreakBefore w:val="0"/>
        <w:kinsoku/>
        <w:wordWrap w:val="0"/>
        <w:topLinePunct w:val="0"/>
        <w:spacing w:line="520" w:lineRule="exact"/>
        <w:jc w:val="center"/>
        <w:rPr>
          <w:rFonts w:ascii="宋体" w:hAnsi="宋体"/>
          <w:b/>
          <w:color w:val="auto"/>
          <w:sz w:val="32"/>
          <w:szCs w:val="32"/>
          <w:highlight w:val="none"/>
        </w:rPr>
      </w:pPr>
      <w:r>
        <w:rPr>
          <w:rFonts w:hint="eastAsia" w:ascii="宋体" w:hAnsi="宋体"/>
          <w:b/>
          <w:color w:val="auto"/>
          <w:sz w:val="32"/>
          <w:szCs w:val="32"/>
          <w:highlight w:val="none"/>
        </w:rPr>
        <w:t>质疑函（格式）</w:t>
      </w:r>
    </w:p>
    <w:p w14:paraId="76F3257E">
      <w:pPr>
        <w:pStyle w:val="28"/>
        <w:pageBreakBefore w:val="0"/>
        <w:kinsoku/>
        <w:wordWrap w:val="0"/>
        <w:topLinePunct w:val="0"/>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29B9EC14">
      <w:pPr>
        <w:pStyle w:val="28"/>
        <w:pageBreakBefore w:val="0"/>
        <w:kinsoku/>
        <w:wordWrap w:val="0"/>
        <w:topLinePunct w:val="0"/>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p>
    <w:p w14:paraId="46C1A7E4">
      <w:pPr>
        <w:pStyle w:val="28"/>
        <w:pageBreakBefore w:val="0"/>
        <w:kinsoku/>
        <w:wordWrap w:val="0"/>
        <w:topLinePunct w:val="0"/>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0C4E448A">
      <w:pPr>
        <w:pStyle w:val="28"/>
        <w:pageBreakBefore w:val="0"/>
        <w:kinsoku/>
        <w:wordWrap w:val="0"/>
        <w:topLinePunct w:val="0"/>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Ansi="宋体"/>
          <w:bCs/>
          <w:color w:val="auto"/>
          <w:sz w:val="24"/>
          <w:szCs w:val="24"/>
          <w:highlight w:val="none"/>
        </w:rPr>
        <w:t>联系电话</w:t>
      </w:r>
      <w:r>
        <w:rPr>
          <w:rFonts w:hint="eastAsia" w:hAnsi="宋体"/>
          <w:bCs/>
          <w:color w:val="auto"/>
          <w:sz w:val="24"/>
          <w:szCs w:val="24"/>
          <w:highlight w:val="none"/>
        </w:rPr>
        <w:t>：</w:t>
      </w:r>
    </w:p>
    <w:p w14:paraId="26470939">
      <w:pPr>
        <w:pStyle w:val="28"/>
        <w:pageBreakBefore w:val="0"/>
        <w:kinsoku/>
        <w:wordWrap w:val="0"/>
        <w:topLinePunct w:val="0"/>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p>
    <w:p w14:paraId="144ACDB2">
      <w:pPr>
        <w:pStyle w:val="28"/>
        <w:pageBreakBefore w:val="0"/>
        <w:kinsoku/>
        <w:wordWrap w:val="0"/>
        <w:topLinePunct w:val="0"/>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p>
    <w:p w14:paraId="724D4EB4">
      <w:pPr>
        <w:pStyle w:val="28"/>
        <w:pageBreakBefore w:val="0"/>
        <w:kinsoku/>
        <w:wordWrap w:val="0"/>
        <w:topLinePunct w:val="0"/>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573072FB">
      <w:pPr>
        <w:pStyle w:val="28"/>
        <w:pageBreakBefore w:val="0"/>
        <w:kinsoku/>
        <w:wordWrap w:val="0"/>
        <w:topLinePunct w:val="0"/>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01F5C7D6">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p>
    <w:p w14:paraId="41BCAE2B">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4708CFE7">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p>
    <w:p w14:paraId="2A3FA2BF">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67793739">
      <w:pPr>
        <w:pStyle w:val="28"/>
        <w:pageBreakBefore w:val="0"/>
        <w:kinsoku/>
        <w:wordWrap w:val="0"/>
        <w:topLinePunct w:val="0"/>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p>
    <w:p w14:paraId="4CFAEC73">
      <w:pPr>
        <w:pStyle w:val="28"/>
        <w:pageBreakBefore w:val="0"/>
        <w:kinsoku/>
        <w:wordWrap w:val="0"/>
        <w:topLinePunct w:val="0"/>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5DB771A4">
      <w:pPr>
        <w:pStyle w:val="28"/>
        <w:pageBreakBefore w:val="0"/>
        <w:kinsoku/>
        <w:wordWrap w:val="0"/>
        <w:topLinePunct w:val="0"/>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1C395267">
      <w:pPr>
        <w:pStyle w:val="28"/>
        <w:pageBreakBefore w:val="0"/>
        <w:kinsoku/>
        <w:wordWrap w:val="0"/>
        <w:topLinePunct w:val="0"/>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0299BBC7">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p>
    <w:p w14:paraId="314FD627">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p>
    <w:p w14:paraId="59FB5680">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p>
    <w:p w14:paraId="1D4224EB">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505243C1">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4DAB9637">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08D3F6F2">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p>
    <w:p w14:paraId="70F1E648">
      <w:pPr>
        <w:pStyle w:val="28"/>
        <w:pageBreakBefore w:val="0"/>
        <w:kinsoku/>
        <w:wordWrap w:val="0"/>
        <w:topLinePunct w:val="0"/>
        <w:spacing w:line="360" w:lineRule="auto"/>
        <w:ind w:left="25" w:leftChars="12" w:firstLine="352" w:firstLineChars="147"/>
        <w:contextualSpacing/>
        <w:rPr>
          <w:rFonts w:hAnsi="宋体"/>
          <w:color w:val="auto"/>
          <w:sz w:val="24"/>
          <w:szCs w:val="24"/>
          <w:highlight w:val="none"/>
        </w:rPr>
      </w:pPr>
    </w:p>
    <w:p w14:paraId="76EF8F0E">
      <w:pPr>
        <w:pStyle w:val="28"/>
        <w:pageBreakBefore w:val="0"/>
        <w:kinsoku/>
        <w:wordWrap w:val="0"/>
        <w:topLinePunct w:val="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74E82A21">
      <w:pPr>
        <w:pStyle w:val="28"/>
        <w:pageBreakBefore w:val="0"/>
        <w:kinsoku/>
        <w:wordWrap w:val="0"/>
        <w:topLinePunct w:val="0"/>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3C554665">
      <w:pPr>
        <w:pStyle w:val="28"/>
        <w:pageBreakBefore w:val="0"/>
        <w:kinsoku/>
        <w:wordWrap w:val="0"/>
        <w:topLinePunct w:val="0"/>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02BC8276">
      <w:pPr>
        <w:pStyle w:val="28"/>
        <w:pageBreakBefore w:val="0"/>
        <w:kinsoku/>
        <w:wordWrap w:val="0"/>
        <w:topLinePunct w:val="0"/>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517EC26">
      <w:pPr>
        <w:pStyle w:val="28"/>
        <w:pageBreakBefore w:val="0"/>
        <w:kinsoku/>
        <w:wordWrap w:val="0"/>
        <w:topLinePunct w:val="0"/>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1FB7FAB">
      <w:pPr>
        <w:pStyle w:val="28"/>
        <w:pageBreakBefore w:val="0"/>
        <w:kinsoku/>
        <w:wordWrap w:val="0"/>
        <w:topLinePunct w:val="0"/>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114B252">
      <w:pPr>
        <w:pStyle w:val="28"/>
        <w:pageBreakBefore w:val="0"/>
        <w:kinsoku/>
        <w:wordWrap w:val="0"/>
        <w:topLinePunct w:val="0"/>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2CC5FF7A">
      <w:pPr>
        <w:pStyle w:val="28"/>
        <w:pageBreakBefore w:val="0"/>
        <w:kinsoku/>
        <w:wordWrap w:val="0"/>
        <w:topLinePunct w:val="0"/>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1CD7207A">
      <w:pPr>
        <w:pStyle w:val="28"/>
        <w:pageBreakBefore w:val="0"/>
        <w:kinsoku/>
        <w:wordWrap w:val="0"/>
        <w:topLinePunct w:val="0"/>
        <w:snapToGrid w:val="0"/>
        <w:rPr>
          <w:b/>
          <w:color w:val="auto"/>
          <w:sz w:val="24"/>
          <w:szCs w:val="24"/>
          <w:highlight w:val="none"/>
        </w:rPr>
      </w:pPr>
    </w:p>
    <w:p w14:paraId="1C5675FA">
      <w:pPr>
        <w:pageBreakBefore w:val="0"/>
        <w:kinsoku/>
        <w:wordWrap w:val="0"/>
        <w:topLinePunct w:val="0"/>
        <w:rPr>
          <w:color w:val="auto"/>
          <w:sz w:val="32"/>
          <w:szCs w:val="40"/>
          <w:highlight w:val="none"/>
        </w:rPr>
      </w:pPr>
    </w:p>
    <w:p w14:paraId="7255AB81">
      <w:pPr>
        <w:pageBreakBefore w:val="0"/>
        <w:kinsoku/>
        <w:wordWrap w:val="0"/>
        <w:topLinePunct w:val="0"/>
        <w:rPr>
          <w:color w:val="auto"/>
          <w:sz w:val="32"/>
          <w:szCs w:val="40"/>
          <w:highlight w:val="none"/>
        </w:rPr>
      </w:pPr>
    </w:p>
    <w:p w14:paraId="6A55FB43">
      <w:pPr>
        <w:pageBreakBefore w:val="0"/>
        <w:kinsoku/>
        <w:wordWrap w:val="0"/>
        <w:topLinePunct w:val="0"/>
        <w:rPr>
          <w:color w:val="auto"/>
          <w:sz w:val="32"/>
          <w:szCs w:val="40"/>
          <w:highlight w:val="none"/>
        </w:rPr>
      </w:pPr>
    </w:p>
    <w:p w14:paraId="445FC5D3">
      <w:pPr>
        <w:pageBreakBefore w:val="0"/>
        <w:kinsoku/>
        <w:wordWrap w:val="0"/>
        <w:topLinePunct w:val="0"/>
        <w:rPr>
          <w:color w:val="auto"/>
          <w:sz w:val="32"/>
          <w:szCs w:val="40"/>
          <w:highlight w:val="none"/>
        </w:rPr>
      </w:pPr>
    </w:p>
    <w:p w14:paraId="5683C9E3">
      <w:pPr>
        <w:pageBreakBefore w:val="0"/>
        <w:kinsoku/>
        <w:wordWrap w:val="0"/>
        <w:topLinePunct w:val="0"/>
        <w:rPr>
          <w:color w:val="auto"/>
          <w:sz w:val="32"/>
          <w:szCs w:val="40"/>
          <w:highlight w:val="none"/>
        </w:rPr>
      </w:pPr>
    </w:p>
    <w:p w14:paraId="5878050B">
      <w:pPr>
        <w:pageBreakBefore w:val="0"/>
        <w:kinsoku/>
        <w:wordWrap w:val="0"/>
        <w:topLinePunct w:val="0"/>
        <w:rPr>
          <w:color w:val="auto"/>
          <w:sz w:val="32"/>
          <w:szCs w:val="40"/>
          <w:highlight w:val="none"/>
        </w:rPr>
      </w:pPr>
    </w:p>
    <w:p w14:paraId="0D0EE3EC">
      <w:pPr>
        <w:pageBreakBefore w:val="0"/>
        <w:kinsoku/>
        <w:wordWrap w:val="0"/>
        <w:topLinePunct w:val="0"/>
        <w:rPr>
          <w:color w:val="auto"/>
          <w:sz w:val="32"/>
          <w:szCs w:val="40"/>
          <w:highlight w:val="none"/>
        </w:rPr>
      </w:pPr>
    </w:p>
    <w:p w14:paraId="6BF0DA9B">
      <w:pPr>
        <w:pageBreakBefore w:val="0"/>
        <w:kinsoku/>
        <w:wordWrap w:val="0"/>
        <w:topLinePunct w:val="0"/>
        <w:rPr>
          <w:color w:val="auto"/>
          <w:sz w:val="32"/>
          <w:szCs w:val="40"/>
          <w:highlight w:val="none"/>
        </w:rPr>
      </w:pPr>
    </w:p>
    <w:p w14:paraId="37157346">
      <w:pPr>
        <w:pageBreakBefore w:val="0"/>
        <w:kinsoku/>
        <w:wordWrap w:val="0"/>
        <w:topLinePunct w:val="0"/>
        <w:rPr>
          <w:color w:val="auto"/>
          <w:sz w:val="32"/>
          <w:szCs w:val="40"/>
          <w:highlight w:val="none"/>
        </w:rPr>
      </w:pPr>
    </w:p>
    <w:p w14:paraId="2E6BAE10">
      <w:pPr>
        <w:pageBreakBefore w:val="0"/>
        <w:kinsoku/>
        <w:wordWrap w:val="0"/>
        <w:topLinePunct w:val="0"/>
        <w:rPr>
          <w:color w:val="auto"/>
          <w:sz w:val="32"/>
          <w:szCs w:val="40"/>
          <w:highlight w:val="none"/>
        </w:rPr>
      </w:pPr>
    </w:p>
    <w:p w14:paraId="3DE95176">
      <w:pPr>
        <w:pageBreakBefore w:val="0"/>
        <w:kinsoku/>
        <w:wordWrap w:val="0"/>
        <w:topLinePunct w:val="0"/>
        <w:rPr>
          <w:color w:val="auto"/>
          <w:sz w:val="32"/>
          <w:szCs w:val="40"/>
          <w:highlight w:val="none"/>
        </w:rPr>
      </w:pPr>
    </w:p>
    <w:p w14:paraId="5A290564">
      <w:pPr>
        <w:pageBreakBefore w:val="0"/>
        <w:kinsoku/>
        <w:wordWrap w:val="0"/>
        <w:topLinePunct w:val="0"/>
        <w:rPr>
          <w:color w:val="auto"/>
          <w:sz w:val="32"/>
          <w:szCs w:val="40"/>
          <w:highlight w:val="none"/>
        </w:rPr>
      </w:pPr>
    </w:p>
    <w:p w14:paraId="4C8F698B">
      <w:pPr>
        <w:pageBreakBefore w:val="0"/>
        <w:kinsoku/>
        <w:wordWrap w:val="0"/>
        <w:topLinePunct w:val="0"/>
        <w:rPr>
          <w:color w:val="auto"/>
          <w:sz w:val="32"/>
          <w:szCs w:val="40"/>
          <w:highlight w:val="none"/>
        </w:rPr>
      </w:pPr>
    </w:p>
    <w:p w14:paraId="74AA84B8">
      <w:pPr>
        <w:pageBreakBefore w:val="0"/>
        <w:kinsoku/>
        <w:wordWrap w:val="0"/>
        <w:topLinePunct w:val="0"/>
        <w:rPr>
          <w:color w:val="auto"/>
          <w:sz w:val="32"/>
          <w:szCs w:val="40"/>
          <w:highlight w:val="none"/>
        </w:rPr>
      </w:pPr>
    </w:p>
    <w:p w14:paraId="56710863">
      <w:pPr>
        <w:pageBreakBefore w:val="0"/>
        <w:kinsoku/>
        <w:wordWrap w:val="0"/>
        <w:topLinePunct w:val="0"/>
        <w:spacing w:line="360" w:lineRule="auto"/>
        <w:jc w:val="center"/>
        <w:rPr>
          <w:rFonts w:ascii="宋体" w:hAnsi="宋体"/>
          <w:b/>
          <w:color w:val="auto"/>
          <w:sz w:val="32"/>
          <w:szCs w:val="32"/>
          <w:highlight w:val="none"/>
        </w:rPr>
      </w:pPr>
      <w:r>
        <w:rPr>
          <w:rFonts w:ascii="方正小标宋简体" w:hAnsi="方正小标宋简体" w:eastAsia="方正小标宋简体" w:cs="方正小标宋简体"/>
          <w:color w:val="auto"/>
          <w:sz w:val="44"/>
          <w:szCs w:val="44"/>
          <w:highlight w:val="none"/>
        </w:rPr>
        <w:br w:type="page"/>
      </w:r>
      <w:r>
        <w:rPr>
          <w:rFonts w:hint="eastAsia" w:ascii="宋体" w:hAnsi="宋体"/>
          <w:b/>
          <w:color w:val="auto"/>
          <w:sz w:val="32"/>
          <w:szCs w:val="32"/>
          <w:highlight w:val="none"/>
        </w:rPr>
        <w:t>投诉书（格式）</w:t>
      </w:r>
    </w:p>
    <w:p w14:paraId="094A4CA8">
      <w:pPr>
        <w:pStyle w:val="28"/>
        <w:pageBreakBefore w:val="0"/>
        <w:kinsoku/>
        <w:wordWrap w:val="0"/>
        <w:topLinePunct w:val="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109507DE">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p>
    <w:p w14:paraId="7F8E786E">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00F0329C">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p>
    <w:p w14:paraId="1860C9AC">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p>
    <w:p w14:paraId="5EC7531A">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Ansi="宋体"/>
          <w:bCs/>
          <w:color w:val="auto"/>
          <w:sz w:val="24"/>
          <w:szCs w:val="24"/>
          <w:highlight w:val="none"/>
        </w:rPr>
        <w:t>联系</w:t>
      </w:r>
      <w:r>
        <w:rPr>
          <w:rFonts w:hint="eastAsia" w:hAnsi="宋体"/>
          <w:bCs/>
          <w:color w:val="auto"/>
          <w:sz w:val="24"/>
          <w:szCs w:val="24"/>
          <w:highlight w:val="none"/>
        </w:rPr>
        <w:t>电话：</w:t>
      </w:r>
    </w:p>
    <w:p w14:paraId="79FC5D3C">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p>
    <w:p w14:paraId="7CECE958">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4A4562DC">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663F774A">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p>
    <w:p w14:paraId="5E16E0B0">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730A9049">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7EDE99C6">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6F6D73F5">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3048669C">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p>
    <w:p w14:paraId="35668672">
      <w:pPr>
        <w:pStyle w:val="28"/>
        <w:pageBreakBefore w:val="0"/>
        <w:kinsoku/>
        <w:wordWrap w:val="0"/>
        <w:topLinePunct w:val="0"/>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52E8A12F">
      <w:pPr>
        <w:pStyle w:val="28"/>
        <w:pageBreakBefore w:val="0"/>
        <w:kinsoku/>
        <w:wordWrap w:val="0"/>
        <w:topLinePunct w:val="0"/>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7A229A17">
      <w:pPr>
        <w:pStyle w:val="28"/>
        <w:pageBreakBefore w:val="0"/>
        <w:kinsoku/>
        <w:wordWrap w:val="0"/>
        <w:topLinePunct w:val="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520B851C">
      <w:pPr>
        <w:pStyle w:val="28"/>
        <w:pageBreakBefore w:val="0"/>
        <w:kinsoku/>
        <w:wordWrap w:val="0"/>
        <w:topLinePunct w:val="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p>
    <w:p w14:paraId="3D4EECFA">
      <w:pPr>
        <w:pStyle w:val="28"/>
        <w:pageBreakBefore w:val="0"/>
        <w:kinsoku/>
        <w:wordWrap w:val="0"/>
        <w:topLinePunct w:val="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p>
    <w:p w14:paraId="325266A6">
      <w:pPr>
        <w:pStyle w:val="28"/>
        <w:pageBreakBefore w:val="0"/>
        <w:kinsoku/>
        <w:wordWrap w:val="0"/>
        <w:topLinePunct w:val="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p>
    <w:p w14:paraId="123CD794">
      <w:pPr>
        <w:pStyle w:val="28"/>
        <w:pageBreakBefore w:val="0"/>
        <w:kinsoku/>
        <w:wordWrap w:val="0"/>
        <w:topLinePunct w:val="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p>
    <w:p w14:paraId="4A59AEEC">
      <w:pPr>
        <w:pStyle w:val="28"/>
        <w:pageBreakBefore w:val="0"/>
        <w:kinsoku/>
        <w:wordWrap w:val="0"/>
        <w:topLinePunct w:val="0"/>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竞争性磋商文件公告：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0496BBFE">
      <w:pPr>
        <w:pStyle w:val="28"/>
        <w:pageBreakBefore w:val="0"/>
        <w:kinsoku/>
        <w:wordWrap w:val="0"/>
        <w:topLinePunct w:val="0"/>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38A70782">
      <w:pPr>
        <w:pStyle w:val="28"/>
        <w:pageBreakBefore w:val="0"/>
        <w:kinsoku/>
        <w:wordWrap w:val="0"/>
        <w:topLinePunct w:val="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08A44B9B">
      <w:pPr>
        <w:pStyle w:val="28"/>
        <w:pageBreakBefore w:val="0"/>
        <w:kinsoku/>
        <w:wordWrap w:val="0"/>
        <w:topLinePunct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投诉人于年月日，向提出质疑，质疑事项为：</w:t>
      </w:r>
    </w:p>
    <w:p w14:paraId="4F458E64">
      <w:pPr>
        <w:pStyle w:val="28"/>
        <w:pageBreakBefore w:val="0"/>
        <w:kinsoku/>
        <w:wordWrap w:val="0"/>
        <w:topLinePunct w:val="0"/>
        <w:spacing w:line="360" w:lineRule="auto"/>
        <w:ind w:firstLine="241"/>
        <w:rPr>
          <w:rFonts w:hAnsi="宋体"/>
          <w:bCs/>
          <w:color w:val="auto"/>
          <w:sz w:val="24"/>
          <w:szCs w:val="24"/>
          <w:highlight w:val="none"/>
          <w:u w:val="single"/>
        </w:rPr>
      </w:pPr>
    </w:p>
    <w:p w14:paraId="5EE44A07">
      <w:pPr>
        <w:pStyle w:val="28"/>
        <w:pageBreakBefore w:val="0"/>
        <w:kinsoku/>
        <w:wordWrap w:val="0"/>
        <w:topLinePunct w:val="0"/>
        <w:spacing w:line="360" w:lineRule="auto"/>
        <w:ind w:firstLine="241"/>
        <w:rPr>
          <w:rFonts w:hAnsi="宋体"/>
          <w:bCs/>
          <w:color w:val="auto"/>
          <w:sz w:val="24"/>
          <w:szCs w:val="24"/>
          <w:highlight w:val="none"/>
          <w:u w:val="single"/>
        </w:rPr>
      </w:pPr>
    </w:p>
    <w:p w14:paraId="33FAF45B">
      <w:pPr>
        <w:pStyle w:val="28"/>
        <w:pageBreakBefore w:val="0"/>
        <w:kinsoku/>
        <w:wordWrap w:val="0"/>
        <w:topLinePunct w:val="0"/>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rPr>
        <w:t>年月日，</w:t>
      </w:r>
      <w:r>
        <w:rPr>
          <w:rFonts w:hint="eastAsia" w:hAnsi="宋体"/>
          <w:bCs/>
          <w:color w:val="auto"/>
          <w:sz w:val="24"/>
          <w:szCs w:val="24"/>
          <w:highlight w:val="none"/>
        </w:rPr>
        <w:t xml:space="preserve">就质疑事项作出了答复/没有在法定期限内作出答复。                                                                                             </w:t>
      </w:r>
    </w:p>
    <w:p w14:paraId="4C5973C1">
      <w:pPr>
        <w:pStyle w:val="28"/>
        <w:pageBreakBefore w:val="0"/>
        <w:kinsoku/>
        <w:wordWrap w:val="0"/>
        <w:topLinePunct w:val="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5AF215FB">
      <w:pPr>
        <w:pStyle w:val="28"/>
        <w:pageBreakBefore w:val="0"/>
        <w:kinsoku/>
        <w:wordWrap w:val="0"/>
        <w:topLinePunct w:val="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p>
    <w:p w14:paraId="66393B15">
      <w:pPr>
        <w:pStyle w:val="28"/>
        <w:pageBreakBefore w:val="0"/>
        <w:kinsoku/>
        <w:wordWrap w:val="0"/>
        <w:topLinePunct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p>
    <w:p w14:paraId="6929503C">
      <w:pPr>
        <w:pStyle w:val="28"/>
        <w:pageBreakBefore w:val="0"/>
        <w:kinsoku/>
        <w:wordWrap w:val="0"/>
        <w:topLinePunct w:val="0"/>
        <w:spacing w:line="360" w:lineRule="auto"/>
        <w:ind w:left="25" w:leftChars="12" w:firstLine="472" w:firstLineChars="197"/>
        <w:rPr>
          <w:rFonts w:hAnsi="宋体"/>
          <w:color w:val="auto"/>
          <w:sz w:val="24"/>
          <w:szCs w:val="24"/>
          <w:highlight w:val="none"/>
        </w:rPr>
      </w:pPr>
    </w:p>
    <w:p w14:paraId="164E4523">
      <w:pPr>
        <w:pStyle w:val="28"/>
        <w:pageBreakBefore w:val="0"/>
        <w:kinsoku/>
        <w:wordWrap w:val="0"/>
        <w:topLinePunct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p>
    <w:p w14:paraId="682EBCCA">
      <w:pPr>
        <w:pStyle w:val="28"/>
        <w:pageBreakBefore w:val="0"/>
        <w:kinsoku/>
        <w:wordWrap w:val="0"/>
        <w:topLinePunct w:val="0"/>
        <w:spacing w:line="360" w:lineRule="auto"/>
        <w:ind w:left="25" w:leftChars="12" w:firstLine="352" w:firstLineChars="147"/>
        <w:rPr>
          <w:rFonts w:hAnsi="宋体"/>
          <w:bCs/>
          <w:color w:val="auto"/>
          <w:sz w:val="24"/>
          <w:szCs w:val="24"/>
          <w:highlight w:val="none"/>
          <w:u w:val="single"/>
        </w:rPr>
      </w:pPr>
    </w:p>
    <w:p w14:paraId="5B49EBB7">
      <w:pPr>
        <w:pStyle w:val="28"/>
        <w:pageBreakBefore w:val="0"/>
        <w:kinsoku/>
        <w:wordWrap w:val="0"/>
        <w:topLinePunct w:val="0"/>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p>
    <w:p w14:paraId="02BE5966">
      <w:pPr>
        <w:pStyle w:val="28"/>
        <w:pageBreakBefore w:val="0"/>
        <w:kinsoku/>
        <w:wordWrap w:val="0"/>
        <w:topLinePunct w:val="0"/>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07E95C55">
      <w:pPr>
        <w:pStyle w:val="28"/>
        <w:pageBreakBefore w:val="0"/>
        <w:kinsoku/>
        <w:wordWrap w:val="0"/>
        <w:topLinePunct w:val="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004F242E">
      <w:pPr>
        <w:pStyle w:val="28"/>
        <w:pageBreakBefore w:val="0"/>
        <w:kinsoku/>
        <w:wordWrap w:val="0"/>
        <w:topLinePunct w:val="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p>
    <w:p w14:paraId="375424CD">
      <w:pPr>
        <w:pStyle w:val="28"/>
        <w:pageBreakBefore w:val="0"/>
        <w:kinsoku/>
        <w:wordWrap w:val="0"/>
        <w:topLinePunct w:val="0"/>
        <w:spacing w:line="360" w:lineRule="auto"/>
        <w:ind w:left="25" w:leftChars="12" w:firstLine="352" w:firstLineChars="147"/>
        <w:rPr>
          <w:rFonts w:hAnsi="宋体"/>
          <w:color w:val="auto"/>
          <w:sz w:val="24"/>
          <w:szCs w:val="24"/>
          <w:highlight w:val="none"/>
        </w:rPr>
      </w:pPr>
    </w:p>
    <w:p w14:paraId="79CC807F">
      <w:pPr>
        <w:pStyle w:val="28"/>
        <w:pageBreakBefore w:val="0"/>
        <w:kinsoku/>
        <w:wordWrap w:val="0"/>
        <w:topLinePunct w:val="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6FEAC56C">
      <w:pPr>
        <w:pStyle w:val="28"/>
        <w:pageBreakBefore w:val="0"/>
        <w:kinsoku/>
        <w:wordWrap w:val="0"/>
        <w:topLinePunct w:val="0"/>
        <w:spacing w:line="360" w:lineRule="auto"/>
        <w:ind w:left="25" w:leftChars="12" w:firstLine="352" w:firstLineChars="147"/>
        <w:rPr>
          <w:rFonts w:hAnsi="宋体"/>
          <w:color w:val="auto"/>
          <w:sz w:val="24"/>
          <w:szCs w:val="24"/>
          <w:highlight w:val="none"/>
        </w:rPr>
      </w:pPr>
    </w:p>
    <w:p w14:paraId="1E52C2C3">
      <w:pPr>
        <w:pStyle w:val="28"/>
        <w:pageBreakBefore w:val="0"/>
        <w:kinsoku/>
        <w:wordWrap w:val="0"/>
        <w:topLinePunct w:val="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5D012AA3">
      <w:pPr>
        <w:pStyle w:val="28"/>
        <w:pageBreakBefore w:val="0"/>
        <w:kinsoku/>
        <w:wordWrap w:val="0"/>
        <w:topLinePunct w:val="0"/>
        <w:spacing w:line="360" w:lineRule="auto"/>
        <w:ind w:left="25" w:leftChars="12" w:firstLine="475" w:firstLineChars="197"/>
        <w:rPr>
          <w:rFonts w:hAnsi="宋体"/>
          <w:b/>
          <w:color w:val="auto"/>
          <w:sz w:val="24"/>
          <w:szCs w:val="24"/>
          <w:highlight w:val="none"/>
        </w:rPr>
      </w:pPr>
    </w:p>
    <w:p w14:paraId="44634DFA">
      <w:pPr>
        <w:pStyle w:val="28"/>
        <w:pageBreakBefore w:val="0"/>
        <w:kinsoku/>
        <w:wordWrap w:val="0"/>
        <w:topLinePunct w:val="0"/>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4AEF0F50">
      <w:pPr>
        <w:pStyle w:val="28"/>
        <w:pageBreakBefore w:val="0"/>
        <w:kinsoku/>
        <w:wordWrap w:val="0"/>
        <w:topLinePunct w:val="0"/>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99AB0B7">
      <w:pPr>
        <w:pStyle w:val="28"/>
        <w:pageBreakBefore w:val="0"/>
        <w:kinsoku/>
        <w:wordWrap w:val="0"/>
        <w:topLinePunct w:val="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DA74E12">
      <w:pPr>
        <w:pStyle w:val="28"/>
        <w:pageBreakBefore w:val="0"/>
        <w:kinsoku/>
        <w:wordWrap w:val="0"/>
        <w:topLinePunct w:val="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1C680F47">
      <w:pPr>
        <w:pStyle w:val="28"/>
        <w:pageBreakBefore w:val="0"/>
        <w:kinsoku/>
        <w:wordWrap w:val="0"/>
        <w:topLinePunct w:val="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9A536EA">
      <w:pPr>
        <w:pStyle w:val="28"/>
        <w:pageBreakBefore w:val="0"/>
        <w:kinsoku/>
        <w:wordWrap w:val="0"/>
        <w:topLinePunct w:val="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6D9B6C1">
      <w:pPr>
        <w:pStyle w:val="28"/>
        <w:pageBreakBefore w:val="0"/>
        <w:kinsoku/>
        <w:wordWrap w:val="0"/>
        <w:topLinePunct w:val="0"/>
        <w:spacing w:line="360" w:lineRule="auto"/>
        <w:ind w:left="25" w:leftChars="12" w:firstLine="354" w:firstLineChars="147"/>
        <w:rPr>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bookmarkStart w:id="60" w:name="_Toc74323461"/>
    </w:p>
    <w:p w14:paraId="60DCC4F5">
      <w:pPr>
        <w:pStyle w:val="3"/>
        <w:pageBreakBefore w:val="0"/>
        <w:numPr>
          <w:ilvl w:val="0"/>
          <w:numId w:val="0"/>
        </w:numPr>
        <w:kinsoku/>
        <w:wordWrap w:val="0"/>
        <w:topLinePunct w:val="0"/>
        <w:jc w:val="center"/>
        <w:rPr>
          <w:rFonts w:eastAsia="宋体"/>
          <w:bCs/>
          <w:color w:val="auto"/>
          <w:highlight w:val="none"/>
        </w:rPr>
      </w:pPr>
    </w:p>
    <w:p w14:paraId="5AD2B2F8">
      <w:pPr>
        <w:pStyle w:val="3"/>
        <w:pageBreakBefore w:val="0"/>
        <w:numPr>
          <w:ilvl w:val="0"/>
          <w:numId w:val="0"/>
        </w:numPr>
        <w:kinsoku/>
        <w:wordWrap w:val="0"/>
        <w:topLinePunct w:val="0"/>
        <w:jc w:val="center"/>
        <w:rPr>
          <w:rFonts w:eastAsia="宋体"/>
          <w:bCs/>
          <w:color w:val="auto"/>
          <w:highlight w:val="none"/>
        </w:rPr>
      </w:pPr>
      <w:bookmarkStart w:id="61" w:name="_Toc29222"/>
      <w:bookmarkStart w:id="62" w:name="_Toc18374"/>
      <w:r>
        <w:rPr>
          <w:rFonts w:hint="eastAsia" w:eastAsia="宋体"/>
          <w:bCs/>
          <w:color w:val="auto"/>
          <w:highlight w:val="none"/>
        </w:rPr>
        <w:t xml:space="preserve">第七章 </w:t>
      </w:r>
      <w:bookmarkEnd w:id="60"/>
      <w:r>
        <w:rPr>
          <w:rFonts w:hint="eastAsia" w:eastAsia="宋体"/>
          <w:bCs/>
          <w:color w:val="auto"/>
          <w:highlight w:val="none"/>
        </w:rPr>
        <w:t>合同文本</w:t>
      </w:r>
      <w:bookmarkEnd w:id="61"/>
      <w:bookmarkEnd w:id="62"/>
    </w:p>
    <w:bookmarkEnd w:id="43"/>
    <w:bookmarkEnd w:id="47"/>
    <w:bookmarkEnd w:id="48"/>
    <w:p w14:paraId="1E3BC8DB">
      <w:pPr>
        <w:pStyle w:val="28"/>
        <w:pageBreakBefore w:val="0"/>
        <w:kinsoku/>
        <w:wordWrap w:val="0"/>
        <w:topLinePunct w:val="0"/>
        <w:spacing w:line="360" w:lineRule="auto"/>
        <w:jc w:val="center"/>
        <w:rPr>
          <w:rFonts w:hAnsi="宋体"/>
          <w:b/>
          <w:bCs/>
          <w:color w:val="auto"/>
          <w:sz w:val="30"/>
          <w:szCs w:val="30"/>
          <w:highlight w:val="none"/>
        </w:rPr>
      </w:pPr>
      <w:r>
        <w:rPr>
          <w:rFonts w:hint="eastAsia" w:hAnsi="宋体" w:cs="黑体"/>
          <w:b/>
          <w:bCs/>
          <w:color w:val="auto"/>
          <w:kern w:val="44"/>
          <w:sz w:val="30"/>
          <w:szCs w:val="30"/>
          <w:highlight w:val="none"/>
          <w:lang w:val="zh-CN"/>
        </w:rPr>
        <w:t>第一部分合同协议书</w:t>
      </w:r>
    </w:p>
    <w:p w14:paraId="12C71C66">
      <w:pPr>
        <w:pageBreakBefore w:val="0"/>
        <w:kinsoku/>
        <w:wordWrap w:val="0"/>
        <w:topLinePunct w:val="0"/>
        <w:rPr>
          <w:rFonts w:ascii="宋体" w:hAnsi="宋体"/>
          <w:color w:val="auto"/>
          <w:szCs w:val="22"/>
          <w:highlight w:val="none"/>
        </w:rPr>
      </w:pPr>
      <w:bookmarkStart w:id="63" w:name="EBf5d8882b67eb450294403d6d9eac2034"/>
    </w:p>
    <w:p w14:paraId="4C5F9E0F">
      <w:pPr>
        <w:pageBreakBefore w:val="0"/>
        <w:kinsoku/>
        <w:wordWrap w:val="0"/>
        <w:topLinePunct w:val="0"/>
        <w:spacing w:line="360" w:lineRule="auto"/>
        <w:rPr>
          <w:rFonts w:ascii="宋体" w:hAnsi="宋体"/>
          <w:color w:val="auto"/>
          <w:highlight w:val="none"/>
          <w:u w:val="single"/>
        </w:rPr>
      </w:pPr>
      <w:r>
        <w:rPr>
          <w:rFonts w:hint="eastAsia" w:ascii="宋体" w:hAnsi="宋体" w:cs="宋体"/>
          <w:color w:val="auto"/>
          <w:highlight w:val="none"/>
        </w:rPr>
        <w:t>发包人（全称）：</w:t>
      </w:r>
    </w:p>
    <w:p w14:paraId="19633DF4">
      <w:pPr>
        <w:pageBreakBefore w:val="0"/>
        <w:kinsoku/>
        <w:wordWrap w:val="0"/>
        <w:topLinePunct w:val="0"/>
        <w:spacing w:line="360" w:lineRule="auto"/>
        <w:rPr>
          <w:rFonts w:ascii="宋体" w:hAnsi="宋体"/>
          <w:color w:val="auto"/>
          <w:highlight w:val="none"/>
          <w:u w:val="single"/>
        </w:rPr>
      </w:pPr>
      <w:r>
        <w:rPr>
          <w:rFonts w:hint="eastAsia" w:ascii="宋体" w:hAnsi="宋体" w:cs="宋体"/>
          <w:color w:val="auto"/>
          <w:highlight w:val="none"/>
        </w:rPr>
        <w:t>承包人（全称）：</w:t>
      </w:r>
    </w:p>
    <w:p w14:paraId="6FC6C6E8">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根据《中华人民共和国民法典》、《中华人民共和国建筑法》及有关法律规定，遵循平等、自愿、公平和诚实信用的原则，双方就</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u w:val="single"/>
          <w:lang w:eastAsia="zh-CN"/>
        </w:rPr>
        <w:t>广西城市建设学校本部校区教学楼、宿舍楼等改造工程</w:t>
      </w:r>
      <w:r>
        <w:rPr>
          <w:rFonts w:hint="eastAsia" w:asciiTheme="minorEastAsia" w:hAnsiTheme="minorEastAsia" w:eastAsiaTheme="minorEastAsia"/>
          <w:color w:val="auto"/>
          <w:highlight w:val="none"/>
          <w:u w:val="single"/>
        </w:rPr>
        <w:t xml:space="preserve">  </w:t>
      </w:r>
      <w:r>
        <w:rPr>
          <w:rFonts w:hint="eastAsia" w:ascii="宋体" w:hAnsi="宋体" w:cs="宋体"/>
          <w:color w:val="auto"/>
          <w:highlight w:val="none"/>
        </w:rPr>
        <w:t>及有关事项协商一致，共同达成如下协议：</w:t>
      </w:r>
      <w:bookmarkStart w:id="64" w:name="_Toc351203481"/>
    </w:p>
    <w:p w14:paraId="7F42663A">
      <w:pPr>
        <w:pageBreakBefore w:val="0"/>
        <w:kinsoku/>
        <w:wordWrap w:val="0"/>
        <w:topLinePunct w:val="0"/>
        <w:spacing w:line="360" w:lineRule="auto"/>
        <w:ind w:firstLine="422" w:firstLineChars="200"/>
        <w:outlineLvl w:val="0"/>
        <w:rPr>
          <w:rFonts w:ascii="宋体" w:hAnsi="宋体"/>
          <w:b/>
          <w:bCs/>
          <w:color w:val="auto"/>
          <w:highlight w:val="none"/>
        </w:rPr>
      </w:pPr>
      <w:bookmarkStart w:id="65" w:name="_Toc2977"/>
      <w:bookmarkStart w:id="66" w:name="_Toc6465"/>
      <w:bookmarkStart w:id="67" w:name="_Toc11959"/>
      <w:bookmarkStart w:id="68" w:name="_Toc26369"/>
      <w:bookmarkStart w:id="69" w:name="_Toc2078"/>
      <w:r>
        <w:rPr>
          <w:rFonts w:hint="eastAsia" w:ascii="宋体" w:hAnsi="宋体" w:cs="宋体"/>
          <w:b/>
          <w:bCs/>
          <w:color w:val="auto"/>
          <w:highlight w:val="none"/>
        </w:rPr>
        <w:t>一、工程概况</w:t>
      </w:r>
      <w:bookmarkEnd w:id="64"/>
      <w:bookmarkEnd w:id="65"/>
      <w:bookmarkEnd w:id="66"/>
      <w:bookmarkEnd w:id="67"/>
      <w:bookmarkEnd w:id="68"/>
      <w:bookmarkEnd w:id="69"/>
    </w:p>
    <w:p w14:paraId="35C34AEA">
      <w:pPr>
        <w:pageBreakBefore w:val="0"/>
        <w:kinsoku/>
        <w:wordWrap w:val="0"/>
        <w:topLinePunct w:val="0"/>
        <w:spacing w:line="360" w:lineRule="auto"/>
        <w:ind w:firstLine="411" w:firstLineChars="196"/>
        <w:rPr>
          <w:rFonts w:ascii="宋体" w:hAnsi="宋体"/>
          <w:color w:val="auto"/>
          <w:highlight w:val="none"/>
          <w:u w:val="single"/>
        </w:rPr>
      </w:pPr>
      <w:r>
        <w:rPr>
          <w:rFonts w:ascii="宋体" w:hAnsi="宋体"/>
          <w:color w:val="auto"/>
          <w:highlight w:val="none"/>
        </w:rPr>
        <w:t xml:space="preserve">1. </w:t>
      </w:r>
      <w:r>
        <w:rPr>
          <w:rFonts w:hint="eastAsia" w:ascii="宋体" w:hAnsi="宋体" w:cs="宋体"/>
          <w:color w:val="auto"/>
          <w:highlight w:val="none"/>
        </w:rPr>
        <w:t>工程名称：</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u w:val="single"/>
          <w:lang w:eastAsia="zh-CN"/>
        </w:rPr>
        <w:t>广西城市建设学校本部校区教学楼、宿舍楼等改造工程</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24E1C10A">
      <w:pPr>
        <w:pageBreakBefore w:val="0"/>
        <w:kinsoku/>
        <w:wordWrap w:val="0"/>
        <w:topLinePunct w:val="0"/>
        <w:spacing w:line="360" w:lineRule="auto"/>
        <w:ind w:firstLine="411" w:firstLineChars="196"/>
        <w:rPr>
          <w:rFonts w:ascii="宋体" w:hAnsi="宋体"/>
          <w:color w:val="auto"/>
          <w:highlight w:val="none"/>
        </w:rPr>
      </w:pPr>
      <w:r>
        <w:rPr>
          <w:rFonts w:ascii="宋体" w:hAnsi="宋体"/>
          <w:color w:val="auto"/>
          <w:highlight w:val="none"/>
        </w:rPr>
        <w:t xml:space="preserve">2. </w:t>
      </w:r>
      <w:r>
        <w:rPr>
          <w:rFonts w:hint="eastAsia" w:ascii="宋体" w:hAnsi="宋体" w:cs="宋体"/>
          <w:color w:val="auto"/>
          <w:highlight w:val="none"/>
        </w:rPr>
        <w:t>工程地点:</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u w:val="single"/>
          <w:lang w:eastAsia="zh-CN"/>
        </w:rPr>
        <w:t>广西城市建设学校本部校区内</w:t>
      </w:r>
      <w:r>
        <w:rPr>
          <w:rFonts w:hint="eastAsia" w:asciiTheme="minorEastAsia" w:hAnsiTheme="minorEastAsia" w:eastAsiaTheme="minorEastAsia"/>
          <w:color w:val="auto"/>
          <w:highlight w:val="none"/>
          <w:u w:val="single"/>
        </w:rPr>
        <w:t xml:space="preserve">   。</w:t>
      </w:r>
    </w:p>
    <w:p w14:paraId="4B2D9D88">
      <w:pPr>
        <w:pageBreakBefore w:val="0"/>
        <w:kinsoku/>
        <w:wordWrap w:val="0"/>
        <w:topLinePunct w:val="0"/>
        <w:spacing w:line="360" w:lineRule="auto"/>
        <w:ind w:firstLine="411" w:firstLineChars="196"/>
        <w:rPr>
          <w:rFonts w:cs="Arial" w:asciiTheme="minorEastAsia" w:hAnsiTheme="minorEastAsia" w:eastAsiaTheme="minorEastAsia"/>
          <w:color w:val="auto"/>
          <w:kern w:val="0"/>
          <w:highlight w:val="none"/>
          <w:u w:val="single"/>
        </w:rPr>
      </w:pPr>
      <w:r>
        <w:rPr>
          <w:rFonts w:ascii="宋体" w:hAnsi="宋体"/>
          <w:color w:val="auto"/>
          <w:highlight w:val="none"/>
        </w:rPr>
        <w:t xml:space="preserve">3. </w:t>
      </w:r>
      <w:r>
        <w:rPr>
          <w:rFonts w:hint="eastAsia" w:ascii="宋体" w:hAnsi="宋体" w:cs="宋体"/>
          <w:color w:val="auto"/>
          <w:highlight w:val="none"/>
        </w:rPr>
        <w:t>工程立项批准文号：</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olor w:val="auto"/>
          <w:kern w:val="0"/>
          <w:highlight w:val="none"/>
        </w:rPr>
        <w:t>。</w:t>
      </w:r>
    </w:p>
    <w:p w14:paraId="4406F7C2">
      <w:pPr>
        <w:pageBreakBefore w:val="0"/>
        <w:kinsoku/>
        <w:wordWrap w:val="0"/>
        <w:topLinePunct w:val="0"/>
        <w:spacing w:line="360" w:lineRule="auto"/>
        <w:ind w:firstLine="411" w:firstLineChars="196"/>
        <w:rPr>
          <w:rFonts w:ascii="宋体" w:hAnsi="宋体"/>
          <w:color w:val="auto"/>
          <w:highlight w:val="none"/>
        </w:rPr>
      </w:pPr>
      <w:r>
        <w:rPr>
          <w:rFonts w:ascii="宋体" w:hAnsi="宋体"/>
          <w:color w:val="auto"/>
          <w:highlight w:val="none"/>
        </w:rPr>
        <w:t xml:space="preserve">4. </w:t>
      </w:r>
      <w:r>
        <w:rPr>
          <w:rFonts w:hint="eastAsia" w:ascii="宋体" w:hAnsi="宋体" w:cs="宋体"/>
          <w:color w:val="auto"/>
          <w:highlight w:val="none"/>
        </w:rPr>
        <w:t>资金来源：</w:t>
      </w:r>
      <w:r>
        <w:rPr>
          <w:rFonts w:hint="eastAsia" w:asciiTheme="minorEastAsia" w:hAnsiTheme="minorEastAsia" w:eastAsiaTheme="minorEastAsia"/>
          <w:color w:val="auto"/>
          <w:highlight w:val="none"/>
          <w:u w:val="single"/>
        </w:rPr>
        <w:t xml:space="preserve"> </w:t>
      </w:r>
      <w:r>
        <w:rPr>
          <w:rFonts w:hint="eastAsia" w:asciiTheme="minorEastAsia" w:hAnsiTheme="minorEastAsia" w:eastAsiaTheme="minorEastAsia"/>
          <w:color w:val="auto"/>
          <w:highlight w:val="none"/>
          <w:u w:val="single"/>
          <w:lang w:val="en-US" w:eastAsia="zh-CN"/>
        </w:rPr>
        <w:t>财政资金</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52DD4CD5">
      <w:pPr>
        <w:pageBreakBefore w:val="0"/>
        <w:kinsoku/>
        <w:wordWrap w:val="0"/>
        <w:topLinePunct w:val="0"/>
        <w:spacing w:line="360" w:lineRule="auto"/>
        <w:ind w:firstLine="411" w:firstLineChars="196"/>
        <w:rPr>
          <w:rFonts w:hint="eastAsia" w:ascii="宋体" w:hAnsi="宋体" w:cs="宋体"/>
          <w:color w:val="auto"/>
          <w:highlight w:val="none"/>
          <w:u w:val="single"/>
          <w:lang w:eastAsia="zh-CN"/>
        </w:rPr>
      </w:pPr>
      <w:r>
        <w:rPr>
          <w:rFonts w:ascii="宋体" w:hAnsi="宋体"/>
          <w:color w:val="auto"/>
          <w:highlight w:val="none"/>
        </w:rPr>
        <w:t xml:space="preserve">5. </w:t>
      </w:r>
      <w:r>
        <w:rPr>
          <w:rFonts w:hint="eastAsia" w:ascii="宋体" w:hAnsi="宋体" w:cs="宋体"/>
          <w:color w:val="auto"/>
          <w:highlight w:val="none"/>
        </w:rPr>
        <w:t>工程内容：</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拟对办公实验楼、教学楼及宿舍楼进行翻新改造，具体如下:</w:t>
      </w:r>
    </w:p>
    <w:p w14:paraId="6A5CCAB1">
      <w:pPr>
        <w:pageBreakBefore w:val="0"/>
        <w:kinsoku/>
        <w:wordWrap w:val="0"/>
        <w:topLinePunct w:val="0"/>
        <w:spacing w:line="360" w:lineRule="auto"/>
        <w:ind w:firstLine="411" w:firstLineChars="196"/>
        <w:rPr>
          <w:rFonts w:hint="eastAsia" w:ascii="宋体" w:hAnsi="宋体" w:cs="宋体"/>
          <w:color w:val="auto"/>
          <w:highlight w:val="none"/>
          <w:u w:val="single"/>
          <w:lang w:eastAsia="zh-CN"/>
        </w:rPr>
      </w:pPr>
      <w:r>
        <w:rPr>
          <w:rFonts w:hint="eastAsia" w:ascii="宋体" w:hAnsi="宋体" w:cs="宋体"/>
          <w:color w:val="auto"/>
          <w:highlight w:val="none"/>
          <w:u w:val="single"/>
          <w:lang w:eastAsia="zh-CN"/>
        </w:rPr>
        <w:t>(一)办公实验楼改造工程。改造面积1241.18m，主要内容包括楼地面和教室墙裙贴瓷砖、翻新栏板顶涂料、教室木门更换为钢质门等。</w:t>
      </w:r>
    </w:p>
    <w:p w14:paraId="169F4C99">
      <w:pPr>
        <w:pageBreakBefore w:val="0"/>
        <w:kinsoku/>
        <w:wordWrap w:val="0"/>
        <w:topLinePunct w:val="0"/>
        <w:spacing w:line="360" w:lineRule="auto"/>
        <w:ind w:firstLine="411" w:firstLineChars="196"/>
        <w:rPr>
          <w:rFonts w:hint="eastAsia" w:ascii="宋体" w:hAnsi="宋体" w:cs="宋体"/>
          <w:color w:val="auto"/>
          <w:highlight w:val="none"/>
          <w:u w:val="single"/>
          <w:lang w:eastAsia="zh-CN"/>
        </w:rPr>
      </w:pPr>
      <w:r>
        <w:rPr>
          <w:rFonts w:hint="eastAsia" w:ascii="宋体" w:hAnsi="宋体" w:cs="宋体"/>
          <w:color w:val="auto"/>
          <w:highlight w:val="none"/>
          <w:u w:val="single"/>
          <w:lang w:eastAsia="zh-CN"/>
        </w:rPr>
        <w:t>(二)教学楼改造工程。改造面积5771.29m，主要内容包括楼地面铺贴瓷砖、修补走廊墙裙瓷砖、教室木门更换为钢质门等。</w:t>
      </w:r>
    </w:p>
    <w:p w14:paraId="354EB1EB">
      <w:pPr>
        <w:pageBreakBefore w:val="0"/>
        <w:kinsoku/>
        <w:wordWrap w:val="0"/>
        <w:topLinePunct w:val="0"/>
        <w:spacing w:line="360" w:lineRule="auto"/>
        <w:ind w:firstLine="411" w:firstLineChars="196"/>
        <w:rPr>
          <w:rFonts w:ascii="宋体" w:hAnsi="宋体"/>
          <w:color w:val="auto"/>
          <w:highlight w:val="none"/>
        </w:rPr>
      </w:pPr>
      <w:r>
        <w:rPr>
          <w:rFonts w:hint="eastAsia" w:ascii="宋体" w:hAnsi="宋体" w:cs="宋体"/>
          <w:color w:val="auto"/>
          <w:highlight w:val="none"/>
          <w:u w:val="single"/>
          <w:lang w:eastAsia="zh-CN"/>
        </w:rPr>
        <w:t>(三)宿舍楼改造工程。改造面积370.32m，主要内容包括翻新卫生间防水层，修补楼面瓷砖，内墙面和天棚面刮腻子，安装防盗安全门、木门、铝合金窗，更换配电箱、灯具、开关插座、管线等。</w:t>
      </w:r>
      <w:r>
        <w:rPr>
          <w:rFonts w:hint="eastAsia" w:ascii="宋体" w:hAnsi="宋体" w:cs="宋体"/>
          <w:color w:val="auto"/>
          <w:highlight w:val="none"/>
          <w:u w:val="single"/>
        </w:rPr>
        <w:t xml:space="preserve">   </w:t>
      </w:r>
      <w:r>
        <w:rPr>
          <w:rFonts w:hint="eastAsia" w:ascii="宋体" w:hAnsi="宋体"/>
          <w:color w:val="auto"/>
          <w:kern w:val="0"/>
          <w:highlight w:val="none"/>
        </w:rPr>
        <w:t>。</w:t>
      </w:r>
    </w:p>
    <w:p w14:paraId="409FC6D1">
      <w:pPr>
        <w:pageBreakBefore w:val="0"/>
        <w:kinsoku/>
        <w:wordWrap w:val="0"/>
        <w:topLinePunct w:val="0"/>
        <w:spacing w:line="360" w:lineRule="auto"/>
        <w:ind w:firstLine="411" w:firstLineChars="196"/>
        <w:rPr>
          <w:rFonts w:ascii="宋体" w:hAnsi="宋体"/>
          <w:color w:val="auto"/>
          <w:highlight w:val="none"/>
        </w:rPr>
      </w:pPr>
      <w:r>
        <w:rPr>
          <w:rFonts w:hint="eastAsia" w:ascii="宋体" w:hAnsi="宋体" w:cs="宋体"/>
          <w:color w:val="auto"/>
          <w:highlight w:val="none"/>
        </w:rPr>
        <w:t>群体工程应附《承包人承揽工程项目一览表》（附件</w:t>
      </w:r>
      <w:r>
        <w:rPr>
          <w:rFonts w:ascii="宋体" w:hAnsi="宋体"/>
          <w:color w:val="auto"/>
          <w:highlight w:val="none"/>
        </w:rPr>
        <w:t>1</w:t>
      </w:r>
      <w:r>
        <w:rPr>
          <w:rFonts w:hint="eastAsia" w:ascii="宋体" w:hAnsi="宋体" w:cs="宋体"/>
          <w:color w:val="auto"/>
          <w:highlight w:val="none"/>
        </w:rPr>
        <w:t>）。</w:t>
      </w:r>
    </w:p>
    <w:p w14:paraId="555E0A17">
      <w:pPr>
        <w:pageBreakBefore w:val="0"/>
        <w:kinsoku/>
        <w:wordWrap w:val="0"/>
        <w:topLinePunct w:val="0"/>
        <w:spacing w:line="360" w:lineRule="auto"/>
        <w:ind w:firstLine="411" w:firstLineChars="196"/>
        <w:rPr>
          <w:rFonts w:ascii="宋体" w:hAnsi="宋体"/>
          <w:color w:val="auto"/>
          <w:highlight w:val="none"/>
        </w:rPr>
      </w:pPr>
      <w:r>
        <w:rPr>
          <w:rFonts w:ascii="宋体" w:hAnsi="宋体"/>
          <w:color w:val="auto"/>
          <w:highlight w:val="none"/>
        </w:rPr>
        <w:t xml:space="preserve">6. </w:t>
      </w:r>
      <w:r>
        <w:rPr>
          <w:rFonts w:hint="eastAsia" w:ascii="宋体" w:hAnsi="宋体" w:cs="宋体"/>
          <w:color w:val="auto"/>
          <w:highlight w:val="none"/>
        </w:rPr>
        <w:t>工程承包范围：</w:t>
      </w:r>
      <w:r>
        <w:rPr>
          <w:rFonts w:hint="eastAsia" w:ascii="宋体" w:hAnsi="宋体" w:cs="宋体"/>
          <w:color w:val="auto"/>
          <w:highlight w:val="none"/>
          <w:u w:val="single"/>
        </w:rPr>
        <w:t xml:space="preserve"> </w:t>
      </w:r>
      <w:r>
        <w:rPr>
          <w:rFonts w:hint="eastAsia" w:asciiTheme="minorEastAsia" w:hAnsiTheme="minorEastAsia" w:eastAsiaTheme="minorEastAsia"/>
          <w:color w:val="auto"/>
          <w:highlight w:val="none"/>
          <w:u w:val="single"/>
          <w:lang w:eastAsia="zh-CN"/>
        </w:rPr>
        <w:t>广西城市建设学校本部校区教学楼、宿舍楼等改造工程</w:t>
      </w:r>
      <w:r>
        <w:rPr>
          <w:rFonts w:hint="eastAsia" w:asciiTheme="minorEastAsia" w:hAnsiTheme="minorEastAsia" w:eastAsiaTheme="minorEastAsia"/>
          <w:color w:val="auto"/>
          <w:highlight w:val="none"/>
          <w:u w:val="single"/>
          <w:lang w:val="en-US" w:eastAsia="zh-CN"/>
        </w:rPr>
        <w:t>项目施工图和工程量清单包含的全部内容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4EA2EF">
      <w:pPr>
        <w:pageBreakBefore w:val="0"/>
        <w:kinsoku/>
        <w:wordWrap w:val="0"/>
        <w:topLinePunct w:val="0"/>
        <w:spacing w:line="360" w:lineRule="auto"/>
        <w:ind w:firstLine="407" w:firstLineChars="193"/>
        <w:outlineLvl w:val="0"/>
        <w:rPr>
          <w:rFonts w:ascii="宋体" w:hAnsi="宋体"/>
          <w:b/>
          <w:bCs/>
          <w:color w:val="auto"/>
          <w:highlight w:val="none"/>
        </w:rPr>
      </w:pPr>
      <w:bookmarkStart w:id="70" w:name="_Toc27712"/>
      <w:bookmarkStart w:id="71" w:name="_Toc32316"/>
      <w:bookmarkStart w:id="72" w:name="_Toc6390"/>
      <w:bookmarkStart w:id="73" w:name="_Toc29421"/>
      <w:bookmarkStart w:id="74" w:name="_Toc351203482"/>
      <w:bookmarkStart w:id="75" w:name="_Toc5593"/>
      <w:r>
        <w:rPr>
          <w:rFonts w:hint="eastAsia" w:ascii="宋体" w:hAnsi="宋体" w:cs="宋体"/>
          <w:b/>
          <w:bCs/>
          <w:color w:val="auto"/>
          <w:highlight w:val="none"/>
        </w:rPr>
        <w:t>二、合同工期</w:t>
      </w:r>
      <w:bookmarkEnd w:id="70"/>
      <w:bookmarkEnd w:id="71"/>
      <w:bookmarkEnd w:id="72"/>
      <w:bookmarkEnd w:id="73"/>
      <w:bookmarkEnd w:id="74"/>
      <w:bookmarkEnd w:id="75"/>
    </w:p>
    <w:p w14:paraId="1F3963CE">
      <w:pPr>
        <w:pageBreakBefore w:val="0"/>
        <w:kinsoku/>
        <w:wordWrap w:val="0"/>
        <w:topLinePunct w:val="0"/>
        <w:spacing w:line="360" w:lineRule="auto"/>
        <w:ind w:firstLine="459"/>
        <w:rPr>
          <w:rFonts w:ascii="宋体" w:hAnsi="宋体"/>
          <w:color w:val="auto"/>
          <w:highlight w:val="none"/>
        </w:rPr>
      </w:pPr>
      <w:r>
        <w:rPr>
          <w:rFonts w:hint="eastAsia" w:ascii="宋体" w:hAnsi="宋体" w:cs="宋体"/>
          <w:color w:val="auto"/>
          <w:highlight w:val="none"/>
        </w:rPr>
        <w:t>计划开工日期：</w:t>
      </w:r>
      <w:r>
        <w:rPr>
          <w:rFonts w:hint="eastAsia" w:asciiTheme="minorEastAsia" w:hAnsiTheme="minorEastAsia" w:eastAsiaTheme="minorEastAsia"/>
          <w:color w:val="auto"/>
          <w:highlight w:val="none"/>
          <w:u w:val="single"/>
        </w:rPr>
        <w:t xml:space="preserve">        </w:t>
      </w:r>
      <w:r>
        <w:rPr>
          <w:rFonts w:hint="eastAsia" w:ascii="宋体" w:hAnsi="宋体"/>
          <w:color w:val="auto"/>
          <w:highlight w:val="none"/>
        </w:rPr>
        <w:t>年</w:t>
      </w:r>
      <w:r>
        <w:rPr>
          <w:rFonts w:hint="eastAsia" w:asciiTheme="minorEastAsia" w:hAnsiTheme="minorEastAsia" w:eastAsiaTheme="minorEastAsia"/>
          <w:color w:val="auto"/>
          <w:highlight w:val="none"/>
          <w:u w:val="single"/>
        </w:rPr>
        <w:t xml:space="preserve">    </w:t>
      </w:r>
      <w:r>
        <w:rPr>
          <w:rFonts w:hint="eastAsia" w:ascii="宋体" w:hAnsi="宋体"/>
          <w:color w:val="auto"/>
          <w:highlight w:val="none"/>
        </w:rPr>
        <w:t>月</w:t>
      </w:r>
      <w:r>
        <w:rPr>
          <w:rFonts w:hint="eastAsia" w:asciiTheme="minorEastAsia" w:hAnsiTheme="minorEastAsia" w:eastAsiaTheme="minorEastAsia"/>
          <w:color w:val="auto"/>
          <w:highlight w:val="none"/>
          <w:u w:val="single"/>
        </w:rPr>
        <w:t xml:space="preserve">    </w:t>
      </w:r>
      <w:r>
        <w:rPr>
          <w:rFonts w:hint="eastAsia" w:ascii="宋体" w:hAnsi="宋体"/>
          <w:color w:val="auto"/>
          <w:highlight w:val="none"/>
        </w:rPr>
        <w:t>日。</w:t>
      </w:r>
      <w:r>
        <w:rPr>
          <w:rFonts w:hint="eastAsia" w:ascii="宋体" w:hAnsi="宋体" w:cs="宋体"/>
          <w:color w:val="auto"/>
          <w:highlight w:val="none"/>
        </w:rPr>
        <w:t>（具体以发包人书面通知为准）</w:t>
      </w:r>
    </w:p>
    <w:p w14:paraId="6E719408">
      <w:pPr>
        <w:pageBreakBefore w:val="0"/>
        <w:kinsoku/>
        <w:wordWrap w:val="0"/>
        <w:topLinePunct w:val="0"/>
        <w:spacing w:line="360" w:lineRule="auto"/>
        <w:ind w:firstLine="459"/>
        <w:rPr>
          <w:rFonts w:ascii="宋体" w:hAnsi="宋体"/>
          <w:color w:val="auto"/>
          <w:highlight w:val="none"/>
        </w:rPr>
      </w:pPr>
      <w:r>
        <w:rPr>
          <w:rFonts w:hint="eastAsia" w:ascii="宋体" w:hAnsi="宋体" w:cs="宋体"/>
          <w:color w:val="auto"/>
          <w:highlight w:val="none"/>
        </w:rPr>
        <w:t>计划竣工日期：</w:t>
      </w:r>
      <w:r>
        <w:rPr>
          <w:rFonts w:hint="eastAsia" w:asciiTheme="minorEastAsia" w:hAnsiTheme="minorEastAsia" w:eastAsiaTheme="minorEastAsia"/>
          <w:color w:val="auto"/>
          <w:highlight w:val="none"/>
          <w:u w:val="single"/>
        </w:rPr>
        <w:t xml:space="preserve">        </w:t>
      </w:r>
      <w:r>
        <w:rPr>
          <w:rFonts w:hint="eastAsia" w:ascii="宋体" w:hAnsi="宋体"/>
          <w:color w:val="auto"/>
          <w:highlight w:val="none"/>
        </w:rPr>
        <w:t>年</w:t>
      </w:r>
      <w:r>
        <w:rPr>
          <w:rFonts w:hint="eastAsia" w:asciiTheme="minorEastAsia" w:hAnsiTheme="minorEastAsia" w:eastAsiaTheme="minorEastAsia"/>
          <w:color w:val="auto"/>
          <w:highlight w:val="none"/>
          <w:u w:val="single"/>
        </w:rPr>
        <w:t xml:space="preserve">    </w:t>
      </w:r>
      <w:r>
        <w:rPr>
          <w:rFonts w:hint="eastAsia" w:ascii="宋体" w:hAnsi="宋体"/>
          <w:color w:val="auto"/>
          <w:highlight w:val="none"/>
        </w:rPr>
        <w:t>月</w:t>
      </w:r>
      <w:r>
        <w:rPr>
          <w:rFonts w:hint="eastAsia" w:asciiTheme="minorEastAsia" w:hAnsiTheme="minorEastAsia" w:eastAsiaTheme="minorEastAsia"/>
          <w:color w:val="auto"/>
          <w:highlight w:val="none"/>
          <w:u w:val="single"/>
        </w:rPr>
        <w:t xml:space="preserve">    </w:t>
      </w:r>
      <w:r>
        <w:rPr>
          <w:rFonts w:hint="eastAsia" w:ascii="宋体" w:hAnsi="宋体"/>
          <w:color w:val="auto"/>
          <w:highlight w:val="none"/>
        </w:rPr>
        <w:t>日</w:t>
      </w:r>
      <w:r>
        <w:rPr>
          <w:rFonts w:hint="eastAsia" w:ascii="宋体" w:hAnsi="宋体" w:cs="宋体"/>
          <w:color w:val="auto"/>
          <w:highlight w:val="none"/>
        </w:rPr>
        <w:t>。（竣工日期具体以开工令计算为准）</w:t>
      </w:r>
    </w:p>
    <w:p w14:paraId="78E0D8CB">
      <w:pPr>
        <w:pageBreakBefore w:val="0"/>
        <w:kinsoku/>
        <w:wordWrap w:val="0"/>
        <w:topLinePunct w:val="0"/>
        <w:spacing w:line="360" w:lineRule="auto"/>
        <w:ind w:firstLine="459"/>
        <w:rPr>
          <w:rFonts w:ascii="宋体" w:hAnsi="宋体"/>
          <w:color w:val="auto"/>
          <w:highlight w:val="none"/>
        </w:rPr>
      </w:pPr>
      <w:r>
        <w:rPr>
          <w:rFonts w:hint="eastAsia" w:ascii="宋体" w:hAnsi="宋体" w:cs="宋体"/>
          <w:color w:val="auto"/>
          <w:highlight w:val="none"/>
        </w:rPr>
        <w:t>工期总日历天数：</w:t>
      </w:r>
      <w:r>
        <w:rPr>
          <w:rFonts w:hint="eastAsia" w:ascii="宋体" w:hAnsi="宋体" w:cs="宋体"/>
          <w:color w:val="auto"/>
          <w:highlight w:val="none"/>
          <w:u w:val="single"/>
        </w:rPr>
        <w:t xml:space="preserve">   </w:t>
      </w:r>
      <w:r>
        <w:rPr>
          <w:rFonts w:hint="eastAsia" w:ascii="宋体" w:hAnsi="宋体" w:cs="宋体"/>
          <w:color w:val="auto"/>
          <w:highlight w:val="none"/>
        </w:rPr>
        <w:t>天。工期总日历天数与根据前述计划开竣工日期计算的工期天数不一致的，以工期总日历天数为准。</w:t>
      </w:r>
    </w:p>
    <w:p w14:paraId="3236150F">
      <w:pPr>
        <w:pageBreakBefore w:val="0"/>
        <w:kinsoku/>
        <w:wordWrap w:val="0"/>
        <w:topLinePunct w:val="0"/>
        <w:spacing w:line="360" w:lineRule="auto"/>
        <w:ind w:firstLine="459"/>
        <w:outlineLvl w:val="0"/>
        <w:rPr>
          <w:rFonts w:ascii="宋体" w:hAnsi="宋体"/>
          <w:b/>
          <w:bCs/>
          <w:color w:val="auto"/>
          <w:highlight w:val="none"/>
        </w:rPr>
      </w:pPr>
      <w:bookmarkStart w:id="76" w:name="_Toc6127"/>
      <w:bookmarkStart w:id="77" w:name="_Toc13571"/>
      <w:bookmarkStart w:id="78" w:name="_Toc21637"/>
      <w:bookmarkStart w:id="79" w:name="_Toc2340"/>
      <w:bookmarkStart w:id="80" w:name="_Toc7592"/>
      <w:bookmarkStart w:id="81" w:name="_Toc351203483"/>
      <w:r>
        <w:rPr>
          <w:rFonts w:hint="eastAsia" w:ascii="宋体" w:hAnsi="宋体" w:cs="宋体"/>
          <w:b/>
          <w:bCs/>
          <w:color w:val="auto"/>
          <w:highlight w:val="none"/>
        </w:rPr>
        <w:t>三、质量标准</w:t>
      </w:r>
      <w:bookmarkEnd w:id="76"/>
      <w:bookmarkEnd w:id="77"/>
      <w:bookmarkEnd w:id="78"/>
      <w:bookmarkEnd w:id="79"/>
      <w:bookmarkEnd w:id="80"/>
      <w:bookmarkEnd w:id="81"/>
    </w:p>
    <w:p w14:paraId="6E3B6985">
      <w:pPr>
        <w:pageBreakBefore w:val="0"/>
        <w:kinsoku/>
        <w:wordWrap w:val="0"/>
        <w:topLinePunct w:val="0"/>
        <w:spacing w:line="360" w:lineRule="auto"/>
        <w:ind w:firstLine="459"/>
        <w:rPr>
          <w:rFonts w:ascii="宋体" w:hAnsi="宋体"/>
          <w:color w:val="auto"/>
          <w:highlight w:val="none"/>
        </w:rPr>
      </w:pPr>
      <w:r>
        <w:rPr>
          <w:rFonts w:hint="eastAsia" w:ascii="宋体" w:hAnsi="宋体" w:cs="宋体"/>
          <w:color w:val="auto"/>
          <w:highlight w:val="none"/>
        </w:rPr>
        <w:t>工程质量符合</w:t>
      </w:r>
      <w:r>
        <w:rPr>
          <w:rFonts w:hint="eastAsia" w:ascii="宋体" w:hAnsi="宋体" w:cs="Malgun Gothic Semilight"/>
          <w:color w:val="auto"/>
          <w:highlight w:val="none"/>
          <w:u w:val="single"/>
        </w:rPr>
        <w:t>国家施工验收规范合格标准</w:t>
      </w:r>
      <w:r>
        <w:rPr>
          <w:rFonts w:hint="eastAsia" w:ascii="宋体" w:hAnsi="宋体" w:cs="宋体"/>
          <w:color w:val="auto"/>
          <w:highlight w:val="none"/>
        </w:rPr>
        <w:t>。</w:t>
      </w:r>
    </w:p>
    <w:p w14:paraId="03D7F6C0">
      <w:pPr>
        <w:pageBreakBefore w:val="0"/>
        <w:kinsoku/>
        <w:wordWrap w:val="0"/>
        <w:topLinePunct w:val="0"/>
        <w:spacing w:line="360" w:lineRule="auto"/>
        <w:ind w:firstLine="459"/>
        <w:outlineLvl w:val="0"/>
        <w:rPr>
          <w:rFonts w:ascii="宋体" w:hAnsi="宋体"/>
          <w:b/>
          <w:bCs/>
          <w:color w:val="auto"/>
          <w:highlight w:val="none"/>
        </w:rPr>
      </w:pPr>
      <w:bookmarkStart w:id="82" w:name="_Toc14826"/>
      <w:bookmarkStart w:id="83" w:name="_Toc12697"/>
      <w:bookmarkStart w:id="84" w:name="_Toc351203484"/>
      <w:bookmarkStart w:id="85" w:name="_Toc10391"/>
      <w:bookmarkStart w:id="86" w:name="_Toc14920"/>
      <w:bookmarkStart w:id="87" w:name="_Toc21378"/>
      <w:r>
        <w:rPr>
          <w:rFonts w:hint="eastAsia" w:ascii="宋体" w:hAnsi="宋体" w:cs="宋体"/>
          <w:b/>
          <w:bCs/>
          <w:color w:val="auto"/>
          <w:highlight w:val="none"/>
        </w:rPr>
        <w:t>四、签约合同价与合同价格形式</w:t>
      </w:r>
      <w:bookmarkEnd w:id="82"/>
      <w:bookmarkEnd w:id="83"/>
      <w:bookmarkEnd w:id="84"/>
      <w:bookmarkEnd w:id="85"/>
      <w:bookmarkEnd w:id="86"/>
      <w:bookmarkEnd w:id="87"/>
    </w:p>
    <w:p w14:paraId="2F4060F8">
      <w:pPr>
        <w:pageBreakBefore w:val="0"/>
        <w:kinsoku/>
        <w:wordWrap w:val="0"/>
        <w:topLinePunct w:val="0"/>
        <w:spacing w:line="360" w:lineRule="auto"/>
        <w:ind w:firstLine="459"/>
        <w:rPr>
          <w:rFonts w:ascii="宋体" w:hAnsi="宋体"/>
          <w:color w:val="auto"/>
          <w:highlight w:val="none"/>
        </w:rPr>
      </w:pPr>
      <w:r>
        <w:rPr>
          <w:rFonts w:ascii="宋体" w:hAnsi="宋体"/>
          <w:color w:val="auto"/>
          <w:highlight w:val="none"/>
        </w:rPr>
        <w:t xml:space="preserve">1. </w:t>
      </w:r>
      <w:r>
        <w:rPr>
          <w:rFonts w:hint="eastAsia" w:ascii="宋体" w:hAnsi="宋体" w:cs="宋体"/>
          <w:color w:val="auto"/>
          <w:highlight w:val="none"/>
        </w:rPr>
        <w:t>签约合同价为：</w:t>
      </w:r>
    </w:p>
    <w:p w14:paraId="5490AC0A">
      <w:pPr>
        <w:pageBreakBefore w:val="0"/>
        <w:kinsoku/>
        <w:wordWrap w:val="0"/>
        <w:topLinePunct w:val="0"/>
        <w:spacing w:line="360" w:lineRule="auto"/>
        <w:ind w:firstLine="525" w:firstLineChars="250"/>
        <w:rPr>
          <w:rFonts w:ascii="宋体" w:hAnsi="宋体"/>
          <w:color w:val="auto"/>
          <w:highlight w:val="none"/>
        </w:rPr>
      </w:pPr>
      <w:r>
        <w:rPr>
          <w:rFonts w:hint="eastAsia" w:ascii="宋体" w:hAnsi="宋体" w:cs="宋体"/>
          <w:color w:val="auto"/>
          <w:highlight w:val="none"/>
        </w:rPr>
        <w:t>其中：</w:t>
      </w:r>
    </w:p>
    <w:p w14:paraId="729626A0">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1</w:t>
      </w:r>
      <w:r>
        <w:rPr>
          <w:rFonts w:hint="eastAsia" w:ascii="宋体" w:hAnsi="宋体" w:cs="宋体"/>
          <w:color w:val="auto"/>
          <w:highlight w:val="none"/>
        </w:rPr>
        <w:t>）安全文明施工费：【注：安全文明施工费以</w:t>
      </w:r>
      <w:r>
        <w:rPr>
          <w:rFonts w:hint="eastAsia" w:ascii="宋体" w:hAnsi="宋体"/>
          <w:color w:val="auto"/>
          <w:highlight w:val="none"/>
        </w:rPr>
        <w:t>招标人发布的安全文明施工费金额为准签订合同。】</w:t>
      </w:r>
    </w:p>
    <w:p w14:paraId="36F68FD0">
      <w:pPr>
        <w:pageBreakBefore w:val="0"/>
        <w:kinsoku/>
        <w:wordWrap w:val="0"/>
        <w:topLinePunct w:val="0"/>
        <w:spacing w:line="360" w:lineRule="auto"/>
        <w:ind w:left="420" w:leftChars="200" w:firstLine="525" w:firstLineChars="250"/>
        <w:rPr>
          <w:rFonts w:ascii="宋体" w:hAnsi="宋体"/>
          <w:color w:val="auto"/>
          <w:highlight w:val="none"/>
        </w:rPr>
      </w:pPr>
      <w:r>
        <w:rPr>
          <w:rFonts w:hint="eastAsia" w:ascii="宋体" w:hAnsi="宋体" w:cs="宋体"/>
          <w:color w:val="auto"/>
          <w:highlight w:val="none"/>
        </w:rPr>
        <w:t>人民币（大写）</w:t>
      </w:r>
      <w:r>
        <w:rPr>
          <w:rFonts w:hint="eastAsia" w:asciiTheme="minorEastAsia" w:hAnsiTheme="minorEastAsia" w:eastAsiaTheme="minorEastAsia"/>
          <w:color w:val="auto"/>
          <w:highlight w:val="none"/>
          <w:u w:val="single"/>
        </w:rPr>
        <w:t xml:space="preserve">        </w:t>
      </w:r>
      <w:r>
        <w:rPr>
          <w:rFonts w:hint="eastAsia" w:ascii="宋体" w:hAnsi="宋体" w:cs="宋体"/>
          <w:color w:val="auto"/>
          <w:highlight w:val="none"/>
        </w:rPr>
        <w:t>（</w:t>
      </w:r>
      <w:r>
        <w:rPr>
          <w:rFonts w:ascii="宋体" w:hAnsi="宋体"/>
          <w:color w:val="auto"/>
          <w:highlight w:val="none"/>
        </w:rPr>
        <w:t>¥</w:t>
      </w:r>
      <w:r>
        <w:rPr>
          <w:rFonts w:hint="eastAsia" w:asciiTheme="minorEastAsia" w:hAnsiTheme="minorEastAsia" w:eastAsiaTheme="minorEastAsia"/>
          <w:color w:val="auto"/>
          <w:highlight w:val="none"/>
          <w:u w:val="single"/>
        </w:rPr>
        <w:t xml:space="preserve">        </w:t>
      </w:r>
      <w:r>
        <w:rPr>
          <w:rFonts w:hint="eastAsia" w:ascii="宋体" w:hAnsi="宋体" w:cs="宋体"/>
          <w:color w:val="auto"/>
          <w:highlight w:val="none"/>
        </w:rPr>
        <w:t>元）；</w:t>
      </w:r>
    </w:p>
    <w:p w14:paraId="68494293">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2</w:t>
      </w:r>
      <w:r>
        <w:rPr>
          <w:rFonts w:hint="eastAsia" w:ascii="宋体" w:hAnsi="宋体" w:cs="宋体"/>
          <w:color w:val="auto"/>
          <w:highlight w:val="none"/>
        </w:rPr>
        <w:t>）材料和工程设备暂估价金额：</w:t>
      </w:r>
      <w:r>
        <w:rPr>
          <w:rFonts w:hint="eastAsia" w:asciiTheme="minorEastAsia" w:hAnsiTheme="minorEastAsia" w:eastAsiaTheme="minorEastAsia"/>
          <w:color w:val="auto"/>
          <w:highlight w:val="none"/>
          <w:u w:val="single"/>
        </w:rPr>
        <w:t xml:space="preserve">   /     </w:t>
      </w:r>
      <w:r>
        <w:rPr>
          <w:rFonts w:hint="eastAsia" w:ascii="宋体" w:hAnsi="宋体"/>
          <w:color w:val="auto"/>
          <w:kern w:val="0"/>
          <w:highlight w:val="none"/>
        </w:rPr>
        <w:t>。</w:t>
      </w:r>
    </w:p>
    <w:p w14:paraId="224DB8B2">
      <w:pPr>
        <w:pageBreakBefore w:val="0"/>
        <w:kinsoku/>
        <w:wordWrap w:val="0"/>
        <w:topLinePunct w:val="0"/>
        <w:spacing w:line="360" w:lineRule="auto"/>
        <w:ind w:firstLine="945" w:firstLineChars="450"/>
        <w:rPr>
          <w:rFonts w:ascii="宋体" w:hAnsi="宋体"/>
          <w:color w:val="auto"/>
          <w:highlight w:val="none"/>
        </w:rPr>
      </w:pPr>
      <w:r>
        <w:rPr>
          <w:rFonts w:hint="eastAsia" w:ascii="宋体" w:hAnsi="宋体" w:cs="宋体"/>
          <w:color w:val="auto"/>
          <w:highlight w:val="none"/>
        </w:rPr>
        <w:t>人民币（大写）</w:t>
      </w:r>
      <w:r>
        <w:rPr>
          <w:rFonts w:hint="eastAsia" w:asciiTheme="minorEastAsia" w:hAnsiTheme="minorEastAsia" w:eastAsiaTheme="minorEastAsia"/>
          <w:color w:val="auto"/>
          <w:highlight w:val="none"/>
          <w:u w:val="single"/>
        </w:rPr>
        <w:t xml:space="preserve">   /     </w:t>
      </w:r>
      <w:r>
        <w:rPr>
          <w:rFonts w:hint="eastAsia" w:ascii="宋体" w:hAnsi="宋体" w:cs="宋体"/>
          <w:color w:val="auto"/>
          <w:highlight w:val="none"/>
        </w:rPr>
        <w:t>（</w:t>
      </w:r>
      <w:r>
        <w:rPr>
          <w:rFonts w:ascii="宋体" w:hAnsi="宋体"/>
          <w:color w:val="auto"/>
          <w:highlight w:val="none"/>
        </w:rPr>
        <w:t>¥</w:t>
      </w:r>
      <w:r>
        <w:rPr>
          <w:rFonts w:hint="eastAsia" w:ascii="宋体" w:hAnsi="宋体"/>
          <w:color w:val="auto"/>
          <w:highlight w:val="none"/>
          <w:u w:val="single"/>
        </w:rPr>
        <w:t xml:space="preserve">    /     </w:t>
      </w:r>
      <w:r>
        <w:rPr>
          <w:rFonts w:hint="eastAsia" w:ascii="宋体" w:hAnsi="宋体" w:cs="宋体"/>
          <w:color w:val="auto"/>
          <w:highlight w:val="none"/>
        </w:rPr>
        <w:t>元）；</w:t>
      </w:r>
    </w:p>
    <w:p w14:paraId="60767EB3">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3</w:t>
      </w:r>
      <w:r>
        <w:rPr>
          <w:rFonts w:hint="eastAsia" w:ascii="宋体" w:hAnsi="宋体" w:cs="宋体"/>
          <w:color w:val="auto"/>
          <w:highlight w:val="none"/>
        </w:rPr>
        <w:t>）专业工程暂估价金额：</w:t>
      </w:r>
      <w:r>
        <w:rPr>
          <w:rFonts w:hint="eastAsia" w:asciiTheme="minorEastAsia" w:hAnsiTheme="minorEastAsia" w:eastAsiaTheme="minorEastAsia"/>
          <w:color w:val="auto"/>
          <w:highlight w:val="none"/>
          <w:u w:val="single"/>
        </w:rPr>
        <w:t xml:space="preserve">   /     </w:t>
      </w:r>
      <w:r>
        <w:rPr>
          <w:rFonts w:hint="eastAsia" w:ascii="宋体" w:hAnsi="宋体"/>
          <w:color w:val="auto"/>
          <w:kern w:val="0"/>
          <w:highlight w:val="none"/>
        </w:rPr>
        <w:t>。</w:t>
      </w:r>
    </w:p>
    <w:p w14:paraId="3785AFF0">
      <w:pPr>
        <w:pageBreakBefore w:val="0"/>
        <w:kinsoku/>
        <w:wordWrap w:val="0"/>
        <w:topLinePunct w:val="0"/>
        <w:spacing w:line="360" w:lineRule="auto"/>
        <w:ind w:firstLine="945" w:firstLineChars="450"/>
        <w:rPr>
          <w:rFonts w:ascii="宋体" w:hAnsi="宋体"/>
          <w:color w:val="auto"/>
          <w:highlight w:val="none"/>
        </w:rPr>
      </w:pPr>
      <w:r>
        <w:rPr>
          <w:rFonts w:hint="eastAsia" w:ascii="宋体" w:hAnsi="宋体" w:cs="宋体"/>
          <w:color w:val="auto"/>
          <w:highlight w:val="none"/>
        </w:rPr>
        <w:t>人民币（大写）</w:t>
      </w:r>
      <w:r>
        <w:rPr>
          <w:rFonts w:hint="eastAsia" w:asciiTheme="minorEastAsia" w:hAnsiTheme="minorEastAsia" w:eastAsiaTheme="minorEastAsia"/>
          <w:color w:val="auto"/>
          <w:highlight w:val="none"/>
          <w:u w:val="single"/>
        </w:rPr>
        <w:t xml:space="preserve">   /     </w:t>
      </w:r>
      <w:r>
        <w:rPr>
          <w:rFonts w:hint="eastAsia" w:ascii="宋体" w:hAnsi="宋体" w:cs="宋体"/>
          <w:color w:val="auto"/>
          <w:highlight w:val="none"/>
        </w:rPr>
        <w:t>（</w:t>
      </w:r>
      <w:r>
        <w:rPr>
          <w:rFonts w:ascii="宋体" w:hAnsi="宋体"/>
          <w:color w:val="auto"/>
          <w:highlight w:val="none"/>
        </w:rPr>
        <w:t>¥</w:t>
      </w:r>
      <w:r>
        <w:rPr>
          <w:rFonts w:hint="eastAsia" w:asciiTheme="minorEastAsia" w:hAnsiTheme="minorEastAsia" w:eastAsiaTheme="minorEastAsia"/>
          <w:color w:val="auto"/>
          <w:highlight w:val="none"/>
          <w:u w:val="single"/>
        </w:rPr>
        <w:t xml:space="preserve">   /     </w:t>
      </w:r>
      <w:r>
        <w:rPr>
          <w:rFonts w:hint="eastAsia" w:ascii="宋体" w:hAnsi="宋体" w:cs="宋体"/>
          <w:color w:val="auto"/>
          <w:highlight w:val="none"/>
        </w:rPr>
        <w:t>元）；</w:t>
      </w:r>
    </w:p>
    <w:p w14:paraId="37032EBB">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4</w:t>
      </w:r>
      <w:r>
        <w:rPr>
          <w:rFonts w:hint="eastAsia" w:ascii="宋体" w:hAnsi="宋体" w:cs="宋体"/>
          <w:color w:val="auto"/>
          <w:highlight w:val="none"/>
        </w:rPr>
        <w:t>）暂列金额：</w:t>
      </w:r>
      <w:r>
        <w:rPr>
          <w:rFonts w:hint="eastAsia" w:asciiTheme="minorEastAsia" w:hAnsiTheme="minorEastAsia" w:eastAsiaTheme="minorEastAsia"/>
          <w:color w:val="auto"/>
          <w:highlight w:val="none"/>
          <w:u w:val="single"/>
        </w:rPr>
        <w:t xml:space="preserve">   /     </w:t>
      </w:r>
      <w:r>
        <w:rPr>
          <w:rFonts w:hint="eastAsia" w:ascii="宋体" w:hAnsi="宋体"/>
          <w:color w:val="auto"/>
          <w:kern w:val="0"/>
          <w:highlight w:val="none"/>
        </w:rPr>
        <w:t>。</w:t>
      </w:r>
    </w:p>
    <w:p w14:paraId="2CC3B5C0">
      <w:pPr>
        <w:pageBreakBefore w:val="0"/>
        <w:kinsoku/>
        <w:wordWrap w:val="0"/>
        <w:topLinePunct w:val="0"/>
        <w:spacing w:line="360" w:lineRule="auto"/>
        <w:ind w:firstLine="945" w:firstLineChars="450"/>
        <w:rPr>
          <w:rFonts w:ascii="宋体" w:hAnsi="宋体" w:cs="宋体"/>
          <w:color w:val="auto"/>
          <w:highlight w:val="none"/>
        </w:rPr>
      </w:pPr>
      <w:r>
        <w:rPr>
          <w:rFonts w:hint="eastAsia" w:ascii="宋体" w:hAnsi="宋体" w:cs="宋体"/>
          <w:color w:val="auto"/>
          <w:highlight w:val="none"/>
        </w:rPr>
        <w:t>人民币（大写）</w:t>
      </w:r>
      <w:r>
        <w:rPr>
          <w:rFonts w:hint="eastAsia" w:asciiTheme="minorEastAsia" w:hAnsiTheme="minorEastAsia" w:eastAsiaTheme="minorEastAsia"/>
          <w:color w:val="auto"/>
          <w:highlight w:val="none"/>
          <w:u w:val="single"/>
        </w:rPr>
        <w:t xml:space="preserve">   /     </w:t>
      </w:r>
      <w:r>
        <w:rPr>
          <w:rFonts w:hint="eastAsia" w:ascii="宋体" w:hAnsi="宋体" w:cs="宋体"/>
          <w:color w:val="auto"/>
          <w:highlight w:val="none"/>
        </w:rPr>
        <w:t>（</w:t>
      </w:r>
      <w:r>
        <w:rPr>
          <w:rFonts w:ascii="宋体" w:hAnsi="宋体"/>
          <w:color w:val="auto"/>
          <w:highlight w:val="none"/>
        </w:rPr>
        <w:t>¥</w:t>
      </w:r>
      <w:r>
        <w:rPr>
          <w:rFonts w:hint="eastAsia" w:asciiTheme="minorEastAsia" w:hAnsiTheme="minorEastAsia" w:eastAsiaTheme="minorEastAsia"/>
          <w:color w:val="auto"/>
          <w:highlight w:val="none"/>
          <w:u w:val="single"/>
        </w:rPr>
        <w:t xml:space="preserve">   /     </w:t>
      </w:r>
      <w:r>
        <w:rPr>
          <w:rFonts w:hint="eastAsia" w:ascii="宋体" w:hAnsi="宋体" w:cs="宋体"/>
          <w:color w:val="auto"/>
          <w:highlight w:val="none"/>
        </w:rPr>
        <w:t>元）。</w:t>
      </w:r>
    </w:p>
    <w:p w14:paraId="433DA24B">
      <w:pPr>
        <w:pageBreakBefore w:val="0"/>
        <w:numPr>
          <w:ilvl w:val="0"/>
          <w:numId w:val="11"/>
        </w:numPr>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合同价格形式：</w:t>
      </w:r>
      <w:r>
        <w:rPr>
          <w:rFonts w:hint="eastAsia" w:ascii="宋体" w:hAnsi="宋体" w:cs="宋体"/>
          <w:color w:val="auto"/>
          <w:highlight w:val="none"/>
          <w:u w:val="single"/>
        </w:rPr>
        <w:t>单价合同</w:t>
      </w:r>
      <w:r>
        <w:rPr>
          <w:rFonts w:hint="eastAsia" w:ascii="宋体" w:hAnsi="宋体"/>
          <w:color w:val="auto"/>
          <w:kern w:val="0"/>
          <w:highlight w:val="none"/>
        </w:rPr>
        <w:t>。</w:t>
      </w:r>
    </w:p>
    <w:p w14:paraId="3B82B4CB">
      <w:pPr>
        <w:pageBreakBefore w:val="0"/>
        <w:kinsoku/>
        <w:wordWrap w:val="0"/>
        <w:topLinePunct w:val="0"/>
        <w:spacing w:line="360" w:lineRule="auto"/>
        <w:ind w:firstLine="420" w:firstLineChars="200"/>
        <w:rPr>
          <w:rFonts w:ascii="宋体" w:hAnsi="宋体" w:cs="宋体"/>
          <w:color w:val="auto"/>
          <w:highlight w:val="none"/>
          <w:u w:val="single"/>
        </w:rPr>
      </w:pPr>
      <w:r>
        <w:rPr>
          <w:rFonts w:ascii="宋体" w:hAnsi="宋体" w:cs="宋体"/>
          <w:color w:val="auto"/>
          <w:highlight w:val="none"/>
        </w:rPr>
        <w:t>3.</w:t>
      </w: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）其它工程款支付账户：</w:t>
      </w:r>
      <w:r>
        <w:rPr>
          <w:rFonts w:hint="eastAsia" w:asciiTheme="minorEastAsia" w:hAnsiTheme="minorEastAsia" w:eastAsiaTheme="minorEastAsia"/>
          <w:color w:val="auto"/>
          <w:highlight w:val="none"/>
          <w:u w:val="single"/>
        </w:rPr>
        <w:t xml:space="preserve">   /     </w:t>
      </w:r>
      <w:r>
        <w:rPr>
          <w:rFonts w:hint="eastAsia" w:ascii="宋体" w:hAnsi="宋体"/>
          <w:color w:val="auto"/>
          <w:kern w:val="0"/>
          <w:highlight w:val="none"/>
        </w:rPr>
        <w:t>。</w:t>
      </w:r>
    </w:p>
    <w:p w14:paraId="6162606C">
      <w:pPr>
        <w:pageBreakBefore w:val="0"/>
        <w:kinsoku/>
        <w:wordWrap w:val="0"/>
        <w:topLinePunct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账号：</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040BF051">
      <w:pPr>
        <w:pageBreakBefore w:val="0"/>
        <w:kinsoku/>
        <w:wordWrap w:val="0"/>
        <w:topLinePunct w:val="0"/>
        <w:spacing w:line="360" w:lineRule="auto"/>
        <w:ind w:firstLine="420" w:firstLineChars="200"/>
        <w:rPr>
          <w:rFonts w:ascii="宋体" w:hAnsi="宋体" w:cs="宋体"/>
          <w:color w:val="auto"/>
          <w:highlight w:val="none"/>
          <w:u w:val="single"/>
        </w:rPr>
      </w:pPr>
      <w:r>
        <w:rPr>
          <w:rFonts w:hint="eastAsia" w:ascii="宋体" w:hAnsi="宋体" w:cs="宋体"/>
          <w:color w:val="auto"/>
          <w:highlight w:val="none"/>
        </w:rPr>
        <w:t>开户银行：</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0BD0E7BC">
      <w:pPr>
        <w:pageBreakBefore w:val="0"/>
        <w:numPr>
          <w:ilvl w:val="0"/>
          <w:numId w:val="12"/>
        </w:numPr>
        <w:kinsoku/>
        <w:wordWrap w:val="0"/>
        <w:topLinePunct w:val="0"/>
        <w:spacing w:line="360" w:lineRule="auto"/>
        <w:rPr>
          <w:rFonts w:ascii="宋体" w:hAnsi="宋体" w:cs="宋体"/>
          <w:color w:val="auto"/>
          <w:highlight w:val="none"/>
        </w:rPr>
      </w:pPr>
      <w:r>
        <w:rPr>
          <w:rFonts w:hint="eastAsia" w:ascii="宋体" w:hAnsi="宋体" w:cs="宋体"/>
          <w:color w:val="auto"/>
          <w:highlight w:val="none"/>
        </w:rPr>
        <w:t>安全生产费用支付专用账户：</w:t>
      </w:r>
      <w:r>
        <w:rPr>
          <w:rFonts w:hint="eastAsia" w:ascii="宋体" w:hAnsi="宋体" w:cs="宋体"/>
          <w:color w:val="auto"/>
          <w:highlight w:val="none"/>
          <w:u w:val="single"/>
        </w:rPr>
        <w:t>××××公司安全生产费用专户</w:t>
      </w:r>
      <w:r>
        <w:rPr>
          <w:rFonts w:hint="eastAsia" w:ascii="宋体" w:hAnsi="宋体" w:cs="宋体"/>
          <w:color w:val="auto"/>
          <w:highlight w:val="none"/>
        </w:rPr>
        <w:t>。</w:t>
      </w:r>
    </w:p>
    <w:p w14:paraId="43A635DD">
      <w:pPr>
        <w:pageBreakBefore w:val="0"/>
        <w:kinsoku/>
        <w:wordWrap w:val="0"/>
        <w:topLinePunct w:val="0"/>
        <w:spacing w:line="360" w:lineRule="auto"/>
        <w:ind w:left="525" w:firstLine="420" w:firstLineChars="200"/>
        <w:rPr>
          <w:rFonts w:ascii="宋体" w:hAnsi="宋体" w:cs="宋体"/>
          <w:color w:val="auto"/>
          <w:highlight w:val="none"/>
        </w:rPr>
      </w:pPr>
      <w:r>
        <w:rPr>
          <w:rFonts w:hint="eastAsia" w:ascii="宋体" w:hAnsi="宋体" w:cs="宋体"/>
          <w:color w:val="auto"/>
          <w:highlight w:val="none"/>
        </w:rPr>
        <w:t>账号：</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720802A8">
      <w:pPr>
        <w:pageBreakBefore w:val="0"/>
        <w:kinsoku/>
        <w:wordWrap w:val="0"/>
        <w:topLinePunct w:val="0"/>
        <w:spacing w:line="360" w:lineRule="auto"/>
        <w:ind w:firstLine="1050" w:firstLineChars="500"/>
        <w:rPr>
          <w:rFonts w:ascii="宋体" w:hAnsi="宋体" w:cs="宋体"/>
          <w:color w:val="auto"/>
          <w:highlight w:val="none"/>
        </w:rPr>
      </w:pPr>
      <w:r>
        <w:rPr>
          <w:rFonts w:hint="eastAsia" w:ascii="宋体" w:hAnsi="宋体" w:cs="宋体"/>
          <w:color w:val="auto"/>
          <w:highlight w:val="none"/>
        </w:rPr>
        <w:t>开户银行：</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2AF2AB43">
      <w:pPr>
        <w:pageBreakBefore w:val="0"/>
        <w:numPr>
          <w:ilvl w:val="0"/>
          <w:numId w:val="12"/>
        </w:numPr>
        <w:kinsoku/>
        <w:wordWrap w:val="0"/>
        <w:topLinePunct w:val="0"/>
        <w:spacing w:line="360" w:lineRule="auto"/>
        <w:rPr>
          <w:rFonts w:ascii="宋体" w:hAnsi="宋体" w:cs="宋体"/>
          <w:color w:val="auto"/>
          <w:highlight w:val="none"/>
        </w:rPr>
      </w:pPr>
      <w:r>
        <w:rPr>
          <w:rFonts w:hint="eastAsia" w:ascii="宋体" w:hAnsi="宋体" w:cs="宋体"/>
          <w:color w:val="auto"/>
          <w:highlight w:val="none"/>
        </w:rPr>
        <w:t>农民工工资支付专用账户：</w:t>
      </w:r>
      <w:r>
        <w:rPr>
          <w:rFonts w:hint="eastAsia" w:ascii="宋体" w:hAnsi="宋体" w:cs="宋体"/>
          <w:color w:val="auto"/>
          <w:highlight w:val="none"/>
          <w:u w:val="single"/>
        </w:rPr>
        <w:t>××××公司农民工工资支付专用账户</w:t>
      </w:r>
      <w:r>
        <w:rPr>
          <w:rFonts w:hint="eastAsia" w:ascii="宋体" w:hAnsi="宋体" w:cs="宋体"/>
          <w:color w:val="auto"/>
          <w:highlight w:val="none"/>
        </w:rPr>
        <w:t>。</w:t>
      </w:r>
    </w:p>
    <w:p w14:paraId="15F78362">
      <w:pPr>
        <w:pageBreakBefore w:val="0"/>
        <w:kinsoku/>
        <w:wordWrap w:val="0"/>
        <w:topLinePunct w:val="0"/>
        <w:spacing w:line="360" w:lineRule="auto"/>
        <w:ind w:left="525" w:firstLine="420" w:firstLineChars="200"/>
        <w:rPr>
          <w:rFonts w:ascii="宋体" w:hAnsi="宋体" w:cs="宋体"/>
          <w:color w:val="auto"/>
          <w:highlight w:val="none"/>
        </w:rPr>
      </w:pPr>
      <w:r>
        <w:rPr>
          <w:rFonts w:hint="eastAsia" w:ascii="宋体" w:hAnsi="宋体" w:cs="宋体"/>
          <w:color w:val="auto"/>
          <w:highlight w:val="none"/>
        </w:rPr>
        <w:t>账号：</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6B50F61B">
      <w:pPr>
        <w:pageBreakBefore w:val="0"/>
        <w:kinsoku/>
        <w:wordWrap w:val="0"/>
        <w:topLinePunct w:val="0"/>
        <w:spacing w:line="360" w:lineRule="auto"/>
        <w:ind w:left="525" w:firstLine="420" w:firstLineChars="200"/>
        <w:rPr>
          <w:rFonts w:ascii="宋体" w:hAnsi="宋体" w:cs="宋体"/>
          <w:color w:val="auto"/>
          <w:highlight w:val="none"/>
        </w:rPr>
      </w:pPr>
      <w:r>
        <w:rPr>
          <w:rFonts w:hint="eastAsia" w:ascii="宋体" w:hAnsi="宋体" w:cs="宋体"/>
          <w:color w:val="auto"/>
          <w:highlight w:val="none"/>
        </w:rPr>
        <w:t>开户银行：</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6F08B5F7">
      <w:pPr>
        <w:pageBreakBefore w:val="0"/>
        <w:kinsoku/>
        <w:wordWrap w:val="0"/>
        <w:topLinePunct w:val="0"/>
        <w:spacing w:line="360" w:lineRule="auto"/>
        <w:ind w:firstLine="422" w:firstLineChars="200"/>
        <w:outlineLvl w:val="0"/>
        <w:rPr>
          <w:rFonts w:ascii="宋体" w:hAnsi="宋体"/>
          <w:b/>
          <w:bCs/>
          <w:color w:val="auto"/>
          <w:highlight w:val="none"/>
        </w:rPr>
      </w:pPr>
      <w:bookmarkStart w:id="88" w:name="_Toc351203485"/>
      <w:bookmarkStart w:id="89" w:name="_Toc7927"/>
      <w:bookmarkStart w:id="90" w:name="_Toc26812"/>
      <w:bookmarkStart w:id="91" w:name="_Toc9149"/>
      <w:bookmarkStart w:id="92" w:name="_Toc12779"/>
      <w:bookmarkStart w:id="93" w:name="_Toc18447"/>
      <w:r>
        <w:rPr>
          <w:rFonts w:hint="eastAsia" w:ascii="宋体" w:hAnsi="宋体" w:cs="宋体"/>
          <w:b/>
          <w:bCs/>
          <w:color w:val="auto"/>
          <w:highlight w:val="none"/>
        </w:rPr>
        <w:t>五、</w:t>
      </w:r>
      <w:bookmarkEnd w:id="88"/>
      <w:r>
        <w:rPr>
          <w:rFonts w:hint="eastAsia" w:ascii="宋体" w:hAnsi="宋体" w:cs="宋体"/>
          <w:b/>
          <w:bCs/>
          <w:color w:val="auto"/>
          <w:highlight w:val="none"/>
        </w:rPr>
        <w:t>项目经理</w:t>
      </w:r>
      <w:bookmarkEnd w:id="89"/>
      <w:bookmarkEnd w:id="90"/>
      <w:bookmarkEnd w:id="91"/>
      <w:bookmarkEnd w:id="92"/>
      <w:bookmarkEnd w:id="93"/>
    </w:p>
    <w:p w14:paraId="62DE20AC">
      <w:pPr>
        <w:pageBreakBefore w:val="0"/>
        <w:kinsoku/>
        <w:wordWrap w:val="0"/>
        <w:topLinePunct w:val="0"/>
        <w:spacing w:line="360" w:lineRule="auto"/>
        <w:ind w:firstLine="840" w:firstLineChars="400"/>
        <w:rPr>
          <w:rFonts w:ascii="宋体" w:hAnsi="宋体"/>
          <w:color w:val="auto"/>
          <w:highlight w:val="none"/>
        </w:rPr>
      </w:pPr>
      <w:r>
        <w:rPr>
          <w:rFonts w:hint="eastAsia" w:ascii="宋体" w:hAnsi="宋体" w:cs="宋体"/>
          <w:color w:val="auto"/>
          <w:highlight w:val="none"/>
        </w:rPr>
        <w:t>项目经理：</w:t>
      </w:r>
      <w:r>
        <w:rPr>
          <w:rFonts w:hint="eastAsia" w:asciiTheme="minorEastAsia" w:hAnsiTheme="minorEastAsia" w:eastAsiaTheme="minorEastAsia"/>
          <w:color w:val="auto"/>
          <w:highlight w:val="none"/>
          <w:u w:val="single"/>
        </w:rPr>
        <w:t xml:space="preserve">        </w:t>
      </w:r>
      <w:r>
        <w:rPr>
          <w:rFonts w:hint="eastAsia" w:ascii="宋体" w:hAnsi="宋体"/>
          <w:color w:val="auto"/>
          <w:kern w:val="0"/>
          <w:highlight w:val="none"/>
        </w:rPr>
        <w:t>。</w:t>
      </w:r>
    </w:p>
    <w:p w14:paraId="46798196">
      <w:pPr>
        <w:pageBreakBefore w:val="0"/>
        <w:kinsoku/>
        <w:wordWrap w:val="0"/>
        <w:topLinePunct w:val="0"/>
        <w:spacing w:line="360" w:lineRule="auto"/>
        <w:ind w:firstLine="422" w:firstLineChars="200"/>
        <w:outlineLvl w:val="0"/>
        <w:rPr>
          <w:rFonts w:ascii="宋体" w:hAnsi="宋体"/>
          <w:b/>
          <w:bCs/>
          <w:color w:val="auto"/>
          <w:highlight w:val="none"/>
        </w:rPr>
      </w:pPr>
      <w:bookmarkStart w:id="94" w:name="_Toc19411"/>
      <w:bookmarkStart w:id="95" w:name="_Toc27263"/>
      <w:bookmarkStart w:id="96" w:name="_Toc12699"/>
      <w:bookmarkStart w:id="97" w:name="_Toc351203486"/>
      <w:bookmarkStart w:id="98" w:name="_Toc28230"/>
      <w:bookmarkStart w:id="99" w:name="_Toc9821"/>
      <w:r>
        <w:rPr>
          <w:rFonts w:hint="eastAsia" w:ascii="宋体" w:hAnsi="宋体" w:cs="宋体"/>
          <w:b/>
          <w:bCs/>
          <w:color w:val="auto"/>
          <w:highlight w:val="none"/>
        </w:rPr>
        <w:t>六、合同文件构成</w:t>
      </w:r>
      <w:bookmarkEnd w:id="94"/>
      <w:bookmarkEnd w:id="95"/>
      <w:bookmarkEnd w:id="96"/>
      <w:bookmarkEnd w:id="97"/>
      <w:bookmarkEnd w:id="98"/>
      <w:bookmarkEnd w:id="99"/>
    </w:p>
    <w:p w14:paraId="05275B96">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本协议书与下列文件一起构成合同文件：</w:t>
      </w:r>
    </w:p>
    <w:p w14:paraId="43DCA45B">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1</w:t>
      </w:r>
      <w:r>
        <w:rPr>
          <w:rFonts w:hint="eastAsia" w:ascii="宋体" w:hAnsi="宋体" w:cs="宋体"/>
          <w:color w:val="auto"/>
          <w:highlight w:val="none"/>
        </w:rPr>
        <w:t>）成交通知书（如有）；</w:t>
      </w:r>
    </w:p>
    <w:p w14:paraId="2412D7DB">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2</w:t>
      </w:r>
      <w:r>
        <w:rPr>
          <w:rFonts w:hint="eastAsia" w:ascii="宋体" w:hAnsi="宋体" w:cs="宋体"/>
          <w:color w:val="auto"/>
          <w:highlight w:val="none"/>
        </w:rPr>
        <w:t>）投标函及其附录（如有）；</w:t>
      </w:r>
    </w:p>
    <w:p w14:paraId="4FE45F4C">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3</w:t>
      </w:r>
      <w:r>
        <w:rPr>
          <w:rFonts w:hint="eastAsia" w:ascii="宋体" w:hAnsi="宋体" w:cs="宋体"/>
          <w:color w:val="auto"/>
          <w:highlight w:val="none"/>
        </w:rPr>
        <w:t>）专用合同条款及其附件；</w:t>
      </w:r>
    </w:p>
    <w:p w14:paraId="749BA078">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4</w:t>
      </w:r>
      <w:r>
        <w:rPr>
          <w:rFonts w:hint="eastAsia" w:ascii="宋体" w:hAnsi="宋体" w:cs="宋体"/>
          <w:color w:val="auto"/>
          <w:highlight w:val="none"/>
        </w:rPr>
        <w:t>）通用合同条款；</w:t>
      </w:r>
    </w:p>
    <w:p w14:paraId="5BAB35EA">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s="宋体"/>
          <w:color w:val="auto"/>
          <w:highlight w:val="none"/>
        </w:rPr>
        <w:t>（</w:t>
      </w:r>
      <w:r>
        <w:rPr>
          <w:rFonts w:ascii="宋体" w:hAnsi="宋体"/>
          <w:color w:val="auto"/>
          <w:highlight w:val="none"/>
        </w:rPr>
        <w:t>5</w:t>
      </w:r>
      <w:r>
        <w:rPr>
          <w:rFonts w:hint="eastAsia" w:ascii="宋体" w:hAnsi="宋体" w:cs="宋体"/>
          <w:color w:val="auto"/>
          <w:highlight w:val="none"/>
        </w:rPr>
        <w:t>）其他合同文件：</w:t>
      </w:r>
    </w:p>
    <w:p w14:paraId="6491075E">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s="宋体"/>
          <w:color w:val="auto"/>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5DFE54D7">
      <w:pPr>
        <w:pageBreakBefore w:val="0"/>
        <w:kinsoku/>
        <w:wordWrap w:val="0"/>
        <w:topLinePunct w:val="0"/>
        <w:autoSpaceDE w:val="0"/>
        <w:autoSpaceDN w:val="0"/>
        <w:adjustRightInd w:val="0"/>
        <w:spacing w:line="360" w:lineRule="auto"/>
        <w:ind w:firstLine="422" w:firstLineChars="200"/>
        <w:jc w:val="left"/>
        <w:outlineLvl w:val="0"/>
        <w:rPr>
          <w:rFonts w:ascii="宋体" w:hAnsi="宋体"/>
          <w:b/>
          <w:bCs/>
          <w:color w:val="auto"/>
          <w:highlight w:val="none"/>
        </w:rPr>
      </w:pPr>
      <w:bookmarkStart w:id="100" w:name="_Toc362"/>
      <w:bookmarkStart w:id="101" w:name="_Toc2661"/>
      <w:bookmarkStart w:id="102" w:name="_Toc10413"/>
      <w:bookmarkStart w:id="103" w:name="_Toc18222"/>
      <w:bookmarkStart w:id="104" w:name="_Toc351203487"/>
      <w:bookmarkStart w:id="105" w:name="_Toc23932"/>
      <w:r>
        <w:rPr>
          <w:rFonts w:hint="eastAsia" w:ascii="宋体" w:hAnsi="宋体" w:cs="宋体"/>
          <w:b/>
          <w:bCs/>
          <w:color w:val="auto"/>
          <w:highlight w:val="none"/>
        </w:rPr>
        <w:t>七、承诺</w:t>
      </w:r>
      <w:bookmarkEnd w:id="100"/>
      <w:bookmarkEnd w:id="101"/>
      <w:bookmarkEnd w:id="102"/>
      <w:bookmarkEnd w:id="103"/>
      <w:bookmarkEnd w:id="104"/>
      <w:bookmarkEnd w:id="105"/>
    </w:p>
    <w:p w14:paraId="4D0D30A3">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1. </w:t>
      </w:r>
      <w:r>
        <w:rPr>
          <w:rFonts w:hint="eastAsia" w:ascii="宋体" w:hAnsi="宋体" w:cs="宋体"/>
          <w:color w:val="auto"/>
          <w:highlight w:val="none"/>
        </w:rPr>
        <w:t>发包人承诺按照法律规定履行项目审批手续、筹集工程建设资金并按照合同约定的期限和方式支付合同价款。</w:t>
      </w:r>
    </w:p>
    <w:p w14:paraId="6085D341">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2. </w:t>
      </w:r>
      <w:r>
        <w:rPr>
          <w:rFonts w:hint="eastAsia" w:ascii="宋体" w:hAnsi="宋体" w:cs="宋体"/>
          <w:color w:val="auto"/>
          <w:highlight w:val="none"/>
        </w:rPr>
        <w:t>承包人承诺按照法律规定及合同约定组织完成工程施工，确保工程质量和安全，不进行转包及违法分包，并在缺陷责任期及保修期内承担相应的工程维修责任。</w:t>
      </w:r>
    </w:p>
    <w:p w14:paraId="4BC235CD">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3. </w:t>
      </w:r>
      <w:r>
        <w:rPr>
          <w:rFonts w:hint="eastAsia" w:ascii="宋体" w:hAnsi="宋体" w:cs="宋体"/>
          <w:color w:val="auto"/>
          <w:highlight w:val="none"/>
        </w:rPr>
        <w:t>发包人和承包人通过招投标形式签订合同的，双方理解并承诺不再就同一工程另行签订与合同实质性内容相背离的协议。</w:t>
      </w:r>
      <w:bookmarkStart w:id="106" w:name="_Toc351203488"/>
    </w:p>
    <w:p w14:paraId="13FA2757">
      <w:pPr>
        <w:pageBreakBefore w:val="0"/>
        <w:kinsoku/>
        <w:wordWrap w:val="0"/>
        <w:topLinePunct w:val="0"/>
        <w:spacing w:line="360" w:lineRule="auto"/>
        <w:ind w:firstLine="422" w:firstLineChars="200"/>
        <w:outlineLvl w:val="0"/>
        <w:rPr>
          <w:rFonts w:ascii="宋体" w:hAnsi="宋体"/>
          <w:b/>
          <w:bCs/>
          <w:color w:val="auto"/>
          <w:highlight w:val="none"/>
        </w:rPr>
      </w:pPr>
      <w:bookmarkStart w:id="107" w:name="_Toc9568"/>
      <w:bookmarkStart w:id="108" w:name="_Toc15771"/>
      <w:bookmarkStart w:id="109" w:name="_Toc18952"/>
      <w:bookmarkStart w:id="110" w:name="_Toc25082"/>
      <w:bookmarkStart w:id="111" w:name="_Toc14528"/>
      <w:r>
        <w:rPr>
          <w:rFonts w:hint="eastAsia" w:ascii="宋体" w:hAnsi="宋体" w:cs="宋体"/>
          <w:b/>
          <w:bCs/>
          <w:color w:val="auto"/>
          <w:highlight w:val="none"/>
        </w:rPr>
        <w:t>八、词语含义</w:t>
      </w:r>
      <w:bookmarkEnd w:id="106"/>
      <w:bookmarkEnd w:id="107"/>
      <w:bookmarkEnd w:id="108"/>
      <w:bookmarkEnd w:id="109"/>
      <w:bookmarkEnd w:id="110"/>
      <w:bookmarkEnd w:id="111"/>
    </w:p>
    <w:p w14:paraId="05B3B71E">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本协议书中词语含义与第二部分通用合同条款中赋予的含义相同。</w:t>
      </w:r>
    </w:p>
    <w:p w14:paraId="264194E8">
      <w:pPr>
        <w:pageBreakBefore w:val="0"/>
        <w:kinsoku/>
        <w:wordWrap w:val="0"/>
        <w:topLinePunct w:val="0"/>
        <w:spacing w:line="360" w:lineRule="auto"/>
        <w:ind w:firstLine="422" w:firstLineChars="200"/>
        <w:outlineLvl w:val="0"/>
        <w:rPr>
          <w:rFonts w:ascii="宋体" w:hAnsi="宋体"/>
          <w:b/>
          <w:bCs/>
          <w:color w:val="auto"/>
          <w:highlight w:val="none"/>
        </w:rPr>
      </w:pPr>
      <w:bookmarkStart w:id="112" w:name="_Toc22714"/>
      <w:bookmarkStart w:id="113" w:name="_Toc9192"/>
      <w:bookmarkStart w:id="114" w:name="_Toc6673"/>
      <w:bookmarkStart w:id="115" w:name="_Toc25059"/>
      <w:bookmarkStart w:id="116" w:name="_Toc14094"/>
      <w:bookmarkStart w:id="117" w:name="_Toc351203489"/>
      <w:r>
        <w:rPr>
          <w:rFonts w:hint="eastAsia" w:ascii="宋体" w:hAnsi="宋体" w:cs="宋体"/>
          <w:b/>
          <w:bCs/>
          <w:color w:val="auto"/>
          <w:highlight w:val="none"/>
        </w:rPr>
        <w:t>九、签订时间</w:t>
      </w:r>
      <w:bookmarkEnd w:id="112"/>
      <w:bookmarkEnd w:id="113"/>
      <w:bookmarkEnd w:id="114"/>
      <w:bookmarkEnd w:id="115"/>
      <w:bookmarkEnd w:id="116"/>
      <w:bookmarkEnd w:id="117"/>
    </w:p>
    <w:p w14:paraId="7FD401BD">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本合同于</w:t>
      </w:r>
      <w:r>
        <w:rPr>
          <w:rFonts w:hint="eastAsia" w:asciiTheme="minorEastAsia" w:hAnsiTheme="minorEastAsia" w:eastAsiaTheme="minorEastAsia"/>
          <w:color w:val="auto"/>
          <w:highlight w:val="none"/>
          <w:u w:val="single"/>
        </w:rPr>
        <w:t xml:space="preserve">        </w:t>
      </w:r>
      <w:r>
        <w:rPr>
          <w:rFonts w:hint="eastAsia" w:ascii="宋体" w:hAnsi="宋体" w:cs="宋体"/>
          <w:color w:val="auto"/>
          <w:highlight w:val="none"/>
        </w:rPr>
        <w:t>年</w:t>
      </w:r>
      <w:r>
        <w:rPr>
          <w:rFonts w:hint="eastAsia" w:asciiTheme="minorEastAsia" w:hAnsiTheme="minorEastAsia" w:eastAsiaTheme="minorEastAsia"/>
          <w:color w:val="auto"/>
          <w:highlight w:val="none"/>
          <w:u w:val="single"/>
        </w:rPr>
        <w:t xml:space="preserve">    </w:t>
      </w:r>
      <w:r>
        <w:rPr>
          <w:rFonts w:hint="eastAsia" w:ascii="宋体" w:hAnsi="宋体" w:cs="宋体"/>
          <w:color w:val="auto"/>
          <w:highlight w:val="none"/>
        </w:rPr>
        <w:t>月</w:t>
      </w:r>
      <w:r>
        <w:rPr>
          <w:rFonts w:hint="eastAsia" w:asciiTheme="minorEastAsia" w:hAnsiTheme="minorEastAsia" w:eastAsiaTheme="minorEastAsia"/>
          <w:color w:val="auto"/>
          <w:highlight w:val="none"/>
          <w:u w:val="single"/>
        </w:rPr>
        <w:t xml:space="preserve">    </w:t>
      </w:r>
      <w:r>
        <w:rPr>
          <w:rFonts w:hint="eastAsia" w:ascii="宋体" w:hAnsi="宋体" w:cs="宋体"/>
          <w:color w:val="auto"/>
          <w:highlight w:val="none"/>
        </w:rPr>
        <w:t>日  签订。</w:t>
      </w:r>
    </w:p>
    <w:p w14:paraId="50191E62">
      <w:pPr>
        <w:pageBreakBefore w:val="0"/>
        <w:kinsoku/>
        <w:wordWrap w:val="0"/>
        <w:topLinePunct w:val="0"/>
        <w:spacing w:line="360" w:lineRule="auto"/>
        <w:ind w:firstLine="422" w:firstLineChars="200"/>
        <w:outlineLvl w:val="0"/>
        <w:rPr>
          <w:rFonts w:ascii="宋体" w:hAnsi="宋体"/>
          <w:b/>
          <w:bCs/>
          <w:color w:val="auto"/>
          <w:highlight w:val="none"/>
        </w:rPr>
      </w:pPr>
      <w:bookmarkStart w:id="118" w:name="_Toc17759"/>
      <w:bookmarkStart w:id="119" w:name="_Toc18105"/>
      <w:bookmarkStart w:id="120" w:name="_Toc351203490"/>
      <w:bookmarkStart w:id="121" w:name="_Toc28379"/>
      <w:bookmarkStart w:id="122" w:name="_Toc5327"/>
      <w:bookmarkStart w:id="123" w:name="_Toc19238"/>
      <w:r>
        <w:rPr>
          <w:rFonts w:hint="eastAsia" w:ascii="宋体" w:hAnsi="宋体" w:cs="宋体"/>
          <w:b/>
          <w:bCs/>
          <w:color w:val="auto"/>
          <w:highlight w:val="none"/>
        </w:rPr>
        <w:t>十、签订地点</w:t>
      </w:r>
      <w:bookmarkEnd w:id="118"/>
      <w:bookmarkEnd w:id="119"/>
      <w:bookmarkEnd w:id="120"/>
      <w:bookmarkEnd w:id="121"/>
      <w:bookmarkEnd w:id="122"/>
      <w:bookmarkEnd w:id="123"/>
    </w:p>
    <w:p w14:paraId="084D5680">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本合同在</w:t>
      </w:r>
      <w:r>
        <w:rPr>
          <w:rFonts w:hint="eastAsia" w:ascii="宋体" w:hAnsi="宋体" w:cs="宋体"/>
          <w:color w:val="auto"/>
          <w:highlight w:val="none"/>
          <w:u w:val="single"/>
          <w:lang w:val="en-US" w:eastAsia="zh-CN"/>
        </w:rPr>
        <w:t>广西</w:t>
      </w:r>
      <w:r>
        <w:rPr>
          <w:rFonts w:hint="eastAsia" w:ascii="宋体" w:hAnsi="宋体"/>
          <w:color w:val="auto"/>
          <w:highlight w:val="none"/>
          <w:u w:val="single"/>
          <w:lang w:val="en-US" w:eastAsia="zh-CN"/>
        </w:rPr>
        <w:t>桂林</w:t>
      </w:r>
      <w:r>
        <w:rPr>
          <w:rFonts w:hint="eastAsia" w:ascii="宋体" w:hAnsi="宋体"/>
          <w:color w:val="auto"/>
          <w:highlight w:val="none"/>
          <w:u w:val="single"/>
        </w:rPr>
        <w:t>市</w:t>
      </w:r>
      <w:r>
        <w:rPr>
          <w:rFonts w:hint="eastAsia" w:ascii="宋体" w:hAnsi="宋体" w:cs="宋体"/>
          <w:color w:val="auto"/>
          <w:highlight w:val="none"/>
        </w:rPr>
        <w:t>签订。</w:t>
      </w:r>
    </w:p>
    <w:p w14:paraId="602F0618">
      <w:pPr>
        <w:pageBreakBefore w:val="0"/>
        <w:kinsoku/>
        <w:wordWrap w:val="0"/>
        <w:topLinePunct w:val="0"/>
        <w:spacing w:line="360" w:lineRule="auto"/>
        <w:ind w:firstLine="422" w:firstLineChars="200"/>
        <w:outlineLvl w:val="0"/>
        <w:rPr>
          <w:rFonts w:ascii="宋体" w:hAnsi="宋体"/>
          <w:b/>
          <w:bCs/>
          <w:color w:val="auto"/>
          <w:highlight w:val="none"/>
        </w:rPr>
      </w:pPr>
      <w:bookmarkStart w:id="124" w:name="_Toc12671"/>
      <w:bookmarkStart w:id="125" w:name="_Toc31018"/>
      <w:bookmarkStart w:id="126" w:name="_Toc351203491"/>
      <w:bookmarkStart w:id="127" w:name="_Toc24152"/>
      <w:bookmarkStart w:id="128" w:name="_Toc4658"/>
      <w:bookmarkStart w:id="129" w:name="_Toc23333"/>
      <w:r>
        <w:rPr>
          <w:rFonts w:hint="eastAsia" w:ascii="宋体" w:hAnsi="宋体" w:cs="宋体"/>
          <w:b/>
          <w:bCs/>
          <w:color w:val="auto"/>
          <w:highlight w:val="none"/>
        </w:rPr>
        <w:t>十一、补充协议</w:t>
      </w:r>
      <w:bookmarkEnd w:id="124"/>
      <w:bookmarkEnd w:id="125"/>
      <w:bookmarkEnd w:id="126"/>
      <w:bookmarkEnd w:id="127"/>
      <w:bookmarkEnd w:id="128"/>
      <w:bookmarkEnd w:id="129"/>
    </w:p>
    <w:p w14:paraId="27959364">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合同未尽事宜，合同当事人另行签订补充协议，补充协议是合同的组成部分。</w:t>
      </w:r>
    </w:p>
    <w:p w14:paraId="75C21323">
      <w:pPr>
        <w:pageBreakBefore w:val="0"/>
        <w:kinsoku/>
        <w:wordWrap w:val="0"/>
        <w:topLinePunct w:val="0"/>
        <w:spacing w:line="360" w:lineRule="auto"/>
        <w:ind w:firstLine="422" w:firstLineChars="200"/>
        <w:outlineLvl w:val="0"/>
        <w:rPr>
          <w:rFonts w:ascii="宋体" w:hAnsi="宋体"/>
          <w:b/>
          <w:bCs/>
          <w:color w:val="auto"/>
          <w:highlight w:val="none"/>
        </w:rPr>
      </w:pPr>
      <w:bookmarkStart w:id="130" w:name="_Toc8977"/>
      <w:bookmarkStart w:id="131" w:name="_Toc25818"/>
      <w:bookmarkStart w:id="132" w:name="_Toc351203492"/>
      <w:bookmarkStart w:id="133" w:name="_Toc15527"/>
      <w:bookmarkStart w:id="134" w:name="_Toc11610"/>
      <w:bookmarkStart w:id="135" w:name="_Toc18385"/>
      <w:r>
        <w:rPr>
          <w:rFonts w:hint="eastAsia" w:ascii="宋体" w:hAnsi="宋体" w:cs="宋体"/>
          <w:b/>
          <w:bCs/>
          <w:color w:val="auto"/>
          <w:highlight w:val="none"/>
        </w:rPr>
        <w:t>十二、合同生效</w:t>
      </w:r>
      <w:bookmarkEnd w:id="130"/>
      <w:bookmarkEnd w:id="131"/>
      <w:bookmarkEnd w:id="132"/>
      <w:bookmarkEnd w:id="133"/>
      <w:bookmarkEnd w:id="134"/>
      <w:bookmarkEnd w:id="135"/>
    </w:p>
    <w:p w14:paraId="7295C601">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本合同自</w:t>
      </w:r>
      <w:r>
        <w:rPr>
          <w:rFonts w:hint="eastAsia" w:ascii="宋体" w:hAnsi="宋体"/>
          <w:color w:val="auto"/>
          <w:highlight w:val="none"/>
          <w:u w:val="single"/>
        </w:rPr>
        <w:t xml:space="preserve"> 双方</w:t>
      </w:r>
      <w:r>
        <w:rPr>
          <w:rFonts w:hint="eastAsia" w:ascii="宋体" w:hAnsi="宋体" w:cs="宋体"/>
          <w:color w:val="auto"/>
          <w:highlight w:val="none"/>
          <w:u w:val="single"/>
        </w:rPr>
        <w:t>法定代表人签字并加盖单位公章</w:t>
      </w:r>
      <w:r>
        <w:rPr>
          <w:rFonts w:hint="eastAsia" w:ascii="宋体" w:hAnsi="宋体" w:cs="宋体"/>
          <w:color w:val="auto"/>
          <w:highlight w:val="none"/>
        </w:rPr>
        <w:t>生效。</w:t>
      </w:r>
    </w:p>
    <w:p w14:paraId="45C6349A">
      <w:pPr>
        <w:pageBreakBefore w:val="0"/>
        <w:kinsoku/>
        <w:wordWrap w:val="0"/>
        <w:topLinePunct w:val="0"/>
        <w:spacing w:line="360" w:lineRule="auto"/>
        <w:ind w:firstLine="422" w:firstLineChars="200"/>
        <w:outlineLvl w:val="0"/>
        <w:rPr>
          <w:rFonts w:ascii="宋体" w:hAnsi="宋体"/>
          <w:b/>
          <w:bCs/>
          <w:color w:val="auto"/>
          <w:highlight w:val="none"/>
        </w:rPr>
      </w:pPr>
      <w:bookmarkStart w:id="136" w:name="_Toc6593"/>
      <w:bookmarkStart w:id="137" w:name="_Toc351203493"/>
      <w:bookmarkStart w:id="138" w:name="_Toc28962"/>
      <w:bookmarkStart w:id="139" w:name="_Toc15064"/>
      <w:bookmarkStart w:id="140" w:name="_Toc12794"/>
      <w:bookmarkStart w:id="141" w:name="_Toc11868"/>
      <w:r>
        <w:rPr>
          <w:rFonts w:hint="eastAsia" w:ascii="宋体" w:hAnsi="宋体" w:cs="宋体"/>
          <w:b/>
          <w:bCs/>
          <w:color w:val="auto"/>
          <w:highlight w:val="none"/>
        </w:rPr>
        <w:t>十三、合同份数</w:t>
      </w:r>
      <w:bookmarkEnd w:id="136"/>
      <w:bookmarkEnd w:id="137"/>
      <w:bookmarkEnd w:id="138"/>
      <w:bookmarkEnd w:id="139"/>
      <w:bookmarkEnd w:id="140"/>
      <w:bookmarkEnd w:id="141"/>
    </w:p>
    <w:p w14:paraId="47ABC630">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s="宋体"/>
          <w:color w:val="auto"/>
          <w:highlight w:val="none"/>
        </w:rPr>
        <w:t>本合同一陆份，均具有同等法律效力，发包人执叁份，承包人执叁份。</w:t>
      </w:r>
    </w:p>
    <w:p w14:paraId="2AC27FED">
      <w:pPr>
        <w:pageBreakBefore w:val="0"/>
        <w:kinsoku/>
        <w:wordWrap w:val="0"/>
        <w:topLinePunct w:val="0"/>
        <w:spacing w:line="360" w:lineRule="auto"/>
        <w:rPr>
          <w:rFonts w:ascii="宋体" w:hAnsi="宋体" w:cs="宋体"/>
          <w:color w:val="auto"/>
          <w:highlight w:val="none"/>
        </w:rPr>
      </w:pPr>
    </w:p>
    <w:p w14:paraId="59327981">
      <w:pPr>
        <w:pageBreakBefore w:val="0"/>
        <w:kinsoku/>
        <w:wordWrap w:val="0"/>
        <w:topLinePunct w:val="0"/>
        <w:spacing w:line="360" w:lineRule="auto"/>
        <w:rPr>
          <w:rFonts w:ascii="宋体" w:hAnsi="宋体" w:cs="宋体"/>
          <w:color w:val="auto"/>
          <w:highlight w:val="none"/>
        </w:rPr>
      </w:pPr>
    </w:p>
    <w:p w14:paraId="03240279">
      <w:pPr>
        <w:pageBreakBefore w:val="0"/>
        <w:kinsoku/>
        <w:wordWrap w:val="0"/>
        <w:topLinePunct w:val="0"/>
        <w:spacing w:line="360" w:lineRule="auto"/>
        <w:rPr>
          <w:rFonts w:ascii="宋体" w:hAnsi="宋体" w:cs="宋体"/>
          <w:color w:val="auto"/>
          <w:highlight w:val="none"/>
        </w:rPr>
      </w:pPr>
    </w:p>
    <w:p w14:paraId="03A95196">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发包人：（公章）                                 承包人：（公章）</w:t>
      </w:r>
    </w:p>
    <w:p w14:paraId="3FAC491C">
      <w:pPr>
        <w:pageBreakBefore w:val="0"/>
        <w:kinsoku/>
        <w:wordWrap w:val="0"/>
        <w:topLinePunct w:val="0"/>
        <w:spacing w:line="360" w:lineRule="auto"/>
        <w:rPr>
          <w:rFonts w:ascii="宋体" w:hAnsi="宋体"/>
          <w:color w:val="auto"/>
          <w:highlight w:val="none"/>
          <w:u w:val="single"/>
        </w:rPr>
      </w:pPr>
    </w:p>
    <w:p w14:paraId="77628266">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法定代表人或其委托代理人（签字）：               法定代表人或其委托代理人（签字）：</w:t>
      </w:r>
    </w:p>
    <w:p w14:paraId="4AC03AE2">
      <w:pPr>
        <w:pageBreakBefore w:val="0"/>
        <w:kinsoku/>
        <w:wordWrap w:val="0"/>
        <w:topLinePunct w:val="0"/>
        <w:spacing w:line="360" w:lineRule="auto"/>
        <w:rPr>
          <w:rFonts w:ascii="宋体" w:hAnsi="宋体"/>
          <w:color w:val="auto"/>
          <w:highlight w:val="none"/>
        </w:rPr>
      </w:pPr>
    </w:p>
    <w:p w14:paraId="68AE6F38">
      <w:pPr>
        <w:pageBreakBefore w:val="0"/>
        <w:kinsoku/>
        <w:wordWrap w:val="0"/>
        <w:topLinePunct w:val="0"/>
        <w:spacing w:line="360" w:lineRule="auto"/>
        <w:rPr>
          <w:rFonts w:ascii="宋体" w:hAnsi="宋体" w:cs="宋体"/>
          <w:color w:val="auto"/>
          <w:highlight w:val="none"/>
        </w:rPr>
      </w:pPr>
      <w:r>
        <w:rPr>
          <w:rFonts w:hint="eastAsia" w:ascii="宋体" w:hAnsi="宋体" w:cs="宋体"/>
          <w:color w:val="auto"/>
          <w:highlight w:val="none"/>
        </w:rPr>
        <w:t>统一社会信用代码：                               统一社会信用代码：</w:t>
      </w:r>
    </w:p>
    <w:p w14:paraId="2DE04262">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地址：                                           地址：</w:t>
      </w:r>
    </w:p>
    <w:p w14:paraId="1899618A">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邮政编码：                                       邮政编码：</w:t>
      </w:r>
    </w:p>
    <w:p w14:paraId="52FF55FE">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法定代表人：                                     法定代表人：</w:t>
      </w:r>
    </w:p>
    <w:p w14:paraId="1310AB51">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委托代理人：                                     委托代理人：</w:t>
      </w:r>
    </w:p>
    <w:p w14:paraId="12D9D6A8">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电话：                                           电话：</w:t>
      </w:r>
    </w:p>
    <w:p w14:paraId="0280A95C">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传真：                                           传真：</w:t>
      </w:r>
    </w:p>
    <w:p w14:paraId="2F39A0A5">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电子信箱：                                       电子信箱：</w:t>
      </w:r>
    </w:p>
    <w:p w14:paraId="43B2E51E">
      <w:pPr>
        <w:pageBreakBefore w:val="0"/>
        <w:kinsoku/>
        <w:wordWrap w:val="0"/>
        <w:topLinePunct w:val="0"/>
        <w:spacing w:line="360" w:lineRule="auto"/>
        <w:rPr>
          <w:rFonts w:ascii="宋体" w:hAnsi="宋体"/>
          <w:color w:val="auto"/>
          <w:highlight w:val="none"/>
        </w:rPr>
      </w:pPr>
      <w:r>
        <w:rPr>
          <w:rFonts w:hint="eastAsia" w:ascii="宋体" w:hAnsi="宋体" w:cs="宋体"/>
          <w:color w:val="auto"/>
          <w:highlight w:val="none"/>
        </w:rPr>
        <w:t>开户银行：                                       开户银行：</w:t>
      </w:r>
    </w:p>
    <w:p w14:paraId="7FADBEE4">
      <w:pPr>
        <w:pageBreakBefore w:val="0"/>
        <w:kinsoku/>
        <w:wordWrap w:val="0"/>
        <w:topLinePunct w:val="0"/>
        <w:rPr>
          <w:rFonts w:ascii="宋体" w:hAnsi="宋体"/>
          <w:color w:val="auto"/>
          <w:highlight w:val="none"/>
          <w:u w:val="single"/>
        </w:rPr>
      </w:pPr>
      <w:r>
        <w:rPr>
          <w:rFonts w:hint="eastAsia" w:ascii="宋体" w:hAnsi="宋体" w:cs="宋体"/>
          <w:color w:val="auto"/>
          <w:highlight w:val="none"/>
        </w:rPr>
        <w:t>账号：                                           账号：</w:t>
      </w:r>
    </w:p>
    <w:bookmarkEnd w:id="63"/>
    <w:p w14:paraId="3C62D9D3">
      <w:pPr>
        <w:pageBreakBefore w:val="0"/>
        <w:kinsoku/>
        <w:wordWrap w:val="0"/>
        <w:topLinePunct w:val="0"/>
        <w:rPr>
          <w:rFonts w:ascii="宋体" w:hAnsi="宋体"/>
          <w:color w:val="auto"/>
          <w:sz w:val="20"/>
          <w:szCs w:val="22"/>
          <w:highlight w:val="none"/>
        </w:rPr>
      </w:pPr>
    </w:p>
    <w:p w14:paraId="04B53DA4">
      <w:pPr>
        <w:pageBreakBefore w:val="0"/>
        <w:kinsoku/>
        <w:wordWrap w:val="0"/>
        <w:topLinePunct w:val="0"/>
        <w:rPr>
          <w:rFonts w:ascii="宋体" w:hAnsi="宋体"/>
          <w:color w:val="auto"/>
          <w:sz w:val="20"/>
          <w:szCs w:val="22"/>
          <w:highlight w:val="none"/>
        </w:rPr>
      </w:pPr>
    </w:p>
    <w:p w14:paraId="2958EF7B">
      <w:pPr>
        <w:pageBreakBefore w:val="0"/>
        <w:widowControl/>
        <w:kinsoku/>
        <w:wordWrap w:val="0"/>
        <w:topLinePunct w:val="0"/>
        <w:jc w:val="left"/>
        <w:rPr>
          <w:rFonts w:ascii="宋体" w:hAnsi="宋体"/>
          <w:color w:val="auto"/>
          <w:szCs w:val="22"/>
          <w:highlight w:val="none"/>
          <w:u w:val="single"/>
        </w:rPr>
      </w:pPr>
      <w:r>
        <w:rPr>
          <w:rFonts w:ascii="宋体" w:hAnsi="宋体"/>
          <w:color w:val="auto"/>
          <w:szCs w:val="22"/>
          <w:highlight w:val="none"/>
        </w:rPr>
        <w:br w:type="page"/>
      </w:r>
    </w:p>
    <w:p w14:paraId="27F165FB">
      <w:pPr>
        <w:keepNext/>
        <w:keepLines/>
        <w:pageBreakBefore w:val="0"/>
        <w:kinsoku/>
        <w:wordWrap w:val="0"/>
        <w:topLinePunct w:val="0"/>
        <w:spacing w:line="360" w:lineRule="auto"/>
        <w:ind w:left="779" w:leftChars="371" w:firstLine="2080" w:firstLineChars="740"/>
        <w:outlineLvl w:val="0"/>
        <w:rPr>
          <w:rFonts w:ascii="宋体" w:hAnsi="宋体"/>
          <w:b/>
          <w:bCs/>
          <w:color w:val="auto"/>
          <w:kern w:val="44"/>
          <w:sz w:val="28"/>
          <w:szCs w:val="28"/>
          <w:highlight w:val="none"/>
          <w:lang w:val="zh-CN"/>
        </w:rPr>
      </w:pPr>
      <w:bookmarkStart w:id="142" w:name="_Toc11923"/>
      <w:bookmarkStart w:id="143" w:name="_Toc3676"/>
      <w:bookmarkStart w:id="144" w:name="_Toc25065"/>
      <w:bookmarkStart w:id="145" w:name="_Toc20658"/>
      <w:bookmarkStart w:id="146" w:name="_Toc9974"/>
      <w:r>
        <w:rPr>
          <w:rFonts w:hint="eastAsia" w:ascii="宋体" w:hAnsi="宋体" w:cs="黑体"/>
          <w:b/>
          <w:bCs/>
          <w:color w:val="auto"/>
          <w:kern w:val="44"/>
          <w:sz w:val="28"/>
          <w:szCs w:val="28"/>
          <w:highlight w:val="none"/>
          <w:lang w:val="zh-CN"/>
        </w:rPr>
        <w:t>第二部分通用合同条款</w:t>
      </w:r>
      <w:bookmarkEnd w:id="142"/>
      <w:bookmarkEnd w:id="143"/>
      <w:bookmarkEnd w:id="144"/>
      <w:bookmarkEnd w:id="145"/>
      <w:bookmarkEnd w:id="146"/>
    </w:p>
    <w:p w14:paraId="4E7977A7">
      <w:pPr>
        <w:pageBreakBefore w:val="0"/>
        <w:kinsoku/>
        <w:wordWrap w:val="0"/>
        <w:topLinePunct w:val="0"/>
        <w:spacing w:line="360" w:lineRule="auto"/>
        <w:ind w:firstLine="560" w:firstLineChars="200"/>
        <w:rPr>
          <w:rFonts w:ascii="宋体" w:hAnsi="宋体"/>
          <w:color w:val="auto"/>
          <w:kern w:val="0"/>
          <w:sz w:val="28"/>
          <w:szCs w:val="28"/>
          <w:highlight w:val="none"/>
        </w:rPr>
      </w:pPr>
    </w:p>
    <w:p w14:paraId="62786BBB">
      <w:pPr>
        <w:pageBreakBefore w:val="0"/>
        <w:kinsoku/>
        <w:wordWrap w:val="0"/>
        <w:topLinePunct w:val="0"/>
        <w:spacing w:line="360" w:lineRule="auto"/>
        <w:ind w:firstLine="562" w:firstLineChars="200"/>
        <w:rPr>
          <w:rFonts w:ascii="宋体" w:hAnsi="宋体"/>
          <w:b/>
          <w:bCs/>
          <w:color w:val="auto"/>
          <w:kern w:val="0"/>
          <w:sz w:val="28"/>
          <w:szCs w:val="28"/>
          <w:highlight w:val="none"/>
        </w:rPr>
      </w:pPr>
      <w:r>
        <w:rPr>
          <w:rFonts w:hint="eastAsia" w:ascii="宋体" w:hAnsi="宋体" w:cs="宋体"/>
          <w:b/>
          <w:bCs/>
          <w:color w:val="auto"/>
          <w:kern w:val="0"/>
          <w:sz w:val="28"/>
          <w:szCs w:val="28"/>
          <w:highlight w:val="none"/>
        </w:rPr>
        <w:t>采用《建设工程施工合同（示范文本）》（</w:t>
      </w:r>
      <w:r>
        <w:rPr>
          <w:rFonts w:ascii="宋体" w:hAnsi="宋体"/>
          <w:b/>
          <w:bCs/>
          <w:color w:val="auto"/>
          <w:kern w:val="0"/>
          <w:sz w:val="28"/>
          <w:szCs w:val="28"/>
          <w:highlight w:val="none"/>
        </w:rPr>
        <w:t>GF</w:t>
      </w:r>
      <w:r>
        <w:rPr>
          <w:rFonts w:ascii="宋体" w:hAnsi="宋体" w:cs="宋体"/>
          <w:b/>
          <w:bCs/>
          <w:color w:val="auto"/>
          <w:kern w:val="0"/>
          <w:sz w:val="28"/>
          <w:szCs w:val="28"/>
          <w:highlight w:val="none"/>
        </w:rPr>
        <w:t>—</w:t>
      </w:r>
      <w:r>
        <w:rPr>
          <w:rFonts w:ascii="宋体" w:hAnsi="宋体"/>
          <w:b/>
          <w:bCs/>
          <w:color w:val="auto"/>
          <w:kern w:val="0"/>
          <w:sz w:val="28"/>
          <w:szCs w:val="28"/>
          <w:highlight w:val="none"/>
        </w:rPr>
        <w:t>2017</w:t>
      </w:r>
      <w:r>
        <w:rPr>
          <w:rFonts w:ascii="宋体" w:hAnsi="宋体" w:cs="宋体"/>
          <w:b/>
          <w:bCs/>
          <w:color w:val="auto"/>
          <w:kern w:val="0"/>
          <w:sz w:val="28"/>
          <w:szCs w:val="28"/>
          <w:highlight w:val="none"/>
        </w:rPr>
        <w:t>—</w:t>
      </w:r>
      <w:r>
        <w:rPr>
          <w:rFonts w:ascii="宋体" w:hAnsi="宋体"/>
          <w:b/>
          <w:bCs/>
          <w:color w:val="auto"/>
          <w:kern w:val="0"/>
          <w:sz w:val="28"/>
          <w:szCs w:val="28"/>
          <w:highlight w:val="none"/>
        </w:rPr>
        <w:t>0201</w:t>
      </w:r>
      <w:r>
        <w:rPr>
          <w:rFonts w:hint="eastAsia" w:ascii="宋体" w:hAnsi="宋体" w:cs="宋体"/>
          <w:b/>
          <w:bCs/>
          <w:color w:val="auto"/>
          <w:kern w:val="0"/>
          <w:sz w:val="28"/>
          <w:szCs w:val="28"/>
          <w:highlight w:val="none"/>
        </w:rPr>
        <w:t>）。</w:t>
      </w:r>
    </w:p>
    <w:p w14:paraId="6A2396E1">
      <w:pPr>
        <w:pageBreakBefore w:val="0"/>
        <w:kinsoku/>
        <w:wordWrap w:val="0"/>
        <w:topLinePunct w:val="0"/>
        <w:spacing w:line="360" w:lineRule="auto"/>
        <w:ind w:left="779" w:leftChars="371" w:firstLine="1940" w:firstLineChars="690"/>
        <w:outlineLvl w:val="0"/>
        <w:rPr>
          <w:rFonts w:ascii="宋体" w:hAnsi="宋体"/>
          <w:b/>
          <w:bCs/>
          <w:color w:val="auto"/>
          <w:kern w:val="44"/>
          <w:sz w:val="28"/>
          <w:szCs w:val="28"/>
          <w:highlight w:val="none"/>
          <w:lang w:val="zh-CN"/>
        </w:rPr>
      </w:pPr>
      <w:bookmarkStart w:id="147" w:name="_Toc7475"/>
      <w:bookmarkStart w:id="148" w:name="_Toc389065257"/>
      <w:bookmarkStart w:id="149" w:name="_Toc12586"/>
      <w:bookmarkStart w:id="150" w:name="_Toc256000112"/>
      <w:bookmarkStart w:id="151" w:name="_Toc407135193"/>
      <w:bookmarkStart w:id="152" w:name="_Toc9850521"/>
      <w:bookmarkStart w:id="153" w:name="_Toc17210"/>
      <w:bookmarkStart w:id="154" w:name="_Toc18970"/>
      <w:bookmarkStart w:id="155" w:name="_Toc32370"/>
      <w:r>
        <w:rPr>
          <w:rFonts w:hint="eastAsia" w:ascii="宋体" w:hAnsi="宋体" w:cs="黑体"/>
          <w:b/>
          <w:bCs/>
          <w:color w:val="auto"/>
          <w:kern w:val="44"/>
          <w:sz w:val="28"/>
          <w:szCs w:val="28"/>
          <w:highlight w:val="none"/>
          <w:lang w:val="zh-CN"/>
        </w:rPr>
        <w:t>第三部分专用合同条款</w:t>
      </w:r>
      <w:bookmarkEnd w:id="147"/>
      <w:bookmarkEnd w:id="148"/>
      <w:bookmarkEnd w:id="149"/>
      <w:bookmarkEnd w:id="150"/>
      <w:bookmarkEnd w:id="151"/>
      <w:bookmarkEnd w:id="152"/>
      <w:bookmarkEnd w:id="153"/>
      <w:bookmarkEnd w:id="154"/>
      <w:bookmarkEnd w:id="155"/>
    </w:p>
    <w:p w14:paraId="0F54D5E4">
      <w:pPr>
        <w:pageBreakBefore w:val="0"/>
        <w:kinsoku/>
        <w:wordWrap w:val="0"/>
        <w:topLinePunct w:val="0"/>
        <w:rPr>
          <w:rFonts w:ascii="宋体" w:hAnsi="宋体"/>
          <w:color w:val="auto"/>
          <w:sz w:val="20"/>
          <w:szCs w:val="22"/>
          <w:highlight w:val="none"/>
        </w:rPr>
      </w:pPr>
    </w:p>
    <w:p w14:paraId="0DDD4CC6">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156" w:name="_Toc389065258"/>
      <w:r>
        <w:rPr>
          <w:rFonts w:ascii="宋体" w:hAnsi="宋体"/>
          <w:b/>
          <w:bCs/>
          <w:color w:val="auto"/>
          <w:highlight w:val="none"/>
          <w:lang w:val="zh-CN"/>
        </w:rPr>
        <w:t>1</w:t>
      </w:r>
      <w:bookmarkEnd w:id="156"/>
      <w:bookmarkStart w:id="157" w:name="_Toc296944495"/>
      <w:bookmarkEnd w:id="157"/>
      <w:bookmarkStart w:id="158" w:name="_Toc296503156"/>
      <w:bookmarkEnd w:id="158"/>
      <w:bookmarkStart w:id="159" w:name="_Toc297048342"/>
      <w:bookmarkEnd w:id="159"/>
      <w:bookmarkStart w:id="160" w:name="_Toc292559361"/>
      <w:bookmarkEnd w:id="160"/>
      <w:bookmarkStart w:id="161" w:name="_Toc292559866"/>
      <w:bookmarkEnd w:id="161"/>
      <w:bookmarkStart w:id="162" w:name="_Toc296346657"/>
      <w:bookmarkEnd w:id="162"/>
      <w:bookmarkStart w:id="163" w:name="_Toc296890984"/>
      <w:bookmarkEnd w:id="163"/>
      <w:bookmarkStart w:id="164" w:name="_Toc297120456"/>
      <w:bookmarkEnd w:id="164"/>
      <w:bookmarkStart w:id="165" w:name="_Toc296347155"/>
      <w:bookmarkEnd w:id="165"/>
      <w:bookmarkStart w:id="166" w:name="_Toc296891196"/>
      <w:r>
        <w:rPr>
          <w:rFonts w:ascii="宋体" w:hAnsi="宋体"/>
          <w:b/>
          <w:bCs/>
          <w:color w:val="auto"/>
          <w:highlight w:val="none"/>
          <w:lang w:val="zh-CN"/>
        </w:rPr>
        <w:t xml:space="preserve">. </w:t>
      </w:r>
      <w:bookmarkEnd w:id="166"/>
      <w:r>
        <w:rPr>
          <w:rFonts w:hint="eastAsia" w:ascii="宋体" w:hAnsi="宋体"/>
          <w:b/>
          <w:bCs/>
          <w:color w:val="auto"/>
          <w:highlight w:val="none"/>
          <w:lang w:val="zh-CN"/>
        </w:rPr>
        <w:t>一般约定</w:t>
      </w:r>
    </w:p>
    <w:p w14:paraId="0CF89A96">
      <w:pPr>
        <w:keepNext/>
        <w:keepLines/>
        <w:pageBreakBefore w:val="0"/>
        <w:kinsoku/>
        <w:wordWrap w:val="0"/>
        <w:topLinePunct w:val="0"/>
        <w:spacing w:line="360" w:lineRule="auto"/>
        <w:outlineLvl w:val="2"/>
        <w:rPr>
          <w:rFonts w:ascii="宋体" w:hAnsi="宋体"/>
          <w:b/>
          <w:bCs/>
          <w:color w:val="auto"/>
          <w:highlight w:val="none"/>
          <w:lang w:val="zh-CN"/>
        </w:rPr>
      </w:pPr>
      <w:bookmarkStart w:id="167" w:name="_Toc373478340"/>
      <w:bookmarkEnd w:id="167"/>
      <w:bookmarkStart w:id="168" w:name="_Toc20141"/>
      <w:bookmarkEnd w:id="168"/>
      <w:bookmarkStart w:id="169" w:name="_Toc407135195"/>
      <w:bookmarkEnd w:id="169"/>
      <w:bookmarkStart w:id="170" w:name="_Toc389065259"/>
      <w:bookmarkEnd w:id="170"/>
      <w:bookmarkStart w:id="171" w:name="_Toc373227693"/>
      <w:bookmarkEnd w:id="171"/>
      <w:r>
        <w:rPr>
          <w:rFonts w:ascii="宋体" w:hAnsi="宋体"/>
          <w:b/>
          <w:bCs/>
          <w:color w:val="auto"/>
          <w:highlight w:val="none"/>
          <w:lang w:val="zh-CN"/>
        </w:rPr>
        <w:t xml:space="preserve">1.1 </w:t>
      </w:r>
      <w:r>
        <w:rPr>
          <w:rFonts w:hint="eastAsia" w:ascii="宋体" w:hAnsi="宋体"/>
          <w:b/>
          <w:bCs/>
          <w:color w:val="auto"/>
          <w:highlight w:val="none"/>
          <w:lang w:val="zh-CN"/>
        </w:rPr>
        <w:t>词语定义</w:t>
      </w:r>
    </w:p>
    <w:p w14:paraId="64C3ED52">
      <w:pPr>
        <w:pageBreakBefore w:val="0"/>
        <w:kinsoku/>
        <w:wordWrap w:val="0"/>
        <w:topLinePunct w:val="0"/>
        <w:spacing w:line="360" w:lineRule="auto"/>
        <w:ind w:firstLine="420" w:firstLineChars="200"/>
        <w:rPr>
          <w:rFonts w:ascii="宋体" w:hAnsi="宋体"/>
          <w:color w:val="auto"/>
          <w:kern w:val="0"/>
          <w:highlight w:val="none"/>
        </w:rPr>
      </w:pPr>
      <w:r>
        <w:rPr>
          <w:rFonts w:ascii="宋体" w:hAnsi="宋体"/>
          <w:color w:val="auto"/>
          <w:kern w:val="0"/>
          <w:highlight w:val="none"/>
        </w:rPr>
        <w:t xml:space="preserve">1.1.1 </w:t>
      </w:r>
      <w:r>
        <w:rPr>
          <w:rFonts w:hint="eastAsia" w:ascii="宋体" w:hAnsi="宋体"/>
          <w:color w:val="auto"/>
          <w:kern w:val="0"/>
          <w:highlight w:val="none"/>
        </w:rPr>
        <w:t>合同</w:t>
      </w:r>
    </w:p>
    <w:p w14:paraId="47DC6D0C">
      <w:pPr>
        <w:pageBreakBefore w:val="0"/>
        <w:kinsoku/>
        <w:wordWrap w:val="0"/>
        <w:topLinePunct w:val="0"/>
        <w:spacing w:line="360" w:lineRule="auto"/>
        <w:ind w:firstLine="420" w:firstLineChars="200"/>
        <w:rPr>
          <w:rFonts w:ascii="宋体" w:hAnsi="宋体"/>
          <w:color w:val="auto"/>
          <w:kern w:val="0"/>
          <w:highlight w:val="none"/>
        </w:rPr>
      </w:pPr>
      <w:r>
        <w:rPr>
          <w:rFonts w:ascii="宋体" w:hAnsi="宋体"/>
          <w:color w:val="auto"/>
          <w:kern w:val="0"/>
          <w:highlight w:val="none"/>
        </w:rPr>
        <w:t xml:space="preserve">1.1.1.10 </w:t>
      </w:r>
      <w:r>
        <w:rPr>
          <w:rFonts w:hint="eastAsia" w:ascii="宋体" w:hAnsi="宋体"/>
          <w:color w:val="auto"/>
          <w:kern w:val="0"/>
          <w:highlight w:val="none"/>
        </w:rPr>
        <w:t>其他合同文件包括：</w:t>
      </w:r>
      <w:r>
        <w:rPr>
          <w:rFonts w:hint="eastAsia" w:ascii="宋体" w:hAnsi="宋体"/>
          <w:color w:val="auto"/>
          <w:highlight w:val="none"/>
          <w:u w:val="single"/>
        </w:rPr>
        <w:t>在合同订立及履行过程中形成的与合同有关的文件均构成合同文件组成部分，包括履行合同过程中对合同内容有实质性影响的施工组织设计、进度计划、会议纪要、工程变更、签证等资料，以及构成合同文件组成部分的已标明价格、经算术性错误修正及其他错误修正（如有）且承包人已确认的最终的工程量清单，包括工程量清单说明、投标报价说明、计日工说明、其他说明及工程量清单各项表格等</w:t>
      </w:r>
      <w:r>
        <w:rPr>
          <w:rFonts w:hint="eastAsia" w:ascii="宋体" w:hAnsi="宋体"/>
          <w:color w:val="auto"/>
          <w:highlight w:val="none"/>
        </w:rPr>
        <w:t>。</w:t>
      </w:r>
    </w:p>
    <w:p w14:paraId="08E2F014">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1.1.2 </w:t>
      </w:r>
      <w:r>
        <w:rPr>
          <w:rFonts w:hint="eastAsia" w:ascii="宋体" w:hAnsi="宋体"/>
          <w:color w:val="auto"/>
          <w:highlight w:val="none"/>
        </w:rPr>
        <w:t>合同当事人及其他相关方</w:t>
      </w:r>
    </w:p>
    <w:p w14:paraId="5CB56CD1">
      <w:pPr>
        <w:pageBreakBefore w:val="0"/>
        <w:kinsoku/>
        <w:wordWrap w:val="0"/>
        <w:topLinePunct w:val="0"/>
        <w:spacing w:line="360" w:lineRule="auto"/>
        <w:ind w:firstLine="420" w:firstLineChars="200"/>
        <w:outlineLvl w:val="0"/>
        <w:rPr>
          <w:rFonts w:ascii="宋体" w:hAnsi="宋体"/>
          <w:color w:val="auto"/>
          <w:highlight w:val="none"/>
        </w:rPr>
      </w:pPr>
      <w:bookmarkStart w:id="172" w:name="_Toc13314"/>
      <w:bookmarkStart w:id="173" w:name="_Toc29308"/>
      <w:bookmarkStart w:id="174" w:name="_Toc10337"/>
      <w:bookmarkStart w:id="175" w:name="_Toc26362"/>
      <w:bookmarkStart w:id="176" w:name="_Toc11321"/>
      <w:r>
        <w:rPr>
          <w:rFonts w:ascii="宋体" w:hAnsi="宋体"/>
          <w:color w:val="auto"/>
          <w:highlight w:val="none"/>
        </w:rPr>
        <w:t xml:space="preserve">1.1.2.4 </w:t>
      </w:r>
      <w:r>
        <w:rPr>
          <w:rFonts w:hint="eastAsia" w:ascii="宋体" w:hAnsi="宋体"/>
          <w:color w:val="auto"/>
          <w:highlight w:val="none"/>
        </w:rPr>
        <w:t>监理人：</w:t>
      </w:r>
      <w:r>
        <w:rPr>
          <w:rFonts w:hint="eastAsia" w:ascii="宋体" w:hAnsi="宋体"/>
          <w:color w:val="auto"/>
          <w:kern w:val="0"/>
          <w:highlight w:val="none"/>
        </w:rPr>
        <w:t>。</w:t>
      </w:r>
      <w:bookmarkEnd w:id="172"/>
      <w:bookmarkEnd w:id="173"/>
      <w:bookmarkEnd w:id="174"/>
      <w:bookmarkEnd w:id="175"/>
      <w:bookmarkEnd w:id="176"/>
    </w:p>
    <w:p w14:paraId="6470DD7B">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名称：；</w:t>
      </w:r>
    </w:p>
    <w:p w14:paraId="06E8DB72">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资质类别和等级：；</w:t>
      </w:r>
    </w:p>
    <w:p w14:paraId="07AB3C66">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联系电话：；</w:t>
      </w:r>
    </w:p>
    <w:p w14:paraId="00529FB4">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电子信箱：；</w:t>
      </w:r>
    </w:p>
    <w:p w14:paraId="7E545FB2">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通信地址：。</w:t>
      </w:r>
    </w:p>
    <w:p w14:paraId="00CD3C06">
      <w:pPr>
        <w:pageBreakBefore w:val="0"/>
        <w:kinsoku/>
        <w:wordWrap w:val="0"/>
        <w:topLinePunct w:val="0"/>
        <w:spacing w:line="360" w:lineRule="auto"/>
        <w:ind w:firstLine="420" w:firstLineChars="200"/>
        <w:outlineLvl w:val="0"/>
        <w:rPr>
          <w:rFonts w:ascii="宋体" w:hAnsi="宋体"/>
          <w:color w:val="auto"/>
          <w:highlight w:val="none"/>
        </w:rPr>
      </w:pPr>
      <w:bookmarkStart w:id="177" w:name="_Toc19707"/>
      <w:bookmarkStart w:id="178" w:name="_Toc12149"/>
      <w:bookmarkStart w:id="179" w:name="_Toc31305"/>
      <w:bookmarkStart w:id="180" w:name="_Toc28661"/>
      <w:bookmarkStart w:id="181" w:name="_Toc15264"/>
      <w:r>
        <w:rPr>
          <w:rFonts w:ascii="宋体" w:hAnsi="宋体"/>
          <w:color w:val="auto"/>
          <w:highlight w:val="none"/>
        </w:rPr>
        <w:t xml:space="preserve">1.1.2.5 </w:t>
      </w:r>
      <w:r>
        <w:rPr>
          <w:rFonts w:hint="eastAsia" w:ascii="宋体" w:hAnsi="宋体"/>
          <w:color w:val="auto"/>
          <w:highlight w:val="none"/>
        </w:rPr>
        <w:t>设计人：</w:t>
      </w:r>
      <w:r>
        <w:rPr>
          <w:rFonts w:hint="eastAsia" w:ascii="宋体" w:hAnsi="宋体"/>
          <w:color w:val="auto"/>
          <w:kern w:val="0"/>
          <w:highlight w:val="none"/>
        </w:rPr>
        <w:t>。</w:t>
      </w:r>
      <w:bookmarkEnd w:id="177"/>
      <w:bookmarkEnd w:id="178"/>
      <w:bookmarkEnd w:id="179"/>
      <w:bookmarkEnd w:id="180"/>
      <w:bookmarkEnd w:id="181"/>
    </w:p>
    <w:p w14:paraId="41AB3236">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名称：；</w:t>
      </w:r>
    </w:p>
    <w:p w14:paraId="32252B81">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资质类别和等级：；</w:t>
      </w:r>
    </w:p>
    <w:p w14:paraId="383C2CFF">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联系电话：；</w:t>
      </w:r>
    </w:p>
    <w:p w14:paraId="449990C7">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电子信箱：；</w:t>
      </w:r>
    </w:p>
    <w:p w14:paraId="0957A329">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通信地址：。</w:t>
      </w:r>
    </w:p>
    <w:p w14:paraId="72900CA3">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1.1.3 </w:t>
      </w:r>
      <w:r>
        <w:rPr>
          <w:rFonts w:hint="eastAsia" w:ascii="宋体" w:hAnsi="宋体"/>
          <w:color w:val="auto"/>
          <w:highlight w:val="none"/>
        </w:rPr>
        <w:t>工程和设备</w:t>
      </w:r>
    </w:p>
    <w:p w14:paraId="5BCACE0C">
      <w:pPr>
        <w:pageBreakBefore w:val="0"/>
        <w:kinsoku/>
        <w:wordWrap w:val="0"/>
        <w:topLinePunct w:val="0"/>
        <w:spacing w:line="360" w:lineRule="auto"/>
        <w:ind w:firstLine="420" w:firstLineChars="200"/>
        <w:outlineLvl w:val="0"/>
        <w:rPr>
          <w:rFonts w:ascii="宋体" w:hAnsi="宋体"/>
          <w:color w:val="auto"/>
          <w:highlight w:val="none"/>
        </w:rPr>
      </w:pPr>
      <w:bookmarkStart w:id="182" w:name="_Toc2691"/>
      <w:bookmarkStart w:id="183" w:name="_Toc101"/>
      <w:bookmarkStart w:id="184" w:name="_Toc22550"/>
      <w:bookmarkStart w:id="185" w:name="_Toc10697"/>
      <w:bookmarkStart w:id="186" w:name="_Toc28235"/>
      <w:r>
        <w:rPr>
          <w:rFonts w:ascii="宋体" w:hAnsi="宋体"/>
          <w:color w:val="auto"/>
          <w:highlight w:val="none"/>
        </w:rPr>
        <w:t xml:space="preserve">1.1.3.7 </w:t>
      </w:r>
      <w:r>
        <w:rPr>
          <w:rFonts w:hint="eastAsia" w:ascii="宋体" w:hAnsi="宋体"/>
          <w:color w:val="auto"/>
          <w:highlight w:val="none"/>
        </w:rPr>
        <w:t>作为施工现场组成部分的其他场所包括：</w:t>
      </w:r>
      <w:r>
        <w:rPr>
          <w:rFonts w:hint="eastAsia" w:ascii="宋体" w:hAnsi="宋体"/>
          <w:color w:val="auto"/>
          <w:highlight w:val="none"/>
          <w:u w:val="single"/>
        </w:rPr>
        <w:t>材料堆放场、材料加工场及施工便道等</w:t>
      </w:r>
      <w:r>
        <w:rPr>
          <w:rFonts w:hint="eastAsia" w:ascii="宋体" w:hAnsi="宋体"/>
          <w:color w:val="auto"/>
          <w:highlight w:val="none"/>
        </w:rPr>
        <w:t>。</w:t>
      </w:r>
      <w:bookmarkEnd w:id="182"/>
      <w:bookmarkEnd w:id="183"/>
      <w:bookmarkEnd w:id="184"/>
      <w:bookmarkEnd w:id="185"/>
      <w:bookmarkEnd w:id="186"/>
    </w:p>
    <w:p w14:paraId="654C59D1">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 xml:space="preserve">1.1.3.9 </w:t>
      </w:r>
      <w:r>
        <w:rPr>
          <w:rFonts w:hint="eastAsia" w:ascii="宋体" w:hAnsi="宋体"/>
          <w:color w:val="auto"/>
          <w:kern w:val="0"/>
          <w:highlight w:val="none"/>
        </w:rPr>
        <w:t>永久占地包括：</w:t>
      </w:r>
      <w:r>
        <w:rPr>
          <w:rFonts w:hint="eastAsia" w:ascii="宋体" w:hAnsi="宋体"/>
          <w:color w:val="auto"/>
          <w:highlight w:val="none"/>
          <w:u w:val="single"/>
        </w:rPr>
        <w:t xml:space="preserve">         /         </w:t>
      </w:r>
      <w:r>
        <w:rPr>
          <w:rFonts w:hint="eastAsia" w:ascii="宋体" w:hAnsi="宋体"/>
          <w:color w:val="auto"/>
          <w:kern w:val="0"/>
          <w:highlight w:val="none"/>
        </w:rPr>
        <w:t>。</w:t>
      </w:r>
    </w:p>
    <w:p w14:paraId="02F6ADE6">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kern w:val="0"/>
          <w:highlight w:val="none"/>
        </w:rPr>
        <w:t xml:space="preserve">1.1.3.10 </w:t>
      </w:r>
      <w:r>
        <w:rPr>
          <w:rFonts w:hint="eastAsia" w:ascii="宋体" w:hAnsi="宋体"/>
          <w:color w:val="auto"/>
          <w:kern w:val="0"/>
          <w:highlight w:val="none"/>
        </w:rPr>
        <w:t>临时占地包括：</w:t>
      </w:r>
      <w:r>
        <w:rPr>
          <w:rFonts w:hint="eastAsia" w:ascii="宋体" w:hAnsi="宋体"/>
          <w:color w:val="auto"/>
          <w:highlight w:val="none"/>
          <w:u w:val="single"/>
        </w:rPr>
        <w:t>指为实施本合同工程而需要的一切临时占用的土地，包括施工所用的临时支线、便道、便桥和现场的临时出入通道，以及生产等临时设施等</w:t>
      </w:r>
      <w:r>
        <w:rPr>
          <w:rFonts w:hint="eastAsia" w:ascii="宋体" w:hAnsi="宋体"/>
          <w:color w:val="auto"/>
          <w:kern w:val="0"/>
          <w:highlight w:val="none"/>
        </w:rPr>
        <w:t>。</w:t>
      </w:r>
    </w:p>
    <w:p w14:paraId="57C37391">
      <w:pPr>
        <w:keepNext/>
        <w:keepLines/>
        <w:pageBreakBefore w:val="0"/>
        <w:kinsoku/>
        <w:wordWrap w:val="0"/>
        <w:topLinePunct w:val="0"/>
        <w:spacing w:line="360" w:lineRule="auto"/>
        <w:outlineLvl w:val="2"/>
        <w:rPr>
          <w:rFonts w:ascii="宋体" w:hAnsi="宋体"/>
          <w:b/>
          <w:bCs/>
          <w:color w:val="auto"/>
          <w:highlight w:val="none"/>
          <w:lang w:val="zh-CN"/>
        </w:rPr>
      </w:pPr>
      <w:bookmarkStart w:id="187" w:name="_Toc389065260"/>
      <w:bookmarkEnd w:id="187"/>
      <w:bookmarkStart w:id="188" w:name="_Toc373478341"/>
      <w:bookmarkEnd w:id="188"/>
      <w:bookmarkStart w:id="189" w:name="_Toc373227694"/>
      <w:bookmarkEnd w:id="189"/>
      <w:bookmarkStart w:id="190" w:name="_Toc28875"/>
      <w:bookmarkEnd w:id="190"/>
      <w:bookmarkStart w:id="191" w:name="_Toc407135196"/>
      <w:r>
        <w:rPr>
          <w:rFonts w:ascii="宋体" w:hAnsi="宋体"/>
          <w:b/>
          <w:bCs/>
          <w:color w:val="auto"/>
          <w:highlight w:val="none"/>
          <w:lang w:val="zh-CN"/>
        </w:rPr>
        <w:t xml:space="preserve">1.3 </w:t>
      </w:r>
      <w:bookmarkEnd w:id="191"/>
      <w:r>
        <w:rPr>
          <w:rFonts w:hint="eastAsia" w:ascii="宋体" w:hAnsi="宋体"/>
          <w:b/>
          <w:bCs/>
          <w:color w:val="auto"/>
          <w:highlight w:val="none"/>
          <w:lang w:val="zh-CN"/>
        </w:rPr>
        <w:t>法律</w:t>
      </w:r>
    </w:p>
    <w:p w14:paraId="4695BF78">
      <w:pPr>
        <w:pStyle w:val="187"/>
        <w:pageBreakBefore w:val="0"/>
        <w:kinsoku/>
        <w:wordWrap w:val="0"/>
        <w:topLinePunct w:val="0"/>
        <w:ind w:firstLine="315" w:firstLineChars="150"/>
        <w:rPr>
          <w:rFonts w:ascii="宋体" w:hAnsi="宋体"/>
          <w:color w:val="auto"/>
          <w:kern w:val="0"/>
          <w:highlight w:val="none"/>
        </w:rPr>
      </w:pPr>
      <w:r>
        <w:rPr>
          <w:rFonts w:hint="eastAsia"/>
          <w:color w:val="auto"/>
          <w:highlight w:val="none"/>
        </w:rPr>
        <w:t>适用于合同的其他规范性文件：国家现行的《中华人民共和国建筑法》《中华人民共和国民法典》《中华人民共和国招标投标法》《最高人民法院关于审理建设工程施工合同纠纷案件适用法律问题的解释》《建设工程质量管理条例》《建设工程安全生产管理条例》《</w:t>
      </w:r>
      <w:r>
        <w:rPr>
          <w:rFonts w:hint="eastAsia"/>
          <w:color w:val="auto"/>
          <w:kern w:val="0"/>
          <w:highlight w:val="none"/>
        </w:rPr>
        <w:t xml:space="preserve">建设工程价款结算暂行办法 </w:t>
      </w:r>
      <w:r>
        <w:rPr>
          <w:rFonts w:hint="eastAsia"/>
          <w:color w:val="auto"/>
          <w:highlight w:val="none"/>
        </w:rPr>
        <w:t>》《</w:t>
      </w:r>
      <w:r>
        <w:rPr>
          <w:rFonts w:hint="eastAsia"/>
          <w:color w:val="auto"/>
          <w:kern w:val="0"/>
          <w:highlight w:val="none"/>
        </w:rPr>
        <w:t>建筑工程施工发包与承包计价管理办法</w:t>
      </w:r>
      <w:r>
        <w:rPr>
          <w:rFonts w:hint="eastAsia" w:ascii="宋体" w:hAnsi="宋体"/>
          <w:color w:val="auto"/>
          <w:highlight w:val="none"/>
        </w:rPr>
        <w:t>》</w:t>
      </w:r>
      <w:r>
        <w:rPr>
          <w:rFonts w:hint="eastAsia" w:asciiTheme="minorEastAsia" w:hAnsiTheme="minorEastAsia" w:eastAsiaTheme="minorEastAsia"/>
          <w:color w:val="auto"/>
          <w:highlight w:val="none"/>
        </w:rPr>
        <w:t>及国家、自治区建筑装饰装修工程的相关法律法规文件等和</w:t>
      </w:r>
      <w:r>
        <w:rPr>
          <w:rFonts w:hint="eastAsia" w:ascii="宋体" w:hAnsi="宋体"/>
          <w:color w:val="auto"/>
          <w:highlight w:val="none"/>
        </w:rPr>
        <w:t>工程所在地现行的地方性法规和地方政府、行政主管部门制定的有关规范性文件</w:t>
      </w:r>
      <w:r>
        <w:rPr>
          <w:rFonts w:hint="eastAsia" w:ascii="宋体" w:hAnsi="宋体" w:cs="宋体"/>
          <w:color w:val="auto"/>
          <w:highlight w:val="none"/>
        </w:rPr>
        <w:t>。</w:t>
      </w:r>
    </w:p>
    <w:p w14:paraId="7D4741BA">
      <w:pPr>
        <w:keepNext/>
        <w:keepLines/>
        <w:pageBreakBefore w:val="0"/>
        <w:kinsoku/>
        <w:wordWrap w:val="0"/>
        <w:topLinePunct w:val="0"/>
        <w:spacing w:line="360" w:lineRule="auto"/>
        <w:outlineLvl w:val="2"/>
        <w:rPr>
          <w:rFonts w:ascii="宋体" w:hAnsi="宋体"/>
          <w:b/>
          <w:bCs/>
          <w:color w:val="auto"/>
          <w:highlight w:val="none"/>
          <w:lang w:val="zh-CN"/>
        </w:rPr>
      </w:pPr>
      <w:bookmarkStart w:id="192" w:name="_Toc373227695"/>
      <w:bookmarkEnd w:id="192"/>
      <w:bookmarkStart w:id="193" w:name="_Toc389065261"/>
      <w:bookmarkEnd w:id="193"/>
      <w:bookmarkStart w:id="194" w:name="_Toc10801"/>
      <w:bookmarkEnd w:id="194"/>
      <w:bookmarkStart w:id="195" w:name="_Toc407135197"/>
      <w:bookmarkEnd w:id="195"/>
      <w:bookmarkStart w:id="196" w:name="_Toc373478342"/>
      <w:r>
        <w:rPr>
          <w:rFonts w:ascii="宋体" w:hAnsi="宋体"/>
          <w:b/>
          <w:bCs/>
          <w:color w:val="auto"/>
          <w:highlight w:val="none"/>
          <w:lang w:val="zh-CN"/>
        </w:rPr>
        <w:t xml:space="preserve">1.4 </w:t>
      </w:r>
      <w:bookmarkEnd w:id="196"/>
      <w:r>
        <w:rPr>
          <w:rFonts w:hint="eastAsia" w:ascii="宋体" w:hAnsi="宋体"/>
          <w:b/>
          <w:bCs/>
          <w:color w:val="auto"/>
          <w:highlight w:val="none"/>
          <w:lang w:val="zh-CN"/>
        </w:rPr>
        <w:t>标准和规范</w:t>
      </w:r>
    </w:p>
    <w:p w14:paraId="3979E12F">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1.4.1 </w:t>
      </w:r>
      <w:r>
        <w:rPr>
          <w:rFonts w:hint="eastAsia" w:ascii="宋体" w:hAnsi="宋体"/>
          <w:color w:val="auto"/>
          <w:highlight w:val="none"/>
        </w:rPr>
        <w:t>适用于工程的标准规范包括：</w:t>
      </w:r>
      <w:r>
        <w:rPr>
          <w:rFonts w:hint="eastAsia" w:ascii="宋体" w:hAnsi="宋体"/>
          <w:color w:val="auto"/>
          <w:highlight w:val="none"/>
          <w:u w:val="single"/>
        </w:rPr>
        <w:t>国家现行有关的国家标准及规划、行业标准，工程所在地现行的地方性标准、规范、规程等</w:t>
      </w:r>
      <w:r>
        <w:rPr>
          <w:rFonts w:hint="eastAsia" w:ascii="宋体" w:hAnsi="宋体"/>
          <w:color w:val="auto"/>
          <w:highlight w:val="none"/>
        </w:rPr>
        <w:t>。</w:t>
      </w:r>
    </w:p>
    <w:p w14:paraId="5EBBB0B2">
      <w:pPr>
        <w:pageBreakBefore w:val="0"/>
        <w:kinsoku/>
        <w:wordWrap w:val="0"/>
        <w:topLinePunct w:val="0"/>
        <w:spacing w:line="360" w:lineRule="auto"/>
        <w:ind w:firstLine="420" w:firstLineChars="200"/>
        <w:rPr>
          <w:rFonts w:ascii="宋体" w:hAnsi="宋体"/>
          <w:color w:val="auto"/>
          <w:kern w:val="0"/>
          <w:highlight w:val="none"/>
        </w:rPr>
      </w:pPr>
      <w:r>
        <w:rPr>
          <w:rFonts w:ascii="宋体" w:hAnsi="宋体"/>
          <w:color w:val="auto"/>
          <w:kern w:val="0"/>
          <w:highlight w:val="none"/>
        </w:rPr>
        <w:t xml:space="preserve">1.4.2 </w:t>
      </w:r>
      <w:r>
        <w:rPr>
          <w:rFonts w:hint="eastAsia" w:ascii="宋体" w:hAnsi="宋体"/>
          <w:color w:val="auto"/>
          <w:kern w:val="0"/>
          <w:highlight w:val="none"/>
        </w:rPr>
        <w:t>发包人提供国外标准、规范的名称：</w:t>
      </w:r>
      <w:r>
        <w:rPr>
          <w:rFonts w:hint="eastAsia" w:ascii="宋体" w:hAnsi="宋体"/>
          <w:color w:val="auto"/>
          <w:kern w:val="0"/>
          <w:highlight w:val="none"/>
          <w:u w:val="single"/>
        </w:rPr>
        <w:t>无</w:t>
      </w:r>
      <w:r>
        <w:rPr>
          <w:rFonts w:hint="eastAsia" w:ascii="宋体" w:hAnsi="宋体"/>
          <w:color w:val="auto"/>
          <w:highlight w:val="none"/>
        </w:rPr>
        <w:t>；</w:t>
      </w:r>
    </w:p>
    <w:p w14:paraId="2A3002F7">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发包人提供国外标准、规范的份数：</w:t>
      </w:r>
      <w:r>
        <w:rPr>
          <w:rFonts w:hint="eastAsia" w:ascii="宋体" w:hAnsi="宋体"/>
          <w:color w:val="auto"/>
          <w:kern w:val="0"/>
          <w:highlight w:val="none"/>
          <w:u w:val="single"/>
        </w:rPr>
        <w:t>无</w:t>
      </w:r>
      <w:r>
        <w:rPr>
          <w:rFonts w:hint="eastAsia" w:ascii="宋体" w:hAnsi="宋体"/>
          <w:color w:val="auto"/>
          <w:kern w:val="0"/>
          <w:highlight w:val="none"/>
        </w:rPr>
        <w:t>；</w:t>
      </w:r>
    </w:p>
    <w:p w14:paraId="56E6AFF7">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kern w:val="0"/>
          <w:highlight w:val="none"/>
        </w:rPr>
        <w:t>发包人提供国外标准、规范的名称：</w:t>
      </w:r>
      <w:r>
        <w:rPr>
          <w:rFonts w:hint="eastAsia" w:ascii="宋体" w:hAnsi="宋体"/>
          <w:color w:val="auto"/>
          <w:kern w:val="0"/>
          <w:highlight w:val="none"/>
          <w:u w:val="single"/>
        </w:rPr>
        <w:t>无</w:t>
      </w:r>
      <w:r>
        <w:rPr>
          <w:rFonts w:hint="eastAsia" w:ascii="宋体" w:hAnsi="宋体"/>
          <w:color w:val="auto"/>
          <w:kern w:val="0"/>
          <w:highlight w:val="none"/>
        </w:rPr>
        <w:t>。</w:t>
      </w:r>
    </w:p>
    <w:p w14:paraId="3D9C4F94">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1.4.3 </w:t>
      </w:r>
      <w:r>
        <w:rPr>
          <w:rFonts w:hint="eastAsia" w:ascii="宋体" w:hAnsi="宋体"/>
          <w:color w:val="auto"/>
          <w:highlight w:val="none"/>
        </w:rPr>
        <w:t>发包人对工程的技术标准和功能要求的特殊要求：</w:t>
      </w:r>
      <w:r>
        <w:rPr>
          <w:rFonts w:hint="eastAsia" w:ascii="宋体" w:hAnsi="宋体"/>
          <w:color w:val="auto"/>
          <w:highlight w:val="none"/>
          <w:u w:val="single"/>
        </w:rPr>
        <w:t>承包人应严格执行招标文件技术规范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由承包人投标时综合考虑，包括在合同价格内</w:t>
      </w:r>
      <w:r>
        <w:rPr>
          <w:rFonts w:hint="eastAsia" w:ascii="宋体" w:hAnsi="宋体"/>
          <w:color w:val="auto"/>
          <w:highlight w:val="none"/>
        </w:rPr>
        <w:t>。</w:t>
      </w:r>
    </w:p>
    <w:p w14:paraId="29D18CB0">
      <w:pPr>
        <w:keepNext/>
        <w:keepLines/>
        <w:pageBreakBefore w:val="0"/>
        <w:kinsoku/>
        <w:wordWrap w:val="0"/>
        <w:topLinePunct w:val="0"/>
        <w:spacing w:line="360" w:lineRule="auto"/>
        <w:outlineLvl w:val="2"/>
        <w:rPr>
          <w:rFonts w:ascii="宋体" w:hAnsi="宋体"/>
          <w:b/>
          <w:bCs/>
          <w:color w:val="auto"/>
          <w:highlight w:val="none"/>
          <w:lang w:val="zh-CN"/>
        </w:rPr>
      </w:pPr>
      <w:bookmarkStart w:id="197" w:name="_Toc14574"/>
      <w:bookmarkEnd w:id="197"/>
      <w:bookmarkStart w:id="198" w:name="_Toc407135198"/>
      <w:bookmarkEnd w:id="198"/>
      <w:bookmarkStart w:id="199" w:name="_Toc389065262"/>
      <w:bookmarkEnd w:id="199"/>
      <w:bookmarkStart w:id="200" w:name="_Toc373478343"/>
      <w:bookmarkEnd w:id="200"/>
      <w:bookmarkStart w:id="201" w:name="_Toc373227696"/>
      <w:r>
        <w:rPr>
          <w:rFonts w:ascii="宋体" w:hAnsi="宋体"/>
          <w:b/>
          <w:bCs/>
          <w:color w:val="auto"/>
          <w:highlight w:val="none"/>
          <w:lang w:val="zh-CN"/>
        </w:rPr>
        <w:t xml:space="preserve">1.5 </w:t>
      </w:r>
      <w:bookmarkEnd w:id="201"/>
      <w:r>
        <w:rPr>
          <w:rFonts w:hint="eastAsia" w:ascii="宋体" w:hAnsi="宋体"/>
          <w:b/>
          <w:bCs/>
          <w:color w:val="auto"/>
          <w:highlight w:val="none"/>
          <w:lang w:val="zh-CN"/>
        </w:rPr>
        <w:t>合同文件的优先顺序</w:t>
      </w:r>
    </w:p>
    <w:p w14:paraId="272DE6A3">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合同文件组成及优先顺序为：</w:t>
      </w:r>
    </w:p>
    <w:p w14:paraId="74B1F66C">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）合同协议书；</w:t>
      </w:r>
    </w:p>
    <w:p w14:paraId="2C38FAC1">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）成交通知书（如有）；</w:t>
      </w:r>
    </w:p>
    <w:p w14:paraId="1478819A">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）投标函及其附录（如有）；</w:t>
      </w:r>
    </w:p>
    <w:p w14:paraId="42934225">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4</w:t>
      </w:r>
      <w:r>
        <w:rPr>
          <w:rFonts w:hint="eastAsia" w:ascii="宋体" w:hAnsi="宋体"/>
          <w:color w:val="auto"/>
          <w:kern w:val="0"/>
          <w:highlight w:val="none"/>
        </w:rPr>
        <w:t>）专用合同条款及其附件；</w:t>
      </w:r>
    </w:p>
    <w:p w14:paraId="494C3EDB">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5</w:t>
      </w:r>
      <w:r>
        <w:rPr>
          <w:rFonts w:hint="eastAsia" w:ascii="宋体" w:hAnsi="宋体"/>
          <w:color w:val="auto"/>
          <w:kern w:val="0"/>
          <w:highlight w:val="none"/>
        </w:rPr>
        <w:t>）通用合同条款；</w:t>
      </w:r>
    </w:p>
    <w:p w14:paraId="19924D0F">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6</w:t>
      </w:r>
      <w:r>
        <w:rPr>
          <w:rFonts w:hint="eastAsia" w:ascii="宋体" w:hAnsi="宋体"/>
          <w:color w:val="auto"/>
          <w:kern w:val="0"/>
          <w:highlight w:val="none"/>
        </w:rPr>
        <w:t>）技术标准和要求；</w:t>
      </w:r>
    </w:p>
    <w:p w14:paraId="098C9AA6">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7</w:t>
      </w:r>
      <w:r>
        <w:rPr>
          <w:rFonts w:hint="eastAsia" w:ascii="宋体" w:hAnsi="宋体"/>
          <w:color w:val="auto"/>
          <w:kern w:val="0"/>
          <w:highlight w:val="none"/>
        </w:rPr>
        <w:t>）已标价工程量清单或预算书；</w:t>
      </w:r>
    </w:p>
    <w:p w14:paraId="6C6240F4">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8</w:t>
      </w:r>
      <w:r>
        <w:rPr>
          <w:rFonts w:hint="eastAsia" w:ascii="宋体" w:hAnsi="宋体"/>
          <w:color w:val="auto"/>
          <w:kern w:val="0"/>
          <w:highlight w:val="none"/>
        </w:rPr>
        <w:t>）图纸；</w:t>
      </w:r>
    </w:p>
    <w:p w14:paraId="54AB6813">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9</w:t>
      </w:r>
      <w:r>
        <w:rPr>
          <w:rFonts w:hint="eastAsia" w:ascii="宋体" w:hAnsi="宋体"/>
          <w:color w:val="auto"/>
          <w:kern w:val="0"/>
          <w:highlight w:val="none"/>
        </w:rPr>
        <w:t>）其他合同文件。</w:t>
      </w:r>
    </w:p>
    <w:p w14:paraId="21E279E0">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（10）其他合同文件；</w:t>
      </w:r>
    </w:p>
    <w:p w14:paraId="7365FF3A">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11）《建设工程工程量清单计价规范（GB5050-2013）》及其广西实施细则及《关于建筑业实施营业税改征增值税后广西壮族自治区建设工程计价依据调整的通知》（桂建标〔2016〕17号）、《自治区住房城乡建设厅关于调整建设工程计价增值税税率的通知》（桂建标〔2018〕14号）、《建设工程工程量清单计算规范（GB5854~50862-2013）》及其广西实施细则（修订本）。</w:t>
      </w:r>
    </w:p>
    <w:p w14:paraId="2F328EEA">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说明：上述各项合同文件包括合同当事人就该项合同文件所作出的补充和修改，属于同一类内容的文件，应以最新签署的为准（</w:t>
      </w:r>
      <w:r>
        <w:rPr>
          <w:rFonts w:hint="eastAsia" w:ascii="宋体" w:hAnsi="宋体"/>
          <w:b/>
          <w:color w:val="auto"/>
          <w:kern w:val="0"/>
          <w:highlight w:val="none"/>
        </w:rPr>
        <w:t>违反招标文件实质性内容的约定除外</w:t>
      </w:r>
      <w:r>
        <w:rPr>
          <w:rFonts w:hint="eastAsia" w:ascii="宋体" w:hAnsi="宋体"/>
          <w:color w:val="auto"/>
          <w:kern w:val="0"/>
          <w:highlight w:val="none"/>
        </w:rPr>
        <w:t>）。专用合同条款及其附件须经合同当事人签字或盖章。</w:t>
      </w:r>
    </w:p>
    <w:p w14:paraId="5FA204FF">
      <w:pPr>
        <w:keepNext/>
        <w:keepLines/>
        <w:pageBreakBefore w:val="0"/>
        <w:kinsoku/>
        <w:wordWrap w:val="0"/>
        <w:topLinePunct w:val="0"/>
        <w:spacing w:line="360" w:lineRule="auto"/>
        <w:outlineLvl w:val="2"/>
        <w:rPr>
          <w:rFonts w:ascii="宋体" w:hAnsi="宋体"/>
          <w:b/>
          <w:bCs/>
          <w:color w:val="auto"/>
          <w:highlight w:val="none"/>
          <w:lang w:val="zh-CN"/>
        </w:rPr>
      </w:pPr>
      <w:bookmarkStart w:id="202" w:name="_Toc373478344"/>
      <w:bookmarkEnd w:id="202"/>
      <w:bookmarkStart w:id="203" w:name="_Toc389065263"/>
      <w:bookmarkEnd w:id="203"/>
      <w:bookmarkStart w:id="204" w:name="_Toc373227697"/>
      <w:bookmarkEnd w:id="204"/>
      <w:bookmarkStart w:id="205" w:name="_Toc19804"/>
      <w:bookmarkEnd w:id="205"/>
      <w:bookmarkStart w:id="206" w:name="_Toc407135199"/>
      <w:r>
        <w:rPr>
          <w:rFonts w:ascii="宋体" w:hAnsi="宋体"/>
          <w:b/>
          <w:bCs/>
          <w:color w:val="auto"/>
          <w:highlight w:val="none"/>
          <w:lang w:val="zh-CN"/>
        </w:rPr>
        <w:t xml:space="preserve">1.6 </w:t>
      </w:r>
      <w:bookmarkEnd w:id="206"/>
      <w:r>
        <w:rPr>
          <w:rFonts w:hint="eastAsia" w:ascii="宋体" w:hAnsi="宋体"/>
          <w:b/>
          <w:bCs/>
          <w:color w:val="auto"/>
          <w:highlight w:val="none"/>
          <w:lang w:val="zh-CN"/>
        </w:rPr>
        <w:t>图纸和承包人文件</w:t>
      </w:r>
      <w:r>
        <w:rPr>
          <w:rFonts w:ascii="宋体" w:hAnsi="宋体"/>
          <w:b/>
          <w:bCs/>
          <w:color w:val="auto"/>
          <w:highlight w:val="none"/>
          <w:lang w:val="zh-CN"/>
        </w:rPr>
        <w:tab/>
      </w:r>
    </w:p>
    <w:p w14:paraId="315C4943">
      <w:pPr>
        <w:pageBreakBefore w:val="0"/>
        <w:kinsoku/>
        <w:wordWrap w:val="0"/>
        <w:topLinePunct w:val="0"/>
        <w:spacing w:line="360" w:lineRule="auto"/>
        <w:ind w:firstLine="420"/>
        <w:rPr>
          <w:rFonts w:ascii="宋体" w:hAnsi="宋体"/>
          <w:color w:val="auto"/>
          <w:highlight w:val="none"/>
        </w:rPr>
      </w:pPr>
      <w:r>
        <w:rPr>
          <w:rFonts w:ascii="宋体" w:hAnsi="宋体"/>
          <w:color w:val="auto"/>
          <w:highlight w:val="none"/>
        </w:rPr>
        <w:t xml:space="preserve">1.6.1 </w:t>
      </w:r>
      <w:r>
        <w:rPr>
          <w:rFonts w:hint="eastAsia" w:ascii="宋体" w:hAnsi="宋体"/>
          <w:color w:val="auto"/>
          <w:highlight w:val="none"/>
        </w:rPr>
        <w:t>图纸的提供</w:t>
      </w:r>
    </w:p>
    <w:p w14:paraId="2BF4B848">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发包人向承包人提供图纸的期限：</w:t>
      </w:r>
      <w:r>
        <w:rPr>
          <w:rFonts w:hint="eastAsia" w:ascii="宋体" w:hAnsi="宋体"/>
          <w:bCs/>
          <w:color w:val="auto"/>
          <w:highlight w:val="none"/>
          <w:u w:val="single"/>
        </w:rPr>
        <w:t>发包人与承包人签订本合同之日起 15 日内；</w:t>
      </w:r>
    </w:p>
    <w:p w14:paraId="5F2C4DF7">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发包人向承包人提供图纸的数量：</w:t>
      </w:r>
      <w:r>
        <w:rPr>
          <w:rFonts w:hint="eastAsia" w:ascii="宋体" w:hAnsi="宋体" w:cs="宋体"/>
          <w:color w:val="auto"/>
          <w:highlight w:val="none"/>
          <w:u w:val="single"/>
        </w:rPr>
        <w:t></w:t>
      </w:r>
      <w:r>
        <w:rPr>
          <w:rFonts w:hint="eastAsia" w:asciiTheme="minorEastAsia" w:hAnsiTheme="minorEastAsia" w:eastAsiaTheme="minorEastAsia"/>
          <w:color w:val="auto"/>
          <w:highlight w:val="none"/>
          <w:u w:val="single"/>
        </w:rPr>
        <w:t>一式</w:t>
      </w:r>
      <w:r>
        <w:rPr>
          <w:rFonts w:hint="eastAsia" w:cs="宋体" w:asciiTheme="minorEastAsia" w:hAnsiTheme="minorEastAsia" w:eastAsiaTheme="minorEastAsia"/>
          <w:bCs/>
          <w:color w:val="auto"/>
          <w:highlight w:val="none"/>
          <w:u w:val="single"/>
        </w:rPr>
        <w:t>贰</w:t>
      </w:r>
      <w:r>
        <w:rPr>
          <w:rFonts w:hint="eastAsia" w:asciiTheme="minorEastAsia" w:hAnsiTheme="minorEastAsia" w:eastAsiaTheme="minorEastAsia"/>
          <w:color w:val="auto"/>
          <w:highlight w:val="none"/>
          <w:u w:val="single"/>
        </w:rPr>
        <w:t>套图纸</w:t>
      </w:r>
      <w:r>
        <w:rPr>
          <w:rFonts w:hint="eastAsia" w:ascii="宋体" w:hAnsi="宋体" w:cs="宋体"/>
          <w:bCs/>
          <w:color w:val="auto"/>
          <w:highlight w:val="none"/>
          <w:u w:val="single"/>
        </w:rPr>
        <w:t>（承包人需要增加图纸套数的，发包人应代为复制，复制费用由承包人承担）</w:t>
      </w:r>
      <w:r>
        <w:rPr>
          <w:rFonts w:hint="eastAsia" w:ascii="宋体" w:hAnsi="宋体"/>
          <w:b/>
          <w:bCs/>
          <w:color w:val="auto"/>
          <w:highlight w:val="none"/>
        </w:rPr>
        <w:t>；</w:t>
      </w:r>
    </w:p>
    <w:p w14:paraId="187DCB1E">
      <w:pPr>
        <w:pageBreakBefore w:val="0"/>
        <w:kinsoku/>
        <w:wordWrap w:val="0"/>
        <w:topLinePunct w:val="0"/>
        <w:spacing w:line="400" w:lineRule="exact"/>
        <w:ind w:firstLine="420"/>
        <w:rPr>
          <w:rFonts w:ascii="宋体" w:hAnsi="宋体"/>
          <w:color w:val="auto"/>
          <w:highlight w:val="none"/>
        </w:rPr>
      </w:pPr>
      <w:r>
        <w:rPr>
          <w:rFonts w:hint="eastAsia" w:ascii="宋体" w:hAnsi="宋体"/>
          <w:color w:val="auto"/>
          <w:highlight w:val="none"/>
        </w:rPr>
        <w:t>发包人向承包人提供图纸的内容：</w:t>
      </w:r>
      <w:r>
        <w:rPr>
          <w:rFonts w:hint="eastAsia" w:ascii="宋体" w:hAnsi="宋体" w:cs="宋体"/>
          <w:color w:val="auto"/>
          <w:highlight w:val="none"/>
          <w:u w:val="single"/>
        </w:rPr>
        <w:t></w:t>
      </w:r>
      <w:r>
        <w:rPr>
          <w:rFonts w:hint="eastAsia" w:ascii="宋体" w:hAnsi="宋体"/>
          <w:bCs/>
          <w:color w:val="auto"/>
          <w:highlight w:val="none"/>
          <w:u w:val="single"/>
        </w:rPr>
        <w:t>完整的施工设计图纸文件</w:t>
      </w:r>
      <w:r>
        <w:rPr>
          <w:rFonts w:hint="eastAsia" w:ascii="宋体" w:hAnsi="宋体" w:cs="宋体"/>
          <w:color w:val="auto"/>
          <w:highlight w:val="none"/>
          <w:u w:val="single"/>
        </w:rPr>
        <w:t></w:t>
      </w:r>
      <w:r>
        <w:rPr>
          <w:rFonts w:hint="eastAsia" w:ascii="宋体" w:hAnsi="宋体"/>
          <w:color w:val="auto"/>
          <w:highlight w:val="none"/>
        </w:rPr>
        <w:t>。</w:t>
      </w:r>
    </w:p>
    <w:p w14:paraId="22D6302A">
      <w:pPr>
        <w:pageBreakBefore w:val="0"/>
        <w:kinsoku/>
        <w:wordWrap w:val="0"/>
        <w:topLinePunct w:val="0"/>
        <w:spacing w:line="400" w:lineRule="exact"/>
        <w:ind w:firstLine="420"/>
        <w:rPr>
          <w:rFonts w:ascii="宋体" w:hAnsi="宋体"/>
          <w:color w:val="auto"/>
          <w:highlight w:val="none"/>
        </w:rPr>
      </w:pPr>
      <w:r>
        <w:rPr>
          <w:rFonts w:hint="eastAsia" w:ascii="宋体" w:hAnsi="宋体"/>
          <w:color w:val="auto"/>
          <w:highlight w:val="none"/>
        </w:rPr>
        <w:t>当承包人在查阅合同文件或在本合同工程实施过程中，发现有关的工程设计、技术规范、图纸或其他资料中的任何差错、遗漏或缺陷后，应及时通知监理人。监理人接到该通知后，应及时报发包人作出决定，并通知承包人。</w:t>
      </w:r>
    </w:p>
    <w:p w14:paraId="0FD9F025">
      <w:pPr>
        <w:pageBreakBefore w:val="0"/>
        <w:kinsoku/>
        <w:wordWrap w:val="0"/>
        <w:topLinePunct w:val="0"/>
        <w:spacing w:line="400" w:lineRule="exact"/>
        <w:ind w:firstLine="420"/>
        <w:rPr>
          <w:color w:val="auto"/>
          <w:highlight w:val="none"/>
        </w:rPr>
      </w:pPr>
      <w:r>
        <w:rPr>
          <w:rFonts w:hint="eastAsia" w:ascii="宋体" w:hAnsi="宋体"/>
          <w:color w:val="auto"/>
          <w:highlight w:val="none"/>
        </w:rPr>
        <w:t>图纸会审和设计交底时间：开工7天前。</w:t>
      </w:r>
    </w:p>
    <w:p w14:paraId="4E1C79E5">
      <w:pPr>
        <w:pageBreakBefore w:val="0"/>
        <w:kinsoku/>
        <w:wordWrap w:val="0"/>
        <w:topLinePunct w:val="0"/>
        <w:spacing w:line="400" w:lineRule="exact"/>
        <w:ind w:firstLine="420"/>
        <w:rPr>
          <w:rFonts w:ascii="宋体" w:hAnsi="宋体"/>
          <w:color w:val="auto"/>
          <w:highlight w:val="none"/>
        </w:rPr>
      </w:pPr>
      <w:r>
        <w:rPr>
          <w:rFonts w:ascii="宋体" w:hAnsi="宋体"/>
          <w:color w:val="auto"/>
          <w:highlight w:val="none"/>
        </w:rPr>
        <w:t xml:space="preserve">1.6.4 </w:t>
      </w:r>
      <w:r>
        <w:rPr>
          <w:rFonts w:hint="eastAsia" w:ascii="宋体" w:hAnsi="宋体"/>
          <w:color w:val="auto"/>
          <w:highlight w:val="none"/>
        </w:rPr>
        <w:t>承包人文件</w:t>
      </w:r>
    </w:p>
    <w:p w14:paraId="01805729">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需要由承包人提供的文件，包括：</w:t>
      </w:r>
      <w:r>
        <w:rPr>
          <w:rFonts w:ascii="宋体" w:hAnsi="宋体"/>
          <w:color w:val="auto"/>
          <w:highlight w:val="none"/>
          <w:u w:val="single"/>
        </w:rPr>
        <w:t>1.资质证书、营业执照副本、安全生产许可证复印件并加章单位公章；2.施工组织设计及方案、进度计划；3.标价工程量清单或工程预算书（此项文件应在签订合同前提交并经发包人同意，应无需再提供）；4.专项施工方案、安全文明施工措施、质量管控体系；5.施工图以外的大样图、加工图、标准图</w:t>
      </w:r>
      <w:r>
        <w:rPr>
          <w:rFonts w:hint="eastAsia" w:ascii="宋体" w:hAnsi="宋体"/>
          <w:color w:val="auto"/>
          <w:highlight w:val="none"/>
          <w:u w:val="single"/>
        </w:rPr>
        <w:t>、效果</w:t>
      </w:r>
      <w:r>
        <w:rPr>
          <w:rFonts w:ascii="宋体" w:hAnsi="宋体"/>
          <w:color w:val="auto"/>
          <w:highlight w:val="none"/>
          <w:u w:val="single"/>
        </w:rPr>
        <w:t>图等图册；6.管理人员名单、职称、职务、上岗证、劳动合同及社保缴纳证明等；7.其他建设行政主管部门、发包人需要用于本工程的文件（含电子版）。前述文件和材料，应在提交开工报审单前提交。</w:t>
      </w:r>
    </w:p>
    <w:p w14:paraId="64D73F32">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有下列情形之一的，承包人应免费向监理人提交相关部分工程的施工图纸</w:t>
      </w:r>
      <w:r>
        <w:rPr>
          <w:rFonts w:ascii="宋体" w:hAnsi="宋体"/>
          <w:color w:val="auto"/>
          <w:highlight w:val="none"/>
          <w:u w:val="single"/>
        </w:rPr>
        <w:t xml:space="preserve"> 3 </w:t>
      </w:r>
      <w:r>
        <w:rPr>
          <w:rFonts w:hint="eastAsia" w:ascii="宋体" w:hAnsi="宋体"/>
          <w:color w:val="auto"/>
          <w:highlight w:val="none"/>
          <w:u w:val="single"/>
        </w:rPr>
        <w:t>份，并附必要的计算书、技术资料，或施工工艺图、设备安装图及安装设备的使用和维护手册各</w:t>
      </w:r>
      <w:r>
        <w:rPr>
          <w:rFonts w:ascii="宋体" w:hAnsi="宋体"/>
          <w:color w:val="auto"/>
          <w:highlight w:val="none"/>
          <w:u w:val="single"/>
        </w:rPr>
        <w:t xml:space="preserve"> 2 </w:t>
      </w:r>
      <w:r>
        <w:rPr>
          <w:rFonts w:hint="eastAsia" w:ascii="宋体" w:hAnsi="宋体"/>
          <w:color w:val="auto"/>
          <w:highlight w:val="none"/>
          <w:u w:val="single"/>
        </w:rPr>
        <w:t>份供监理人批准。</w:t>
      </w:r>
    </w:p>
    <w:p w14:paraId="4651ECC3">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 xml:space="preserve">1）为使第 1.6.1 </w:t>
      </w:r>
      <w:r>
        <w:rPr>
          <w:rFonts w:hint="eastAsia" w:ascii="宋体" w:hAnsi="宋体"/>
          <w:color w:val="auto"/>
          <w:highlight w:val="none"/>
          <w:u w:val="single"/>
        </w:rPr>
        <w:t>项所述的施工图纸适合于经施工测量后的纵、横断面；</w:t>
      </w:r>
    </w:p>
    <w:p w14:paraId="7A136D51">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 xml:space="preserve">2）为使第 1.6.1 </w:t>
      </w:r>
      <w:r>
        <w:rPr>
          <w:rFonts w:hint="eastAsia" w:ascii="宋体" w:hAnsi="宋体"/>
          <w:color w:val="auto"/>
          <w:highlight w:val="none"/>
          <w:u w:val="single"/>
        </w:rPr>
        <w:t>项所述的施工图纸适合于现场具体地形；</w:t>
      </w:r>
    </w:p>
    <w:p w14:paraId="590180ED">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 xml:space="preserve">3）为使第 1.6.1 </w:t>
      </w:r>
      <w:r>
        <w:rPr>
          <w:rFonts w:hint="eastAsia" w:ascii="宋体" w:hAnsi="宋体"/>
          <w:color w:val="auto"/>
          <w:highlight w:val="none"/>
          <w:u w:val="single"/>
        </w:rPr>
        <w:t>项所述的施工图纸适合于因尺寸与位置变化而引起局部变更；</w:t>
      </w:r>
    </w:p>
    <w:p w14:paraId="1A82EC31">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4）由于合同要求与施工需要。</w:t>
      </w:r>
    </w:p>
    <w:p w14:paraId="7ACAD8F1">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此类图纸应按监理人规定的格式和图幅绘制。监理人在收到由承包人绘制的上述工程、工艺图纸、计算书和有关技术资料后</w:t>
      </w:r>
      <w:r>
        <w:rPr>
          <w:rFonts w:ascii="宋体" w:hAnsi="宋体"/>
          <w:color w:val="auto"/>
          <w:highlight w:val="none"/>
          <w:u w:val="single"/>
        </w:rPr>
        <w:t xml:space="preserve"> 14 </w:t>
      </w:r>
      <w:r>
        <w:rPr>
          <w:rFonts w:hint="eastAsia" w:ascii="宋体" w:hAnsi="宋体"/>
          <w:color w:val="auto"/>
          <w:highlight w:val="none"/>
          <w:u w:val="single"/>
        </w:rPr>
        <w:t>天内应予批准或提出修改要求，承包人应按监理人提出的要求作出修改，重新向监理人提交，监理人应在</w:t>
      </w:r>
      <w:r>
        <w:rPr>
          <w:rFonts w:ascii="宋体" w:hAnsi="宋体"/>
          <w:color w:val="auto"/>
          <w:highlight w:val="none"/>
          <w:u w:val="single"/>
        </w:rPr>
        <w:t xml:space="preserve"> 7 </w:t>
      </w:r>
      <w:r>
        <w:rPr>
          <w:rFonts w:hint="eastAsia" w:ascii="宋体" w:hAnsi="宋体"/>
          <w:color w:val="auto"/>
          <w:highlight w:val="none"/>
          <w:u w:val="single"/>
        </w:rPr>
        <w:t>天内批准或提出进一步的修改意见。</w:t>
      </w:r>
    </w:p>
    <w:p w14:paraId="6CFF96B7">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承包人提供的文件的期限为：开工前</w:t>
      </w:r>
      <w:r>
        <w:rPr>
          <w:rFonts w:ascii="宋体" w:hAnsi="宋体"/>
          <w:color w:val="auto"/>
          <w:highlight w:val="none"/>
          <w:u w:val="single"/>
        </w:rPr>
        <w:t>14天内；</w:t>
      </w:r>
    </w:p>
    <w:p w14:paraId="4D6E0C05">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承包人提供的文件的数量为：</w:t>
      </w:r>
      <w:r>
        <w:rPr>
          <w:rFonts w:ascii="宋体" w:hAnsi="宋体"/>
          <w:color w:val="auto"/>
          <w:highlight w:val="none"/>
          <w:u w:val="single"/>
        </w:rPr>
        <w:t>3份；</w:t>
      </w:r>
    </w:p>
    <w:p w14:paraId="3B1F3819">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承包人提供的文件的形式为：书面形式；</w:t>
      </w:r>
    </w:p>
    <w:p w14:paraId="1D08F7AB">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发包人审批承包人文件的期限：监理人审查完毕且发包人收到文件之日起</w:t>
      </w:r>
      <w:r>
        <w:rPr>
          <w:rFonts w:ascii="宋体" w:hAnsi="宋体"/>
          <w:color w:val="auto"/>
          <w:highlight w:val="none"/>
          <w:u w:val="single"/>
        </w:rPr>
        <w:t>7日内。</w:t>
      </w:r>
    </w:p>
    <w:p w14:paraId="59D7CC9A">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1.6.5 </w:t>
      </w:r>
      <w:r>
        <w:rPr>
          <w:rFonts w:hint="eastAsia" w:ascii="宋体" w:hAnsi="宋体"/>
          <w:color w:val="auto"/>
          <w:highlight w:val="none"/>
          <w:u w:val="single"/>
        </w:rPr>
        <w:t>现场图纸准备</w:t>
      </w:r>
    </w:p>
    <w:p w14:paraId="2BCCD627">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关于现场图纸准备的约定：承包人应在施工现场另外保存一套完整的图纸和承包人文件，供发包人、监理人及有关人员进行工程检查时使用。</w:t>
      </w:r>
    </w:p>
    <w:p w14:paraId="7E3CDB0B">
      <w:pPr>
        <w:pageBreakBefore w:val="0"/>
        <w:kinsoku/>
        <w:wordWrap w:val="0"/>
        <w:topLinePunct w:val="0"/>
        <w:spacing w:line="400" w:lineRule="exact"/>
        <w:ind w:firstLine="422" w:firstLineChars="200"/>
        <w:rPr>
          <w:rFonts w:ascii="宋体" w:hAnsi="宋体"/>
          <w:b/>
          <w:color w:val="auto"/>
          <w:highlight w:val="none"/>
          <w:u w:val="single"/>
        </w:rPr>
      </w:pPr>
      <w:bookmarkStart w:id="207" w:name="_Toc117"/>
      <w:bookmarkStart w:id="208" w:name="_Toc43212053"/>
      <w:bookmarkStart w:id="209" w:name="_Toc52361131"/>
      <w:bookmarkStart w:id="210" w:name="_Toc11000"/>
      <w:bookmarkStart w:id="211" w:name="_Toc31229"/>
      <w:bookmarkStart w:id="212" w:name="_Toc10610"/>
      <w:r>
        <w:rPr>
          <w:rFonts w:ascii="宋体" w:hAnsi="宋体"/>
          <w:b/>
          <w:color w:val="auto"/>
          <w:highlight w:val="none"/>
          <w:u w:val="single"/>
        </w:rPr>
        <w:t xml:space="preserve">1.7 </w:t>
      </w:r>
      <w:r>
        <w:rPr>
          <w:rFonts w:hint="eastAsia" w:ascii="宋体" w:hAnsi="宋体"/>
          <w:b/>
          <w:color w:val="auto"/>
          <w:highlight w:val="none"/>
          <w:u w:val="single"/>
        </w:rPr>
        <w:t>联络</w:t>
      </w:r>
      <w:bookmarkEnd w:id="207"/>
      <w:bookmarkEnd w:id="208"/>
      <w:bookmarkEnd w:id="209"/>
      <w:bookmarkEnd w:id="210"/>
      <w:bookmarkEnd w:id="211"/>
      <w:bookmarkEnd w:id="212"/>
    </w:p>
    <w:p w14:paraId="0B82558F">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1.7.1</w:t>
      </w:r>
      <w:r>
        <w:rPr>
          <w:rFonts w:hint="eastAsia" w:ascii="宋体" w:hAnsi="宋体"/>
          <w:color w:val="auto"/>
          <w:highlight w:val="none"/>
          <w:u w:val="single"/>
        </w:rPr>
        <w:t>发包人和承包人应当在</w:t>
      </w:r>
      <w:r>
        <w:rPr>
          <w:rFonts w:ascii="宋体" w:hAnsi="宋体"/>
          <w:color w:val="auto"/>
          <w:highlight w:val="none"/>
          <w:u w:val="single"/>
        </w:rPr>
        <w:t xml:space="preserve">7 </w:t>
      </w:r>
      <w:r>
        <w:rPr>
          <w:rFonts w:hint="eastAsia" w:ascii="宋体" w:hAnsi="宋体"/>
          <w:color w:val="auto"/>
          <w:highlight w:val="none"/>
          <w:u w:val="single"/>
        </w:rPr>
        <w:t>天内将与合同有关的通知、批准、证明、证书、指示、指令、要求、请求、同意、意见、确定和决定等书面函件送达对方当事人。</w:t>
      </w:r>
    </w:p>
    <w:p w14:paraId="2EB97924">
      <w:pPr>
        <w:pageBreakBefore w:val="0"/>
        <w:kinsoku/>
        <w:wordWrap w:val="0"/>
        <w:topLinePunct w:val="0"/>
        <w:spacing w:line="400" w:lineRule="exact"/>
        <w:ind w:firstLine="420" w:firstLineChars="200"/>
        <w:rPr>
          <w:rFonts w:ascii="宋体" w:hAnsi="宋体"/>
          <w:color w:val="auto"/>
          <w:highlight w:val="none"/>
        </w:rPr>
      </w:pPr>
      <w:r>
        <w:rPr>
          <w:rFonts w:ascii="宋体" w:hAnsi="宋体"/>
          <w:color w:val="auto"/>
          <w:highlight w:val="none"/>
        </w:rPr>
        <w:t xml:space="preserve">1.7.2 </w:t>
      </w:r>
      <w:r>
        <w:rPr>
          <w:rFonts w:hint="eastAsia" w:ascii="宋体" w:hAnsi="宋体"/>
          <w:color w:val="auto"/>
          <w:highlight w:val="none"/>
        </w:rPr>
        <w:t>发包人接收文件的地点：；</w:t>
      </w:r>
    </w:p>
    <w:p w14:paraId="41AB5AFE">
      <w:pPr>
        <w:pageBreakBefore w:val="0"/>
        <w:kinsoku/>
        <w:wordWrap w:val="0"/>
        <w:topLinePunct w:val="0"/>
        <w:spacing w:line="400" w:lineRule="exact"/>
        <w:ind w:firstLine="420" w:firstLineChars="200"/>
        <w:rPr>
          <w:rFonts w:asciiTheme="minorEastAsia" w:hAnsiTheme="minorEastAsia" w:eastAsiaTheme="minorEastAsia"/>
          <w:color w:val="auto"/>
          <w:highlight w:val="none"/>
        </w:rPr>
      </w:pPr>
      <w:r>
        <w:rPr>
          <w:rFonts w:hint="eastAsia" w:ascii="宋体" w:hAnsi="宋体"/>
          <w:color w:val="auto"/>
          <w:highlight w:val="none"/>
        </w:rPr>
        <w:t xml:space="preserve">发包人指定的接收人为：    </w:t>
      </w:r>
      <w:r>
        <w:rPr>
          <w:rFonts w:hint="eastAsia" w:asciiTheme="minorEastAsia" w:hAnsiTheme="minorEastAsia" w:eastAsiaTheme="minorEastAsia"/>
          <w:color w:val="auto"/>
          <w:kern w:val="0"/>
          <w:highlight w:val="none"/>
        </w:rPr>
        <w:t>；</w:t>
      </w:r>
    </w:p>
    <w:p w14:paraId="148FCE63">
      <w:pPr>
        <w:pageBreakBefore w:val="0"/>
        <w:kinsoku/>
        <w:wordWrap w:val="0"/>
        <w:topLinePunct w:val="0"/>
        <w:spacing w:line="40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承包人接收文件的地点：；</w:t>
      </w:r>
    </w:p>
    <w:p w14:paraId="6B5596E4">
      <w:pPr>
        <w:pageBreakBefore w:val="0"/>
        <w:kinsoku/>
        <w:wordWrap w:val="0"/>
        <w:topLinePunct w:val="0"/>
        <w:spacing w:line="40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承包人指定的接收人为：</w:t>
      </w:r>
      <w:r>
        <w:rPr>
          <w:rFonts w:hint="eastAsia" w:asciiTheme="minorEastAsia" w:hAnsiTheme="minorEastAsia" w:eastAsiaTheme="minorEastAsia"/>
          <w:color w:val="auto"/>
          <w:kern w:val="0"/>
          <w:highlight w:val="none"/>
        </w:rPr>
        <w:t>；</w:t>
      </w:r>
      <w:r>
        <w:rPr>
          <w:rFonts w:hint="eastAsia" w:asciiTheme="minorEastAsia" w:hAnsiTheme="minorEastAsia" w:eastAsiaTheme="minorEastAsia"/>
          <w:color w:val="auto"/>
          <w:highlight w:val="none"/>
        </w:rPr>
        <w:t>。</w:t>
      </w:r>
    </w:p>
    <w:p w14:paraId="7886399C">
      <w:pPr>
        <w:pageBreakBefore w:val="0"/>
        <w:kinsoku/>
        <w:wordWrap w:val="0"/>
        <w:topLinePunct w:val="0"/>
        <w:spacing w:line="40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监理人接收文件的地点：；</w:t>
      </w:r>
    </w:p>
    <w:p w14:paraId="3877918B">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Theme="minorEastAsia" w:hAnsiTheme="minorEastAsia" w:eastAsiaTheme="minorEastAsia"/>
          <w:color w:val="auto"/>
          <w:highlight w:val="none"/>
        </w:rPr>
        <w:t>监理人指定的接收人为：</w:t>
      </w:r>
      <w:r>
        <w:rPr>
          <w:rFonts w:hint="eastAsia" w:asciiTheme="minorEastAsia" w:hAnsiTheme="minorEastAsia" w:eastAsiaTheme="minorEastAsia"/>
          <w:color w:val="auto"/>
          <w:kern w:val="0"/>
          <w:highlight w:val="none"/>
          <w:u w:val="single"/>
        </w:rPr>
        <w:t>。</w:t>
      </w:r>
    </w:p>
    <w:p w14:paraId="350E02AE">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发包人（包括监理人）和承包人中任何一方指定的接收人或者接收地点发生变动，应当在实际变动前提前至少三个工作日以书面方式通知另一方。发包人（包括监理人）和承包人应当确保其各自指定的接收人在法定和（或）符合合同约定的工作时间内始终工作在指定的接收地点，指定接收人离开工作岗位而无法及时签收来往函件构成拒不签收，拒不签收的来往函件视为已经送达。</w:t>
      </w:r>
    </w:p>
    <w:p w14:paraId="2B4DCF8A">
      <w:pPr>
        <w:pageBreakBefore w:val="0"/>
        <w:kinsoku/>
        <w:wordWrap w:val="0"/>
        <w:topLinePunct w:val="0"/>
        <w:spacing w:line="400" w:lineRule="exact"/>
        <w:ind w:firstLine="422" w:firstLineChars="200"/>
        <w:rPr>
          <w:rFonts w:ascii="宋体" w:hAnsi="宋体"/>
          <w:b/>
          <w:color w:val="auto"/>
          <w:highlight w:val="none"/>
          <w:u w:val="single"/>
        </w:rPr>
      </w:pPr>
      <w:bookmarkStart w:id="213" w:name="_Toc21300"/>
      <w:bookmarkStart w:id="214" w:name="_Toc30902"/>
      <w:bookmarkStart w:id="215" w:name="_Toc52361132"/>
      <w:bookmarkStart w:id="216" w:name="_Toc30451"/>
      <w:bookmarkStart w:id="217" w:name="_Toc3808"/>
      <w:bookmarkStart w:id="218" w:name="_Toc43212054"/>
      <w:r>
        <w:rPr>
          <w:rFonts w:ascii="宋体" w:hAnsi="宋体"/>
          <w:b/>
          <w:color w:val="auto"/>
          <w:highlight w:val="none"/>
          <w:u w:val="single"/>
        </w:rPr>
        <w:t xml:space="preserve">1.10 </w:t>
      </w:r>
      <w:r>
        <w:rPr>
          <w:rFonts w:hint="eastAsia" w:ascii="宋体" w:hAnsi="宋体"/>
          <w:b/>
          <w:color w:val="auto"/>
          <w:highlight w:val="none"/>
          <w:u w:val="single"/>
        </w:rPr>
        <w:t>交通运输</w:t>
      </w:r>
      <w:bookmarkEnd w:id="213"/>
      <w:bookmarkEnd w:id="214"/>
      <w:bookmarkEnd w:id="215"/>
      <w:bookmarkEnd w:id="216"/>
      <w:bookmarkEnd w:id="217"/>
      <w:bookmarkEnd w:id="218"/>
    </w:p>
    <w:p w14:paraId="58EA263B">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1.10.1 </w:t>
      </w:r>
      <w:r>
        <w:rPr>
          <w:rFonts w:hint="eastAsia" w:ascii="宋体" w:hAnsi="宋体"/>
          <w:color w:val="auto"/>
          <w:highlight w:val="none"/>
          <w:u w:val="single"/>
        </w:rPr>
        <w:t>出入现场的权利</w:t>
      </w:r>
    </w:p>
    <w:p w14:paraId="58CF71C4">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关于出入现场的权利的约定：发包人协助承包人取得出入施工现场所需的批准手续和全部权利，以及取得因施工所需修建道路、桥梁以及其他基础设施的权利，承包人承担相关手续费用，此等费用无论承包人是否在投标报价中单独列支，发包人均认为此项费用包含在投标报价中，由承包人承担此等费用。</w:t>
      </w:r>
    </w:p>
    <w:p w14:paraId="1E62F901">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1.10.3 </w:t>
      </w:r>
      <w:r>
        <w:rPr>
          <w:rFonts w:hint="eastAsia" w:ascii="宋体" w:hAnsi="宋体"/>
          <w:color w:val="auto"/>
          <w:highlight w:val="none"/>
          <w:u w:val="single"/>
        </w:rPr>
        <w:t>场内交通</w:t>
      </w:r>
    </w:p>
    <w:p w14:paraId="7525A1F4">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关于场外交通和场内交通的边界的约定：以双方确认的场地为边界。</w:t>
      </w:r>
    </w:p>
    <w:p w14:paraId="59157162">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关于发包人向承包人免费提供满足工程施工需要的场内道路和交通设施的约定：</w:t>
      </w:r>
      <w:r>
        <w:rPr>
          <w:rFonts w:hint="eastAsia" w:ascii="宋体" w:hAnsi="宋体"/>
          <w:color w:val="auto"/>
          <w:highlight w:val="none"/>
          <w:u w:val="single"/>
        </w:rPr>
        <w:t>以现场实际施工条件为准，由承包人负责并承担相应费用</w:t>
      </w:r>
      <w:r>
        <w:rPr>
          <w:rFonts w:ascii="宋体" w:hAnsi="宋体"/>
          <w:color w:val="auto"/>
          <w:highlight w:val="none"/>
          <w:u w:val="single"/>
        </w:rPr>
        <w:t xml:space="preserve">  。</w:t>
      </w:r>
    </w:p>
    <w:p w14:paraId="0B0C247D">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1.10.4 </w:t>
      </w:r>
      <w:r>
        <w:rPr>
          <w:rFonts w:hint="eastAsia" w:ascii="宋体" w:hAnsi="宋体"/>
          <w:color w:val="auto"/>
          <w:highlight w:val="none"/>
          <w:u w:val="single"/>
        </w:rPr>
        <w:t>超大件和超重件的运输</w:t>
      </w:r>
    </w:p>
    <w:p w14:paraId="529FB3B2">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运输超大件或超重件所需的道路和桥梁临时加固改造费用和其他有关费用由承包人承担。</w:t>
      </w:r>
    </w:p>
    <w:p w14:paraId="27F7EEBD">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1.10.5 </w:t>
      </w:r>
      <w:r>
        <w:rPr>
          <w:rFonts w:hint="eastAsia" w:ascii="宋体" w:hAnsi="宋体"/>
          <w:color w:val="auto"/>
          <w:highlight w:val="none"/>
          <w:u w:val="single"/>
        </w:rPr>
        <w:t>场外交通</w:t>
      </w:r>
    </w:p>
    <w:p w14:paraId="3F9A444C">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关于场外交通的约定：如该工程项目属于重点整治范围内的散货运输必须委托经</w:t>
      </w:r>
      <w:r>
        <w:rPr>
          <w:rFonts w:hint="eastAsia" w:ascii="宋体" w:hAnsi="宋体"/>
          <w:color w:val="auto"/>
          <w:highlight w:val="none"/>
          <w:u w:val="single"/>
          <w:lang w:eastAsia="zh-CN"/>
        </w:rPr>
        <w:t>桂林市</w:t>
      </w:r>
      <w:r>
        <w:rPr>
          <w:rFonts w:hint="eastAsia" w:ascii="宋体" w:hAnsi="宋体"/>
          <w:color w:val="auto"/>
          <w:highlight w:val="none"/>
          <w:u w:val="single"/>
        </w:rPr>
        <w:t>城市管理监督局核准的企业进行运输，并加强工地管理，对工地出入口道路硬化及保洁，对不按规定落实大气污染防尘治理的工地进行查处。场外交通设施无法满足工程施工需要的，由承包人在投标报价中综合考虑，负责完善并承担相关费用。</w:t>
      </w:r>
    </w:p>
    <w:p w14:paraId="4FA7CD55">
      <w:pPr>
        <w:pageBreakBefore w:val="0"/>
        <w:kinsoku/>
        <w:wordWrap w:val="0"/>
        <w:topLinePunct w:val="0"/>
        <w:spacing w:line="400" w:lineRule="exact"/>
        <w:ind w:firstLine="422" w:firstLineChars="200"/>
        <w:rPr>
          <w:rFonts w:ascii="宋体" w:hAnsi="宋体"/>
          <w:b/>
          <w:color w:val="auto"/>
          <w:highlight w:val="none"/>
          <w:u w:val="single"/>
        </w:rPr>
      </w:pPr>
      <w:bookmarkStart w:id="219" w:name="_Toc24453"/>
      <w:bookmarkStart w:id="220" w:name="_Toc9685"/>
      <w:bookmarkStart w:id="221" w:name="_Toc12386"/>
      <w:bookmarkStart w:id="222" w:name="_Toc43212055"/>
      <w:bookmarkStart w:id="223" w:name="_Toc2981"/>
      <w:bookmarkStart w:id="224" w:name="_Toc52361133"/>
      <w:r>
        <w:rPr>
          <w:rFonts w:ascii="宋体" w:hAnsi="宋体"/>
          <w:b/>
          <w:color w:val="auto"/>
          <w:highlight w:val="none"/>
          <w:u w:val="single"/>
        </w:rPr>
        <w:t xml:space="preserve">1.11 </w:t>
      </w:r>
      <w:r>
        <w:rPr>
          <w:rFonts w:hint="eastAsia" w:ascii="宋体" w:hAnsi="宋体"/>
          <w:b/>
          <w:color w:val="auto"/>
          <w:highlight w:val="none"/>
          <w:u w:val="single"/>
        </w:rPr>
        <w:t>知识产权</w:t>
      </w:r>
      <w:bookmarkEnd w:id="219"/>
      <w:bookmarkEnd w:id="220"/>
      <w:bookmarkEnd w:id="221"/>
      <w:bookmarkEnd w:id="222"/>
      <w:bookmarkEnd w:id="223"/>
      <w:bookmarkEnd w:id="224"/>
    </w:p>
    <w:p w14:paraId="70164C7E">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1.11.1 </w:t>
      </w:r>
      <w:r>
        <w:rPr>
          <w:rFonts w:hint="eastAsia" w:ascii="宋体" w:hAnsi="宋体"/>
          <w:color w:val="auto"/>
          <w:highlight w:val="none"/>
          <w:u w:val="single"/>
        </w:rPr>
        <w:t>关于发包人提供给承包人的图纸、发包人为实施工程自行编制或委托编制的技术规范以及反映发包人关于合同要求或其他类似性质的文件的著作权的归属：按《通用合同条款》</w:t>
      </w:r>
      <w:r>
        <w:rPr>
          <w:rFonts w:ascii="宋体" w:hAnsi="宋体"/>
          <w:color w:val="auto"/>
          <w:highlight w:val="none"/>
          <w:u w:val="single"/>
        </w:rPr>
        <w:t xml:space="preserve">1.11.1条执行   </w:t>
      </w:r>
      <w:r>
        <w:rPr>
          <w:rFonts w:hint="eastAsia" w:ascii="宋体" w:hAnsi="宋体"/>
          <w:color w:val="auto"/>
          <w:highlight w:val="none"/>
          <w:u w:val="single"/>
        </w:rPr>
        <w:t>。</w:t>
      </w:r>
    </w:p>
    <w:p w14:paraId="0D9985E8">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关于发包人提供的上述文件的使用限制的要求：按《通用合同条款》</w:t>
      </w:r>
      <w:r>
        <w:rPr>
          <w:rFonts w:ascii="宋体" w:hAnsi="宋体"/>
          <w:color w:val="auto"/>
          <w:highlight w:val="none"/>
          <w:u w:val="single"/>
        </w:rPr>
        <w:t xml:space="preserve">1.11.1条执行  </w:t>
      </w:r>
      <w:r>
        <w:rPr>
          <w:rFonts w:hint="eastAsia" w:ascii="宋体" w:hAnsi="宋体"/>
          <w:color w:val="auto"/>
          <w:highlight w:val="none"/>
          <w:u w:val="single"/>
        </w:rPr>
        <w:t>。</w:t>
      </w:r>
    </w:p>
    <w:p w14:paraId="6FF58CD0">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1.11.2 </w:t>
      </w:r>
      <w:r>
        <w:rPr>
          <w:rFonts w:hint="eastAsia" w:ascii="宋体" w:hAnsi="宋体"/>
          <w:color w:val="auto"/>
          <w:highlight w:val="none"/>
          <w:u w:val="single"/>
        </w:rPr>
        <w:t>关于承包人为实施工程所编制文件的著作权的归属：按《通用合同条款》</w:t>
      </w:r>
      <w:r>
        <w:rPr>
          <w:rFonts w:ascii="宋体" w:hAnsi="宋体"/>
          <w:color w:val="auto"/>
          <w:highlight w:val="none"/>
          <w:u w:val="single"/>
        </w:rPr>
        <w:t xml:space="preserve">1.11.2条执行  </w:t>
      </w:r>
      <w:r>
        <w:rPr>
          <w:rFonts w:hint="eastAsia" w:ascii="宋体" w:hAnsi="宋体"/>
          <w:color w:val="auto"/>
          <w:highlight w:val="none"/>
          <w:u w:val="single"/>
        </w:rPr>
        <w:t>。</w:t>
      </w:r>
    </w:p>
    <w:p w14:paraId="01365EE6">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关于承包人提供的上述文件的使用限制的要求：按《通用合同条款》</w:t>
      </w:r>
      <w:r>
        <w:rPr>
          <w:rFonts w:ascii="宋体" w:hAnsi="宋体"/>
          <w:color w:val="auto"/>
          <w:highlight w:val="none"/>
          <w:u w:val="single"/>
        </w:rPr>
        <w:t>1.11.2条执行</w:t>
      </w:r>
      <w:r>
        <w:rPr>
          <w:rFonts w:hint="eastAsia" w:ascii="宋体" w:hAnsi="宋体"/>
          <w:color w:val="auto"/>
          <w:highlight w:val="none"/>
          <w:u w:val="single"/>
        </w:rPr>
        <w:t>。</w:t>
      </w:r>
    </w:p>
    <w:p w14:paraId="7B229A66">
      <w:pPr>
        <w:pageBreakBefore w:val="0"/>
        <w:kinsoku/>
        <w:wordWrap w:val="0"/>
        <w:topLinePunct w:val="0"/>
        <w:spacing w:line="400" w:lineRule="exact"/>
        <w:ind w:firstLine="420" w:firstLineChars="200"/>
        <w:rPr>
          <w:rFonts w:ascii="宋体" w:hAnsi="宋体"/>
          <w:color w:val="auto"/>
          <w:highlight w:val="none"/>
          <w:u w:val="single"/>
        </w:rPr>
      </w:pPr>
      <w:r>
        <w:rPr>
          <w:rFonts w:ascii="宋体" w:hAnsi="宋体"/>
          <w:color w:val="auto"/>
          <w:highlight w:val="none"/>
          <w:u w:val="single"/>
        </w:rPr>
        <w:t xml:space="preserve">1.11.4 </w:t>
      </w:r>
      <w:r>
        <w:rPr>
          <w:rFonts w:hint="eastAsia" w:ascii="宋体" w:hAnsi="宋体"/>
          <w:color w:val="auto"/>
          <w:highlight w:val="none"/>
          <w:u w:val="single"/>
        </w:rPr>
        <w:t>承包人在施工过程中所采用的专利、专有技术、技术秘密的使用费的承担方式：承包人在合同签订前和签订时已确定采用的专利、专有技术、技术秘密的使用费已包含在签约合同价中。</w:t>
      </w:r>
    </w:p>
    <w:p w14:paraId="1F329205">
      <w:pPr>
        <w:pageBreakBefore w:val="0"/>
        <w:kinsoku/>
        <w:wordWrap w:val="0"/>
        <w:topLinePunct w:val="0"/>
        <w:spacing w:line="400" w:lineRule="exact"/>
        <w:ind w:firstLine="422" w:firstLineChars="200"/>
        <w:rPr>
          <w:rFonts w:ascii="宋体" w:hAnsi="宋体"/>
          <w:b/>
          <w:color w:val="auto"/>
          <w:highlight w:val="none"/>
          <w:u w:val="single"/>
        </w:rPr>
      </w:pPr>
      <w:bookmarkStart w:id="225" w:name="_Toc2446"/>
      <w:bookmarkStart w:id="226" w:name="_Toc17171"/>
      <w:bookmarkStart w:id="227" w:name="_Toc52361134"/>
      <w:bookmarkStart w:id="228" w:name="_Toc3286"/>
      <w:bookmarkStart w:id="229" w:name="_Toc43212056"/>
      <w:bookmarkStart w:id="230" w:name="_Toc17191"/>
      <w:r>
        <w:rPr>
          <w:rFonts w:ascii="宋体" w:hAnsi="宋体"/>
          <w:b/>
          <w:color w:val="auto"/>
          <w:highlight w:val="none"/>
          <w:u w:val="single"/>
        </w:rPr>
        <w:t>1.13</w:t>
      </w:r>
      <w:r>
        <w:rPr>
          <w:rFonts w:hint="eastAsia" w:ascii="宋体" w:hAnsi="宋体"/>
          <w:b/>
          <w:color w:val="auto"/>
          <w:highlight w:val="none"/>
          <w:u w:val="single"/>
        </w:rPr>
        <w:t>工程量清单错误的修正</w:t>
      </w:r>
      <w:bookmarkEnd w:id="225"/>
      <w:bookmarkEnd w:id="226"/>
      <w:bookmarkEnd w:id="227"/>
      <w:bookmarkEnd w:id="228"/>
      <w:bookmarkEnd w:id="229"/>
      <w:bookmarkEnd w:id="230"/>
    </w:p>
    <w:p w14:paraId="41EEA5A7">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出现工程量清单工程量偏差时，是否调整合同价格：☑是 □否。</w:t>
      </w:r>
    </w:p>
    <w:p w14:paraId="70B391ED">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允许调整合同价格的工程量偏差范围及其调整办法：</w:t>
      </w:r>
    </w:p>
    <w:p w14:paraId="59C62619">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□除严重不平衡报价外，无论分部分项工程量清单项目中的工程量变化多少，已标价的工程量清单综合单价均不调整。</w:t>
      </w:r>
    </w:p>
    <w:p w14:paraId="46CB75F2">
      <w:pPr>
        <w:pageBreakBefore w:val="0"/>
        <w:kinsoku/>
        <w:wordWrap w:val="0"/>
        <w:topLinePunct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☑承包人实际完成的某单项清单项目工程量与招标工程量清单工程量偏差超过或</w:t>
      </w:r>
      <w:r>
        <w:rPr>
          <w:rFonts w:ascii="宋体" w:hAnsi="宋体"/>
          <w:color w:val="auto"/>
          <w:highlight w:val="none"/>
          <w:u w:val="single"/>
        </w:rPr>
        <w:t>减少的，超过后增加部分工程量或减少后剩余部分工程量的综合单价按以下方法调整：超过部分综合单价按投标单价乘以0.9计算，减少部分综合单价按投标单价乘以1.1计算。</w:t>
      </w:r>
    </w:p>
    <w:p w14:paraId="79F91567">
      <w:pPr>
        <w:keepNext/>
        <w:keepLines/>
        <w:pageBreakBefore w:val="0"/>
        <w:kinsoku/>
        <w:wordWrap w:val="0"/>
        <w:topLinePunct w:val="0"/>
        <w:spacing w:before="60" w:after="60" w:line="413" w:lineRule="auto"/>
        <w:outlineLvl w:val="1"/>
        <w:rPr>
          <w:rFonts w:ascii="宋体" w:hAnsi="宋体"/>
          <w:b/>
          <w:bCs/>
          <w:color w:val="auto"/>
          <w:highlight w:val="none"/>
          <w:lang w:val="zh-CN"/>
        </w:rPr>
      </w:pPr>
      <w:r>
        <w:rPr>
          <w:rFonts w:ascii="宋体" w:hAnsi="宋体"/>
          <w:b/>
          <w:bCs/>
          <w:color w:val="auto"/>
          <w:highlight w:val="none"/>
          <w:lang w:val="zh-CN"/>
        </w:rPr>
        <w:t>2</w:t>
      </w:r>
      <w:bookmarkStart w:id="231" w:name="_Toc296891197"/>
      <w:bookmarkEnd w:id="231"/>
      <w:bookmarkStart w:id="232" w:name="_Toc296347156"/>
      <w:bookmarkEnd w:id="232"/>
      <w:bookmarkStart w:id="233" w:name="_Toc296890985"/>
      <w:bookmarkEnd w:id="233"/>
      <w:bookmarkStart w:id="234" w:name="_Toc297120457"/>
      <w:bookmarkEnd w:id="234"/>
      <w:bookmarkStart w:id="235" w:name="_Toc292559362"/>
      <w:bookmarkEnd w:id="235"/>
      <w:bookmarkStart w:id="236" w:name="_Toc296346658"/>
      <w:bookmarkEnd w:id="236"/>
      <w:bookmarkStart w:id="237" w:name="_Toc292559867"/>
      <w:bookmarkEnd w:id="237"/>
      <w:bookmarkStart w:id="238" w:name="_Toc297048343"/>
      <w:bookmarkEnd w:id="238"/>
      <w:bookmarkStart w:id="239" w:name="_Toc296944496"/>
      <w:bookmarkEnd w:id="239"/>
      <w:bookmarkStart w:id="240" w:name="_Toc296503157"/>
      <w:r>
        <w:rPr>
          <w:rFonts w:ascii="宋体" w:hAnsi="宋体"/>
          <w:b/>
          <w:bCs/>
          <w:color w:val="auto"/>
          <w:highlight w:val="none"/>
          <w:lang w:val="zh-CN"/>
        </w:rPr>
        <w:t xml:space="preserve">. </w:t>
      </w:r>
      <w:bookmarkEnd w:id="240"/>
      <w:r>
        <w:rPr>
          <w:rFonts w:hint="eastAsia" w:ascii="宋体" w:hAnsi="宋体"/>
          <w:b/>
          <w:bCs/>
          <w:color w:val="auto"/>
          <w:highlight w:val="none"/>
          <w:lang w:val="zh-CN"/>
        </w:rPr>
        <w:t>发包人</w:t>
      </w:r>
    </w:p>
    <w:p w14:paraId="42AA6165">
      <w:pPr>
        <w:keepNext/>
        <w:keepLines/>
        <w:pageBreakBefore w:val="0"/>
        <w:kinsoku/>
        <w:wordWrap w:val="0"/>
        <w:topLinePunct w:val="0"/>
        <w:spacing w:line="360" w:lineRule="auto"/>
        <w:outlineLvl w:val="2"/>
        <w:rPr>
          <w:rFonts w:ascii="宋体" w:hAnsi="宋体"/>
          <w:b/>
          <w:bCs/>
          <w:color w:val="auto"/>
          <w:highlight w:val="none"/>
          <w:lang w:val="zh-CN"/>
        </w:rPr>
      </w:pPr>
      <w:bookmarkStart w:id="241" w:name="_Toc407135205"/>
      <w:bookmarkEnd w:id="241"/>
      <w:bookmarkStart w:id="242" w:name="_Toc373478350"/>
      <w:bookmarkEnd w:id="242"/>
      <w:bookmarkStart w:id="243" w:name="_Toc373227703"/>
      <w:bookmarkEnd w:id="243"/>
      <w:bookmarkStart w:id="244" w:name="_Toc389065269"/>
      <w:bookmarkEnd w:id="244"/>
      <w:bookmarkStart w:id="245" w:name="_Toc7158"/>
      <w:bookmarkEnd w:id="245"/>
      <w:r>
        <w:rPr>
          <w:rFonts w:ascii="宋体" w:hAnsi="宋体"/>
          <w:b/>
          <w:bCs/>
          <w:color w:val="auto"/>
          <w:highlight w:val="none"/>
          <w:lang w:val="zh-CN"/>
        </w:rPr>
        <w:t xml:space="preserve">2.2 </w:t>
      </w:r>
      <w:r>
        <w:rPr>
          <w:rFonts w:hint="eastAsia" w:ascii="宋体" w:hAnsi="宋体"/>
          <w:b/>
          <w:bCs/>
          <w:color w:val="auto"/>
          <w:highlight w:val="none"/>
          <w:lang w:val="zh-CN"/>
        </w:rPr>
        <w:t>发包人代表</w:t>
      </w:r>
    </w:p>
    <w:p w14:paraId="79AD0BAD">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发包人代表：</w:t>
      </w:r>
    </w:p>
    <w:p w14:paraId="711207F9">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姓名：</w:t>
      </w:r>
      <w:r>
        <w:rPr>
          <w:rFonts w:hint="eastAsia" w:ascii="宋体" w:hAnsi="宋体"/>
          <w:color w:val="auto"/>
          <w:highlight w:val="none"/>
          <w:u w:val="single"/>
        </w:rPr>
        <w:t xml:space="preserve">        </w:t>
      </w:r>
      <w:r>
        <w:rPr>
          <w:rFonts w:hint="eastAsia" w:ascii="宋体" w:hAnsi="宋体"/>
          <w:color w:val="auto"/>
          <w:highlight w:val="none"/>
        </w:rPr>
        <w:t>；</w:t>
      </w:r>
    </w:p>
    <w:p w14:paraId="62093DD3">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身份证号：</w:t>
      </w:r>
      <w:r>
        <w:rPr>
          <w:rFonts w:hint="eastAsia" w:ascii="宋体" w:hAnsi="宋体"/>
          <w:color w:val="auto"/>
          <w:highlight w:val="none"/>
          <w:u w:val="single"/>
        </w:rPr>
        <w:t xml:space="preserve">        </w:t>
      </w:r>
      <w:r>
        <w:rPr>
          <w:rFonts w:hint="eastAsia" w:ascii="宋体" w:hAnsi="宋体"/>
          <w:color w:val="auto"/>
          <w:highlight w:val="none"/>
        </w:rPr>
        <w:t>；</w:t>
      </w:r>
    </w:p>
    <w:p w14:paraId="74E11445">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职务：</w:t>
      </w:r>
      <w:r>
        <w:rPr>
          <w:rFonts w:hint="eastAsia" w:ascii="宋体" w:hAnsi="宋体"/>
          <w:color w:val="auto"/>
          <w:highlight w:val="none"/>
          <w:u w:val="single"/>
        </w:rPr>
        <w:t xml:space="preserve">        </w:t>
      </w:r>
      <w:r>
        <w:rPr>
          <w:rFonts w:hint="eastAsia" w:ascii="宋体" w:hAnsi="宋体"/>
          <w:color w:val="auto"/>
          <w:highlight w:val="none"/>
        </w:rPr>
        <w:t>；</w:t>
      </w:r>
    </w:p>
    <w:p w14:paraId="17F59CE3">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xml:space="preserve">        </w:t>
      </w:r>
      <w:r>
        <w:rPr>
          <w:rFonts w:hint="eastAsia" w:ascii="宋体" w:hAnsi="宋体"/>
          <w:color w:val="auto"/>
          <w:highlight w:val="none"/>
        </w:rPr>
        <w:t>；</w:t>
      </w:r>
    </w:p>
    <w:p w14:paraId="291450B5">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电子信箱：</w:t>
      </w:r>
      <w:r>
        <w:rPr>
          <w:rFonts w:hint="eastAsia" w:ascii="宋体" w:hAnsi="宋体"/>
          <w:color w:val="auto"/>
          <w:highlight w:val="none"/>
          <w:u w:val="single"/>
        </w:rPr>
        <w:t xml:space="preserve">        </w:t>
      </w:r>
      <w:r>
        <w:rPr>
          <w:rFonts w:hint="eastAsia" w:ascii="宋体" w:hAnsi="宋体"/>
          <w:color w:val="auto"/>
          <w:highlight w:val="none"/>
        </w:rPr>
        <w:t>；</w:t>
      </w:r>
    </w:p>
    <w:p w14:paraId="4586637D">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通信地址：</w:t>
      </w:r>
      <w:r>
        <w:rPr>
          <w:rFonts w:hint="eastAsia" w:ascii="宋体" w:hAnsi="宋体"/>
          <w:color w:val="auto"/>
          <w:highlight w:val="none"/>
          <w:u w:val="single"/>
        </w:rPr>
        <w:t xml:space="preserve">        </w:t>
      </w:r>
      <w:r>
        <w:rPr>
          <w:rFonts w:hint="eastAsia" w:ascii="宋体" w:hAnsi="宋体"/>
          <w:color w:val="auto"/>
          <w:highlight w:val="none"/>
        </w:rPr>
        <w:t>。</w:t>
      </w:r>
    </w:p>
    <w:p w14:paraId="5B287441">
      <w:pPr>
        <w:pageBreakBefore w:val="0"/>
        <w:kinsoku/>
        <w:wordWrap w:val="0"/>
        <w:topLinePunct w:val="0"/>
        <w:spacing w:line="360" w:lineRule="auto"/>
        <w:ind w:firstLine="422" w:firstLineChars="200"/>
        <w:rPr>
          <w:rFonts w:ascii="宋体" w:hAnsi="宋体"/>
          <w:color w:val="auto"/>
          <w:highlight w:val="none"/>
          <w:u w:val="single"/>
        </w:rPr>
      </w:pPr>
      <w:r>
        <w:rPr>
          <w:rFonts w:hint="eastAsia" w:ascii="宋体" w:hAnsi="宋体"/>
          <w:b/>
          <w:color w:val="auto"/>
          <w:highlight w:val="none"/>
          <w:u w:val="single"/>
        </w:rPr>
        <w:t>2.3发包人对发包人代表的授权范围如下</w:t>
      </w:r>
      <w:r>
        <w:rPr>
          <w:rFonts w:hint="eastAsia" w:ascii="宋体" w:hAnsi="宋体"/>
          <w:color w:val="auto"/>
          <w:highlight w:val="none"/>
          <w:u w:val="single"/>
        </w:rPr>
        <w:t>：代表发包人按发包人认可的施工设计图纸、施工组织设计、工程进度计划和本工程相关合同及国家现行有关的国家标准及规范、行业标准，工程所在地现行的地方性标准、规范、规程等法律法规进行现场施工管理。负责处理合同履行过程中与发包人有关的事宜:对本工程质量、工期、进度、安全、文明施工及材料和设备进场进行监督检查，对涉及工期延长、设计变更、工程量计量和签证、已完成工程量报告、竣工结算报告等影响工程造价的相关事项作出确认；办理工程中间验收及竣工验收并确认工程质量；协调施工现场及外部有关事宜。代表发包人行使合同约定的发包人的权利，履行合同约定的发包人的职责，进行工程质量、安全、进度、造价等监督管理，协调与相关部门的关系。</w:t>
      </w:r>
    </w:p>
    <w:p w14:paraId="4C0D7D2C">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必须经发包人加盖公章确认的事项：(1)凡涉及扩大建设规模、增加工程投资的设计变更；⑵施工方案与开工报告审批及停工令，工期的延长和提前竣工；⑶合同条款的变更；⑷合同价款的增减和工程的签证；⑸工程进度款的审核和支付；⑹组织工程竣工验收；⑺结算价款的确认；（8）签发竣工付款证书；（9）签发工程接收证书；（10）签发缺陷责任终止证书；（11）对承包人违约责任的豁免；（12）对承包人索赔的确认。承包人明确知晓以上事务的处理必须有加盖发包人公司公章的书面文件方为有效，并应自行尽谨慎注意之义务，否则由此产生的不利法律后果由承包人自行承担。</w:t>
      </w:r>
      <w:r>
        <w:rPr>
          <w:rFonts w:hint="eastAsia" w:ascii="宋体" w:hAnsi="宋体"/>
          <w:color w:val="auto"/>
          <w:highlight w:val="none"/>
        </w:rPr>
        <w:t>。</w:t>
      </w:r>
    </w:p>
    <w:p w14:paraId="39A386B1">
      <w:pPr>
        <w:keepNext/>
        <w:keepLines/>
        <w:pageBreakBefore w:val="0"/>
        <w:kinsoku/>
        <w:wordWrap w:val="0"/>
        <w:topLinePunct w:val="0"/>
        <w:spacing w:line="360" w:lineRule="auto"/>
        <w:outlineLvl w:val="2"/>
        <w:rPr>
          <w:rFonts w:ascii="宋体" w:hAnsi="宋体"/>
          <w:b/>
          <w:bCs/>
          <w:color w:val="auto"/>
          <w:highlight w:val="none"/>
          <w:lang w:val="zh-CN"/>
        </w:rPr>
      </w:pPr>
      <w:bookmarkStart w:id="246" w:name="_Toc373478351"/>
      <w:bookmarkEnd w:id="246"/>
      <w:bookmarkStart w:id="247" w:name="_Toc389065270"/>
      <w:bookmarkEnd w:id="247"/>
      <w:bookmarkStart w:id="248" w:name="_Toc407135206"/>
      <w:bookmarkEnd w:id="248"/>
      <w:bookmarkStart w:id="249" w:name="_Toc11758"/>
      <w:bookmarkEnd w:id="249"/>
      <w:bookmarkStart w:id="250" w:name="_Toc373227704"/>
      <w:r>
        <w:rPr>
          <w:rFonts w:ascii="宋体" w:hAnsi="宋体"/>
          <w:b/>
          <w:bCs/>
          <w:color w:val="auto"/>
          <w:highlight w:val="none"/>
          <w:lang w:val="zh-CN"/>
        </w:rPr>
        <w:t xml:space="preserve">2.4 </w:t>
      </w:r>
      <w:bookmarkEnd w:id="250"/>
      <w:r>
        <w:rPr>
          <w:rFonts w:hint="eastAsia" w:ascii="宋体" w:hAnsi="宋体"/>
          <w:b/>
          <w:bCs/>
          <w:color w:val="auto"/>
          <w:highlight w:val="none"/>
          <w:lang w:val="zh-CN"/>
        </w:rPr>
        <w:t>施工现场、施工条件和基础资料的提供</w:t>
      </w:r>
    </w:p>
    <w:p w14:paraId="7B27AD20">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2.4.1 </w:t>
      </w:r>
      <w:r>
        <w:rPr>
          <w:rFonts w:hint="eastAsia" w:ascii="宋体" w:hAnsi="宋体"/>
          <w:color w:val="auto"/>
          <w:highlight w:val="none"/>
        </w:rPr>
        <w:t>提供施工现场</w:t>
      </w:r>
    </w:p>
    <w:p w14:paraId="1B0D6A94">
      <w:pPr>
        <w:pageBreakBefore w:val="0"/>
        <w:kinsoku/>
        <w:wordWrap w:val="0"/>
        <w:topLinePunct w:val="0"/>
        <w:spacing w:line="360" w:lineRule="auto"/>
        <w:ind w:firstLine="422" w:firstLineChars="200"/>
        <w:rPr>
          <w:rFonts w:ascii="宋体" w:hAnsi="宋体"/>
          <w:color w:val="auto"/>
          <w:highlight w:val="none"/>
          <w:u w:val="single"/>
        </w:rPr>
      </w:pPr>
      <w:r>
        <w:rPr>
          <w:rFonts w:hint="eastAsia" w:ascii="宋体" w:hAnsi="宋体"/>
          <w:b/>
          <w:color w:val="auto"/>
          <w:highlight w:val="none"/>
        </w:rPr>
        <w:t>关于发包人移交施工现场的期限要求：</w:t>
      </w:r>
      <w:r>
        <w:rPr>
          <w:rFonts w:hint="eastAsia" w:ascii="宋体" w:hAnsi="宋体"/>
          <w:color w:val="auto"/>
          <w:highlight w:val="none"/>
          <w:u w:val="single"/>
        </w:rPr>
        <w:t>开工日期7天前移交，双方签署移交的书面文件予以确认，承包人应事先做好现场踏勘工作。承包人在办理交接手续时，承包人如有异议应及时提出，否则在施工过程中出现对第三方的损害或不利，责任由承包人承担。</w:t>
      </w:r>
    </w:p>
    <w:p w14:paraId="10BB3CCB">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承包人应承担并支付为获得本合同工程所需的石料、砂、砾石、黏土或其他装修材料等所发生的料场使用费及其他开支或补偿费。发包人应尽可能协助承包人办理料场租用手续及解决使用过程中的有关问题，</w:t>
      </w:r>
      <w:r>
        <w:rPr>
          <w:rFonts w:hint="eastAsia" w:asciiTheme="minorEastAsia" w:hAnsiTheme="minorEastAsia" w:eastAsiaTheme="minorEastAsia"/>
          <w:color w:val="auto"/>
          <w:highlight w:val="none"/>
          <w:u w:val="single"/>
        </w:rPr>
        <w:t>由承包人承担所有费用</w:t>
      </w:r>
      <w:r>
        <w:rPr>
          <w:rFonts w:hint="eastAsia" w:ascii="宋体" w:hAnsi="宋体"/>
          <w:color w:val="auto"/>
          <w:highlight w:val="none"/>
          <w:u w:val="single"/>
        </w:rPr>
        <w:t>。</w:t>
      </w:r>
    </w:p>
    <w:p w14:paraId="08BF5D8E">
      <w:pPr>
        <w:pageBreakBefore w:val="0"/>
        <w:kinsoku/>
        <w:wordWrap w:val="0"/>
        <w:topLinePunct w:val="0"/>
        <w:spacing w:line="360" w:lineRule="auto"/>
        <w:ind w:firstLine="420" w:firstLineChars="200"/>
        <w:rPr>
          <w:rFonts w:asciiTheme="minorEastAsia" w:hAnsiTheme="minorEastAsia" w:eastAsiaTheme="minorEastAsia"/>
          <w:color w:val="auto"/>
          <w:highlight w:val="none"/>
          <w:u w:val="single"/>
        </w:rPr>
      </w:pPr>
      <w:r>
        <w:rPr>
          <w:rFonts w:asciiTheme="minorEastAsia" w:hAnsiTheme="minorEastAsia" w:eastAsiaTheme="minorEastAsia"/>
          <w:color w:val="auto"/>
          <w:highlight w:val="none"/>
          <w:u w:val="single"/>
        </w:rPr>
        <w:t xml:space="preserve">2.4.2 </w:t>
      </w:r>
      <w:r>
        <w:rPr>
          <w:rFonts w:hint="eastAsia" w:asciiTheme="minorEastAsia" w:hAnsiTheme="minorEastAsia" w:eastAsiaTheme="minorEastAsia"/>
          <w:color w:val="auto"/>
          <w:highlight w:val="none"/>
          <w:u w:val="single"/>
        </w:rPr>
        <w:t>提供施工条件（</w:t>
      </w:r>
      <w:r>
        <w:rPr>
          <w:rFonts w:asciiTheme="minorEastAsia" w:hAnsiTheme="minorEastAsia" w:eastAsiaTheme="minorEastAsia"/>
          <w:color w:val="auto"/>
          <w:highlight w:val="none"/>
          <w:u w:val="single"/>
        </w:rPr>
        <w:t>1</w:t>
      </w:r>
      <w:r>
        <w:rPr>
          <w:rFonts w:hint="eastAsia" w:asciiTheme="minorEastAsia" w:hAnsiTheme="minorEastAsia" w:eastAsiaTheme="minorEastAsia"/>
          <w:color w:val="auto"/>
          <w:highlight w:val="none"/>
          <w:u w:val="single"/>
        </w:rPr>
        <w:t>）关于发包人应负责提供施工所需要的条件，包括：</w:t>
      </w:r>
      <w:bookmarkStart w:id="251" w:name="_Toc12276"/>
      <w:bookmarkEnd w:id="251"/>
      <w:bookmarkStart w:id="252" w:name="_Toc407135207"/>
      <w:bookmarkEnd w:id="252"/>
      <w:bookmarkStart w:id="253" w:name="_Toc373227705"/>
      <w:bookmarkEnd w:id="253"/>
      <w:bookmarkStart w:id="254" w:name="_Toc389065271"/>
      <w:bookmarkEnd w:id="254"/>
      <w:r>
        <w:rPr>
          <w:rFonts w:hint="eastAsia" w:asciiTheme="minorEastAsia" w:hAnsiTheme="minorEastAsia" w:eastAsiaTheme="minorEastAsia"/>
          <w:color w:val="auto"/>
          <w:highlight w:val="none"/>
          <w:u w:val="single"/>
        </w:rPr>
        <w:t>发包人须完成水准点与坐标控制点现场交验；图纸会审和设计现场交底；协助承包人现场处理邻近建筑物、构筑物；协调群众堵工事件。发包人负责提供电源及通信源，由本工程承包人负责接入施工现场，从发包人提供的电源及通信源至施工用电、通信设备线路的安装由承包人负责实施，安装费、线路、设备购置费及施工过程中发生的所有电费、通信费，无论承包人是否在投标报价中单独列支，发包人均认为此项费用包含在投标报价中，由承包人承担所有费用。发包人负责提供水源并安装好临时水表，由本</w:t>
      </w:r>
      <w:r>
        <w:rPr>
          <w:color w:val="auto"/>
          <w:highlight w:val="none"/>
        </w:rPr>
        <w:fldChar w:fldCharType="begin"/>
      </w:r>
      <w:r>
        <w:rPr>
          <w:color w:val="auto"/>
          <w:highlight w:val="none"/>
        </w:rPr>
        <w:instrText xml:space="preserve"> HYPERLINK "http://cpro.baidu.com/cpro/ui/uijs.php?adclass=0&amp;app_id=0&amp;c=news&amp;cf=1001&amp;ch=0&amp;di=128&amp;fv=0&amp;is_app=0&amp;jk=223a062651fedfa6&amp;k=%B9%A4%B3%CC&amp;k0=%B9%A4%B3%CC&amp;kdi0=0&amp;luki=9&amp;n=10&amp;p=baidu&amp;q=baidusiteerror_cpr&amp;rb=1&amp;rs=1&amp;seller_id=1&amp;sid=a6dffe5126063a22&amp;ssp2=1&amp;stid=0&amp;t=tpclicked3_hc&amp;tu=u1698901&amp;u=http://3y.uu456.com/bp-21a52c575f0e7cd1842536f1-1.html&amp;urlid=0" \t "http://3y.uu456.com/_blank" </w:instrText>
      </w:r>
      <w:r>
        <w:rPr>
          <w:color w:val="auto"/>
          <w:highlight w:val="none"/>
        </w:rPr>
        <w:fldChar w:fldCharType="separate"/>
      </w:r>
      <w:r>
        <w:rPr>
          <w:rFonts w:hint="eastAsia" w:asciiTheme="minorEastAsia" w:hAnsiTheme="minorEastAsia" w:eastAsiaTheme="minorEastAsia"/>
          <w:color w:val="auto"/>
          <w:highlight w:val="none"/>
          <w:u w:val="single"/>
        </w:rPr>
        <w:t>工程</w:t>
      </w:r>
      <w:r>
        <w:rPr>
          <w:rFonts w:hint="eastAsia" w:asciiTheme="minorEastAsia" w:hAnsiTheme="minorEastAsia" w:eastAsiaTheme="minorEastAsia"/>
          <w:color w:val="auto"/>
          <w:highlight w:val="none"/>
          <w:u w:val="single"/>
        </w:rPr>
        <w:fldChar w:fldCharType="end"/>
      </w:r>
      <w:r>
        <w:rPr>
          <w:rFonts w:hint="eastAsia" w:asciiTheme="minorEastAsia" w:hAnsiTheme="minorEastAsia" w:eastAsiaTheme="minorEastAsia"/>
          <w:color w:val="auto"/>
          <w:highlight w:val="none"/>
          <w:u w:val="single"/>
        </w:rPr>
        <w:t>承包人后续接入施工现场，从水源至施工各用水点及施工用水的费用无论承包人是否在</w:t>
      </w:r>
      <w:r>
        <w:rPr>
          <w:color w:val="auto"/>
          <w:highlight w:val="none"/>
        </w:rPr>
        <w:fldChar w:fldCharType="begin"/>
      </w:r>
      <w:r>
        <w:rPr>
          <w:color w:val="auto"/>
          <w:highlight w:val="none"/>
        </w:rPr>
        <w:instrText xml:space="preserve"> HYPERLINK "http://cpro.baidu.com/cpro/ui/uijs.php?adclass=0&amp;app_id=0&amp;c=news&amp;cf=1001&amp;ch=0&amp;di=128&amp;fv=0&amp;is_app=0&amp;jk=223a062651fedfa6&amp;k=%CD%B6%B1%EA&amp;k0=%CD%B6%B1%EA&amp;kdi0=0&amp;luki=2&amp;n=10&amp;p=baidu&amp;q=baidusiteerror_cpr&amp;rb=1&amp;rs=1&amp;seller_id=1&amp;sid=a6dffe5126063a22&amp;ssp2=1&amp;stid=0&amp;t=tpclicked3_hc&amp;tu=u1698901&amp;u=http://3y.uu456.com/bp-21a52c575f0e7cd1842536f1-1.html&amp;urlid=0" \t "http://3y.uu456.com/_blank" </w:instrText>
      </w:r>
      <w:r>
        <w:rPr>
          <w:color w:val="auto"/>
          <w:highlight w:val="none"/>
        </w:rPr>
        <w:fldChar w:fldCharType="separate"/>
      </w:r>
      <w:r>
        <w:rPr>
          <w:rFonts w:hint="eastAsia" w:asciiTheme="minorEastAsia" w:hAnsiTheme="minorEastAsia" w:eastAsiaTheme="minorEastAsia"/>
          <w:color w:val="auto"/>
          <w:highlight w:val="none"/>
          <w:u w:val="single"/>
        </w:rPr>
        <w:t>投标</w:t>
      </w:r>
      <w:r>
        <w:rPr>
          <w:rFonts w:hint="eastAsia" w:asciiTheme="minorEastAsia" w:hAnsiTheme="minorEastAsia" w:eastAsiaTheme="minorEastAsia"/>
          <w:color w:val="auto"/>
          <w:highlight w:val="none"/>
          <w:u w:val="single"/>
        </w:rPr>
        <w:fldChar w:fldCharType="end"/>
      </w:r>
      <w:r>
        <w:rPr>
          <w:rFonts w:hint="eastAsia" w:asciiTheme="minorEastAsia" w:hAnsiTheme="minorEastAsia" w:eastAsiaTheme="minorEastAsia"/>
          <w:color w:val="auto"/>
          <w:highlight w:val="none"/>
          <w:u w:val="single"/>
        </w:rPr>
        <w:t>报价中单独列支，发包人均认为此项费用包含在投标报价中，由承包人承担所有费用。</w:t>
      </w:r>
    </w:p>
    <w:p w14:paraId="1173FF4B">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 xml:space="preserve">2.4.3 承包人提供的施工设备和临时设施 </w:t>
      </w:r>
    </w:p>
    <w:p w14:paraId="7BBB2DD6">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 xml:space="preserve">除专用合同条款另有约定的其他独立承包人和监理人指示的他人提供条件外，承包人运入施工场地的所有施工设备以及在施工场地建设的临时设施仅限于用于合同工程。 </w:t>
      </w:r>
    </w:p>
    <w:p w14:paraId="018C6DAC">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 xml:space="preserve">关于修建临时设施费用承担的约定： </w:t>
      </w:r>
    </w:p>
    <w:p w14:paraId="6F3717C6">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①承包人的临时场所（含项目部驻地等）租用费、临时场所的环保、恢复、临时场所的补偿及地面附着物拆除等费用均由承包人负责，以上费用在投标报价中综合考虑。</w:t>
      </w:r>
    </w:p>
    <w:p w14:paraId="5CD0519A">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 xml:space="preserve">②承包人负责合同实施期间其合同段内临时交通道路（含场内外连接公共交通道路）和交通设施的修建、维修、养护和交通管理工作，并承担一切费用。 </w:t>
      </w:r>
    </w:p>
    <w:p w14:paraId="78CE55F0">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597E621B">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 xml:space="preserve">2.4.4 发包人提供的施工设备和临时设施 </w:t>
      </w:r>
    </w:p>
    <w:p w14:paraId="4479F98A">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 xml:space="preserve">发包人提供的施工设备和临时设施：     /      </w:t>
      </w:r>
    </w:p>
    <w:p w14:paraId="56194C2A">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如发包人提供有的施工设备和临时设施的运行、维护、拆除、清运费用由承包人承担相应费用。</w:t>
      </w:r>
    </w:p>
    <w:p w14:paraId="2BB83567">
      <w:pPr>
        <w:pageBreakBefore w:val="0"/>
        <w:kinsoku/>
        <w:wordWrap w:val="0"/>
        <w:topLinePunct w:val="0"/>
        <w:spacing w:line="360" w:lineRule="auto"/>
        <w:ind w:firstLine="420" w:firstLineChars="200"/>
        <w:rPr>
          <w:rFonts w:ascii="宋体" w:hAnsi="宋体"/>
          <w:color w:val="auto"/>
          <w:highlight w:val="none"/>
          <w:u w:val="single"/>
        </w:rPr>
      </w:pPr>
      <w:r>
        <w:rPr>
          <w:rFonts w:ascii="宋体" w:hAnsi="宋体"/>
          <w:color w:val="auto"/>
          <w:highlight w:val="none"/>
          <w:u w:val="single"/>
        </w:rPr>
        <w:t xml:space="preserve">2.5 </w:t>
      </w:r>
      <w:r>
        <w:rPr>
          <w:rFonts w:hint="eastAsia" w:ascii="宋体" w:hAnsi="宋体"/>
          <w:color w:val="auto"/>
          <w:highlight w:val="none"/>
          <w:u w:val="single"/>
        </w:rPr>
        <w:t>资金来源证明及支付担保</w:t>
      </w:r>
    </w:p>
    <w:p w14:paraId="2786C83E">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发包人提供资金来源证明的期限要求：无</w:t>
      </w:r>
      <w:r>
        <w:rPr>
          <w:rFonts w:hint="eastAsia" w:ascii="宋体" w:hAnsi="宋体"/>
          <w:color w:val="auto"/>
          <w:highlight w:val="none"/>
        </w:rPr>
        <w:t>。</w:t>
      </w:r>
    </w:p>
    <w:p w14:paraId="6C94738A">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发包人是否提供支付担保：否</w:t>
      </w:r>
      <w:r>
        <w:rPr>
          <w:rFonts w:hint="eastAsia" w:ascii="宋体" w:hAnsi="宋体"/>
          <w:color w:val="auto"/>
          <w:highlight w:val="none"/>
        </w:rPr>
        <w:t>。</w:t>
      </w:r>
    </w:p>
    <w:p w14:paraId="0721A925">
      <w:pPr>
        <w:pageBreakBefore w:val="0"/>
        <w:kinsoku/>
        <w:wordWrap w:val="0"/>
        <w:topLinePunct w:val="0"/>
        <w:spacing w:line="360" w:lineRule="auto"/>
        <w:ind w:firstLine="420" w:firstLineChars="200"/>
        <w:rPr>
          <w:rFonts w:ascii="宋体" w:hAnsi="宋体"/>
          <w:color w:val="auto"/>
          <w:highlight w:val="none"/>
          <w:u w:val="single"/>
        </w:rPr>
      </w:pPr>
      <w:bookmarkStart w:id="255" w:name="_Toc373227706"/>
      <w:r>
        <w:rPr>
          <w:rFonts w:hint="eastAsia" w:ascii="宋体" w:hAnsi="宋体"/>
          <w:color w:val="auto"/>
          <w:highlight w:val="none"/>
          <w:u w:val="single"/>
        </w:rPr>
        <w:t>发包人提供支付担保的形式：无</w:t>
      </w:r>
      <w:r>
        <w:rPr>
          <w:rFonts w:hint="eastAsia" w:ascii="宋体" w:hAnsi="宋体"/>
          <w:color w:val="auto"/>
          <w:highlight w:val="none"/>
        </w:rPr>
        <w:t>。</w:t>
      </w:r>
    </w:p>
    <w:p w14:paraId="1CB56FC9">
      <w:pPr>
        <w:pageBreakBefore w:val="0"/>
        <w:kinsoku/>
        <w:wordWrap w:val="0"/>
        <w:topLinePunct w:val="0"/>
        <w:spacing w:line="360" w:lineRule="auto"/>
        <w:ind w:firstLine="420" w:firstLineChars="200"/>
        <w:rPr>
          <w:rFonts w:ascii="宋体" w:hAnsi="宋体"/>
          <w:color w:val="auto"/>
          <w:highlight w:val="none"/>
          <w:u w:val="single"/>
        </w:rPr>
      </w:pPr>
      <w:r>
        <w:rPr>
          <w:rFonts w:ascii="宋体" w:hAnsi="宋体"/>
          <w:color w:val="auto"/>
          <w:highlight w:val="none"/>
          <w:u w:val="single"/>
        </w:rPr>
        <w:t>3</w:t>
      </w:r>
      <w:bookmarkEnd w:id="255"/>
      <w:bookmarkStart w:id="256" w:name="_Toc297048344"/>
      <w:bookmarkEnd w:id="256"/>
      <w:bookmarkStart w:id="257" w:name="_Toc296890986"/>
      <w:bookmarkEnd w:id="257"/>
      <w:bookmarkStart w:id="258" w:name="_Toc296347157"/>
      <w:bookmarkEnd w:id="258"/>
      <w:bookmarkStart w:id="259" w:name="_Toc296503158"/>
      <w:bookmarkEnd w:id="259"/>
      <w:bookmarkStart w:id="260" w:name="_Toc292559868"/>
      <w:bookmarkEnd w:id="260"/>
      <w:bookmarkStart w:id="261" w:name="_Toc296891198"/>
      <w:bookmarkEnd w:id="261"/>
      <w:bookmarkStart w:id="262" w:name="_Toc297120458"/>
      <w:bookmarkEnd w:id="262"/>
      <w:bookmarkStart w:id="263" w:name="_Toc292559363"/>
      <w:bookmarkEnd w:id="263"/>
      <w:bookmarkStart w:id="264" w:name="_Toc296944497"/>
      <w:bookmarkEnd w:id="264"/>
      <w:bookmarkStart w:id="265" w:name="_Toc296346659"/>
      <w:r>
        <w:rPr>
          <w:rFonts w:ascii="宋体" w:hAnsi="宋体"/>
          <w:color w:val="auto"/>
          <w:highlight w:val="none"/>
          <w:u w:val="single"/>
        </w:rPr>
        <w:t xml:space="preserve">. </w:t>
      </w:r>
      <w:bookmarkEnd w:id="265"/>
      <w:r>
        <w:rPr>
          <w:rFonts w:hint="eastAsia" w:ascii="宋体" w:hAnsi="宋体"/>
          <w:color w:val="auto"/>
          <w:highlight w:val="none"/>
          <w:u w:val="single"/>
        </w:rPr>
        <w:t>承包人</w:t>
      </w:r>
      <w:bookmarkStart w:id="266" w:name="_Toc389065273"/>
      <w:bookmarkEnd w:id="266"/>
      <w:bookmarkStart w:id="267" w:name="_Toc407135209"/>
      <w:bookmarkEnd w:id="267"/>
      <w:bookmarkStart w:id="268" w:name="_Toc373227707"/>
      <w:bookmarkEnd w:id="268"/>
      <w:bookmarkStart w:id="269" w:name="_Toc373478354"/>
      <w:bookmarkEnd w:id="269"/>
      <w:bookmarkStart w:id="270" w:name="_Toc30105"/>
      <w:bookmarkEnd w:id="270"/>
    </w:p>
    <w:p w14:paraId="6E2330D7">
      <w:pPr>
        <w:pageBreakBefore w:val="0"/>
        <w:kinsoku/>
        <w:wordWrap w:val="0"/>
        <w:topLinePunct w:val="0"/>
        <w:spacing w:line="360" w:lineRule="auto"/>
        <w:ind w:firstLine="420" w:firstLineChars="200"/>
        <w:rPr>
          <w:rFonts w:ascii="宋体" w:hAnsi="宋体"/>
          <w:color w:val="auto"/>
          <w:highlight w:val="none"/>
          <w:u w:val="single"/>
        </w:rPr>
      </w:pPr>
      <w:r>
        <w:rPr>
          <w:rFonts w:ascii="宋体" w:hAnsi="宋体"/>
          <w:color w:val="auto"/>
          <w:highlight w:val="none"/>
          <w:u w:val="single"/>
        </w:rPr>
        <w:t xml:space="preserve">3.1 </w:t>
      </w:r>
      <w:r>
        <w:rPr>
          <w:rFonts w:hint="eastAsia" w:ascii="宋体" w:hAnsi="宋体"/>
          <w:color w:val="auto"/>
          <w:highlight w:val="none"/>
          <w:u w:val="single"/>
        </w:rPr>
        <w:t>承包人的一般义务</w:t>
      </w:r>
      <w:bookmarkStart w:id="271" w:name="_Toc22397"/>
      <w:bookmarkEnd w:id="271"/>
    </w:p>
    <w:p w14:paraId="706CF806">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承包人提交的竣工资料的内容：提供符合法律规定和合同约定及工程所在地行政质检监督部门和发包人上级相关部门要求的竣工图及竣工资料，包括但不限于①竣工图纸；②设计变更、洽商记录、现场签证；③施工资料：控制资料</w:t>
      </w:r>
      <w:r>
        <w:rPr>
          <w:rFonts w:ascii="宋体" w:hAnsi="宋体"/>
          <w:color w:val="auto"/>
          <w:highlight w:val="none"/>
          <w:u w:val="single"/>
        </w:rPr>
        <w:t>(含：材料检试验报告、施工记录、检验批质量、隐蔽工程记录、分项工程验收记录、分部工程验收记录)；④管理资料（含：开工报审表、施工日志、施工组织设计）；⑤提交上级建设主管部门的备案资料等</w:t>
      </w:r>
      <w:r>
        <w:rPr>
          <w:rFonts w:hint="eastAsia" w:ascii="宋体" w:hAnsi="宋体"/>
          <w:color w:val="auto"/>
          <w:highlight w:val="none"/>
          <w:u w:val="single"/>
        </w:rPr>
        <w:t>。</w:t>
      </w:r>
    </w:p>
    <w:p w14:paraId="68BC02D6">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承包人需要提交的竣工资料套数6套竣工图、6套竣工资料和电子版竣工图及资料光盘二张。</w:t>
      </w:r>
    </w:p>
    <w:p w14:paraId="40228E27">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承包人提交的竣工资料的费用承担：由承包人承担。</w:t>
      </w:r>
    </w:p>
    <w:p w14:paraId="66BC645B">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承包人提交的竣工资料移交时间：通过竣工验收之日起</w:t>
      </w:r>
      <w:r>
        <w:rPr>
          <w:rFonts w:ascii="宋体" w:hAnsi="宋体"/>
          <w:color w:val="auto"/>
          <w:highlight w:val="none"/>
          <w:u w:val="single"/>
        </w:rPr>
        <w:t>28天内。</w:t>
      </w:r>
    </w:p>
    <w:p w14:paraId="78005D35">
      <w:pPr>
        <w:pageBreakBefore w:val="0"/>
        <w:kinsoku/>
        <w:wordWrap w:val="0"/>
        <w:topLinePunct w:val="0"/>
        <w:spacing w:line="360" w:lineRule="auto"/>
        <w:ind w:firstLine="420" w:firstLineChars="200"/>
        <w:rPr>
          <w:rFonts w:ascii="宋体" w:hAnsi="宋体"/>
          <w:color w:val="auto"/>
          <w:highlight w:val="none"/>
          <w:u w:val="single"/>
        </w:rPr>
      </w:pPr>
      <w:r>
        <w:rPr>
          <w:rFonts w:hint="eastAsia" w:ascii="宋体" w:hAnsi="宋体"/>
          <w:color w:val="auto"/>
          <w:highlight w:val="none"/>
          <w:u w:val="single"/>
        </w:rPr>
        <w:t>承包人提交的竣工资料形式要求：书面形式及电子文档。</w:t>
      </w:r>
    </w:p>
    <w:p w14:paraId="325C6849">
      <w:pPr>
        <w:pageBreakBefore w:val="0"/>
        <w:kinsoku/>
        <w:wordWrap w:val="0"/>
        <w:topLinePunct w:val="0"/>
        <w:spacing w:line="360" w:lineRule="auto"/>
        <w:ind w:firstLine="420" w:firstLineChars="200"/>
        <w:rPr>
          <w:rFonts w:ascii="宋体" w:hAnsi="宋体"/>
          <w:color w:val="auto"/>
          <w:highlight w:val="none"/>
          <w:u w:val="single"/>
        </w:rPr>
      </w:pPr>
      <w:r>
        <w:rPr>
          <w:rFonts w:ascii="宋体" w:hAnsi="宋体"/>
          <w:color w:val="auto"/>
          <w:highlight w:val="none"/>
          <w:u w:val="single"/>
        </w:rPr>
        <w:t xml:space="preserve">1. </w:t>
      </w:r>
      <w:r>
        <w:rPr>
          <w:rFonts w:hint="eastAsia" w:ascii="宋体" w:hAnsi="宋体"/>
          <w:color w:val="auto"/>
          <w:highlight w:val="none"/>
          <w:u w:val="single"/>
        </w:rPr>
        <w:t>承包人应履行的其他义务：①、承包人应按发包人的要求配合施工管理工作，按发包人要求的时间提供周、月、季度计划、工程报告、工程报表等工程管理资料。②、承包人应积极主动核对图纸中的技术数据，充分理解设计意图。若由于明显的设计图纸问题（例如尺寸标注不闭合、文字标识相互矛盾等）和发包人（包括监理）不正确的指令，承包人发现后有口头或书面告知义务，否则造成工程质量、安全、进度损失，也不能免除承包人的责任。③、承包人应按照工程所在地政府相关规定，建立健全的雇员工资发放和劳动保障制度。如因雇员的工资发放和劳动保障制度不健全而引发群体性事件发生，导致民工围堵发包人及当地政府及行政主管部门等的，发包人有权解除合同，并要求承包人退场并赔偿发包人的经济损失。④、承包人使用的临时用水、临时用电等设施在合同执行期间，如发包人要求为其他承包人提供分表接口的，承包人应予无条件同意。⑤、承包人不得因工程施工影响了重要公共设施的安全，施工期间确保该大楼内所有租户能正常营业，如因进行装饰装修施工造成相邻的物品损坏或不能正常营业,承担修理和损失赔偿责任。承包人进入现场施工后，需做好现场安全文明施工及已有成品保护工作。现场运输材料、堆放材料等造成的路面的污染，承包人应该有专人负责跟踪打扫；现场的绿化、市政等公用设施做好施工期间的保护工作；现场施工及生活产生的垃圾应该每天有人清除；不允许在现场外搅拌砼及砂浆。⑥、必须遵守居民社区的相关制度</w:t>
      </w:r>
      <w:r>
        <w:rPr>
          <w:rFonts w:ascii="宋体" w:hAnsi="宋体"/>
          <w:color w:val="auto"/>
          <w:highlight w:val="none"/>
          <w:u w:val="single"/>
        </w:rPr>
        <w:t xml:space="preserve">,服从工程所在地行业行政主管部门对施工现场生活区、作业区、办公区的市政管理、施工现场管理、卫生管理等规定 </w:t>
      </w:r>
      <w:r>
        <w:rPr>
          <w:rFonts w:hint="eastAsia" w:ascii="宋体" w:hAnsi="宋体"/>
          <w:color w:val="auto"/>
          <w:highlight w:val="none"/>
          <w:u w:val="single"/>
        </w:rPr>
        <w:t>。⑦、工程竣工验收前承包人应编制管道功能性试验（试压、冲洗、消毒等）试验方案，并按规范和设计要求完成管道的功能性试验并出具相关试验报告。给水管道必须水压试验合格，并网运行前进行冲洗与消毒，经检验水质达到标准后，方可允许并网通水投入运行。试压、冲洗、消毒的费用包含在投标报价中。</w:t>
      </w:r>
    </w:p>
    <w:p w14:paraId="26A8FAAB">
      <w:pPr>
        <w:keepNext/>
        <w:keepLines/>
        <w:pageBreakBefore w:val="0"/>
        <w:kinsoku/>
        <w:wordWrap w:val="0"/>
        <w:topLinePunct w:val="0"/>
        <w:spacing w:line="360" w:lineRule="auto"/>
        <w:outlineLvl w:val="2"/>
        <w:rPr>
          <w:rFonts w:ascii="宋体" w:hAnsi="宋体"/>
          <w:b/>
          <w:bCs/>
          <w:color w:val="auto"/>
          <w:highlight w:val="none"/>
          <w:lang w:val="zh-CN"/>
        </w:rPr>
      </w:pPr>
      <w:r>
        <w:rPr>
          <w:rFonts w:ascii="宋体" w:hAnsi="宋体"/>
          <w:b/>
          <w:bCs/>
          <w:color w:val="auto"/>
          <w:highlight w:val="none"/>
          <w:lang w:val="zh-CN"/>
        </w:rPr>
        <w:t xml:space="preserve">3.2 </w:t>
      </w:r>
      <w:r>
        <w:rPr>
          <w:rFonts w:hint="eastAsia" w:ascii="宋体" w:hAnsi="宋体"/>
          <w:b/>
          <w:bCs/>
          <w:color w:val="auto"/>
          <w:highlight w:val="none"/>
          <w:lang w:val="zh-CN"/>
        </w:rPr>
        <w:t>项目经理</w:t>
      </w:r>
    </w:p>
    <w:p w14:paraId="6A8FCA4E">
      <w:pPr>
        <w:pageBreakBefore w:val="0"/>
        <w:kinsoku/>
        <w:wordWrap w:val="0"/>
        <w:topLinePunct w:val="0"/>
        <w:spacing w:line="360" w:lineRule="auto"/>
        <w:ind w:firstLine="420"/>
        <w:rPr>
          <w:rFonts w:ascii="宋体" w:hAnsi="宋体"/>
          <w:color w:val="auto"/>
          <w:highlight w:val="none"/>
        </w:rPr>
      </w:pPr>
      <w:bookmarkStart w:id="272" w:name="_Toc373227709"/>
      <w:bookmarkEnd w:id="272"/>
      <w:bookmarkStart w:id="273" w:name="_Toc389065275"/>
      <w:bookmarkEnd w:id="273"/>
      <w:bookmarkStart w:id="274" w:name="_Toc373478356"/>
      <w:bookmarkEnd w:id="274"/>
      <w:bookmarkStart w:id="275" w:name="_Toc407135211"/>
      <w:r>
        <w:rPr>
          <w:rFonts w:ascii="宋体" w:hAnsi="宋体"/>
          <w:color w:val="auto"/>
          <w:kern w:val="0"/>
          <w:highlight w:val="none"/>
        </w:rPr>
        <w:t xml:space="preserve">3.2.1 </w:t>
      </w:r>
      <w:bookmarkEnd w:id="275"/>
      <w:r>
        <w:rPr>
          <w:rFonts w:hint="eastAsia" w:ascii="宋体" w:hAnsi="宋体"/>
          <w:color w:val="auto"/>
          <w:highlight w:val="none"/>
        </w:rPr>
        <w:t>项目经理：</w:t>
      </w:r>
    </w:p>
    <w:p w14:paraId="3FB2C03C">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姓名：</w:t>
      </w:r>
      <w:r>
        <w:rPr>
          <w:rFonts w:hint="eastAsia" w:ascii="宋体" w:hAnsi="宋体"/>
          <w:color w:val="auto"/>
          <w:highlight w:val="none"/>
          <w:u w:val="single"/>
        </w:rPr>
        <w:t>（成交人在本项目拟采用的项目经理，必须与</w:t>
      </w:r>
      <w:r>
        <w:rPr>
          <w:rFonts w:hint="eastAsia" w:ascii="宋体" w:hAnsi="宋体"/>
          <w:color w:val="auto"/>
          <w:highlight w:val="none"/>
          <w:u w:val="single"/>
          <w:lang w:eastAsia="zh-CN"/>
        </w:rPr>
        <w:t>响应文件</w:t>
      </w:r>
      <w:r>
        <w:rPr>
          <w:rFonts w:hint="eastAsia" w:ascii="宋体" w:hAnsi="宋体"/>
          <w:color w:val="auto"/>
          <w:highlight w:val="none"/>
          <w:u w:val="single"/>
        </w:rPr>
        <w:t>一致）</w:t>
      </w:r>
      <w:r>
        <w:rPr>
          <w:rFonts w:hint="eastAsia" w:ascii="宋体" w:hAnsi="宋体"/>
          <w:color w:val="auto"/>
          <w:highlight w:val="none"/>
        </w:rPr>
        <w:t>；</w:t>
      </w:r>
    </w:p>
    <w:p w14:paraId="2CEF55F2">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身份证号：</w:t>
      </w:r>
      <w:r>
        <w:rPr>
          <w:rFonts w:hint="eastAsia" w:ascii="宋体" w:hAnsi="宋体"/>
          <w:color w:val="auto"/>
          <w:highlight w:val="none"/>
          <w:u w:val="single"/>
        </w:rPr>
        <w:t>（与</w:t>
      </w:r>
      <w:r>
        <w:rPr>
          <w:rFonts w:hint="eastAsia" w:ascii="宋体" w:hAnsi="宋体"/>
          <w:color w:val="auto"/>
          <w:highlight w:val="none"/>
          <w:u w:val="single"/>
          <w:lang w:eastAsia="zh-CN"/>
        </w:rPr>
        <w:t>响应文件</w:t>
      </w:r>
      <w:r>
        <w:rPr>
          <w:rFonts w:hint="eastAsia" w:ascii="宋体" w:hAnsi="宋体"/>
          <w:color w:val="auto"/>
          <w:highlight w:val="none"/>
          <w:u w:val="single"/>
        </w:rPr>
        <w:t>一致）</w:t>
      </w:r>
      <w:r>
        <w:rPr>
          <w:rFonts w:hint="eastAsia" w:ascii="宋体" w:hAnsi="宋体"/>
          <w:color w:val="auto"/>
          <w:highlight w:val="none"/>
        </w:rPr>
        <w:t>；</w:t>
      </w:r>
    </w:p>
    <w:p w14:paraId="58EE1399">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建造师执业资格等级：</w:t>
      </w:r>
      <w:r>
        <w:rPr>
          <w:rFonts w:hint="eastAsia" w:ascii="宋体" w:hAnsi="宋体"/>
          <w:color w:val="auto"/>
          <w:highlight w:val="none"/>
          <w:u w:val="single"/>
        </w:rPr>
        <w:t>（与</w:t>
      </w:r>
      <w:r>
        <w:rPr>
          <w:rFonts w:hint="eastAsia" w:ascii="宋体" w:hAnsi="宋体"/>
          <w:color w:val="auto"/>
          <w:highlight w:val="none"/>
          <w:u w:val="single"/>
          <w:lang w:eastAsia="zh-CN"/>
        </w:rPr>
        <w:t>响应文件</w:t>
      </w:r>
      <w:r>
        <w:rPr>
          <w:rFonts w:hint="eastAsia" w:ascii="宋体" w:hAnsi="宋体"/>
          <w:color w:val="auto"/>
          <w:highlight w:val="none"/>
          <w:u w:val="single"/>
        </w:rPr>
        <w:t>一致）</w:t>
      </w:r>
      <w:r>
        <w:rPr>
          <w:rFonts w:hint="eastAsia" w:ascii="宋体" w:hAnsi="宋体"/>
          <w:color w:val="auto"/>
          <w:highlight w:val="none"/>
        </w:rPr>
        <w:t>；</w:t>
      </w:r>
    </w:p>
    <w:p w14:paraId="09276E90">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建造师注册证书号：</w:t>
      </w:r>
      <w:r>
        <w:rPr>
          <w:rFonts w:hint="eastAsia" w:ascii="宋体" w:hAnsi="宋体"/>
          <w:color w:val="auto"/>
          <w:highlight w:val="none"/>
          <w:u w:val="single"/>
        </w:rPr>
        <w:t>（与</w:t>
      </w:r>
      <w:r>
        <w:rPr>
          <w:rFonts w:hint="eastAsia" w:ascii="宋体" w:hAnsi="宋体"/>
          <w:color w:val="auto"/>
          <w:highlight w:val="none"/>
          <w:u w:val="single"/>
          <w:lang w:eastAsia="zh-CN"/>
        </w:rPr>
        <w:t>响应文件</w:t>
      </w:r>
      <w:r>
        <w:rPr>
          <w:rFonts w:hint="eastAsia" w:ascii="宋体" w:hAnsi="宋体"/>
          <w:color w:val="auto"/>
          <w:highlight w:val="none"/>
          <w:u w:val="single"/>
        </w:rPr>
        <w:t>一致）</w:t>
      </w:r>
      <w:r>
        <w:rPr>
          <w:rFonts w:hint="eastAsia" w:ascii="宋体" w:hAnsi="宋体"/>
          <w:color w:val="auto"/>
          <w:highlight w:val="none"/>
        </w:rPr>
        <w:t>；</w:t>
      </w:r>
    </w:p>
    <w:p w14:paraId="266B341B">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建造师执业印章号：</w:t>
      </w:r>
      <w:r>
        <w:rPr>
          <w:rFonts w:hint="eastAsia" w:ascii="宋体" w:hAnsi="宋体"/>
          <w:color w:val="auto"/>
          <w:highlight w:val="none"/>
          <w:u w:val="single"/>
        </w:rPr>
        <w:t>（与</w:t>
      </w:r>
      <w:r>
        <w:rPr>
          <w:rFonts w:hint="eastAsia" w:ascii="宋体" w:hAnsi="宋体"/>
          <w:color w:val="auto"/>
          <w:highlight w:val="none"/>
          <w:u w:val="single"/>
          <w:lang w:eastAsia="zh-CN"/>
        </w:rPr>
        <w:t>响应文件</w:t>
      </w:r>
      <w:r>
        <w:rPr>
          <w:rFonts w:hint="eastAsia" w:ascii="宋体" w:hAnsi="宋体"/>
          <w:color w:val="auto"/>
          <w:highlight w:val="none"/>
          <w:u w:val="single"/>
        </w:rPr>
        <w:t>一致）</w:t>
      </w:r>
      <w:r>
        <w:rPr>
          <w:rFonts w:hint="eastAsia" w:ascii="宋体" w:hAnsi="宋体"/>
          <w:color w:val="auto"/>
          <w:highlight w:val="none"/>
        </w:rPr>
        <w:t>；</w:t>
      </w:r>
    </w:p>
    <w:p w14:paraId="24C0AA03">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安全生产考核合格证书号：</w:t>
      </w:r>
      <w:r>
        <w:rPr>
          <w:rFonts w:hint="eastAsia" w:ascii="宋体" w:hAnsi="宋体"/>
          <w:color w:val="auto"/>
          <w:highlight w:val="none"/>
          <w:u w:val="single"/>
        </w:rPr>
        <w:t>（与</w:t>
      </w:r>
      <w:r>
        <w:rPr>
          <w:rFonts w:hint="eastAsia" w:ascii="宋体" w:hAnsi="宋体"/>
          <w:color w:val="auto"/>
          <w:highlight w:val="none"/>
          <w:u w:val="single"/>
          <w:lang w:eastAsia="zh-CN"/>
        </w:rPr>
        <w:t>响应文件</w:t>
      </w:r>
      <w:r>
        <w:rPr>
          <w:rFonts w:hint="eastAsia" w:ascii="宋体" w:hAnsi="宋体"/>
          <w:color w:val="auto"/>
          <w:highlight w:val="none"/>
          <w:u w:val="single"/>
        </w:rPr>
        <w:t>一致）</w:t>
      </w:r>
      <w:r>
        <w:rPr>
          <w:rFonts w:hint="eastAsia" w:ascii="宋体" w:hAnsi="宋体"/>
          <w:color w:val="auto"/>
          <w:highlight w:val="none"/>
        </w:rPr>
        <w:t>；</w:t>
      </w:r>
    </w:p>
    <w:p w14:paraId="1F02D572">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xml:space="preserve">        </w:t>
      </w:r>
      <w:r>
        <w:rPr>
          <w:rFonts w:hint="eastAsia" w:ascii="宋体" w:hAnsi="宋体"/>
          <w:color w:val="auto"/>
          <w:highlight w:val="none"/>
        </w:rPr>
        <w:t>；</w:t>
      </w:r>
    </w:p>
    <w:p w14:paraId="2307EA1C">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电子信箱：</w:t>
      </w:r>
      <w:r>
        <w:rPr>
          <w:rFonts w:hint="eastAsia" w:ascii="宋体" w:hAnsi="宋体"/>
          <w:color w:val="auto"/>
          <w:highlight w:val="none"/>
          <w:u w:val="single"/>
        </w:rPr>
        <w:t xml:space="preserve">        </w:t>
      </w:r>
      <w:r>
        <w:rPr>
          <w:rFonts w:hint="eastAsia" w:ascii="宋体" w:hAnsi="宋体"/>
          <w:color w:val="auto"/>
          <w:highlight w:val="none"/>
        </w:rPr>
        <w:t>；</w:t>
      </w:r>
    </w:p>
    <w:p w14:paraId="3F50F2E2">
      <w:pPr>
        <w:pageBreakBefore w:val="0"/>
        <w:kinsoku/>
        <w:wordWrap w:val="0"/>
        <w:topLinePunct w:val="0"/>
        <w:spacing w:line="360" w:lineRule="auto"/>
        <w:ind w:firstLine="420"/>
        <w:rPr>
          <w:rFonts w:ascii="宋体" w:hAnsi="宋体"/>
          <w:color w:val="auto"/>
          <w:highlight w:val="none"/>
        </w:rPr>
      </w:pPr>
      <w:r>
        <w:rPr>
          <w:rFonts w:hint="eastAsia" w:ascii="宋体" w:hAnsi="宋体"/>
          <w:color w:val="auto"/>
          <w:highlight w:val="none"/>
        </w:rPr>
        <w:t>通信地址：</w:t>
      </w:r>
      <w:r>
        <w:rPr>
          <w:rFonts w:hint="eastAsia" w:ascii="宋体" w:hAnsi="宋体"/>
          <w:color w:val="auto"/>
          <w:highlight w:val="none"/>
          <w:u w:val="single"/>
        </w:rPr>
        <w:t xml:space="preserve">        </w:t>
      </w:r>
      <w:r>
        <w:rPr>
          <w:rFonts w:hint="eastAsia" w:ascii="宋体" w:hAnsi="宋体"/>
          <w:color w:val="auto"/>
          <w:highlight w:val="none"/>
        </w:rPr>
        <w:t>；</w:t>
      </w:r>
    </w:p>
    <w:p w14:paraId="70F6A88D">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rPr>
        <w:t>承包人对项目经理的授权范围如下：</w:t>
      </w:r>
      <w:r>
        <w:rPr>
          <w:rFonts w:hint="eastAsia" w:ascii="宋体" w:hAnsi="宋体"/>
          <w:color w:val="auto"/>
          <w:highlight w:val="none"/>
          <w:u w:val="single"/>
        </w:rPr>
        <w:t>（1）对本工程的建设进行全面管理，行使合同约定的权利，履行合同约定的义务；（2）负责本工程的施工组织方案制定和施工组织设计；（3）负责本工程的劳动力组织和机械设备组织；（4）参与选择并使用具有相应资质的分包人；（5）参与选择物资供应单位；（6）在授权范围内协调与项目有关的内、外部关系；（7）负责与发包人、监理人办理设计变更、现场签证等手续，及时办理本工程相关索赔；（8）负责签收发包人、监理人往来函件，承包人的要求、通知均应以书面形式由承包人项目经理签字并加盖承包人公司公章印章后递交发包人；（9）代表承包人接受监理工程师或发包人现场代表发出的指示和指令。</w:t>
      </w:r>
    </w:p>
    <w:p w14:paraId="4DFEAF36">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u w:val="single"/>
        </w:rPr>
        <w:t>3.2.2关于项目经理每月在施工现场的时间要求：项目经理原则上每月在施工现场的时间不得少于当月施工时间的80%，若项目经理每月在岗时间少于当月施工时间的80%，少在岗带班一天，发包人有权处违约金</w:t>
      </w:r>
      <w:r>
        <w:rPr>
          <w:rFonts w:ascii="宋体" w:hAnsi="宋体"/>
          <w:color w:val="auto"/>
          <w:highlight w:val="none"/>
          <w:u w:val="single"/>
        </w:rPr>
        <w:t>2000</w:t>
      </w:r>
      <w:r>
        <w:rPr>
          <w:rFonts w:hint="eastAsia" w:ascii="宋体" w:hAnsi="宋体"/>
          <w:color w:val="auto"/>
          <w:highlight w:val="none"/>
          <w:u w:val="single"/>
        </w:rPr>
        <w:t>元</w:t>
      </w:r>
      <w:r>
        <w:rPr>
          <w:rFonts w:ascii="宋体" w:hAnsi="宋体"/>
          <w:color w:val="auto"/>
          <w:highlight w:val="none"/>
          <w:u w:val="single"/>
        </w:rPr>
        <w:t>/</w:t>
      </w:r>
      <w:r>
        <w:rPr>
          <w:rFonts w:hint="eastAsia" w:ascii="宋体" w:hAnsi="宋体"/>
          <w:color w:val="auto"/>
          <w:highlight w:val="none"/>
          <w:u w:val="single"/>
        </w:rPr>
        <w:t>日（人民币）。</w:t>
      </w:r>
    </w:p>
    <w:p w14:paraId="168B439F">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u w:val="single"/>
        </w:rPr>
        <w:t>3.2.3由于承包人项目经理缺位导致管理混乱，发生重大安全生产事故的，承包人须承担相应的法律和经济责任。</w:t>
      </w:r>
    </w:p>
    <w:p w14:paraId="0B23FB0E">
      <w:pPr>
        <w:pageBreakBefore w:val="0"/>
        <w:kinsoku/>
        <w:wordWrap w:val="0"/>
        <w:topLinePunct w:val="0"/>
        <w:spacing w:line="360" w:lineRule="auto"/>
        <w:ind w:firstLine="420"/>
        <w:rPr>
          <w:rFonts w:ascii="宋体" w:hAnsi="宋体"/>
          <w:b/>
          <w:bCs/>
          <w:color w:val="auto"/>
          <w:highlight w:val="none"/>
          <w:lang w:val="zh-CN"/>
        </w:rPr>
      </w:pPr>
      <w:r>
        <w:rPr>
          <w:rFonts w:ascii="宋体" w:hAnsi="宋体"/>
          <w:b/>
          <w:bCs/>
          <w:color w:val="auto"/>
          <w:highlight w:val="none"/>
          <w:lang w:val="zh-CN"/>
        </w:rPr>
        <w:t xml:space="preserve">3.3 </w:t>
      </w:r>
      <w:r>
        <w:rPr>
          <w:rFonts w:hint="eastAsia" w:ascii="宋体" w:hAnsi="宋体"/>
          <w:b/>
          <w:bCs/>
          <w:color w:val="auto"/>
          <w:highlight w:val="none"/>
          <w:lang w:val="zh-CN"/>
        </w:rPr>
        <w:t>承包人人员</w:t>
      </w:r>
      <w:bookmarkStart w:id="276" w:name="_Toc373478357"/>
      <w:bookmarkEnd w:id="276"/>
      <w:bookmarkStart w:id="277" w:name="_Toc373227710"/>
      <w:bookmarkEnd w:id="277"/>
      <w:bookmarkStart w:id="278" w:name="_Toc1580"/>
      <w:bookmarkEnd w:id="278"/>
      <w:bookmarkStart w:id="279" w:name="_Toc389065276"/>
      <w:bookmarkEnd w:id="279"/>
    </w:p>
    <w:p w14:paraId="192FDEC2">
      <w:pPr>
        <w:pageBreakBefore w:val="0"/>
        <w:kinsoku/>
        <w:wordWrap w:val="0"/>
        <w:topLinePunct w:val="0"/>
        <w:spacing w:line="360" w:lineRule="auto"/>
        <w:ind w:firstLine="420"/>
        <w:rPr>
          <w:rFonts w:ascii="宋体" w:hAnsi="宋体"/>
          <w:color w:val="auto"/>
          <w:highlight w:val="none"/>
          <w:u w:val="single"/>
          <w:lang w:val="zh-CN"/>
        </w:rPr>
      </w:pPr>
      <w:r>
        <w:rPr>
          <w:rFonts w:hint="eastAsia" w:ascii="宋体" w:hAnsi="宋体"/>
          <w:color w:val="auto"/>
          <w:highlight w:val="none"/>
          <w:u w:val="single"/>
          <w:lang w:val="zh-CN"/>
        </w:rPr>
        <w:t>按《通用合同条款》</w:t>
      </w:r>
      <w:r>
        <w:rPr>
          <w:rFonts w:ascii="宋体" w:hAnsi="宋体"/>
          <w:color w:val="auto"/>
          <w:highlight w:val="none"/>
          <w:u w:val="single"/>
          <w:lang w:val="zh-CN"/>
        </w:rPr>
        <w:t>3.</w:t>
      </w:r>
      <w:r>
        <w:rPr>
          <w:rFonts w:hint="eastAsia" w:ascii="宋体" w:hAnsi="宋体"/>
          <w:color w:val="auto"/>
          <w:highlight w:val="none"/>
          <w:u w:val="single"/>
          <w:lang w:val="zh-CN"/>
        </w:rPr>
        <w:t>3</w:t>
      </w:r>
      <w:r>
        <w:rPr>
          <w:rFonts w:ascii="宋体" w:hAnsi="宋体"/>
          <w:color w:val="auto"/>
          <w:highlight w:val="none"/>
          <w:u w:val="single"/>
          <w:lang w:val="zh-CN"/>
        </w:rPr>
        <w:t>.条</w:t>
      </w:r>
      <w:r>
        <w:rPr>
          <w:rFonts w:hint="eastAsia" w:ascii="宋体" w:hAnsi="宋体"/>
          <w:color w:val="auto"/>
          <w:highlight w:val="none"/>
          <w:u w:val="single"/>
          <w:lang w:val="zh-CN"/>
        </w:rPr>
        <w:t>执行</w:t>
      </w:r>
    </w:p>
    <w:p w14:paraId="2BE1EC60">
      <w:pPr>
        <w:pageBreakBefore w:val="0"/>
        <w:kinsoku/>
        <w:wordWrap w:val="0"/>
        <w:topLinePunct w:val="0"/>
        <w:spacing w:line="360" w:lineRule="auto"/>
        <w:ind w:firstLine="420"/>
        <w:rPr>
          <w:rFonts w:ascii="宋体" w:hAnsi="宋体"/>
          <w:b/>
          <w:bCs/>
          <w:color w:val="auto"/>
          <w:highlight w:val="none"/>
          <w:lang w:val="zh-CN"/>
        </w:rPr>
      </w:pPr>
      <w:r>
        <w:rPr>
          <w:rFonts w:ascii="宋体" w:hAnsi="宋体"/>
          <w:b/>
          <w:bCs/>
          <w:color w:val="auto"/>
          <w:highlight w:val="none"/>
          <w:lang w:val="zh-CN"/>
        </w:rPr>
        <w:t>3</w:t>
      </w:r>
      <w:bookmarkStart w:id="280" w:name="_Toc296347158"/>
      <w:bookmarkEnd w:id="280"/>
      <w:bookmarkStart w:id="281" w:name="_Toc296944498"/>
      <w:bookmarkEnd w:id="281"/>
      <w:bookmarkStart w:id="282" w:name="_Toc297048345"/>
      <w:bookmarkEnd w:id="282"/>
      <w:bookmarkStart w:id="283" w:name="_Toc297216151"/>
      <w:bookmarkEnd w:id="283"/>
      <w:bookmarkStart w:id="284" w:name="_Toc296891199"/>
      <w:bookmarkEnd w:id="284"/>
      <w:bookmarkStart w:id="285" w:name="_Toc312677988"/>
      <w:bookmarkEnd w:id="285"/>
      <w:bookmarkStart w:id="286" w:name="_Toc292559869"/>
      <w:bookmarkEnd w:id="286"/>
      <w:bookmarkStart w:id="287" w:name="_Toc292559364"/>
      <w:bookmarkEnd w:id="287"/>
      <w:bookmarkStart w:id="288" w:name="_Toc296503159"/>
      <w:bookmarkEnd w:id="288"/>
      <w:bookmarkStart w:id="289" w:name="_Toc300934945"/>
      <w:bookmarkEnd w:id="289"/>
      <w:bookmarkStart w:id="290" w:name="_Toc303539102"/>
      <w:bookmarkEnd w:id="290"/>
      <w:bookmarkStart w:id="291" w:name="_Toc297123492"/>
      <w:bookmarkEnd w:id="291"/>
      <w:bookmarkStart w:id="292" w:name="_Toc297120459"/>
      <w:bookmarkEnd w:id="292"/>
      <w:bookmarkStart w:id="293" w:name="_Toc296890987"/>
      <w:bookmarkEnd w:id="293"/>
      <w:bookmarkStart w:id="294" w:name="_Toc304295523"/>
      <w:bookmarkEnd w:id="294"/>
      <w:bookmarkStart w:id="295" w:name="_Toc296346660"/>
      <w:r>
        <w:rPr>
          <w:rFonts w:ascii="宋体" w:hAnsi="宋体"/>
          <w:b/>
          <w:bCs/>
          <w:color w:val="auto"/>
          <w:highlight w:val="none"/>
          <w:lang w:val="zh-CN"/>
        </w:rPr>
        <w:t xml:space="preserve">.5 </w:t>
      </w:r>
      <w:bookmarkEnd w:id="295"/>
      <w:r>
        <w:rPr>
          <w:rFonts w:hint="eastAsia" w:ascii="宋体" w:hAnsi="宋体"/>
          <w:b/>
          <w:bCs/>
          <w:color w:val="auto"/>
          <w:highlight w:val="none"/>
          <w:lang w:val="zh-CN"/>
        </w:rPr>
        <w:t>分包</w:t>
      </w:r>
      <w:bookmarkStart w:id="296" w:name="_Toc373478358"/>
      <w:bookmarkEnd w:id="296"/>
      <w:bookmarkStart w:id="297" w:name="_Toc389065277"/>
      <w:bookmarkEnd w:id="297"/>
      <w:bookmarkStart w:id="298" w:name="_Toc30771"/>
      <w:bookmarkEnd w:id="298"/>
      <w:bookmarkStart w:id="299" w:name="_Toc407135213"/>
      <w:bookmarkEnd w:id="299"/>
      <w:bookmarkStart w:id="300" w:name="_Toc373227711"/>
      <w:bookmarkEnd w:id="300"/>
    </w:p>
    <w:p w14:paraId="40B3DD06">
      <w:pPr>
        <w:pageBreakBefore w:val="0"/>
        <w:kinsoku/>
        <w:wordWrap w:val="0"/>
        <w:topLinePunct w:val="0"/>
        <w:spacing w:line="360" w:lineRule="auto"/>
        <w:ind w:firstLine="420"/>
        <w:rPr>
          <w:rFonts w:ascii="宋体" w:hAnsi="宋体"/>
          <w:color w:val="auto"/>
          <w:highlight w:val="none"/>
          <w:lang w:val="zh-CN"/>
        </w:rPr>
      </w:pPr>
      <w:r>
        <w:rPr>
          <w:rFonts w:ascii="宋体" w:hAnsi="宋体"/>
          <w:color w:val="auto"/>
          <w:highlight w:val="none"/>
          <w:lang w:val="zh-CN"/>
        </w:rPr>
        <w:t xml:space="preserve">3.5.1 </w:t>
      </w:r>
      <w:r>
        <w:rPr>
          <w:rFonts w:hint="eastAsia" w:ascii="宋体" w:hAnsi="宋体"/>
          <w:color w:val="auto"/>
          <w:highlight w:val="none"/>
          <w:lang w:val="zh-CN"/>
        </w:rPr>
        <w:t>分包的一般约定</w:t>
      </w:r>
    </w:p>
    <w:p w14:paraId="336D30A8">
      <w:pPr>
        <w:pageBreakBefore w:val="0"/>
        <w:kinsoku/>
        <w:wordWrap w:val="0"/>
        <w:topLinePunct w:val="0"/>
        <w:spacing w:line="360" w:lineRule="auto"/>
        <w:ind w:firstLine="420"/>
        <w:rPr>
          <w:rFonts w:ascii="宋体" w:hAnsi="宋体"/>
          <w:color w:val="auto"/>
          <w:highlight w:val="none"/>
          <w:lang w:val="zh-CN"/>
        </w:rPr>
      </w:pPr>
      <w:r>
        <w:rPr>
          <w:rFonts w:hint="eastAsia" w:ascii="宋体" w:hAnsi="宋体"/>
          <w:color w:val="auto"/>
          <w:highlight w:val="none"/>
          <w:lang w:val="zh-CN"/>
        </w:rPr>
        <w:t>禁止分包的工程包括：</w:t>
      </w:r>
      <w:r>
        <w:rPr>
          <w:rFonts w:hint="eastAsia" w:ascii="宋体" w:hAnsi="宋体"/>
          <w:color w:val="auto"/>
          <w:highlight w:val="none"/>
          <w:u w:val="single"/>
          <w:lang w:val="zh-CN"/>
        </w:rPr>
        <w:t>按《通用合同条款》</w:t>
      </w:r>
      <w:r>
        <w:rPr>
          <w:rFonts w:ascii="宋体" w:hAnsi="宋体"/>
          <w:color w:val="auto"/>
          <w:highlight w:val="none"/>
          <w:u w:val="single"/>
          <w:lang w:val="zh-CN"/>
        </w:rPr>
        <w:t xml:space="preserve">3.5.1条 </w:t>
      </w:r>
      <w:r>
        <w:rPr>
          <w:rFonts w:hint="eastAsia" w:ascii="宋体" w:hAnsi="宋体"/>
          <w:color w:val="auto"/>
          <w:highlight w:val="none"/>
          <w:lang w:val="zh-CN"/>
        </w:rPr>
        <w:t>。</w:t>
      </w:r>
    </w:p>
    <w:p w14:paraId="7E415537">
      <w:pPr>
        <w:pageBreakBefore w:val="0"/>
        <w:kinsoku/>
        <w:wordWrap w:val="0"/>
        <w:topLinePunct w:val="0"/>
        <w:spacing w:line="360" w:lineRule="auto"/>
        <w:ind w:firstLine="420"/>
        <w:rPr>
          <w:rFonts w:ascii="宋体" w:hAnsi="宋体"/>
          <w:color w:val="auto"/>
          <w:highlight w:val="none"/>
          <w:u w:val="single"/>
          <w:lang w:val="zh-CN"/>
        </w:rPr>
      </w:pPr>
      <w:r>
        <w:rPr>
          <w:rFonts w:hint="eastAsia" w:ascii="宋体" w:hAnsi="宋体"/>
          <w:color w:val="auto"/>
          <w:highlight w:val="none"/>
          <w:lang w:val="zh-CN"/>
        </w:rPr>
        <w:t>主体结构、关键性工作的范围：</w:t>
      </w:r>
      <w:r>
        <w:rPr>
          <w:rFonts w:hint="eastAsia" w:ascii="宋体" w:hAnsi="宋体"/>
          <w:color w:val="auto"/>
          <w:highlight w:val="none"/>
          <w:u w:val="single"/>
          <w:lang w:val="zh-CN"/>
        </w:rPr>
        <w:t>按国家有关法律规定。</w:t>
      </w:r>
    </w:p>
    <w:p w14:paraId="2B26F676">
      <w:pPr>
        <w:pageBreakBefore w:val="0"/>
        <w:kinsoku/>
        <w:wordWrap w:val="0"/>
        <w:topLinePunct w:val="0"/>
        <w:spacing w:line="360" w:lineRule="auto"/>
        <w:ind w:firstLine="420"/>
        <w:rPr>
          <w:rFonts w:ascii="宋体" w:hAnsi="宋体"/>
          <w:color w:val="auto"/>
          <w:highlight w:val="none"/>
          <w:lang w:val="zh-CN"/>
        </w:rPr>
      </w:pPr>
      <w:r>
        <w:rPr>
          <w:rFonts w:ascii="宋体" w:hAnsi="宋体"/>
          <w:color w:val="auto"/>
          <w:highlight w:val="none"/>
          <w:lang w:val="zh-CN"/>
        </w:rPr>
        <w:t xml:space="preserve">3.5.2 </w:t>
      </w:r>
      <w:r>
        <w:rPr>
          <w:rFonts w:hint="eastAsia" w:ascii="宋体" w:hAnsi="宋体"/>
          <w:color w:val="auto"/>
          <w:highlight w:val="none"/>
          <w:lang w:val="zh-CN"/>
        </w:rPr>
        <w:t>分包的确定</w:t>
      </w:r>
    </w:p>
    <w:p w14:paraId="20C465EF">
      <w:pPr>
        <w:pageBreakBefore w:val="0"/>
        <w:kinsoku/>
        <w:wordWrap w:val="0"/>
        <w:topLinePunct w:val="0"/>
        <w:spacing w:line="360" w:lineRule="auto"/>
        <w:ind w:firstLine="420"/>
        <w:rPr>
          <w:rFonts w:ascii="宋体" w:hAnsi="宋体"/>
          <w:color w:val="auto"/>
          <w:highlight w:val="none"/>
          <w:u w:val="single"/>
          <w:lang w:val="zh-CN"/>
        </w:rPr>
      </w:pPr>
      <w:r>
        <w:rPr>
          <w:rFonts w:hint="eastAsia" w:ascii="宋体" w:hAnsi="宋体"/>
          <w:color w:val="auto"/>
          <w:highlight w:val="none"/>
          <w:lang w:val="zh-CN"/>
        </w:rPr>
        <w:t>允许分包的专业工程包括：</w:t>
      </w:r>
      <w:r>
        <w:rPr>
          <w:rFonts w:hint="eastAsia" w:ascii="宋体" w:hAnsi="宋体"/>
          <w:color w:val="auto"/>
          <w:highlight w:val="none"/>
          <w:u w:val="single"/>
          <w:lang w:val="zh-CN"/>
        </w:rPr>
        <w:t xml:space="preserve">      /       </w:t>
      </w:r>
      <w:r>
        <w:rPr>
          <w:rFonts w:hint="eastAsia" w:ascii="宋体" w:hAnsi="宋体"/>
          <w:color w:val="auto"/>
          <w:highlight w:val="none"/>
          <w:lang w:val="zh-CN"/>
        </w:rPr>
        <w:t>。</w:t>
      </w:r>
    </w:p>
    <w:p w14:paraId="7A9EFECE">
      <w:pPr>
        <w:keepNext/>
        <w:keepLines/>
        <w:pageBreakBefore w:val="0"/>
        <w:kinsoku/>
        <w:wordWrap w:val="0"/>
        <w:topLinePunct w:val="0"/>
        <w:spacing w:line="360" w:lineRule="auto"/>
        <w:outlineLvl w:val="2"/>
        <w:rPr>
          <w:rFonts w:ascii="宋体" w:hAnsi="宋体"/>
          <w:b/>
          <w:bCs/>
          <w:color w:val="auto"/>
          <w:highlight w:val="none"/>
          <w:lang w:val="zh-CN"/>
        </w:rPr>
      </w:pPr>
      <w:r>
        <w:rPr>
          <w:rFonts w:ascii="宋体" w:hAnsi="宋体"/>
          <w:b/>
          <w:bCs/>
          <w:color w:val="auto"/>
          <w:highlight w:val="none"/>
          <w:lang w:val="zh-CN"/>
        </w:rPr>
        <w:t xml:space="preserve">3.6 </w:t>
      </w:r>
      <w:r>
        <w:rPr>
          <w:rFonts w:hint="eastAsia" w:ascii="宋体" w:hAnsi="宋体"/>
          <w:b/>
          <w:bCs/>
          <w:color w:val="auto"/>
          <w:highlight w:val="none"/>
          <w:lang w:val="zh-CN"/>
        </w:rPr>
        <w:t>工程照管与成品、半成品保护</w:t>
      </w:r>
    </w:p>
    <w:p w14:paraId="1D1E56D4">
      <w:pPr>
        <w:pageBreakBefore w:val="0"/>
        <w:kinsoku/>
        <w:wordWrap w:val="0"/>
        <w:topLinePunct w:val="0"/>
        <w:spacing w:line="360" w:lineRule="auto"/>
        <w:ind w:firstLine="420" w:firstLineChars="200"/>
        <w:rPr>
          <w:rFonts w:asciiTheme="minorEastAsia" w:hAnsiTheme="minorEastAsia" w:eastAsiaTheme="minorEastAsia"/>
          <w:color w:val="auto"/>
          <w:kern w:val="0"/>
          <w:highlight w:val="none"/>
        </w:rPr>
      </w:pPr>
      <w:r>
        <w:rPr>
          <w:rFonts w:hint="eastAsia" w:ascii="宋体" w:hAnsi="宋体"/>
          <w:color w:val="auto"/>
          <w:kern w:val="0"/>
          <w:highlight w:val="none"/>
        </w:rPr>
        <w:t>承包人负责照管工程及工程相关的材料、工程设备的起始时间：</w:t>
      </w:r>
      <w:bookmarkStart w:id="301" w:name="_Toc18806"/>
      <w:bookmarkEnd w:id="301"/>
      <w:bookmarkStart w:id="302" w:name="_Toc407135214"/>
      <w:bookmarkEnd w:id="302"/>
      <w:bookmarkStart w:id="303" w:name="_Toc389065278"/>
      <w:bookmarkEnd w:id="303"/>
      <w:bookmarkStart w:id="304" w:name="_Toc373227712"/>
      <w:bookmarkEnd w:id="304"/>
      <w:bookmarkStart w:id="305" w:name="_Toc373478359"/>
      <w:r>
        <w:rPr>
          <w:rFonts w:hint="eastAsia" w:asciiTheme="minorEastAsia" w:hAnsiTheme="minorEastAsia" w:eastAsiaTheme="minorEastAsia"/>
          <w:color w:val="auto"/>
          <w:kern w:val="0"/>
          <w:highlight w:val="none"/>
          <w:u w:val="single"/>
        </w:rPr>
        <w:t>由发包人、监理验收承包人提供的材料和工程设备合格后开</w:t>
      </w:r>
      <w:r>
        <w:rPr>
          <w:rFonts w:hint="eastAsia" w:asciiTheme="minorEastAsia" w:hAnsiTheme="minorEastAsia" w:eastAsiaTheme="minorEastAsia"/>
          <w:color w:val="auto"/>
          <w:kern w:val="0"/>
          <w:highlight w:val="none"/>
        </w:rPr>
        <w:t>始。</w:t>
      </w:r>
    </w:p>
    <w:p w14:paraId="4F2BE313">
      <w:pPr>
        <w:pageBreakBefore w:val="0"/>
        <w:kinsoku/>
        <w:wordWrap w:val="0"/>
        <w:topLinePunct w:val="0"/>
        <w:spacing w:line="360" w:lineRule="auto"/>
        <w:ind w:firstLine="422" w:firstLineChars="200"/>
        <w:rPr>
          <w:rFonts w:ascii="宋体" w:hAnsi="宋体"/>
          <w:b/>
          <w:bCs/>
          <w:color w:val="auto"/>
          <w:highlight w:val="none"/>
          <w:lang w:val="zh-CN"/>
        </w:rPr>
      </w:pPr>
      <w:r>
        <w:rPr>
          <w:rFonts w:ascii="宋体" w:hAnsi="宋体"/>
          <w:b/>
          <w:bCs/>
          <w:color w:val="auto"/>
          <w:highlight w:val="none"/>
          <w:lang w:val="zh-CN"/>
        </w:rPr>
        <w:t xml:space="preserve">3.7 </w:t>
      </w:r>
      <w:bookmarkEnd w:id="305"/>
      <w:r>
        <w:rPr>
          <w:rFonts w:hint="eastAsia" w:ascii="宋体" w:hAnsi="宋体"/>
          <w:b/>
          <w:bCs/>
          <w:color w:val="auto"/>
          <w:highlight w:val="none"/>
          <w:lang w:val="zh-CN"/>
        </w:rPr>
        <w:t>履约保证金</w:t>
      </w:r>
    </w:p>
    <w:p w14:paraId="2013A22C">
      <w:pPr>
        <w:pageBreakBefore w:val="0"/>
        <w:kinsoku/>
        <w:wordWrap w:val="0"/>
        <w:topLinePunct w:val="0"/>
        <w:spacing w:line="360" w:lineRule="auto"/>
        <w:ind w:firstLine="420" w:firstLineChars="200"/>
        <w:jc w:val="left"/>
        <w:rPr>
          <w:rFonts w:ascii="宋体" w:hAnsi="宋体" w:cs="宋体"/>
          <w:bCs/>
          <w:color w:val="auto"/>
          <w:kern w:val="0"/>
          <w:highlight w:val="none"/>
        </w:rPr>
      </w:pPr>
      <w:bookmarkStart w:id="306" w:name="_Toc373227713"/>
      <w:bookmarkEnd w:id="306"/>
      <w:bookmarkStart w:id="307" w:name="_Toc407135215"/>
      <w:bookmarkEnd w:id="307"/>
      <w:bookmarkStart w:id="308" w:name="_Toc373478360"/>
      <w:bookmarkEnd w:id="308"/>
      <w:bookmarkStart w:id="309" w:name="_Toc351203636"/>
      <w:bookmarkEnd w:id="309"/>
      <w:bookmarkStart w:id="310" w:name="_Toc389065279"/>
      <w:r>
        <w:rPr>
          <w:rFonts w:hint="eastAsia" w:ascii="宋体" w:hAnsi="宋体"/>
          <w:color w:val="auto"/>
          <w:highlight w:val="none"/>
        </w:rPr>
        <w:t>承包人提供履约担保的形式、金额及期限的：</w:t>
      </w:r>
      <w:bookmarkEnd w:id="310"/>
      <w:bookmarkStart w:id="311" w:name="_Toc15637"/>
      <w:bookmarkEnd w:id="311"/>
      <w:r>
        <w:rPr>
          <w:rFonts w:hint="eastAsia" w:ascii="宋体" w:hAnsi="宋体" w:cs="宋体"/>
          <w:bCs/>
          <w:color w:val="auto"/>
          <w:kern w:val="0"/>
          <w:highlight w:val="none"/>
        </w:rPr>
        <w:t>项目免收履约保证金</w:t>
      </w:r>
    </w:p>
    <w:p w14:paraId="20DC588B">
      <w:pPr>
        <w:pageBreakBefore w:val="0"/>
        <w:kinsoku/>
        <w:wordWrap w:val="0"/>
        <w:topLinePunct w:val="0"/>
        <w:spacing w:line="360" w:lineRule="auto"/>
        <w:ind w:firstLine="422" w:firstLineChars="200"/>
        <w:jc w:val="left"/>
        <w:rPr>
          <w:rFonts w:ascii="宋体" w:hAnsi="宋体"/>
          <w:b/>
          <w:bCs/>
          <w:color w:val="auto"/>
          <w:highlight w:val="none"/>
          <w:lang w:val="zh-CN"/>
        </w:rPr>
      </w:pPr>
      <w:r>
        <w:rPr>
          <w:rFonts w:ascii="宋体" w:hAnsi="宋体"/>
          <w:b/>
          <w:bCs/>
          <w:color w:val="auto"/>
          <w:highlight w:val="none"/>
          <w:lang w:val="zh-CN"/>
        </w:rPr>
        <w:t>4</w:t>
      </w:r>
      <w:bookmarkStart w:id="312" w:name="_Toc292559871"/>
      <w:bookmarkEnd w:id="312"/>
      <w:bookmarkStart w:id="313" w:name="_Toc267251413"/>
      <w:bookmarkEnd w:id="313"/>
      <w:bookmarkStart w:id="314" w:name="_Toc296944501"/>
      <w:bookmarkEnd w:id="314"/>
      <w:bookmarkStart w:id="315" w:name="_Toc297120462"/>
      <w:bookmarkEnd w:id="315"/>
      <w:bookmarkStart w:id="316" w:name="_Toc296347161"/>
      <w:bookmarkEnd w:id="316"/>
      <w:bookmarkStart w:id="317" w:name="_Toc292559366"/>
      <w:bookmarkEnd w:id="317"/>
      <w:bookmarkStart w:id="318" w:name="_Toc296890990"/>
      <w:bookmarkEnd w:id="318"/>
      <w:bookmarkStart w:id="319" w:name="_Toc296346663"/>
      <w:bookmarkEnd w:id="319"/>
      <w:bookmarkStart w:id="320" w:name="_Toc296891202"/>
      <w:bookmarkEnd w:id="320"/>
      <w:bookmarkStart w:id="321" w:name="_Toc296503162"/>
      <w:bookmarkEnd w:id="321"/>
      <w:bookmarkStart w:id="322" w:name="_Toc297048348"/>
      <w:r>
        <w:rPr>
          <w:rFonts w:ascii="宋体" w:hAnsi="宋体"/>
          <w:b/>
          <w:bCs/>
          <w:color w:val="auto"/>
          <w:highlight w:val="none"/>
          <w:lang w:val="zh-CN"/>
        </w:rPr>
        <w:t xml:space="preserve">. </w:t>
      </w:r>
      <w:bookmarkEnd w:id="322"/>
      <w:r>
        <w:rPr>
          <w:rFonts w:hint="eastAsia" w:ascii="宋体" w:hAnsi="宋体"/>
          <w:b/>
          <w:bCs/>
          <w:color w:val="auto"/>
          <w:highlight w:val="none"/>
          <w:lang w:val="zh-CN"/>
        </w:rPr>
        <w:t>监理人</w:t>
      </w:r>
    </w:p>
    <w:p w14:paraId="471C6F47">
      <w:pPr>
        <w:keepNext/>
        <w:keepLines/>
        <w:pageBreakBefore w:val="0"/>
        <w:kinsoku/>
        <w:wordWrap w:val="0"/>
        <w:topLinePunct w:val="0"/>
        <w:spacing w:line="360" w:lineRule="auto"/>
        <w:outlineLvl w:val="2"/>
        <w:rPr>
          <w:rFonts w:ascii="宋体" w:hAnsi="宋体"/>
          <w:b/>
          <w:bCs/>
          <w:color w:val="auto"/>
          <w:highlight w:val="none"/>
          <w:lang w:val="zh-CN"/>
        </w:rPr>
      </w:pPr>
      <w:bookmarkStart w:id="323" w:name="_Toc373227714"/>
      <w:bookmarkEnd w:id="323"/>
      <w:bookmarkStart w:id="324" w:name="_Toc21430"/>
      <w:bookmarkEnd w:id="324"/>
      <w:bookmarkStart w:id="325" w:name="_Toc407135216"/>
      <w:bookmarkEnd w:id="325"/>
      <w:bookmarkStart w:id="326" w:name="_Toc389065280"/>
      <w:bookmarkEnd w:id="326"/>
      <w:bookmarkStart w:id="327" w:name="_Toc373478361"/>
      <w:r>
        <w:rPr>
          <w:rFonts w:ascii="宋体" w:hAnsi="宋体"/>
          <w:b/>
          <w:bCs/>
          <w:color w:val="auto"/>
          <w:highlight w:val="none"/>
          <w:lang w:val="zh-CN"/>
        </w:rPr>
        <w:t xml:space="preserve">4.1 </w:t>
      </w:r>
      <w:bookmarkEnd w:id="327"/>
      <w:r>
        <w:rPr>
          <w:rFonts w:hint="eastAsia" w:ascii="宋体" w:hAnsi="宋体"/>
          <w:b/>
          <w:bCs/>
          <w:color w:val="auto"/>
          <w:highlight w:val="none"/>
          <w:lang w:val="zh-CN"/>
        </w:rPr>
        <w:t>监理人的一般规定</w:t>
      </w:r>
    </w:p>
    <w:p w14:paraId="4069B594">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关于监理人的监理内容：</w:t>
      </w:r>
      <w:r>
        <w:rPr>
          <w:rFonts w:hint="eastAsia" w:ascii="宋体" w:hAnsi="宋体"/>
          <w:color w:val="auto"/>
          <w:highlight w:val="none"/>
          <w:u w:val="single"/>
        </w:rPr>
        <w:t xml:space="preserve">根据发包人与监理人签订的《监理合同》、《监理工作规范》及工程实际需要确定  </w:t>
      </w:r>
      <w:r>
        <w:rPr>
          <w:rFonts w:hint="eastAsia" w:ascii="宋体" w:hAnsi="宋体"/>
          <w:color w:val="auto"/>
          <w:highlight w:val="none"/>
        </w:rPr>
        <w:t>。</w:t>
      </w:r>
    </w:p>
    <w:p w14:paraId="0907F47A">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rPr>
        <w:t>关于监理人的监理权限：</w:t>
      </w:r>
      <w:r>
        <w:rPr>
          <w:rFonts w:hint="eastAsia" w:ascii="宋体" w:hAnsi="宋体"/>
          <w:color w:val="auto"/>
          <w:highlight w:val="none"/>
          <w:u w:val="single"/>
        </w:rPr>
        <w:t>1.对施工过程的质量、进度控制，施工中各种组织协调工作及全程监理，如涉及合同价款、费用、工期、有关技术规范的重大变更等指令或签证的，须征得发包人的书面批准；2.在发出施工进度计划和施工方案说明以及有关能引起工程费用实际增加（减少）或延长工期的指令前，应得到发包人的书面批准，否则不对发包人产生约束力；3.监理工程师在向承包人发出有关技术规范的重大变更或有关变更合同条款的任何指令前均应获得发包人书面批准；4.工程实际竣工日期提前或超过工程承包合同规定的竣工期限的签证之前应得到发包人的书面批准；5.签证单监理只有证明权，无确认权；6.工程内容和材料变更确认应得到发包人的书面批准；7.工程暂停令和复工令签发、参与工程变更的审核签认、审核工程进度款支付的实际进度；8.按监理合同有关条款及国家地方建设监理有关规定的内容监督，但无权解除或减轻合同中承包人的义务；9.监理人履行须经发包人批准行使的权利时，应当向承包人出示其行使该权利已经取得发包人批准的文件或者其他合法有效的证明。</w:t>
      </w:r>
    </w:p>
    <w:p w14:paraId="3872B3EF">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rPr>
        <w:t>关于监理人在施工现场的办公场所、生活场所的提供和费用承担的约定：</w:t>
      </w:r>
      <w:r>
        <w:rPr>
          <w:rFonts w:hint="eastAsia" w:ascii="宋体" w:hAnsi="宋体"/>
          <w:color w:val="auto"/>
          <w:highlight w:val="none"/>
          <w:u w:val="single"/>
        </w:rPr>
        <w:t xml:space="preserve">         /          。</w:t>
      </w:r>
    </w:p>
    <w:p w14:paraId="7DF180E3">
      <w:pPr>
        <w:keepNext/>
        <w:keepLines/>
        <w:pageBreakBefore w:val="0"/>
        <w:kinsoku/>
        <w:wordWrap w:val="0"/>
        <w:topLinePunct w:val="0"/>
        <w:spacing w:line="360" w:lineRule="auto"/>
        <w:outlineLvl w:val="2"/>
        <w:rPr>
          <w:rFonts w:ascii="宋体" w:hAnsi="宋体"/>
          <w:b/>
          <w:bCs/>
          <w:color w:val="auto"/>
          <w:highlight w:val="none"/>
          <w:lang w:val="zh-CN"/>
        </w:rPr>
      </w:pPr>
      <w:bookmarkStart w:id="328" w:name="_Toc373478362"/>
      <w:bookmarkEnd w:id="328"/>
      <w:bookmarkStart w:id="329" w:name="_Toc407135217"/>
      <w:bookmarkEnd w:id="329"/>
      <w:bookmarkStart w:id="330" w:name="_Toc1099"/>
      <w:bookmarkEnd w:id="330"/>
      <w:bookmarkStart w:id="331" w:name="_Toc373227715"/>
      <w:bookmarkEnd w:id="331"/>
      <w:bookmarkStart w:id="332" w:name="_Toc389065281"/>
      <w:r>
        <w:rPr>
          <w:rFonts w:ascii="宋体" w:hAnsi="宋体"/>
          <w:b/>
          <w:bCs/>
          <w:color w:val="auto"/>
          <w:highlight w:val="none"/>
          <w:lang w:val="zh-CN"/>
        </w:rPr>
        <w:t xml:space="preserve">4.2 </w:t>
      </w:r>
      <w:bookmarkEnd w:id="332"/>
      <w:r>
        <w:rPr>
          <w:rFonts w:hint="eastAsia" w:ascii="宋体" w:hAnsi="宋体"/>
          <w:b/>
          <w:bCs/>
          <w:color w:val="auto"/>
          <w:highlight w:val="none"/>
          <w:lang w:val="zh-CN"/>
        </w:rPr>
        <w:t>监理人员</w:t>
      </w:r>
    </w:p>
    <w:p w14:paraId="3F8099F1">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总监理工程师：</w:t>
      </w:r>
    </w:p>
    <w:p w14:paraId="5E591671">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姓名：</w:t>
      </w:r>
      <w:r>
        <w:rPr>
          <w:rFonts w:hint="eastAsia" w:ascii="宋体" w:hAnsi="宋体" w:cs="宋体"/>
          <w:color w:val="auto"/>
          <w:highlight w:val="none"/>
          <w:u w:val="single"/>
        </w:rPr>
        <w:t></w:t>
      </w:r>
      <w:r>
        <w:rPr>
          <w:rFonts w:hint="eastAsia" w:ascii="宋体" w:hAnsi="宋体"/>
          <w:color w:val="auto"/>
          <w:highlight w:val="none"/>
          <w:u w:val="single"/>
        </w:rPr>
        <w:t xml:space="preserve">（在签订合同时明确）        </w:t>
      </w:r>
      <w:r>
        <w:rPr>
          <w:rFonts w:hint="eastAsia" w:ascii="宋体" w:hAnsi="宋体"/>
          <w:color w:val="auto"/>
          <w:highlight w:val="none"/>
        </w:rPr>
        <w:t>；</w:t>
      </w:r>
    </w:p>
    <w:p w14:paraId="18691830">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职务：</w:t>
      </w:r>
      <w:r>
        <w:rPr>
          <w:rFonts w:hint="eastAsia" w:ascii="宋体" w:hAnsi="宋体"/>
          <w:color w:val="auto"/>
          <w:highlight w:val="none"/>
          <w:u w:val="single"/>
        </w:rPr>
        <w:t xml:space="preserve">   （在签订合同时明确）        </w:t>
      </w:r>
      <w:r>
        <w:rPr>
          <w:rFonts w:hint="eastAsia" w:ascii="宋体" w:hAnsi="宋体"/>
          <w:color w:val="auto"/>
          <w:highlight w:val="none"/>
        </w:rPr>
        <w:t>；</w:t>
      </w:r>
    </w:p>
    <w:p w14:paraId="14EF1DEE">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监理工程师注册证书号：</w:t>
      </w:r>
      <w:r>
        <w:rPr>
          <w:rFonts w:hint="eastAsia" w:ascii="宋体" w:hAnsi="宋体"/>
          <w:color w:val="auto"/>
          <w:highlight w:val="none"/>
          <w:u w:val="single"/>
        </w:rPr>
        <w:t xml:space="preserve">   （在签订合同时明确）        </w:t>
      </w:r>
      <w:r>
        <w:rPr>
          <w:rFonts w:hint="eastAsia" w:ascii="宋体" w:hAnsi="宋体"/>
          <w:color w:val="auto"/>
          <w:highlight w:val="none"/>
        </w:rPr>
        <w:t>；</w:t>
      </w:r>
    </w:p>
    <w:p w14:paraId="2AF4563C">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xml:space="preserve">        </w:t>
      </w:r>
      <w:r>
        <w:rPr>
          <w:rFonts w:hint="eastAsia" w:ascii="宋体" w:hAnsi="宋体"/>
          <w:color w:val="auto"/>
          <w:highlight w:val="none"/>
        </w:rPr>
        <w:t>；</w:t>
      </w:r>
    </w:p>
    <w:p w14:paraId="0960F48B">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电子信箱：</w:t>
      </w:r>
      <w:r>
        <w:rPr>
          <w:rFonts w:hint="eastAsia" w:ascii="宋体" w:hAnsi="宋体"/>
          <w:color w:val="auto"/>
          <w:highlight w:val="none"/>
          <w:u w:val="single"/>
        </w:rPr>
        <w:t xml:space="preserve">        </w:t>
      </w:r>
      <w:r>
        <w:rPr>
          <w:rFonts w:hint="eastAsia" w:ascii="宋体" w:hAnsi="宋体"/>
          <w:color w:val="auto"/>
          <w:highlight w:val="none"/>
        </w:rPr>
        <w:t>；</w:t>
      </w:r>
    </w:p>
    <w:p w14:paraId="5C819854">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通信地址：</w:t>
      </w:r>
      <w:r>
        <w:rPr>
          <w:rFonts w:hint="eastAsia" w:ascii="宋体" w:hAnsi="宋体"/>
          <w:color w:val="auto"/>
          <w:highlight w:val="none"/>
          <w:u w:val="single"/>
        </w:rPr>
        <w:t xml:space="preserve">        </w:t>
      </w:r>
      <w:r>
        <w:rPr>
          <w:rFonts w:hint="eastAsia" w:ascii="宋体" w:hAnsi="宋体"/>
          <w:color w:val="auto"/>
          <w:highlight w:val="none"/>
        </w:rPr>
        <w:t>；</w:t>
      </w:r>
    </w:p>
    <w:p w14:paraId="7E436EF2">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关于监理人的其他约定：</w:t>
      </w:r>
      <w:r>
        <w:rPr>
          <w:rFonts w:hint="eastAsia" w:ascii="宋体" w:hAnsi="宋体" w:cs="宋体"/>
          <w:color w:val="auto"/>
          <w:highlight w:val="none"/>
          <w:u w:val="single"/>
        </w:rPr>
        <w:t xml:space="preserve">                  /                        </w:t>
      </w:r>
    </w:p>
    <w:p w14:paraId="4F29FE5B">
      <w:pPr>
        <w:keepNext/>
        <w:keepLines/>
        <w:pageBreakBefore w:val="0"/>
        <w:kinsoku/>
        <w:wordWrap w:val="0"/>
        <w:topLinePunct w:val="0"/>
        <w:spacing w:line="360" w:lineRule="auto"/>
        <w:outlineLvl w:val="2"/>
        <w:rPr>
          <w:rFonts w:ascii="宋体" w:hAnsi="宋体"/>
          <w:b/>
          <w:bCs/>
          <w:color w:val="auto"/>
          <w:highlight w:val="none"/>
          <w:lang w:val="zh-CN"/>
        </w:rPr>
      </w:pPr>
      <w:bookmarkStart w:id="333" w:name="_Toc389065282"/>
      <w:bookmarkEnd w:id="333"/>
      <w:bookmarkStart w:id="334" w:name="_Toc407135218"/>
      <w:bookmarkEnd w:id="334"/>
      <w:bookmarkStart w:id="335" w:name="_Toc31316"/>
      <w:bookmarkEnd w:id="335"/>
      <w:bookmarkStart w:id="336" w:name="_Toc373478363"/>
      <w:bookmarkEnd w:id="336"/>
      <w:bookmarkStart w:id="337" w:name="_Toc373227716"/>
      <w:r>
        <w:rPr>
          <w:rFonts w:ascii="宋体" w:hAnsi="宋体"/>
          <w:b/>
          <w:bCs/>
          <w:color w:val="auto"/>
          <w:highlight w:val="none"/>
          <w:lang w:val="zh-CN"/>
        </w:rPr>
        <w:t xml:space="preserve">4.4 </w:t>
      </w:r>
      <w:bookmarkEnd w:id="337"/>
      <w:r>
        <w:rPr>
          <w:rFonts w:hint="eastAsia" w:ascii="宋体" w:hAnsi="宋体"/>
          <w:b/>
          <w:bCs/>
          <w:color w:val="auto"/>
          <w:highlight w:val="none"/>
          <w:lang w:val="zh-CN"/>
        </w:rPr>
        <w:t>商定或确定</w:t>
      </w:r>
    </w:p>
    <w:p w14:paraId="5AB09D0B">
      <w:pPr>
        <w:pageBreakBefore w:val="0"/>
        <w:kinsoku/>
        <w:wordWrap w:val="0"/>
        <w:topLinePunct w:val="0"/>
        <w:spacing w:line="360" w:lineRule="auto"/>
        <w:ind w:firstLine="420" w:firstLineChars="200"/>
        <w:rPr>
          <w:rFonts w:ascii="宋体" w:hAnsi="宋体"/>
          <w:color w:val="auto"/>
          <w:highlight w:val="none"/>
        </w:rPr>
      </w:pPr>
      <w:bookmarkStart w:id="338" w:name="_Toc267251418"/>
      <w:bookmarkEnd w:id="338"/>
      <w:r>
        <w:rPr>
          <w:rFonts w:hint="eastAsia" w:ascii="宋体" w:hAnsi="宋体"/>
          <w:color w:val="auto"/>
          <w:highlight w:val="none"/>
        </w:rPr>
        <w:t>在发包人和承包人不能通过协商达成一致意见时，发包人授权监理人对以下事项进行确定：</w:t>
      </w:r>
    </w:p>
    <w:p w14:paraId="5A2D3134">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w:t>
      </w:r>
      <w:r>
        <w:rPr>
          <w:rFonts w:hint="eastAsia" w:asciiTheme="minorEastAsia" w:hAnsiTheme="minorEastAsia" w:eastAsiaTheme="minorEastAsia"/>
          <w:color w:val="auto"/>
          <w:highlight w:val="none"/>
          <w:u w:val="single"/>
        </w:rPr>
        <w:t>按照合同约定执行</w:t>
      </w:r>
      <w:r>
        <w:rPr>
          <w:rFonts w:hint="eastAsia" w:ascii="宋体" w:hAnsi="宋体"/>
          <w:color w:val="auto"/>
          <w:highlight w:val="none"/>
        </w:rPr>
        <w:t>；</w:t>
      </w:r>
    </w:p>
    <w:p w14:paraId="186152C3">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w:t>
      </w:r>
      <w:r>
        <w:rPr>
          <w:rFonts w:hint="eastAsia" w:ascii="宋体" w:hAnsi="宋体"/>
          <w:color w:val="auto"/>
          <w:highlight w:val="none"/>
          <w:u w:val="single"/>
        </w:rPr>
        <w:t>依据法律、法规和地方性文件的规定</w:t>
      </w:r>
      <w:r>
        <w:rPr>
          <w:rFonts w:hint="eastAsia" w:asciiTheme="minorEastAsia" w:hAnsiTheme="minorEastAsia" w:eastAsiaTheme="minorEastAsia"/>
          <w:color w:val="auto"/>
          <w:highlight w:val="none"/>
          <w:u w:val="single"/>
        </w:rPr>
        <w:t>执行</w:t>
      </w:r>
      <w:r>
        <w:rPr>
          <w:rFonts w:hint="eastAsia" w:ascii="宋体" w:hAnsi="宋体"/>
          <w:color w:val="auto"/>
          <w:highlight w:val="none"/>
        </w:rPr>
        <w:t>；</w:t>
      </w:r>
    </w:p>
    <w:p w14:paraId="58FDA46C">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w:t>
      </w:r>
      <w:r>
        <w:rPr>
          <w:rFonts w:hint="eastAsia" w:ascii="宋体" w:hAnsi="宋体"/>
          <w:color w:val="auto"/>
          <w:highlight w:val="none"/>
          <w:u w:val="single"/>
        </w:rPr>
        <w:t>/</w:t>
      </w:r>
      <w:r>
        <w:rPr>
          <w:rFonts w:hint="eastAsia" w:ascii="宋体" w:hAnsi="宋体"/>
          <w:color w:val="auto"/>
          <w:highlight w:val="none"/>
        </w:rPr>
        <w:t>。</w:t>
      </w:r>
    </w:p>
    <w:p w14:paraId="30A7AA7E">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339" w:name="_Toc351203637"/>
      <w:bookmarkEnd w:id="339"/>
      <w:bookmarkStart w:id="340" w:name="_Toc389065283"/>
      <w:bookmarkEnd w:id="340"/>
      <w:bookmarkStart w:id="341" w:name="_Toc407135219"/>
      <w:bookmarkEnd w:id="341"/>
      <w:bookmarkStart w:id="342" w:name="_Toc373227717"/>
      <w:bookmarkEnd w:id="342"/>
      <w:bookmarkStart w:id="343" w:name="_Toc373478364"/>
      <w:bookmarkEnd w:id="343"/>
      <w:bookmarkStart w:id="344" w:name="_Toc4428"/>
      <w:r>
        <w:rPr>
          <w:rFonts w:ascii="宋体" w:hAnsi="宋体"/>
          <w:b/>
          <w:bCs/>
          <w:color w:val="auto"/>
          <w:highlight w:val="none"/>
          <w:lang w:val="zh-CN"/>
        </w:rPr>
        <w:t>5</w:t>
      </w:r>
      <w:bookmarkEnd w:id="344"/>
      <w:bookmarkStart w:id="345" w:name="_Toc296346664"/>
      <w:bookmarkEnd w:id="345"/>
      <w:bookmarkStart w:id="346" w:name="_Toc297048349"/>
      <w:bookmarkEnd w:id="346"/>
      <w:bookmarkStart w:id="347" w:name="_Toc296891203"/>
      <w:bookmarkEnd w:id="347"/>
      <w:bookmarkStart w:id="348" w:name="_Toc297120463"/>
      <w:bookmarkEnd w:id="348"/>
      <w:bookmarkStart w:id="349" w:name="_Toc296890991"/>
      <w:bookmarkEnd w:id="349"/>
      <w:bookmarkStart w:id="350" w:name="_Toc292559367"/>
      <w:bookmarkEnd w:id="350"/>
      <w:bookmarkStart w:id="351" w:name="_Toc296347162"/>
      <w:bookmarkEnd w:id="351"/>
      <w:bookmarkStart w:id="352" w:name="_Toc296503163"/>
      <w:bookmarkEnd w:id="352"/>
      <w:bookmarkStart w:id="353" w:name="_Toc296944502"/>
      <w:bookmarkEnd w:id="353"/>
      <w:bookmarkStart w:id="354" w:name="_Toc292559872"/>
      <w:r>
        <w:rPr>
          <w:rFonts w:ascii="宋体" w:hAnsi="宋体"/>
          <w:b/>
          <w:bCs/>
          <w:color w:val="auto"/>
          <w:highlight w:val="none"/>
          <w:lang w:val="zh-CN"/>
        </w:rPr>
        <w:t xml:space="preserve">. </w:t>
      </w:r>
      <w:bookmarkEnd w:id="354"/>
      <w:r>
        <w:rPr>
          <w:rFonts w:hint="eastAsia" w:ascii="宋体" w:hAnsi="宋体"/>
          <w:b/>
          <w:bCs/>
          <w:color w:val="auto"/>
          <w:highlight w:val="none"/>
          <w:lang w:val="zh-CN"/>
        </w:rPr>
        <w:t>工程质量</w:t>
      </w:r>
    </w:p>
    <w:p w14:paraId="59A395C4">
      <w:pPr>
        <w:keepNext/>
        <w:keepLines/>
        <w:pageBreakBefore w:val="0"/>
        <w:kinsoku/>
        <w:wordWrap w:val="0"/>
        <w:topLinePunct w:val="0"/>
        <w:spacing w:line="360" w:lineRule="auto"/>
        <w:outlineLvl w:val="2"/>
        <w:rPr>
          <w:rFonts w:ascii="宋体" w:hAnsi="宋体"/>
          <w:b/>
          <w:bCs/>
          <w:color w:val="auto"/>
          <w:highlight w:val="none"/>
          <w:lang w:val="zh-CN"/>
        </w:rPr>
      </w:pPr>
      <w:bookmarkStart w:id="355" w:name="_Toc373227718"/>
      <w:bookmarkEnd w:id="355"/>
      <w:bookmarkStart w:id="356" w:name="_Toc373478365"/>
      <w:bookmarkEnd w:id="356"/>
      <w:bookmarkStart w:id="357" w:name="_Toc407135220"/>
      <w:bookmarkEnd w:id="357"/>
      <w:bookmarkStart w:id="358" w:name="_Toc389065284"/>
      <w:bookmarkEnd w:id="358"/>
      <w:bookmarkStart w:id="359" w:name="_Toc28634"/>
      <w:r>
        <w:rPr>
          <w:rFonts w:ascii="宋体" w:hAnsi="宋体"/>
          <w:b/>
          <w:bCs/>
          <w:color w:val="auto"/>
          <w:highlight w:val="none"/>
          <w:lang w:val="zh-CN"/>
        </w:rPr>
        <w:t xml:space="preserve">5.1 </w:t>
      </w:r>
      <w:bookmarkEnd w:id="359"/>
      <w:r>
        <w:rPr>
          <w:rFonts w:hint="eastAsia" w:ascii="宋体" w:hAnsi="宋体"/>
          <w:b/>
          <w:bCs/>
          <w:color w:val="auto"/>
          <w:highlight w:val="none"/>
          <w:lang w:val="zh-CN"/>
        </w:rPr>
        <w:t>质量要求</w:t>
      </w:r>
    </w:p>
    <w:p w14:paraId="15FF2DC9">
      <w:pPr>
        <w:pageBreakBefore w:val="0"/>
        <w:kinsoku/>
        <w:wordWrap w:val="0"/>
        <w:topLinePunct w:val="0"/>
        <w:spacing w:line="360" w:lineRule="auto"/>
        <w:ind w:firstLine="420" w:firstLineChars="200"/>
        <w:jc w:val="left"/>
        <w:rPr>
          <w:rFonts w:ascii="宋体" w:hAnsi="宋体"/>
          <w:color w:val="auto"/>
          <w:highlight w:val="none"/>
          <w:u w:val="single"/>
        </w:rPr>
      </w:pPr>
      <w:bookmarkStart w:id="360" w:name="_Toc407135221"/>
      <w:bookmarkEnd w:id="360"/>
      <w:bookmarkStart w:id="361" w:name="_Toc303539106"/>
      <w:bookmarkEnd w:id="361"/>
      <w:bookmarkStart w:id="362" w:name="_Toc297123496"/>
      <w:bookmarkEnd w:id="362"/>
      <w:bookmarkStart w:id="363" w:name="_Toc389065285"/>
      <w:bookmarkEnd w:id="363"/>
      <w:bookmarkStart w:id="364" w:name="_Toc300934949"/>
      <w:bookmarkEnd w:id="364"/>
      <w:bookmarkStart w:id="365" w:name="_Toc297216155"/>
      <w:bookmarkEnd w:id="365"/>
      <w:bookmarkStart w:id="366" w:name="_Toc351203638"/>
      <w:bookmarkEnd w:id="366"/>
      <w:bookmarkStart w:id="367" w:name="_Toc373478366"/>
      <w:bookmarkEnd w:id="367"/>
      <w:bookmarkStart w:id="368" w:name="_Toc318581164"/>
      <w:bookmarkEnd w:id="368"/>
      <w:bookmarkStart w:id="369" w:name="_Toc304295527"/>
      <w:bookmarkEnd w:id="369"/>
      <w:bookmarkStart w:id="370" w:name="_Toc373227719"/>
      <w:bookmarkEnd w:id="370"/>
      <w:bookmarkStart w:id="371" w:name="_Toc312677997"/>
      <w:r>
        <w:rPr>
          <w:rFonts w:ascii="宋体" w:hAnsi="宋体"/>
          <w:color w:val="auto"/>
          <w:highlight w:val="none"/>
        </w:rPr>
        <w:t xml:space="preserve">5.1.1 </w:t>
      </w:r>
      <w:bookmarkEnd w:id="371"/>
      <w:r>
        <w:rPr>
          <w:rFonts w:hint="eastAsia" w:ascii="宋体" w:hAnsi="宋体"/>
          <w:color w:val="auto"/>
          <w:highlight w:val="none"/>
        </w:rPr>
        <w:t>特殊质量标准和要求：</w:t>
      </w:r>
      <w:r>
        <w:rPr>
          <w:rFonts w:hint="eastAsia" w:ascii="宋体" w:hAnsi="宋体"/>
          <w:color w:val="auto"/>
          <w:highlight w:val="none"/>
          <w:u w:val="single"/>
        </w:rPr>
        <w:t>工程质量符合国家或地方的质量检验评定合格标准。承包人应按现行的</w:t>
      </w:r>
      <w:r>
        <w:rPr>
          <w:rFonts w:hint="eastAsia"/>
          <w:color w:val="auto"/>
          <w:highlight w:val="none"/>
          <w:u w:val="single"/>
        </w:rPr>
        <w:t>《工程施工质量验收规范》</w:t>
      </w:r>
      <w:r>
        <w:rPr>
          <w:rFonts w:hint="eastAsia" w:ascii="宋体" w:hAnsi="宋体"/>
          <w:color w:val="auto"/>
          <w:highlight w:val="none"/>
          <w:u w:val="single"/>
        </w:rPr>
        <w:t>和《建筑装饰装修工程质量验收规范》的质量标准施工。严格执行广西壮族自治区住房和城乡建设厅《关于严格实行房屋建筑和市政基础设施工程质量终身责任承诺、永久性质量责任标牌、终身责任信息档案等制度的通知》(桂建管[2014]96号)的要求，落实建设工程质量终身责任。严格执行《民用建筑工程室内环境污染控制范围》、《建筑内部装修设计防火规范》的标准，所有建筑装饰装修材料必须符合国家质量监督检验检疫总局发布的</w:t>
      </w:r>
      <w:r>
        <w:rPr>
          <w:rStyle w:val="54"/>
          <w:rFonts w:ascii="宋体" w:hAnsi="宋体" w:cs="Arial"/>
          <w:i w:val="0"/>
          <w:color w:val="auto"/>
          <w:highlight w:val="none"/>
          <w:u w:val="single"/>
        </w:rPr>
        <w:t>《室内装饰装修材料有害物质限量</w:t>
      </w:r>
      <w:r>
        <w:rPr>
          <w:rFonts w:ascii="宋体" w:hAnsi="宋体" w:cs="Arial"/>
          <w:color w:val="auto"/>
          <w:highlight w:val="none"/>
          <w:u w:val="single"/>
        </w:rPr>
        <w:t xml:space="preserve"> 10项强制性国家标准</w:t>
      </w:r>
      <w:r>
        <w:rPr>
          <w:rFonts w:hint="eastAsia" w:ascii="宋体" w:hAnsi="宋体" w:cs="Arial"/>
          <w:color w:val="auto"/>
          <w:highlight w:val="none"/>
          <w:u w:val="single"/>
        </w:rPr>
        <w:t>》。</w:t>
      </w:r>
    </w:p>
    <w:p w14:paraId="61FC80D9">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关于工程奖项的约定：</w:t>
      </w:r>
      <w:r>
        <w:rPr>
          <w:rFonts w:hint="eastAsia" w:ascii="宋体" w:hAnsi="宋体"/>
          <w:color w:val="auto"/>
          <w:highlight w:val="none"/>
          <w:u w:val="single"/>
        </w:rPr>
        <w:t xml:space="preserve">     /     </w:t>
      </w:r>
      <w:r>
        <w:rPr>
          <w:rFonts w:hint="eastAsia" w:ascii="宋体" w:hAnsi="宋体"/>
          <w:color w:val="auto"/>
          <w:highlight w:val="none"/>
        </w:rPr>
        <w:t>。</w:t>
      </w:r>
    </w:p>
    <w:p w14:paraId="65194F05">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5.3 </w:t>
      </w:r>
      <w:r>
        <w:rPr>
          <w:rFonts w:hint="eastAsia" w:ascii="宋体" w:hAnsi="宋体"/>
          <w:color w:val="auto"/>
          <w:highlight w:val="none"/>
        </w:rPr>
        <w:t>隐蔽工程检查</w:t>
      </w:r>
    </w:p>
    <w:p w14:paraId="7493FC87">
      <w:pPr>
        <w:pageBreakBefore w:val="0"/>
        <w:kinsoku/>
        <w:wordWrap w:val="0"/>
        <w:topLinePunct w:val="0"/>
        <w:spacing w:line="360" w:lineRule="auto"/>
        <w:ind w:firstLine="420" w:firstLineChars="200"/>
        <w:jc w:val="left"/>
        <w:rPr>
          <w:rFonts w:asciiTheme="minorEastAsia" w:hAnsiTheme="minorEastAsia" w:eastAsiaTheme="minorEastAsia"/>
          <w:color w:val="auto"/>
          <w:highlight w:val="none"/>
          <w:u w:val="single"/>
        </w:rPr>
      </w:pPr>
      <w:r>
        <w:rPr>
          <w:rFonts w:ascii="宋体" w:hAnsi="宋体"/>
          <w:color w:val="auto"/>
          <w:highlight w:val="none"/>
        </w:rPr>
        <w:t>5.3.2</w:t>
      </w:r>
      <w:r>
        <w:rPr>
          <w:rFonts w:hint="eastAsia" w:asciiTheme="minorEastAsia" w:hAnsiTheme="minorEastAsia" w:eastAsiaTheme="minorEastAsia"/>
          <w:color w:val="auto"/>
          <w:highlight w:val="none"/>
        </w:rPr>
        <w:t>承包人提前通知监理人隐蔽工程检查的期限的约定</w:t>
      </w:r>
      <w:r>
        <w:rPr>
          <w:rFonts w:hint="eastAsia" w:ascii="仿宋" w:hAnsi="仿宋" w:eastAsia="仿宋"/>
          <w:color w:val="auto"/>
          <w:sz w:val="30"/>
          <w:szCs w:val="30"/>
          <w:highlight w:val="none"/>
        </w:rPr>
        <w:t>：</w:t>
      </w:r>
      <w:r>
        <w:rPr>
          <w:rFonts w:hint="eastAsia" w:asciiTheme="minorEastAsia" w:hAnsiTheme="minorEastAsia" w:eastAsiaTheme="minorEastAsia"/>
          <w:color w:val="auto"/>
          <w:highlight w:val="none"/>
          <w:u w:val="single"/>
        </w:rPr>
        <w:t>工程隐蔽或中间验收前12小时书面形式通知发包人和监理工程师验收的内容、时间、地点,承包人准备验收记录单(印制的表格)由双方签证。验收合格,承包人方可进行隐蔽工程的施工,验收不合格,双方商订时限内修改后按上述循序重新验收。</w:t>
      </w:r>
    </w:p>
    <w:p w14:paraId="67936D5C">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监理人不能按时进行检查时，应提前</w:t>
      </w:r>
      <w:r>
        <w:rPr>
          <w:rFonts w:ascii="宋体" w:hAnsi="宋体"/>
          <w:color w:val="auto"/>
          <w:highlight w:val="none"/>
          <w:u w:val="single"/>
        </w:rPr>
        <w:t>2</w:t>
      </w:r>
      <w:r>
        <w:rPr>
          <w:rFonts w:hint="eastAsia" w:ascii="宋体" w:hAnsi="宋体"/>
          <w:color w:val="auto"/>
          <w:highlight w:val="none"/>
          <w:u w:val="single"/>
        </w:rPr>
        <w:t>4</w:t>
      </w:r>
      <w:r>
        <w:rPr>
          <w:rFonts w:hint="eastAsia" w:ascii="宋体" w:hAnsi="宋体"/>
          <w:color w:val="auto"/>
          <w:highlight w:val="none"/>
        </w:rPr>
        <w:t>小时提交书面延期要求。</w:t>
      </w:r>
    </w:p>
    <w:p w14:paraId="0EC4D03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关于延期最长不得超过：</w:t>
      </w:r>
      <w:r>
        <w:rPr>
          <w:rFonts w:hint="eastAsia" w:ascii="宋体" w:hAnsi="宋体"/>
          <w:color w:val="auto"/>
          <w:highlight w:val="none"/>
          <w:u w:val="single"/>
        </w:rPr>
        <w:t>48</w:t>
      </w:r>
      <w:r>
        <w:rPr>
          <w:rFonts w:hint="eastAsia" w:ascii="宋体" w:hAnsi="宋体"/>
          <w:color w:val="auto"/>
          <w:highlight w:val="none"/>
        </w:rPr>
        <w:t>小时。</w:t>
      </w:r>
    </w:p>
    <w:p w14:paraId="040DA73C">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372" w:name="_Toc32195"/>
      <w:bookmarkEnd w:id="372"/>
      <w:r>
        <w:rPr>
          <w:rFonts w:ascii="宋体" w:hAnsi="宋体"/>
          <w:bCs/>
          <w:color w:val="auto"/>
          <w:highlight w:val="none"/>
          <w:lang w:val="zh-CN"/>
        </w:rPr>
        <w:t xml:space="preserve">6. </w:t>
      </w:r>
      <w:r>
        <w:rPr>
          <w:rFonts w:hint="eastAsia" w:ascii="宋体" w:hAnsi="宋体"/>
          <w:b/>
          <w:bCs/>
          <w:color w:val="auto"/>
          <w:highlight w:val="none"/>
          <w:lang w:val="zh-CN"/>
        </w:rPr>
        <w:t>安全文明施工与环境保护</w:t>
      </w:r>
    </w:p>
    <w:p w14:paraId="0246A823">
      <w:pPr>
        <w:keepNext/>
        <w:keepLines/>
        <w:pageBreakBefore w:val="0"/>
        <w:kinsoku/>
        <w:wordWrap w:val="0"/>
        <w:topLinePunct w:val="0"/>
        <w:spacing w:line="360" w:lineRule="auto"/>
        <w:outlineLvl w:val="2"/>
        <w:rPr>
          <w:rFonts w:ascii="宋体" w:hAnsi="宋体"/>
          <w:bCs/>
          <w:color w:val="auto"/>
          <w:highlight w:val="none"/>
          <w:lang w:val="zh-CN"/>
        </w:rPr>
      </w:pPr>
      <w:bookmarkStart w:id="373" w:name="_Toc373227720"/>
      <w:bookmarkEnd w:id="373"/>
      <w:bookmarkStart w:id="374" w:name="_Toc373478367"/>
      <w:bookmarkEnd w:id="374"/>
      <w:bookmarkStart w:id="375" w:name="_Toc389065286"/>
      <w:bookmarkEnd w:id="375"/>
      <w:bookmarkStart w:id="376" w:name="_Toc407135222"/>
      <w:bookmarkEnd w:id="376"/>
      <w:bookmarkStart w:id="377" w:name="_Toc23420"/>
      <w:r>
        <w:rPr>
          <w:rFonts w:ascii="宋体" w:hAnsi="宋体"/>
          <w:bCs/>
          <w:color w:val="auto"/>
          <w:highlight w:val="none"/>
          <w:lang w:val="zh-CN"/>
        </w:rPr>
        <w:t xml:space="preserve">6.1 </w:t>
      </w:r>
      <w:bookmarkEnd w:id="377"/>
      <w:r>
        <w:rPr>
          <w:rFonts w:hint="eastAsia" w:ascii="宋体" w:hAnsi="宋体"/>
          <w:bCs/>
          <w:color w:val="auto"/>
          <w:highlight w:val="none"/>
          <w:lang w:val="zh-CN"/>
        </w:rPr>
        <w:t>安全文明施工</w:t>
      </w:r>
    </w:p>
    <w:p w14:paraId="461B639C">
      <w:pPr>
        <w:pageBreakBefore w:val="0"/>
        <w:kinsoku/>
        <w:wordWrap w:val="0"/>
        <w:topLinePunct w:val="0"/>
        <w:spacing w:line="360" w:lineRule="auto"/>
        <w:ind w:firstLine="420"/>
        <w:jc w:val="left"/>
        <w:rPr>
          <w:rFonts w:ascii="宋体" w:hAnsi="宋体"/>
          <w:color w:val="auto"/>
          <w:highlight w:val="none"/>
        </w:rPr>
      </w:pPr>
      <w:r>
        <w:rPr>
          <w:rFonts w:ascii="宋体" w:hAnsi="宋体"/>
          <w:color w:val="auto"/>
          <w:highlight w:val="none"/>
        </w:rPr>
        <w:t xml:space="preserve">6.1.1 </w:t>
      </w:r>
      <w:r>
        <w:rPr>
          <w:rFonts w:hint="eastAsia" w:ascii="宋体" w:hAnsi="宋体"/>
          <w:color w:val="auto"/>
          <w:highlight w:val="none"/>
        </w:rPr>
        <w:t>项目安全生产的达标目标及相应事项的约定：</w:t>
      </w:r>
      <w:r>
        <w:rPr>
          <w:rFonts w:hint="eastAsia" w:ascii="宋体" w:hAnsi="宋体"/>
          <w:color w:val="auto"/>
          <w:highlight w:val="none"/>
          <w:u w:val="single"/>
        </w:rPr>
        <w:t>承包人应遵守安全生产法律、法规的规定及国家和工程所在地工程建设安全生产有关管理规定，严格按现行安全标准组织施工，并随时接受发包人、监理人和行业安全检查人员依法实施的监督检查，采取必要的安全防护措施，消除事故隐患。其安全施工防护费用已经含在合同价款内。本工程在整个施工期间杜绝一切人身伤亡和重大质量安全事故。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如经政府相关部门调查发现因承包人过失造成事故的发生，发包人有权解除合同，由此造成的一切经济损失和法律责任由承包人承担 。未尽事宜按《通用合同条款》6.1.1条执行。</w:t>
      </w:r>
    </w:p>
    <w:p w14:paraId="24FC0846">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 xml:space="preserve">关于安全文明施工奖项的约定：  </w:t>
      </w:r>
      <w:r>
        <w:rPr>
          <w:rFonts w:hint="eastAsia" w:ascii="宋体" w:hAnsi="宋体"/>
          <w:b/>
          <w:bCs/>
          <w:color w:val="auto"/>
          <w:highlight w:val="none"/>
          <w:u w:val="single"/>
        </w:rPr>
        <w:t xml:space="preserve"> /  </w:t>
      </w:r>
      <w:r>
        <w:rPr>
          <w:rFonts w:hint="eastAsia" w:ascii="宋体" w:hAnsi="宋体"/>
          <w:color w:val="auto"/>
          <w:highlight w:val="none"/>
        </w:rPr>
        <w:t>。</w:t>
      </w:r>
    </w:p>
    <w:p w14:paraId="65B23CAE">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6DB6B04F">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承包人应根据本工程的实际安全施工要求，编制施工安全技术措施，并在签订合同协议书之日起 28 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7932CA08">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本项目需要编制专项施工方案的工程包括但不限于以下内容：</w:t>
      </w:r>
    </w:p>
    <w:p w14:paraId="158541C0">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（1）不良地质条件下有潜在危险性的土方、石方开挖(假如有)；</w:t>
      </w:r>
    </w:p>
    <w:p w14:paraId="0FD708D5">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（2）滑坡和高边坡处理(假如有)；</w:t>
      </w:r>
    </w:p>
    <w:p w14:paraId="2D6411BA">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（3）桩基础、挡墙基础、深水基础及围堰工程(假如有)；</w:t>
      </w:r>
    </w:p>
    <w:p w14:paraId="51B29672">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（4）桥梁工程中的梁、拱、柱等构件施工等(假如有)；</w:t>
      </w:r>
    </w:p>
    <w:p w14:paraId="15F979D1">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（5）隧道工程中的不良地质隧道、高瓦斯隧道等(假如有)；</w:t>
      </w:r>
    </w:p>
    <w:p w14:paraId="2296F723">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（6）水上工程中的打桩船作业、施工船作业、外海孤岛作业、边通航边施工作业等（假如有)；</w:t>
      </w:r>
    </w:p>
    <w:p w14:paraId="34F5797F">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（7）水下工程中的水下焊接、混凝土浇筑、爆破工程等(如果有)；</w:t>
      </w:r>
    </w:p>
    <w:p w14:paraId="3B9F9835">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（8）爆破工程(假如有)；</w:t>
      </w:r>
    </w:p>
    <w:p w14:paraId="5A4C5C23">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（9）临时工程中的支架、模板、的架设与拆除；施工场所的加固与拆除</w:t>
      </w:r>
      <w:r>
        <w:rPr>
          <w:rFonts w:ascii="宋体" w:hAnsi="宋体"/>
          <w:color w:val="auto"/>
          <w:highlight w:val="none"/>
        </w:rPr>
        <w:t>工程</w:t>
      </w:r>
      <w:r>
        <w:rPr>
          <w:rFonts w:hint="eastAsia" w:ascii="宋体" w:hAnsi="宋体"/>
          <w:color w:val="auto"/>
          <w:highlight w:val="none"/>
        </w:rPr>
        <w:t>；</w:t>
      </w:r>
    </w:p>
    <w:p w14:paraId="04990B1A">
      <w:pPr>
        <w:pageBreakBefore w:val="0"/>
        <w:kinsoku/>
        <w:wordWrap w:val="0"/>
        <w:topLinePunct w:val="0"/>
        <w:spacing w:line="360" w:lineRule="auto"/>
        <w:ind w:firstLine="420"/>
        <w:jc w:val="left"/>
        <w:rPr>
          <w:rFonts w:ascii="宋体" w:hAnsi="宋体"/>
          <w:strike/>
          <w:color w:val="auto"/>
          <w:highlight w:val="none"/>
        </w:rPr>
      </w:pPr>
      <w:r>
        <w:rPr>
          <w:rFonts w:hint="eastAsia" w:ascii="宋体" w:hAnsi="宋体"/>
          <w:color w:val="auto"/>
          <w:highlight w:val="none"/>
        </w:rPr>
        <w:t>（10）其他危险性较大的工程。</w:t>
      </w:r>
    </w:p>
    <w:p w14:paraId="66B4D305">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承包人应充分关注和保障所有在现场工作的人员的安全，采取以下有效措施，使现场和本合同工程的实施保持有条不紊，以免使上述人员的安全受到威胁。</w:t>
      </w:r>
    </w:p>
    <w:p w14:paraId="6CF6AAD7">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（1）按规定的最低数量和资质条件配备专职安全生产管理人员；</w:t>
      </w:r>
    </w:p>
    <w:p w14:paraId="0AE777D0">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6BB15651">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（3）所有施工机具设备和高空作业设备均应定期检查，并有安全员的签字记录；</w:t>
      </w:r>
    </w:p>
    <w:p w14:paraId="3950A371">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（4）根据本合同各单位工程的施工特点，严格执行《房屋建筑和市政基础设施工程施工安全监督规定》建质[2014]153号、《建筑施工安全技术统一规范》GB50870-2013、《市政工程施工安全检查标准》CJJ/T 275-2018等有关规定。</w:t>
      </w:r>
    </w:p>
    <w:p w14:paraId="5874C94F">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为了保护本合同工程免遭损坏，或为了现场附近和过往群众的安全与方便，在确有必要的时候和地方，或当监理人或有关主管部门要求时，承包人应自费提供照明、警卫、护栅、警告标志等安全防护设施。</w:t>
      </w:r>
    </w:p>
    <w:p w14:paraId="5EA89F5D">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63B1F5C">
      <w:pPr>
        <w:pageBreakBefore w:val="0"/>
        <w:kinsoku/>
        <w:wordWrap w:val="0"/>
        <w:topLinePunct w:val="0"/>
        <w:spacing w:line="360" w:lineRule="auto"/>
        <w:ind w:firstLine="420"/>
        <w:jc w:val="left"/>
        <w:rPr>
          <w:rFonts w:ascii="宋体" w:hAnsi="宋体"/>
          <w:color w:val="auto"/>
          <w:highlight w:val="none"/>
          <w:u w:val="single"/>
        </w:rPr>
      </w:pPr>
      <w:r>
        <w:rPr>
          <w:rFonts w:ascii="宋体" w:hAnsi="宋体"/>
          <w:color w:val="auto"/>
          <w:highlight w:val="none"/>
        </w:rPr>
        <w:t xml:space="preserve">6.1.4 </w:t>
      </w:r>
      <w:r>
        <w:rPr>
          <w:rFonts w:hint="eastAsia" w:ascii="宋体" w:hAnsi="宋体"/>
          <w:color w:val="auto"/>
          <w:highlight w:val="none"/>
        </w:rPr>
        <w:t>关于治安保卫的特别约定：</w:t>
      </w:r>
      <w:r>
        <w:rPr>
          <w:rFonts w:hint="eastAsia" w:ascii="宋体" w:hAnsi="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6BFA12C">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关于编制施工场地治安管理计划的约定：承包人应在工程开工后7天内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0E92A93">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6.1.5 </w:t>
      </w:r>
      <w:r>
        <w:rPr>
          <w:rFonts w:hint="eastAsia" w:ascii="宋体" w:hAnsi="宋体"/>
          <w:color w:val="auto"/>
          <w:highlight w:val="none"/>
        </w:rPr>
        <w:t>文明施工</w:t>
      </w:r>
    </w:p>
    <w:p w14:paraId="7319AC75">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合同当事人对文明施工的要求：</w:t>
      </w:r>
      <w:r>
        <w:rPr>
          <w:rFonts w:hint="eastAsia" w:ascii="宋体" w:hAnsi="宋体"/>
          <w:color w:val="auto"/>
          <w:highlight w:val="none"/>
          <w:u w:val="single"/>
        </w:rPr>
        <w:t>符合法律规定和工程所在地建设行政主管部门的要求</w:t>
      </w:r>
      <w:r>
        <w:rPr>
          <w:rFonts w:hint="eastAsia" w:ascii="宋体" w:hAnsi="宋体"/>
          <w:color w:val="auto"/>
          <w:highlight w:val="none"/>
        </w:rPr>
        <w:t>。</w:t>
      </w:r>
    </w:p>
    <w:p w14:paraId="42C49798">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6.1.6</w:t>
      </w:r>
      <w:r>
        <w:rPr>
          <w:rFonts w:hint="eastAsia" w:ascii="宋体" w:hAnsi="宋体" w:cs="宋体"/>
          <w:color w:val="auto"/>
          <w:kern w:val="0"/>
          <w:highlight w:val="none"/>
        </w:rPr>
        <w:t>关于安全</w:t>
      </w:r>
      <w:r>
        <w:rPr>
          <w:rFonts w:hint="eastAsia" w:ascii="宋体" w:hAnsi="宋体"/>
          <w:color w:val="auto"/>
          <w:kern w:val="0"/>
          <w:highlight w:val="none"/>
        </w:rPr>
        <w:t>生产</w:t>
      </w:r>
      <w:r>
        <w:rPr>
          <w:rFonts w:hint="eastAsia" w:ascii="宋体" w:hAnsi="宋体" w:cs="宋体"/>
          <w:color w:val="auto"/>
          <w:kern w:val="0"/>
          <w:highlight w:val="none"/>
        </w:rPr>
        <w:t>费</w:t>
      </w:r>
      <w:r>
        <w:rPr>
          <w:rFonts w:hint="eastAsia" w:ascii="宋体" w:hAnsi="宋体"/>
          <w:color w:val="auto"/>
          <w:kern w:val="0"/>
          <w:highlight w:val="none"/>
        </w:rPr>
        <w:t>总额、</w:t>
      </w:r>
      <w:r>
        <w:rPr>
          <w:rFonts w:hint="eastAsia" w:ascii="宋体" w:hAnsi="宋体" w:cs="宋体"/>
          <w:color w:val="auto"/>
          <w:kern w:val="0"/>
          <w:highlight w:val="none"/>
        </w:rPr>
        <w:t>支付比例</w:t>
      </w:r>
      <w:r>
        <w:rPr>
          <w:rFonts w:hint="eastAsia" w:ascii="宋体" w:hAnsi="宋体"/>
          <w:color w:val="auto"/>
          <w:kern w:val="0"/>
          <w:highlight w:val="none"/>
        </w:rPr>
        <w:t>、</w:t>
      </w:r>
      <w:r>
        <w:rPr>
          <w:rFonts w:hint="eastAsia" w:ascii="宋体" w:hAnsi="宋体" w:cs="宋体"/>
          <w:color w:val="auto"/>
          <w:kern w:val="0"/>
          <w:highlight w:val="none"/>
        </w:rPr>
        <w:t>支付期限</w:t>
      </w:r>
      <w:r>
        <w:rPr>
          <w:rFonts w:hint="eastAsia" w:ascii="宋体" w:hAnsi="宋体"/>
          <w:color w:val="auto"/>
          <w:kern w:val="0"/>
          <w:highlight w:val="none"/>
        </w:rPr>
        <w:t>、转入和结余收回</w:t>
      </w:r>
      <w:r>
        <w:rPr>
          <w:rFonts w:hint="eastAsia" w:ascii="宋体" w:hAnsi="宋体" w:cs="宋体"/>
          <w:color w:val="auto"/>
          <w:kern w:val="0"/>
          <w:highlight w:val="none"/>
        </w:rPr>
        <w:t>的约定：</w:t>
      </w:r>
    </w:p>
    <w:p w14:paraId="7393D8DE">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）本合同价款已包含安全文明施工费。</w:t>
      </w:r>
    </w:p>
    <w:p w14:paraId="2EE9D96A">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）使用要求：专款专用。具体按</w:t>
      </w:r>
      <w:r>
        <w:rPr>
          <w:rFonts w:hint="eastAsia" w:ascii="宋体" w:hAnsi="宋体"/>
          <w:color w:val="auto"/>
          <w:kern w:val="0"/>
          <w:highlight w:val="none"/>
          <w:u w:val="single"/>
        </w:rPr>
        <w:t>《广西壮族自治区建设工程安全文明施工费使用管理细则》（桂建质〔</w:t>
      </w:r>
      <w:r>
        <w:rPr>
          <w:rFonts w:ascii="宋体" w:hAnsi="宋体"/>
          <w:color w:val="auto"/>
          <w:kern w:val="0"/>
          <w:highlight w:val="none"/>
          <w:u w:val="single"/>
        </w:rPr>
        <w:t>2015</w:t>
      </w:r>
      <w:r>
        <w:rPr>
          <w:rFonts w:hint="eastAsia" w:ascii="宋体" w:hAnsi="宋体"/>
          <w:color w:val="auto"/>
          <w:kern w:val="0"/>
          <w:highlight w:val="none"/>
          <w:u w:val="single"/>
        </w:rPr>
        <w:t>〕</w:t>
      </w:r>
      <w:r>
        <w:rPr>
          <w:rFonts w:ascii="宋体" w:hAnsi="宋体"/>
          <w:color w:val="auto"/>
          <w:kern w:val="0"/>
          <w:highlight w:val="none"/>
          <w:u w:val="single"/>
        </w:rPr>
        <w:t>16</w:t>
      </w:r>
      <w:r>
        <w:rPr>
          <w:rFonts w:hint="eastAsia" w:ascii="宋体" w:hAnsi="宋体"/>
          <w:color w:val="auto"/>
          <w:kern w:val="0"/>
          <w:highlight w:val="none"/>
          <w:u w:val="single"/>
        </w:rPr>
        <w:t>号）</w:t>
      </w:r>
      <w:r>
        <w:rPr>
          <w:rFonts w:hint="eastAsia" w:ascii="宋体" w:hAnsi="宋体"/>
          <w:color w:val="auto"/>
          <w:kern w:val="0"/>
          <w:highlight w:val="none"/>
        </w:rPr>
        <w:t>和</w:t>
      </w:r>
      <w:r>
        <w:rPr>
          <w:rFonts w:hint="eastAsia" w:ascii="宋体" w:hAnsi="宋体"/>
          <w:color w:val="auto"/>
          <w:kern w:val="0"/>
          <w:highlight w:val="none"/>
          <w:u w:val="single"/>
          <w:lang w:eastAsia="zh-CN"/>
        </w:rPr>
        <w:t>桂林市</w:t>
      </w:r>
      <w:r>
        <w:rPr>
          <w:rFonts w:hint="eastAsia" w:ascii="宋体" w:hAnsi="宋体"/>
          <w:color w:val="auto"/>
          <w:kern w:val="0"/>
          <w:highlight w:val="none"/>
          <w:u w:val="single"/>
        </w:rPr>
        <w:t>相关规定执行</w:t>
      </w:r>
      <w:r>
        <w:rPr>
          <w:rFonts w:hint="eastAsia" w:ascii="宋体" w:hAnsi="宋体"/>
          <w:color w:val="auto"/>
          <w:kern w:val="0"/>
          <w:highlight w:val="none"/>
        </w:rPr>
        <w:t>。</w:t>
      </w:r>
    </w:p>
    <w:p w14:paraId="53F64A5C">
      <w:pPr>
        <w:pageBreakBefore w:val="0"/>
        <w:kinsoku/>
        <w:wordWrap w:val="0"/>
        <w:topLinePunct w:val="0"/>
        <w:autoSpaceDE w:val="0"/>
        <w:autoSpaceDN w:val="0"/>
        <w:adjustRightInd w:val="0"/>
        <w:spacing w:line="360" w:lineRule="auto"/>
        <w:ind w:firstLine="420" w:firstLineChars="200"/>
        <w:jc w:val="left"/>
        <w:rPr>
          <w:rFonts w:ascii="宋体" w:hAnsi="宋体" w:cs="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）支付约定：发</w:t>
      </w:r>
      <w:r>
        <w:rPr>
          <w:rFonts w:hint="eastAsia" w:ascii="宋体" w:hAnsi="宋体"/>
          <w:color w:val="auto"/>
          <w:highlight w:val="none"/>
        </w:rPr>
        <w:t>包人的</w:t>
      </w:r>
      <w:r>
        <w:rPr>
          <w:rFonts w:hint="eastAsia" w:ascii="宋体" w:hAnsi="宋体"/>
          <w:color w:val="auto"/>
          <w:kern w:val="0"/>
          <w:highlight w:val="none"/>
        </w:rPr>
        <w:t>工程</w:t>
      </w:r>
      <w:r>
        <w:rPr>
          <w:rFonts w:hint="eastAsia" w:ascii="宋体" w:hAnsi="宋体"/>
          <w:color w:val="auto"/>
          <w:highlight w:val="none"/>
        </w:rPr>
        <w:t>预付款已含</w:t>
      </w:r>
      <w:r>
        <w:rPr>
          <w:rFonts w:hint="eastAsia" w:ascii="宋体" w:hAnsi="宋体"/>
          <w:color w:val="auto"/>
          <w:kern w:val="0"/>
          <w:highlight w:val="none"/>
        </w:rPr>
        <w:t>预付安全文明施工费。</w:t>
      </w:r>
    </w:p>
    <w:p w14:paraId="6E83A984">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4</w:t>
      </w:r>
      <w:r>
        <w:rPr>
          <w:rFonts w:hint="eastAsia" w:ascii="宋体" w:hAnsi="宋体"/>
          <w:color w:val="auto"/>
          <w:kern w:val="0"/>
          <w:highlight w:val="none"/>
        </w:rPr>
        <w:t>）施工单位将安全生产费用使用情况定期报告建设单位和监理单位，并提供相应的材料接受建设行政主管部门对此事项监管。</w:t>
      </w:r>
    </w:p>
    <w:p w14:paraId="12448C2D">
      <w:pPr>
        <w:keepNext/>
        <w:keepLines/>
        <w:pageBreakBefore w:val="0"/>
        <w:kinsoku/>
        <w:wordWrap w:val="0"/>
        <w:topLinePunct w:val="0"/>
        <w:spacing w:line="360" w:lineRule="auto"/>
        <w:outlineLvl w:val="2"/>
        <w:rPr>
          <w:rFonts w:ascii="宋体" w:hAnsi="宋体"/>
          <w:b/>
          <w:bCs/>
          <w:color w:val="auto"/>
          <w:highlight w:val="none"/>
          <w:lang w:val="zh-CN"/>
        </w:rPr>
      </w:pPr>
      <w:bookmarkStart w:id="378" w:name="_Toc373478368"/>
      <w:r>
        <w:rPr>
          <w:rFonts w:ascii="宋体" w:hAnsi="宋体"/>
          <w:b/>
          <w:bCs/>
          <w:color w:val="auto"/>
          <w:highlight w:val="none"/>
          <w:lang w:val="zh-CN"/>
        </w:rPr>
        <w:t xml:space="preserve">6.3 </w:t>
      </w:r>
      <w:bookmarkEnd w:id="378"/>
      <w:r>
        <w:rPr>
          <w:rFonts w:hint="eastAsia" w:ascii="宋体" w:hAnsi="宋体"/>
          <w:b/>
          <w:bCs/>
          <w:color w:val="auto"/>
          <w:highlight w:val="none"/>
          <w:lang w:val="zh-CN"/>
        </w:rPr>
        <w:t>环境保护</w:t>
      </w:r>
    </w:p>
    <w:p w14:paraId="2F433F3A">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u w:val="single"/>
        </w:rPr>
        <w:t>因施工需要，经发包人批准，由承包人办理有关施工场地交通、环卫和施工噪音管理等手续，费用由承包人负责。</w:t>
      </w:r>
    </w:p>
    <w:p w14:paraId="526C529D">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u w:val="single"/>
        </w:rPr>
        <w:t>经过城市道路的施工车辆，必须按交警、城管、运输等部门相关规定执行。由于施工车辆造成的道路、环境等污染，其责任和费用均由承包人承担。</w:t>
      </w:r>
    </w:p>
    <w:p w14:paraId="6F480ED1">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379" w:name="_Toc373478369"/>
      <w:bookmarkEnd w:id="379"/>
      <w:bookmarkStart w:id="380" w:name="_Toc373227722"/>
      <w:bookmarkEnd w:id="380"/>
      <w:bookmarkStart w:id="381" w:name="_Toc351203639"/>
      <w:bookmarkEnd w:id="381"/>
      <w:bookmarkStart w:id="382" w:name="_Toc389065288"/>
      <w:bookmarkEnd w:id="382"/>
      <w:bookmarkStart w:id="383" w:name="_Toc8764"/>
      <w:bookmarkEnd w:id="383"/>
      <w:bookmarkStart w:id="384" w:name="_Toc407135224"/>
      <w:bookmarkEnd w:id="384"/>
      <w:r>
        <w:rPr>
          <w:rFonts w:ascii="宋体" w:hAnsi="宋体"/>
          <w:b/>
          <w:bCs/>
          <w:color w:val="auto"/>
          <w:highlight w:val="none"/>
          <w:lang w:val="zh-CN"/>
        </w:rPr>
        <w:t xml:space="preserve">7. </w:t>
      </w:r>
      <w:r>
        <w:rPr>
          <w:rFonts w:hint="eastAsia" w:ascii="宋体" w:hAnsi="宋体"/>
          <w:b/>
          <w:bCs/>
          <w:color w:val="auto"/>
          <w:highlight w:val="none"/>
          <w:lang w:val="zh-CN"/>
        </w:rPr>
        <w:t>工期和进度</w:t>
      </w:r>
    </w:p>
    <w:p w14:paraId="1AF8FDBA">
      <w:pPr>
        <w:keepNext/>
        <w:keepLines/>
        <w:pageBreakBefore w:val="0"/>
        <w:kinsoku/>
        <w:wordWrap w:val="0"/>
        <w:topLinePunct w:val="0"/>
        <w:spacing w:line="360" w:lineRule="auto"/>
        <w:outlineLvl w:val="2"/>
        <w:rPr>
          <w:rFonts w:ascii="宋体" w:hAnsi="宋体"/>
          <w:b/>
          <w:bCs/>
          <w:color w:val="auto"/>
          <w:highlight w:val="none"/>
          <w:lang w:val="zh-CN"/>
        </w:rPr>
      </w:pPr>
      <w:bookmarkStart w:id="385" w:name="_Toc15619"/>
      <w:bookmarkEnd w:id="385"/>
      <w:bookmarkStart w:id="386" w:name="_Toc373478370"/>
      <w:bookmarkEnd w:id="386"/>
      <w:bookmarkStart w:id="387" w:name="_Toc407135225"/>
      <w:bookmarkEnd w:id="387"/>
      <w:bookmarkStart w:id="388" w:name="_Toc373227723"/>
      <w:bookmarkEnd w:id="388"/>
      <w:bookmarkStart w:id="389" w:name="_Toc389065289"/>
      <w:r>
        <w:rPr>
          <w:rFonts w:ascii="宋体" w:hAnsi="宋体"/>
          <w:b/>
          <w:bCs/>
          <w:color w:val="auto"/>
          <w:highlight w:val="none"/>
          <w:lang w:val="zh-CN"/>
        </w:rPr>
        <w:t xml:space="preserve">7.1 </w:t>
      </w:r>
      <w:bookmarkEnd w:id="389"/>
      <w:r>
        <w:rPr>
          <w:rFonts w:hint="eastAsia" w:ascii="宋体" w:hAnsi="宋体"/>
          <w:b/>
          <w:bCs/>
          <w:color w:val="auto"/>
          <w:highlight w:val="none"/>
          <w:lang w:val="zh-CN"/>
        </w:rPr>
        <w:t>施工组织设计</w:t>
      </w:r>
    </w:p>
    <w:p w14:paraId="09B0C5D7">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u w:val="single"/>
        </w:rPr>
      </w:pPr>
      <w:r>
        <w:rPr>
          <w:rFonts w:ascii="宋体" w:hAnsi="宋体"/>
          <w:color w:val="auto"/>
          <w:highlight w:val="none"/>
        </w:rPr>
        <w:t xml:space="preserve">7.1.1 </w:t>
      </w:r>
      <w:r>
        <w:rPr>
          <w:rFonts w:hint="eastAsia" w:ascii="宋体" w:hAnsi="宋体"/>
          <w:color w:val="auto"/>
          <w:highlight w:val="none"/>
        </w:rPr>
        <w:t>合</w:t>
      </w:r>
      <w:r>
        <w:rPr>
          <w:rFonts w:hint="eastAsia" w:ascii="宋体" w:hAnsi="宋体"/>
          <w:color w:val="auto"/>
          <w:kern w:val="0"/>
          <w:highlight w:val="none"/>
        </w:rPr>
        <w:t>同当事人约定的施工组织设计应包括的其他内容：</w:t>
      </w:r>
      <w:r>
        <w:rPr>
          <w:rFonts w:hint="eastAsia" w:ascii="宋体" w:hAnsi="宋体"/>
          <w:color w:val="auto"/>
          <w:highlight w:val="none"/>
          <w:u w:val="single"/>
        </w:rPr>
        <w:t>按《通用合同条款》</w:t>
      </w:r>
      <w:r>
        <w:rPr>
          <w:rFonts w:ascii="宋体" w:hAnsi="宋体"/>
          <w:color w:val="auto"/>
          <w:highlight w:val="none"/>
          <w:u w:val="single"/>
        </w:rPr>
        <w:t>7.1.1</w:t>
      </w:r>
      <w:r>
        <w:rPr>
          <w:rFonts w:hint="eastAsia" w:ascii="宋体" w:hAnsi="宋体"/>
          <w:color w:val="auto"/>
          <w:highlight w:val="none"/>
          <w:u w:val="single"/>
        </w:rPr>
        <w:t>条执行</w:t>
      </w:r>
      <w:r>
        <w:rPr>
          <w:rFonts w:hint="eastAsia" w:ascii="宋体" w:hAnsi="宋体"/>
          <w:color w:val="auto"/>
          <w:highlight w:val="none"/>
        </w:rPr>
        <w:t>。</w:t>
      </w:r>
    </w:p>
    <w:p w14:paraId="794D320D">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ascii="宋体" w:hAnsi="宋体"/>
          <w:color w:val="auto"/>
          <w:highlight w:val="none"/>
        </w:rPr>
        <w:t xml:space="preserve">7.1.2 </w:t>
      </w:r>
      <w:r>
        <w:rPr>
          <w:rFonts w:hint="eastAsia" w:ascii="宋体" w:hAnsi="宋体"/>
          <w:color w:val="auto"/>
          <w:kern w:val="0"/>
          <w:highlight w:val="none"/>
        </w:rPr>
        <w:t>施工组织设计的提交和修改</w:t>
      </w:r>
    </w:p>
    <w:p w14:paraId="263EC5B4">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u w:val="single"/>
        </w:rPr>
      </w:pPr>
      <w:r>
        <w:rPr>
          <w:rFonts w:hint="eastAsia" w:ascii="宋体" w:hAnsi="宋体"/>
          <w:color w:val="auto"/>
          <w:kern w:val="0"/>
          <w:highlight w:val="none"/>
        </w:rPr>
        <w:t>承包人提交详细施工组织设计的期限的约定：</w:t>
      </w:r>
      <w:r>
        <w:rPr>
          <w:rFonts w:hint="eastAsia" w:ascii="宋体" w:hAnsi="宋体"/>
          <w:color w:val="auto"/>
          <w:kern w:val="0"/>
          <w:highlight w:val="none"/>
          <w:u w:val="single"/>
        </w:rPr>
        <w:t>承包人应在合同签订后</w:t>
      </w:r>
      <w:r>
        <w:rPr>
          <w:rFonts w:ascii="宋体" w:hAnsi="宋体"/>
          <w:color w:val="auto"/>
          <w:kern w:val="0"/>
          <w:highlight w:val="none"/>
          <w:u w:val="single"/>
        </w:rPr>
        <w:t>7</w:t>
      </w:r>
      <w:r>
        <w:rPr>
          <w:rFonts w:hint="eastAsia" w:ascii="宋体" w:hAnsi="宋体"/>
          <w:color w:val="auto"/>
          <w:kern w:val="0"/>
          <w:highlight w:val="none"/>
          <w:u w:val="single"/>
        </w:rPr>
        <w:t>天内</w:t>
      </w:r>
      <w:r>
        <w:rPr>
          <w:rFonts w:hint="eastAsia" w:ascii="宋体" w:hAnsi="宋体"/>
          <w:color w:val="auto"/>
          <w:highlight w:val="none"/>
        </w:rPr>
        <w:t>。</w:t>
      </w:r>
    </w:p>
    <w:p w14:paraId="54AC2BF0">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发包人和监理人在收到详细的施工组织设计后确认或提出修改意见的期限：</w:t>
      </w:r>
      <w:r>
        <w:rPr>
          <w:rFonts w:hint="eastAsia" w:ascii="宋体" w:hAnsi="宋体"/>
          <w:color w:val="auto"/>
          <w:kern w:val="0"/>
          <w:highlight w:val="none"/>
          <w:u w:val="single"/>
        </w:rPr>
        <w:t>收到施工组织设计后</w:t>
      </w:r>
      <w:r>
        <w:rPr>
          <w:rFonts w:ascii="宋体" w:hAnsi="宋体"/>
          <w:color w:val="auto"/>
          <w:kern w:val="0"/>
          <w:highlight w:val="none"/>
          <w:u w:val="single"/>
        </w:rPr>
        <w:t>7</w:t>
      </w:r>
      <w:r>
        <w:rPr>
          <w:rFonts w:hint="eastAsia" w:ascii="宋体" w:hAnsi="宋体"/>
          <w:color w:val="auto"/>
          <w:kern w:val="0"/>
          <w:highlight w:val="none"/>
          <w:u w:val="single"/>
        </w:rPr>
        <w:t>天内确认或提出修改意见</w:t>
      </w:r>
      <w:r>
        <w:rPr>
          <w:rFonts w:hint="eastAsia" w:ascii="宋体" w:hAnsi="宋体"/>
          <w:color w:val="auto"/>
          <w:highlight w:val="none"/>
        </w:rPr>
        <w:t>。</w:t>
      </w:r>
    </w:p>
    <w:p w14:paraId="4C49F7B7">
      <w:pPr>
        <w:keepNext/>
        <w:keepLines/>
        <w:pageBreakBefore w:val="0"/>
        <w:kinsoku/>
        <w:wordWrap w:val="0"/>
        <w:topLinePunct w:val="0"/>
        <w:spacing w:line="360" w:lineRule="auto"/>
        <w:outlineLvl w:val="2"/>
        <w:rPr>
          <w:rFonts w:ascii="宋体" w:hAnsi="宋体"/>
          <w:b/>
          <w:bCs/>
          <w:color w:val="auto"/>
          <w:highlight w:val="none"/>
          <w:lang w:val="zh-CN"/>
        </w:rPr>
      </w:pPr>
      <w:bookmarkStart w:id="390" w:name="_Toc373478371"/>
      <w:bookmarkEnd w:id="390"/>
      <w:bookmarkStart w:id="391" w:name="_Toc373227724"/>
      <w:bookmarkEnd w:id="391"/>
      <w:bookmarkStart w:id="392" w:name="_Toc5581"/>
      <w:bookmarkEnd w:id="392"/>
      <w:bookmarkStart w:id="393" w:name="_Toc407135226"/>
      <w:bookmarkEnd w:id="393"/>
      <w:bookmarkStart w:id="394" w:name="_Toc389065290"/>
      <w:r>
        <w:rPr>
          <w:rFonts w:ascii="宋体" w:hAnsi="宋体"/>
          <w:b/>
          <w:bCs/>
          <w:color w:val="auto"/>
          <w:highlight w:val="none"/>
          <w:lang w:val="zh-CN"/>
        </w:rPr>
        <w:t>7</w:t>
      </w:r>
      <w:bookmarkEnd w:id="394"/>
      <w:bookmarkStart w:id="395" w:name="_Toc312677479"/>
      <w:bookmarkEnd w:id="395"/>
      <w:bookmarkStart w:id="396" w:name="_Toc304295541"/>
      <w:bookmarkEnd w:id="396"/>
      <w:bookmarkStart w:id="397" w:name="_Toc300934966"/>
      <w:bookmarkEnd w:id="397"/>
      <w:bookmarkStart w:id="398" w:name="_Toc303539123"/>
      <w:bookmarkEnd w:id="398"/>
      <w:bookmarkStart w:id="399" w:name="_Toc297123514"/>
      <w:bookmarkEnd w:id="399"/>
      <w:bookmarkStart w:id="400" w:name="_Toc297216173"/>
      <w:bookmarkEnd w:id="400"/>
      <w:bookmarkStart w:id="401" w:name="_Toc312678005"/>
      <w:r>
        <w:rPr>
          <w:rFonts w:ascii="宋体" w:hAnsi="宋体"/>
          <w:b/>
          <w:bCs/>
          <w:color w:val="auto"/>
          <w:highlight w:val="none"/>
          <w:lang w:val="zh-CN"/>
        </w:rPr>
        <w:t xml:space="preserve">.2 </w:t>
      </w:r>
      <w:bookmarkEnd w:id="401"/>
      <w:r>
        <w:rPr>
          <w:rFonts w:hint="eastAsia" w:ascii="宋体" w:hAnsi="宋体"/>
          <w:b/>
          <w:bCs/>
          <w:color w:val="auto"/>
          <w:highlight w:val="none"/>
          <w:lang w:val="zh-CN"/>
        </w:rPr>
        <w:t>施工进度计划</w:t>
      </w:r>
    </w:p>
    <w:p w14:paraId="4983436D">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7.2.2 </w:t>
      </w:r>
      <w:r>
        <w:rPr>
          <w:rFonts w:hint="eastAsia" w:ascii="宋体" w:hAnsi="宋体"/>
          <w:color w:val="auto"/>
          <w:highlight w:val="none"/>
        </w:rPr>
        <w:t>施工进度计划的修订</w:t>
      </w:r>
    </w:p>
    <w:p w14:paraId="350DA18A">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发包人和监理人在收到修订的施工进度计划后确认或提出修改意见的期限：</w:t>
      </w:r>
      <w:r>
        <w:rPr>
          <w:rFonts w:hint="eastAsia" w:ascii="宋体" w:hAnsi="宋体"/>
          <w:color w:val="auto"/>
          <w:highlight w:val="none"/>
          <w:u w:val="single"/>
        </w:rPr>
        <w:t>收到修订的施工进度计划后</w:t>
      </w:r>
      <w:r>
        <w:rPr>
          <w:rFonts w:ascii="宋体" w:hAnsi="宋体"/>
          <w:color w:val="auto"/>
          <w:highlight w:val="none"/>
          <w:u w:val="single"/>
        </w:rPr>
        <w:t>7</w:t>
      </w:r>
      <w:r>
        <w:rPr>
          <w:rFonts w:hint="eastAsia" w:ascii="宋体" w:hAnsi="宋体"/>
          <w:color w:val="auto"/>
          <w:highlight w:val="none"/>
          <w:u w:val="single"/>
        </w:rPr>
        <w:t>天内确认或提出修改意见</w:t>
      </w:r>
      <w:r>
        <w:rPr>
          <w:rFonts w:hint="eastAsia" w:ascii="宋体" w:hAnsi="宋体"/>
          <w:color w:val="auto"/>
          <w:highlight w:val="none"/>
        </w:rPr>
        <w:t>。</w:t>
      </w:r>
    </w:p>
    <w:p w14:paraId="65CBC912">
      <w:pPr>
        <w:keepNext/>
        <w:keepLines/>
        <w:pageBreakBefore w:val="0"/>
        <w:kinsoku/>
        <w:wordWrap w:val="0"/>
        <w:topLinePunct w:val="0"/>
        <w:spacing w:line="360" w:lineRule="auto"/>
        <w:outlineLvl w:val="2"/>
        <w:rPr>
          <w:rFonts w:ascii="宋体" w:hAnsi="宋体"/>
          <w:b/>
          <w:bCs/>
          <w:color w:val="auto"/>
          <w:highlight w:val="none"/>
          <w:lang w:val="zh-CN"/>
        </w:rPr>
      </w:pPr>
      <w:bookmarkStart w:id="402" w:name="_Toc373227725"/>
      <w:bookmarkEnd w:id="402"/>
      <w:bookmarkStart w:id="403" w:name="_Toc22144"/>
      <w:bookmarkEnd w:id="403"/>
      <w:bookmarkStart w:id="404" w:name="_Toc373478372"/>
      <w:bookmarkEnd w:id="404"/>
      <w:bookmarkStart w:id="405" w:name="_Toc389065291"/>
      <w:bookmarkEnd w:id="405"/>
      <w:bookmarkStart w:id="406" w:name="_Toc407135227"/>
      <w:r>
        <w:rPr>
          <w:rFonts w:ascii="宋体" w:hAnsi="宋体"/>
          <w:b/>
          <w:bCs/>
          <w:color w:val="auto"/>
          <w:highlight w:val="none"/>
          <w:lang w:val="zh-CN"/>
        </w:rPr>
        <w:t xml:space="preserve">7.3 </w:t>
      </w:r>
      <w:bookmarkEnd w:id="406"/>
      <w:r>
        <w:rPr>
          <w:rFonts w:hint="eastAsia" w:ascii="宋体" w:hAnsi="宋体"/>
          <w:b/>
          <w:bCs/>
          <w:color w:val="auto"/>
          <w:highlight w:val="none"/>
          <w:lang w:val="zh-CN"/>
        </w:rPr>
        <w:t>开工</w:t>
      </w:r>
    </w:p>
    <w:p w14:paraId="0D56D276">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7.3.1 </w:t>
      </w:r>
      <w:r>
        <w:rPr>
          <w:rFonts w:hint="eastAsia" w:ascii="宋体" w:hAnsi="宋体"/>
          <w:color w:val="auto"/>
          <w:highlight w:val="none"/>
        </w:rPr>
        <w:t>开工准备</w:t>
      </w:r>
    </w:p>
    <w:p w14:paraId="38CB7DE1">
      <w:pPr>
        <w:pageBreakBefore w:val="0"/>
        <w:kinsoku/>
        <w:wordWrap w:val="0"/>
        <w:topLinePunct w:val="0"/>
        <w:spacing w:line="360" w:lineRule="auto"/>
        <w:ind w:firstLine="426"/>
        <w:jc w:val="left"/>
        <w:rPr>
          <w:rFonts w:ascii="宋体" w:hAnsi="宋体"/>
          <w:color w:val="auto"/>
          <w:highlight w:val="none"/>
          <w:u w:val="single"/>
        </w:rPr>
      </w:pPr>
      <w:r>
        <w:rPr>
          <w:rFonts w:hint="eastAsia" w:ascii="宋体" w:hAnsi="宋体"/>
          <w:color w:val="auto"/>
          <w:highlight w:val="none"/>
        </w:rPr>
        <w:t>关于承包人提交</w:t>
      </w:r>
      <w:r>
        <w:rPr>
          <w:rFonts w:hint="eastAsia" w:ascii="宋体" w:hAnsi="宋体"/>
          <w:color w:val="auto"/>
          <w:kern w:val="0"/>
          <w:highlight w:val="none"/>
        </w:rPr>
        <w:t>工程开工报审表的期限：</w:t>
      </w:r>
      <w:r>
        <w:rPr>
          <w:rFonts w:hint="eastAsia" w:ascii="宋体" w:hAnsi="宋体"/>
          <w:color w:val="auto"/>
          <w:highlight w:val="none"/>
          <w:u w:val="single"/>
        </w:rPr>
        <w:t>开工日期前</w:t>
      </w:r>
      <w:r>
        <w:rPr>
          <w:rFonts w:ascii="宋体" w:hAnsi="宋体"/>
          <w:color w:val="auto"/>
          <w:highlight w:val="none"/>
          <w:u w:val="single"/>
        </w:rPr>
        <w:t>7</w:t>
      </w:r>
      <w:r>
        <w:rPr>
          <w:rFonts w:hint="eastAsia" w:ascii="宋体" w:hAnsi="宋体"/>
          <w:color w:val="auto"/>
          <w:highlight w:val="none"/>
          <w:u w:val="single"/>
        </w:rPr>
        <w:t>天</w:t>
      </w:r>
      <w:r>
        <w:rPr>
          <w:rFonts w:hint="eastAsia" w:ascii="宋体" w:hAnsi="宋体"/>
          <w:color w:val="auto"/>
          <w:highlight w:val="none"/>
        </w:rPr>
        <w:t>。</w:t>
      </w:r>
    </w:p>
    <w:p w14:paraId="3EF43B02">
      <w:pPr>
        <w:pageBreakBefore w:val="0"/>
        <w:kinsoku/>
        <w:wordWrap w:val="0"/>
        <w:topLinePunct w:val="0"/>
        <w:spacing w:line="360" w:lineRule="auto"/>
        <w:ind w:firstLine="645"/>
        <w:jc w:val="left"/>
        <w:rPr>
          <w:rFonts w:asciiTheme="minorEastAsia" w:hAnsiTheme="minorEastAsia" w:eastAsiaTheme="minorEastAsia"/>
          <w:color w:val="auto"/>
          <w:highlight w:val="none"/>
        </w:rPr>
      </w:pPr>
      <w:r>
        <w:rPr>
          <w:rFonts w:hint="eastAsia" w:ascii="宋体" w:hAnsi="宋体"/>
          <w:color w:val="auto"/>
          <w:highlight w:val="none"/>
        </w:rPr>
        <w:t>关于发包人应完成的其他开工准备工作及期限：</w:t>
      </w:r>
      <w:r>
        <w:rPr>
          <w:rFonts w:hint="eastAsia" w:asciiTheme="minorEastAsia" w:hAnsiTheme="minorEastAsia" w:eastAsiaTheme="minorEastAsia"/>
          <w:color w:val="auto"/>
          <w:highlight w:val="none"/>
          <w:u w:val="single"/>
        </w:rPr>
        <w:t>按《通用合同条款》7.3、1条执行</w:t>
      </w:r>
      <w:r>
        <w:rPr>
          <w:rFonts w:hint="eastAsia" w:asciiTheme="minorEastAsia" w:hAnsiTheme="minorEastAsia" w:eastAsiaTheme="minorEastAsia"/>
          <w:color w:val="auto"/>
          <w:highlight w:val="none"/>
        </w:rPr>
        <w:t>。</w:t>
      </w:r>
    </w:p>
    <w:p w14:paraId="0E2D8A2E">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关于承包人应完成的其他开工准备工作及期限：</w:t>
      </w:r>
      <w:r>
        <w:rPr>
          <w:rFonts w:hint="eastAsia" w:ascii="宋体" w:hAnsi="宋体"/>
          <w:color w:val="auto"/>
          <w:highlight w:val="none"/>
          <w:u w:val="single"/>
        </w:rPr>
        <w:t>开工日期前</w:t>
      </w:r>
      <w:r>
        <w:rPr>
          <w:rFonts w:ascii="宋体" w:hAnsi="宋体"/>
          <w:color w:val="auto"/>
          <w:highlight w:val="none"/>
          <w:u w:val="single"/>
        </w:rPr>
        <w:t>7</w:t>
      </w:r>
      <w:r>
        <w:rPr>
          <w:rFonts w:hint="eastAsia" w:ascii="宋体" w:hAnsi="宋体"/>
          <w:color w:val="auto"/>
          <w:highlight w:val="none"/>
          <w:u w:val="single"/>
        </w:rPr>
        <w:t>天</w:t>
      </w:r>
      <w:r>
        <w:rPr>
          <w:rFonts w:hint="eastAsia" w:ascii="宋体" w:hAnsi="宋体"/>
          <w:color w:val="auto"/>
          <w:highlight w:val="none"/>
        </w:rPr>
        <w:t>。</w:t>
      </w:r>
    </w:p>
    <w:p w14:paraId="7DB4E830">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7.3.2 </w:t>
      </w:r>
      <w:r>
        <w:rPr>
          <w:rFonts w:hint="eastAsia" w:ascii="宋体" w:hAnsi="宋体"/>
          <w:color w:val="auto"/>
          <w:highlight w:val="none"/>
        </w:rPr>
        <w:t>开工通知</w:t>
      </w:r>
    </w:p>
    <w:p w14:paraId="42D4424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u w:val="single"/>
        </w:rPr>
        <w:t>因发包人原因造成监理人未能在计划开工日期之日起150天内发出开工通知的，承包人有权提出价格调整要求，或者解除合同</w:t>
      </w:r>
      <w:r>
        <w:rPr>
          <w:rFonts w:hint="eastAsia" w:ascii="宋体" w:hAnsi="宋体"/>
          <w:color w:val="auto"/>
          <w:highlight w:val="none"/>
        </w:rPr>
        <w:t>。</w:t>
      </w:r>
    </w:p>
    <w:p w14:paraId="0C393B6F">
      <w:pPr>
        <w:keepNext/>
        <w:keepLines/>
        <w:pageBreakBefore w:val="0"/>
        <w:kinsoku/>
        <w:wordWrap w:val="0"/>
        <w:topLinePunct w:val="0"/>
        <w:spacing w:line="360" w:lineRule="auto"/>
        <w:outlineLvl w:val="2"/>
        <w:rPr>
          <w:rFonts w:ascii="宋体" w:hAnsi="宋体"/>
          <w:b/>
          <w:bCs/>
          <w:color w:val="auto"/>
          <w:highlight w:val="none"/>
          <w:lang w:val="zh-CN"/>
        </w:rPr>
      </w:pPr>
      <w:bookmarkStart w:id="407" w:name="_Toc407135228"/>
      <w:bookmarkEnd w:id="407"/>
      <w:bookmarkStart w:id="408" w:name="_Toc389065292"/>
      <w:bookmarkEnd w:id="408"/>
      <w:bookmarkStart w:id="409" w:name="_Toc373478373"/>
      <w:bookmarkEnd w:id="409"/>
      <w:bookmarkStart w:id="410" w:name="_Toc8158"/>
      <w:bookmarkEnd w:id="410"/>
      <w:bookmarkStart w:id="411" w:name="_Toc373227726"/>
      <w:bookmarkEnd w:id="411"/>
      <w:r>
        <w:rPr>
          <w:rFonts w:ascii="宋体" w:hAnsi="宋体"/>
          <w:b/>
          <w:bCs/>
          <w:color w:val="auto"/>
          <w:highlight w:val="none"/>
          <w:lang w:val="zh-CN"/>
        </w:rPr>
        <w:t xml:space="preserve">7.4 </w:t>
      </w:r>
      <w:r>
        <w:rPr>
          <w:rFonts w:hint="eastAsia" w:ascii="宋体" w:hAnsi="宋体"/>
          <w:b/>
          <w:bCs/>
          <w:color w:val="auto"/>
          <w:highlight w:val="none"/>
          <w:lang w:val="zh-CN"/>
        </w:rPr>
        <w:t>测量放线</w:t>
      </w:r>
    </w:p>
    <w:p w14:paraId="4DFA2F84">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7.4.1</w:t>
      </w:r>
      <w:r>
        <w:rPr>
          <w:rFonts w:hint="eastAsia" w:ascii="宋体" w:hAnsi="宋体"/>
          <w:color w:val="auto"/>
          <w:highlight w:val="none"/>
        </w:rPr>
        <w:t>发包人通过监理人向承包人提供测量基准点、基准线和水准点及其书面资料的期限：</w:t>
      </w:r>
    </w:p>
    <w:p w14:paraId="1749C1D2">
      <w:pPr>
        <w:pageBreakBefore w:val="0"/>
        <w:kinsoku/>
        <w:wordWrap w:val="0"/>
        <w:topLinePunct w:val="0"/>
        <w:spacing w:line="360" w:lineRule="auto"/>
        <w:jc w:val="left"/>
        <w:rPr>
          <w:rFonts w:ascii="宋体" w:hAnsi="宋体"/>
          <w:color w:val="auto"/>
          <w:highlight w:val="none"/>
          <w:u w:val="single"/>
        </w:rPr>
      </w:pPr>
      <w:r>
        <w:rPr>
          <w:rFonts w:hint="eastAsia" w:ascii="宋体" w:hAnsi="宋体"/>
          <w:color w:val="auto"/>
          <w:highlight w:val="none"/>
          <w:u w:val="single"/>
        </w:rPr>
        <w:t>开工日期前</w:t>
      </w:r>
      <w:r>
        <w:rPr>
          <w:rFonts w:ascii="宋体" w:hAnsi="宋体"/>
          <w:color w:val="auto"/>
          <w:highlight w:val="none"/>
          <w:u w:val="single"/>
        </w:rPr>
        <w:t>7</w:t>
      </w:r>
      <w:r>
        <w:rPr>
          <w:rFonts w:hint="eastAsia" w:ascii="宋体" w:hAnsi="宋体"/>
          <w:color w:val="auto"/>
          <w:highlight w:val="none"/>
          <w:u w:val="single"/>
        </w:rPr>
        <w:t>天</w:t>
      </w:r>
      <w:r>
        <w:rPr>
          <w:rFonts w:hint="eastAsia" w:ascii="宋体" w:hAnsi="宋体"/>
          <w:color w:val="auto"/>
          <w:highlight w:val="none"/>
        </w:rPr>
        <w:t>。</w:t>
      </w:r>
    </w:p>
    <w:p w14:paraId="3D979E31">
      <w:pPr>
        <w:keepNext/>
        <w:keepLines/>
        <w:pageBreakBefore w:val="0"/>
        <w:kinsoku/>
        <w:wordWrap w:val="0"/>
        <w:topLinePunct w:val="0"/>
        <w:spacing w:line="360" w:lineRule="auto"/>
        <w:outlineLvl w:val="2"/>
        <w:rPr>
          <w:rFonts w:ascii="宋体" w:hAnsi="宋体"/>
          <w:b/>
          <w:bCs/>
          <w:color w:val="auto"/>
          <w:highlight w:val="none"/>
          <w:lang w:val="zh-CN"/>
        </w:rPr>
      </w:pPr>
      <w:bookmarkStart w:id="412" w:name="_Toc6995"/>
      <w:bookmarkEnd w:id="412"/>
      <w:bookmarkStart w:id="413" w:name="_Toc407135229"/>
      <w:bookmarkEnd w:id="413"/>
      <w:bookmarkStart w:id="414" w:name="_Toc373227727"/>
      <w:bookmarkEnd w:id="414"/>
      <w:bookmarkStart w:id="415" w:name="_Toc373478374"/>
      <w:bookmarkEnd w:id="415"/>
      <w:bookmarkStart w:id="416" w:name="_Toc389065293"/>
      <w:r>
        <w:rPr>
          <w:rFonts w:ascii="宋体" w:hAnsi="宋体"/>
          <w:b/>
          <w:bCs/>
          <w:color w:val="auto"/>
          <w:highlight w:val="none"/>
          <w:lang w:val="zh-CN"/>
        </w:rPr>
        <w:t>7</w:t>
      </w:r>
      <w:bookmarkEnd w:id="416"/>
      <w:bookmarkStart w:id="417" w:name="_Toc300934968"/>
      <w:bookmarkEnd w:id="417"/>
      <w:bookmarkStart w:id="418" w:name="_Toc303539125"/>
      <w:bookmarkEnd w:id="418"/>
      <w:bookmarkStart w:id="419" w:name="_Toc312678010"/>
      <w:bookmarkEnd w:id="419"/>
      <w:bookmarkStart w:id="420" w:name="_Toc297123516"/>
      <w:bookmarkEnd w:id="420"/>
      <w:bookmarkStart w:id="421" w:name="_Toc304295546"/>
      <w:bookmarkEnd w:id="421"/>
      <w:bookmarkStart w:id="422" w:name="_Toc297216175"/>
      <w:bookmarkEnd w:id="422"/>
      <w:bookmarkStart w:id="423" w:name="_Toc312677484"/>
      <w:r>
        <w:rPr>
          <w:rFonts w:ascii="宋体" w:hAnsi="宋体"/>
          <w:b/>
          <w:bCs/>
          <w:color w:val="auto"/>
          <w:highlight w:val="none"/>
          <w:lang w:val="zh-CN"/>
        </w:rPr>
        <w:t xml:space="preserve">.5 </w:t>
      </w:r>
      <w:bookmarkEnd w:id="423"/>
      <w:r>
        <w:rPr>
          <w:rFonts w:hint="eastAsia" w:ascii="宋体" w:hAnsi="宋体"/>
          <w:b/>
          <w:bCs/>
          <w:color w:val="auto"/>
          <w:highlight w:val="none"/>
          <w:lang w:val="zh-CN"/>
        </w:rPr>
        <w:t>工期延误</w:t>
      </w:r>
    </w:p>
    <w:p w14:paraId="24A893F3">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7.5.1 </w:t>
      </w:r>
      <w:r>
        <w:rPr>
          <w:rFonts w:hint="eastAsia" w:ascii="宋体" w:hAnsi="宋体"/>
          <w:color w:val="auto"/>
          <w:highlight w:val="none"/>
        </w:rPr>
        <w:t>因发包人原因导致工期延误</w:t>
      </w:r>
    </w:p>
    <w:p w14:paraId="16D43290">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w:t>
      </w:r>
      <w:r>
        <w:rPr>
          <w:rFonts w:ascii="宋体" w:hAnsi="宋体"/>
          <w:color w:val="auto"/>
          <w:highlight w:val="none"/>
        </w:rPr>
        <w:t>7</w:t>
      </w:r>
      <w:r>
        <w:rPr>
          <w:rFonts w:hint="eastAsia" w:ascii="宋体" w:hAnsi="宋体"/>
          <w:color w:val="auto"/>
          <w:highlight w:val="none"/>
        </w:rPr>
        <w:t>）因发包人原因导致工期延误的其他情形：</w:t>
      </w:r>
      <w:r>
        <w:rPr>
          <w:rFonts w:hint="eastAsia" w:ascii="宋体" w:hAnsi="宋体"/>
          <w:color w:val="auto"/>
          <w:highlight w:val="none"/>
          <w:u w:val="single"/>
        </w:rPr>
        <w:t>①重大图纸变更影响关健线路工序施工；②施工期间如因停电、停水连续</w:t>
      </w:r>
      <w:r>
        <w:rPr>
          <w:rFonts w:ascii="宋体" w:hAnsi="宋体"/>
          <w:color w:val="auto"/>
          <w:highlight w:val="none"/>
          <w:u w:val="single"/>
        </w:rPr>
        <w:t>8</w:t>
      </w:r>
      <w:r>
        <w:rPr>
          <w:rFonts w:hint="eastAsia" w:ascii="宋体" w:hAnsi="宋体"/>
          <w:color w:val="auto"/>
          <w:highlight w:val="none"/>
          <w:u w:val="single"/>
        </w:rPr>
        <w:t>小时以上或一周内间歇性停水、停电累计</w:t>
      </w:r>
      <w:r>
        <w:rPr>
          <w:rFonts w:ascii="宋体" w:hAnsi="宋体"/>
          <w:color w:val="auto"/>
          <w:highlight w:val="none"/>
          <w:u w:val="single"/>
        </w:rPr>
        <w:t>8</w:t>
      </w:r>
      <w:r>
        <w:rPr>
          <w:rFonts w:hint="eastAsia" w:ascii="宋体" w:hAnsi="宋体"/>
          <w:color w:val="auto"/>
          <w:highlight w:val="none"/>
          <w:u w:val="single"/>
        </w:rPr>
        <w:t>小时（含</w:t>
      </w:r>
      <w:r>
        <w:rPr>
          <w:rFonts w:ascii="宋体" w:hAnsi="宋体"/>
          <w:color w:val="auto"/>
          <w:highlight w:val="none"/>
          <w:u w:val="single"/>
        </w:rPr>
        <w:t>8</w:t>
      </w:r>
      <w:r>
        <w:rPr>
          <w:rFonts w:hint="eastAsia" w:ascii="宋体" w:hAnsi="宋体"/>
          <w:color w:val="auto"/>
          <w:highlight w:val="none"/>
          <w:u w:val="single"/>
        </w:rPr>
        <w:t>小时）影响正常施工的。③政府指令性停工。④因发包人未能及时材料提供延误的。⑤非承包人的责任造成的工期延误其他情形</w:t>
      </w:r>
      <w:r>
        <w:rPr>
          <w:rFonts w:hint="eastAsia" w:ascii="宋体" w:hAnsi="宋体"/>
          <w:color w:val="auto"/>
          <w:highlight w:val="none"/>
        </w:rPr>
        <w:t>。</w:t>
      </w:r>
    </w:p>
    <w:p w14:paraId="0B1E4E2E">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因发包人原因导致工期延误的,开工、竣工日期相应顺延</w:t>
      </w:r>
    </w:p>
    <w:p w14:paraId="146637F6">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7</w:t>
      </w:r>
      <w:bookmarkStart w:id="424" w:name="_Toc318581169"/>
      <w:bookmarkEnd w:id="424"/>
      <w:bookmarkStart w:id="425" w:name="_Toc304295548"/>
      <w:bookmarkEnd w:id="425"/>
      <w:bookmarkStart w:id="426" w:name="_Toc312678012"/>
      <w:bookmarkEnd w:id="426"/>
      <w:bookmarkStart w:id="427" w:name="_Toc312677486"/>
      <w:bookmarkEnd w:id="427"/>
      <w:bookmarkStart w:id="428" w:name="_Toc297216177"/>
      <w:bookmarkEnd w:id="428"/>
      <w:bookmarkStart w:id="429" w:name="_Toc303539127"/>
      <w:bookmarkEnd w:id="429"/>
      <w:bookmarkStart w:id="430" w:name="_Toc297123518"/>
      <w:bookmarkEnd w:id="430"/>
      <w:bookmarkStart w:id="431" w:name="_Toc300934970"/>
      <w:r>
        <w:rPr>
          <w:rFonts w:ascii="宋体" w:hAnsi="宋体"/>
          <w:color w:val="auto"/>
          <w:highlight w:val="none"/>
        </w:rPr>
        <w:t xml:space="preserve">.5.2 </w:t>
      </w:r>
      <w:bookmarkEnd w:id="431"/>
      <w:r>
        <w:rPr>
          <w:rFonts w:hint="eastAsia" w:ascii="宋体" w:hAnsi="宋体"/>
          <w:color w:val="auto"/>
          <w:highlight w:val="none"/>
        </w:rPr>
        <w:t>因承包人原因导致工期延误</w:t>
      </w:r>
    </w:p>
    <w:p w14:paraId="715E67E3">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因</w:t>
      </w:r>
      <w:bookmarkStart w:id="432" w:name="_Toc312677487"/>
      <w:bookmarkEnd w:id="432"/>
      <w:bookmarkStart w:id="433" w:name="_Toc312678013"/>
      <w:bookmarkEnd w:id="433"/>
      <w:bookmarkStart w:id="434" w:name="_Toc318581170"/>
      <w:r>
        <w:rPr>
          <w:rFonts w:hint="eastAsia" w:ascii="宋体" w:hAnsi="宋体"/>
          <w:color w:val="auto"/>
          <w:highlight w:val="none"/>
        </w:rPr>
        <w:t>承包人原因造成工期延误，逾期竣工违约金的计算方法为：</w:t>
      </w:r>
      <w:bookmarkEnd w:id="434"/>
      <w:r>
        <w:rPr>
          <w:rFonts w:hint="eastAsia" w:ascii="宋体" w:hAnsi="宋体"/>
          <w:color w:val="auto"/>
          <w:highlight w:val="none"/>
          <w:u w:val="single"/>
        </w:rPr>
        <w:t>按逾期竣工的单项工程罚款，每延误一天</w:t>
      </w:r>
      <w:r>
        <w:rPr>
          <w:rFonts w:ascii="宋体" w:hAnsi="宋体"/>
          <w:color w:val="auto"/>
          <w:highlight w:val="none"/>
          <w:u w:val="single"/>
        </w:rPr>
        <w:t>,</w:t>
      </w:r>
      <w:r>
        <w:rPr>
          <w:rFonts w:hint="eastAsia" w:ascii="宋体" w:hAnsi="宋体"/>
          <w:color w:val="auto"/>
          <w:highlight w:val="none"/>
          <w:u w:val="single"/>
        </w:rPr>
        <w:t>按单项工程应支付给承包人的结算造价的万分之一处罚</w:t>
      </w:r>
      <w:r>
        <w:rPr>
          <w:rFonts w:ascii="宋体" w:hAnsi="宋体"/>
          <w:color w:val="auto"/>
          <w:highlight w:val="none"/>
          <w:u w:val="single"/>
        </w:rPr>
        <w:t>,</w:t>
      </w:r>
      <w:r>
        <w:rPr>
          <w:rFonts w:hint="eastAsia" w:ascii="宋体" w:hAnsi="宋体"/>
          <w:color w:val="auto"/>
          <w:highlight w:val="none"/>
          <w:u w:val="single"/>
        </w:rPr>
        <w:t>罚款直接从结算款中扣除。误期时间从规定竣工日期起直到实际竣工日期的天数（扣除发包人批准顺延的工期）。</w:t>
      </w:r>
      <w:r>
        <w:rPr>
          <w:rFonts w:hint="eastAsia" w:ascii="宋体" w:hAnsi="宋体"/>
          <w:color w:val="auto"/>
          <w:highlight w:val="none"/>
        </w:rPr>
        <w:t>因承包人原因造成工期延误，逾</w:t>
      </w:r>
      <w:bookmarkStart w:id="435" w:name="_Toc318581171"/>
      <w:bookmarkEnd w:id="435"/>
      <w:bookmarkStart w:id="436" w:name="_Toc312678014"/>
      <w:r>
        <w:rPr>
          <w:rFonts w:hint="eastAsia" w:ascii="宋体" w:hAnsi="宋体"/>
          <w:color w:val="auto"/>
          <w:highlight w:val="none"/>
        </w:rPr>
        <w:t>期竣工违约金的上限：</w:t>
      </w:r>
      <w:bookmarkEnd w:id="436"/>
      <w:r>
        <w:rPr>
          <w:rFonts w:hint="eastAsia" w:ascii="宋体" w:hAnsi="宋体"/>
          <w:color w:val="auto"/>
          <w:highlight w:val="none"/>
          <w:u w:val="single"/>
        </w:rPr>
        <w:t>逾期竣工的工程结算造价的1</w:t>
      </w:r>
      <w:r>
        <w:rPr>
          <w:rFonts w:ascii="宋体" w:hAnsi="宋体"/>
          <w:color w:val="auto"/>
          <w:highlight w:val="none"/>
          <w:u w:val="single"/>
        </w:rPr>
        <w:t xml:space="preserve">  %</w:t>
      </w:r>
      <w:r>
        <w:rPr>
          <w:rFonts w:hint="eastAsia" w:ascii="宋体" w:hAnsi="宋体"/>
          <w:color w:val="auto"/>
          <w:highlight w:val="none"/>
        </w:rPr>
        <w:t>。</w:t>
      </w:r>
    </w:p>
    <w:p w14:paraId="26598BB6">
      <w:pPr>
        <w:keepNext/>
        <w:keepLines/>
        <w:pageBreakBefore w:val="0"/>
        <w:kinsoku/>
        <w:wordWrap w:val="0"/>
        <w:topLinePunct w:val="0"/>
        <w:spacing w:line="360" w:lineRule="auto"/>
        <w:outlineLvl w:val="2"/>
        <w:rPr>
          <w:rFonts w:ascii="宋体" w:hAnsi="宋体"/>
          <w:b/>
          <w:bCs/>
          <w:color w:val="auto"/>
          <w:highlight w:val="none"/>
          <w:lang w:val="zh-CN"/>
        </w:rPr>
      </w:pPr>
      <w:bookmarkStart w:id="437" w:name="_Toc29817"/>
      <w:bookmarkEnd w:id="437"/>
      <w:bookmarkStart w:id="438" w:name="_Toc389065294"/>
      <w:bookmarkEnd w:id="438"/>
      <w:bookmarkStart w:id="439" w:name="_Toc373478375"/>
      <w:bookmarkEnd w:id="439"/>
      <w:bookmarkStart w:id="440" w:name="_Toc373227728"/>
      <w:bookmarkEnd w:id="440"/>
      <w:bookmarkStart w:id="441" w:name="_Toc407135230"/>
      <w:r>
        <w:rPr>
          <w:rFonts w:ascii="宋体" w:hAnsi="宋体"/>
          <w:b/>
          <w:bCs/>
          <w:color w:val="auto"/>
          <w:highlight w:val="none"/>
          <w:lang w:val="zh-CN"/>
        </w:rPr>
        <w:t>7</w:t>
      </w:r>
      <w:bookmarkEnd w:id="441"/>
      <w:bookmarkStart w:id="442" w:name="_Toc304295549"/>
      <w:bookmarkEnd w:id="442"/>
      <w:bookmarkStart w:id="443" w:name="_Toc297216178"/>
      <w:bookmarkEnd w:id="443"/>
      <w:bookmarkStart w:id="444" w:name="_Toc297123519"/>
      <w:bookmarkEnd w:id="444"/>
      <w:bookmarkStart w:id="445" w:name="_Toc303539128"/>
      <w:bookmarkEnd w:id="445"/>
      <w:bookmarkStart w:id="446" w:name="_Toc300934971"/>
      <w:bookmarkEnd w:id="446"/>
      <w:bookmarkStart w:id="447" w:name="_Toc312678015"/>
      <w:r>
        <w:rPr>
          <w:rFonts w:ascii="宋体" w:hAnsi="宋体"/>
          <w:b/>
          <w:bCs/>
          <w:color w:val="auto"/>
          <w:highlight w:val="none"/>
          <w:lang w:val="zh-CN"/>
        </w:rPr>
        <w:t xml:space="preserve">.6 </w:t>
      </w:r>
      <w:bookmarkEnd w:id="447"/>
      <w:r>
        <w:rPr>
          <w:rFonts w:hint="eastAsia" w:ascii="宋体" w:hAnsi="宋体"/>
          <w:b/>
          <w:bCs/>
          <w:color w:val="auto"/>
          <w:highlight w:val="none"/>
          <w:lang w:val="zh-CN"/>
        </w:rPr>
        <w:t>不利物质条件</w:t>
      </w:r>
    </w:p>
    <w:p w14:paraId="76C3B91B">
      <w:pPr>
        <w:pageBreakBefore w:val="0"/>
        <w:kinsoku/>
        <w:wordWrap w:val="0"/>
        <w:topLinePunct w:val="0"/>
        <w:spacing w:line="360" w:lineRule="auto"/>
        <w:ind w:firstLine="420" w:firstLineChars="200"/>
        <w:jc w:val="left"/>
        <w:rPr>
          <w:rFonts w:ascii="宋体" w:hAnsi="宋体"/>
          <w:color w:val="auto"/>
          <w:highlight w:val="none"/>
          <w:u w:val="single"/>
        </w:rPr>
      </w:pPr>
      <w:bookmarkStart w:id="448" w:name="_Toc297123520"/>
      <w:bookmarkEnd w:id="448"/>
      <w:bookmarkStart w:id="449" w:name="_Toc297216179"/>
      <w:bookmarkEnd w:id="449"/>
      <w:bookmarkStart w:id="450" w:name="_Toc312678016"/>
      <w:bookmarkEnd w:id="450"/>
      <w:bookmarkStart w:id="451" w:name="_Toc303539129"/>
      <w:bookmarkEnd w:id="451"/>
      <w:bookmarkStart w:id="452" w:name="_Toc300934972"/>
      <w:bookmarkEnd w:id="452"/>
      <w:bookmarkStart w:id="453" w:name="_Toc304295550"/>
      <w:bookmarkEnd w:id="453"/>
      <w:bookmarkStart w:id="454" w:name="_Toc318581172"/>
      <w:r>
        <w:rPr>
          <w:rFonts w:hint="eastAsia" w:ascii="宋体" w:hAnsi="宋体"/>
          <w:color w:val="auto"/>
          <w:highlight w:val="none"/>
        </w:rPr>
        <w:t>不利物质条件的其他情形和有关约定：</w:t>
      </w:r>
      <w:bookmarkEnd w:id="454"/>
      <w:r>
        <w:rPr>
          <w:rFonts w:hint="eastAsia" w:ascii="宋体" w:hAnsi="宋体"/>
          <w:color w:val="auto"/>
          <w:highlight w:val="none"/>
          <w:u w:val="single"/>
        </w:rPr>
        <w:t>按《通用合同条款》</w:t>
      </w:r>
      <w:r>
        <w:rPr>
          <w:rFonts w:ascii="宋体" w:hAnsi="宋体"/>
          <w:color w:val="auto"/>
          <w:highlight w:val="none"/>
          <w:u w:val="single"/>
        </w:rPr>
        <w:t>7.6</w:t>
      </w:r>
      <w:r>
        <w:rPr>
          <w:rFonts w:hint="eastAsia" w:ascii="宋体" w:hAnsi="宋体"/>
          <w:color w:val="auto"/>
          <w:highlight w:val="none"/>
          <w:u w:val="single"/>
        </w:rPr>
        <w:t>条执行</w:t>
      </w:r>
      <w:r>
        <w:rPr>
          <w:rFonts w:hint="eastAsia" w:ascii="宋体" w:hAnsi="宋体"/>
          <w:color w:val="auto"/>
          <w:highlight w:val="none"/>
        </w:rPr>
        <w:t>。</w:t>
      </w:r>
    </w:p>
    <w:p w14:paraId="27BE56B4">
      <w:pPr>
        <w:keepNext/>
        <w:keepLines/>
        <w:pageBreakBefore w:val="0"/>
        <w:kinsoku/>
        <w:wordWrap w:val="0"/>
        <w:topLinePunct w:val="0"/>
        <w:spacing w:line="360" w:lineRule="auto"/>
        <w:outlineLvl w:val="2"/>
        <w:rPr>
          <w:rFonts w:ascii="宋体" w:hAnsi="宋体"/>
          <w:b/>
          <w:bCs/>
          <w:color w:val="auto"/>
          <w:highlight w:val="none"/>
          <w:lang w:val="zh-CN"/>
        </w:rPr>
      </w:pPr>
      <w:bookmarkStart w:id="455" w:name="_Toc20459"/>
      <w:bookmarkEnd w:id="455"/>
      <w:bookmarkStart w:id="456" w:name="_Toc373227729"/>
      <w:bookmarkEnd w:id="456"/>
      <w:bookmarkStart w:id="457" w:name="_Toc407135231"/>
      <w:bookmarkEnd w:id="457"/>
      <w:bookmarkStart w:id="458" w:name="_Toc389065295"/>
      <w:bookmarkEnd w:id="458"/>
      <w:bookmarkStart w:id="459" w:name="_Toc373478376"/>
      <w:bookmarkEnd w:id="459"/>
      <w:r>
        <w:rPr>
          <w:rFonts w:ascii="宋体" w:hAnsi="宋体"/>
          <w:b/>
          <w:bCs/>
          <w:color w:val="auto"/>
          <w:highlight w:val="none"/>
          <w:lang w:val="zh-CN"/>
        </w:rPr>
        <w:t>7</w:t>
      </w:r>
      <w:bookmarkStart w:id="460" w:name="_Toc304295551"/>
      <w:bookmarkEnd w:id="460"/>
      <w:bookmarkStart w:id="461" w:name="_Toc303539130"/>
      <w:bookmarkEnd w:id="461"/>
      <w:bookmarkStart w:id="462" w:name="_Toc312678017"/>
      <w:bookmarkEnd w:id="462"/>
      <w:bookmarkStart w:id="463" w:name="_Toc297123521"/>
      <w:bookmarkEnd w:id="463"/>
      <w:bookmarkStart w:id="464" w:name="_Toc297216180"/>
      <w:bookmarkEnd w:id="464"/>
      <w:bookmarkStart w:id="465" w:name="_Toc300934973"/>
      <w:r>
        <w:rPr>
          <w:rFonts w:ascii="宋体" w:hAnsi="宋体"/>
          <w:b/>
          <w:bCs/>
          <w:color w:val="auto"/>
          <w:highlight w:val="none"/>
          <w:lang w:val="zh-CN"/>
        </w:rPr>
        <w:t xml:space="preserve">.7 </w:t>
      </w:r>
      <w:bookmarkEnd w:id="465"/>
      <w:r>
        <w:rPr>
          <w:rFonts w:hint="eastAsia" w:ascii="宋体" w:hAnsi="宋体"/>
          <w:b/>
          <w:bCs/>
          <w:color w:val="auto"/>
          <w:highlight w:val="none"/>
          <w:lang w:val="zh-CN"/>
        </w:rPr>
        <w:t>异常恶劣的气候条件</w:t>
      </w:r>
    </w:p>
    <w:p w14:paraId="50C12CDD">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发包人和承包人同意以下情形视为异常恶劣的气候条件：</w:t>
      </w:r>
    </w:p>
    <w:p w14:paraId="4D6FDBEE">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w:t>
      </w:r>
      <w:r>
        <w:rPr>
          <w:rFonts w:hint="eastAsia" w:ascii="宋体" w:hAnsi="宋体"/>
          <w:color w:val="auto"/>
          <w:highlight w:val="none"/>
          <w:u w:val="single"/>
        </w:rPr>
        <w:t>日降雨大于</w:t>
      </w:r>
      <w:r>
        <w:rPr>
          <w:rFonts w:ascii="宋体" w:hAnsi="宋体"/>
          <w:color w:val="auto"/>
          <w:highlight w:val="none"/>
          <w:u w:val="single"/>
        </w:rPr>
        <w:t>100mm</w:t>
      </w:r>
      <w:r>
        <w:rPr>
          <w:rFonts w:hint="eastAsia" w:ascii="宋体" w:hAnsi="宋体"/>
          <w:color w:val="auto"/>
          <w:highlight w:val="none"/>
          <w:u w:val="single"/>
        </w:rPr>
        <w:t>的雨日超过</w:t>
      </w:r>
      <w:r>
        <w:rPr>
          <w:rFonts w:ascii="宋体" w:hAnsi="宋体"/>
          <w:color w:val="auto"/>
          <w:highlight w:val="none"/>
          <w:u w:val="single"/>
        </w:rPr>
        <w:t>1</w:t>
      </w:r>
      <w:r>
        <w:rPr>
          <w:rFonts w:hint="eastAsia" w:ascii="宋体" w:hAnsi="宋体"/>
          <w:color w:val="auto"/>
          <w:highlight w:val="none"/>
          <w:u w:val="single"/>
        </w:rPr>
        <w:t>天</w:t>
      </w:r>
      <w:r>
        <w:rPr>
          <w:rFonts w:hint="eastAsia" w:ascii="宋体" w:hAnsi="宋体"/>
          <w:color w:val="auto"/>
          <w:highlight w:val="none"/>
        </w:rPr>
        <w:t>；</w:t>
      </w:r>
    </w:p>
    <w:p w14:paraId="2A5E43B4">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w:t>
      </w:r>
      <w:r>
        <w:rPr>
          <w:rFonts w:hint="eastAsia" w:ascii="宋体" w:hAnsi="宋体"/>
          <w:color w:val="auto"/>
          <w:highlight w:val="none"/>
          <w:u w:val="single"/>
        </w:rPr>
        <w:t>日气温超过</w:t>
      </w:r>
      <w:r>
        <w:rPr>
          <w:rFonts w:ascii="宋体" w:hAnsi="宋体"/>
          <w:color w:val="auto"/>
          <w:highlight w:val="none"/>
          <w:u w:val="single"/>
        </w:rPr>
        <w:t>38</w:t>
      </w:r>
      <w:r>
        <w:rPr>
          <w:rFonts w:hint="eastAsia" w:ascii="宋体" w:hAnsi="宋体"/>
          <w:color w:val="auto"/>
          <w:highlight w:val="none"/>
          <w:u w:val="single"/>
        </w:rPr>
        <w:t>℃的高温大于</w:t>
      </w:r>
      <w:r>
        <w:rPr>
          <w:rFonts w:ascii="宋体" w:hAnsi="宋体"/>
          <w:color w:val="auto"/>
          <w:highlight w:val="none"/>
          <w:u w:val="single"/>
        </w:rPr>
        <w:t>3</w:t>
      </w:r>
      <w:r>
        <w:rPr>
          <w:rFonts w:hint="eastAsia" w:ascii="宋体" w:hAnsi="宋体"/>
          <w:color w:val="auto"/>
          <w:highlight w:val="none"/>
          <w:u w:val="single"/>
        </w:rPr>
        <w:t>天</w:t>
      </w:r>
      <w:r>
        <w:rPr>
          <w:rFonts w:hint="eastAsia" w:ascii="宋体" w:hAnsi="宋体"/>
          <w:color w:val="auto"/>
          <w:highlight w:val="none"/>
        </w:rPr>
        <w:t>；</w:t>
      </w:r>
    </w:p>
    <w:p w14:paraId="5A03A7DD">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w:t>
      </w:r>
      <w:r>
        <w:rPr>
          <w:rFonts w:hint="eastAsia" w:ascii="宋体" w:hAnsi="宋体"/>
          <w:color w:val="auto"/>
          <w:highlight w:val="none"/>
          <w:u w:val="single"/>
        </w:rPr>
        <w:t>日气温低于</w:t>
      </w:r>
      <w:r>
        <w:rPr>
          <w:rFonts w:ascii="宋体" w:hAnsi="宋体"/>
          <w:color w:val="auto"/>
          <w:highlight w:val="none"/>
          <w:u w:val="single"/>
        </w:rPr>
        <w:t>-20</w:t>
      </w:r>
      <w:r>
        <w:rPr>
          <w:rFonts w:hint="eastAsia" w:ascii="宋体" w:hAnsi="宋体"/>
          <w:color w:val="auto"/>
          <w:highlight w:val="none"/>
          <w:u w:val="single"/>
        </w:rPr>
        <w:t>℃的严寒大于</w:t>
      </w:r>
      <w:r>
        <w:rPr>
          <w:rFonts w:ascii="宋体" w:hAnsi="宋体"/>
          <w:color w:val="auto"/>
          <w:highlight w:val="none"/>
          <w:u w:val="single"/>
        </w:rPr>
        <w:t>3</w:t>
      </w:r>
      <w:r>
        <w:rPr>
          <w:rFonts w:hint="eastAsia" w:ascii="宋体" w:hAnsi="宋体"/>
          <w:color w:val="auto"/>
          <w:highlight w:val="none"/>
          <w:u w:val="single"/>
        </w:rPr>
        <w:t>天；</w:t>
      </w:r>
    </w:p>
    <w:p w14:paraId="3B9B8466">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4</w:t>
      </w:r>
      <w:r>
        <w:rPr>
          <w:rFonts w:hint="eastAsia" w:ascii="宋体" w:hAnsi="宋体"/>
          <w:color w:val="auto"/>
          <w:highlight w:val="none"/>
        </w:rPr>
        <w:t>）</w:t>
      </w:r>
      <w:r>
        <w:rPr>
          <w:rFonts w:ascii="宋体" w:hAnsi="宋体"/>
          <w:color w:val="auto"/>
          <w:highlight w:val="none"/>
          <w:u w:val="single"/>
        </w:rPr>
        <w:t>10</w:t>
      </w:r>
      <w:r>
        <w:rPr>
          <w:rFonts w:hint="eastAsia" w:ascii="宋体" w:hAnsi="宋体"/>
          <w:color w:val="auto"/>
          <w:highlight w:val="none"/>
          <w:u w:val="single"/>
        </w:rPr>
        <w:t>级以上的大风超过</w:t>
      </w:r>
      <w:r>
        <w:rPr>
          <w:rFonts w:ascii="宋体" w:hAnsi="宋体"/>
          <w:color w:val="auto"/>
          <w:highlight w:val="none"/>
          <w:u w:val="single"/>
        </w:rPr>
        <w:t>1</w:t>
      </w:r>
      <w:r>
        <w:rPr>
          <w:rFonts w:hint="eastAsia" w:ascii="宋体" w:hAnsi="宋体"/>
          <w:color w:val="auto"/>
          <w:highlight w:val="none"/>
          <w:u w:val="single"/>
        </w:rPr>
        <w:t>天</w:t>
      </w:r>
      <w:r>
        <w:rPr>
          <w:rFonts w:hint="eastAsia" w:ascii="宋体" w:hAnsi="宋体"/>
          <w:color w:val="auto"/>
          <w:highlight w:val="none"/>
        </w:rPr>
        <w:t>。</w:t>
      </w:r>
    </w:p>
    <w:p w14:paraId="7A6C8EB4">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u w:val="single"/>
        </w:rPr>
        <w:t>以上异常恶劣的气候的认定以当地气象部门出具的材料为准</w:t>
      </w:r>
      <w:r>
        <w:rPr>
          <w:rFonts w:hint="eastAsia" w:ascii="宋体" w:hAnsi="宋体"/>
          <w:color w:val="auto"/>
          <w:highlight w:val="none"/>
        </w:rPr>
        <w:t>。</w:t>
      </w:r>
    </w:p>
    <w:p w14:paraId="1EA632EB">
      <w:pPr>
        <w:keepNext/>
        <w:keepLines/>
        <w:pageBreakBefore w:val="0"/>
        <w:kinsoku/>
        <w:wordWrap w:val="0"/>
        <w:topLinePunct w:val="0"/>
        <w:spacing w:line="360" w:lineRule="auto"/>
        <w:outlineLvl w:val="2"/>
        <w:rPr>
          <w:rFonts w:ascii="宋体" w:hAnsi="宋体"/>
          <w:b/>
          <w:bCs/>
          <w:color w:val="auto"/>
          <w:highlight w:val="none"/>
          <w:lang w:val="zh-CN"/>
        </w:rPr>
      </w:pPr>
      <w:bookmarkStart w:id="466" w:name="_Toc407135232"/>
      <w:bookmarkEnd w:id="466"/>
      <w:bookmarkStart w:id="467" w:name="_Toc373478377"/>
      <w:bookmarkEnd w:id="467"/>
      <w:bookmarkStart w:id="468" w:name="_Toc373227730"/>
      <w:bookmarkEnd w:id="468"/>
      <w:bookmarkStart w:id="469" w:name="_Toc27796"/>
      <w:bookmarkEnd w:id="469"/>
      <w:bookmarkStart w:id="470" w:name="_Toc389065296"/>
      <w:r>
        <w:rPr>
          <w:rFonts w:ascii="宋体" w:hAnsi="宋体"/>
          <w:b/>
          <w:bCs/>
          <w:color w:val="auto"/>
          <w:highlight w:val="none"/>
          <w:lang w:val="zh-CN"/>
        </w:rPr>
        <w:t xml:space="preserve">7.9 </w:t>
      </w:r>
      <w:bookmarkEnd w:id="470"/>
      <w:r>
        <w:rPr>
          <w:rFonts w:hint="eastAsia" w:ascii="宋体" w:hAnsi="宋体"/>
          <w:b/>
          <w:bCs/>
          <w:color w:val="auto"/>
          <w:highlight w:val="none"/>
          <w:lang w:val="zh-CN"/>
        </w:rPr>
        <w:t>提前竣工</w:t>
      </w:r>
    </w:p>
    <w:p w14:paraId="6A19791D">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7.9.2</w:t>
      </w:r>
      <w:r>
        <w:rPr>
          <w:rFonts w:hint="eastAsia" w:ascii="宋体" w:hAnsi="宋体"/>
          <w:color w:val="auto"/>
          <w:highlight w:val="none"/>
        </w:rPr>
        <w:t>提前竣工（赶工）增加费的计算方法：</w:t>
      </w:r>
      <w:r>
        <w:rPr>
          <w:rFonts w:hint="eastAsia" w:ascii="宋体" w:hAnsi="宋体"/>
          <w:color w:val="auto"/>
          <w:highlight w:val="none"/>
          <w:u w:val="single"/>
        </w:rPr>
        <w:t>无</w:t>
      </w:r>
      <w:r>
        <w:rPr>
          <w:rFonts w:hint="eastAsia" w:ascii="宋体" w:hAnsi="宋体"/>
          <w:color w:val="auto"/>
          <w:highlight w:val="none"/>
        </w:rPr>
        <w:t>。</w:t>
      </w:r>
    </w:p>
    <w:p w14:paraId="1082E10E">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471" w:name="_Toc373478378"/>
      <w:bookmarkEnd w:id="471"/>
      <w:bookmarkStart w:id="472" w:name="_Toc407135233"/>
      <w:bookmarkEnd w:id="472"/>
      <w:bookmarkStart w:id="473" w:name="_Toc389065297"/>
      <w:bookmarkEnd w:id="473"/>
      <w:bookmarkStart w:id="474" w:name="_Toc7815"/>
      <w:bookmarkEnd w:id="474"/>
      <w:bookmarkStart w:id="475" w:name="_Toc351203640"/>
      <w:bookmarkEnd w:id="475"/>
      <w:bookmarkStart w:id="476" w:name="_Toc373227731"/>
      <w:r>
        <w:rPr>
          <w:rFonts w:ascii="宋体" w:hAnsi="宋体"/>
          <w:b/>
          <w:bCs/>
          <w:color w:val="auto"/>
          <w:highlight w:val="none"/>
          <w:lang w:val="zh-CN"/>
        </w:rPr>
        <w:t xml:space="preserve">8. </w:t>
      </w:r>
      <w:bookmarkEnd w:id="476"/>
      <w:r>
        <w:rPr>
          <w:rFonts w:hint="eastAsia" w:ascii="宋体" w:hAnsi="宋体"/>
          <w:b/>
          <w:bCs/>
          <w:color w:val="auto"/>
          <w:highlight w:val="none"/>
          <w:lang w:val="zh-CN"/>
        </w:rPr>
        <w:t>材料与设备</w:t>
      </w:r>
    </w:p>
    <w:p w14:paraId="4EB34266">
      <w:pPr>
        <w:keepNext/>
        <w:keepLines/>
        <w:pageBreakBefore w:val="0"/>
        <w:kinsoku/>
        <w:wordWrap w:val="0"/>
        <w:topLinePunct w:val="0"/>
        <w:spacing w:line="360" w:lineRule="auto"/>
        <w:outlineLvl w:val="2"/>
        <w:rPr>
          <w:rFonts w:ascii="宋体" w:hAnsi="宋体"/>
          <w:b/>
          <w:bCs/>
          <w:color w:val="auto"/>
          <w:highlight w:val="none"/>
          <w:lang w:val="zh-CN"/>
        </w:rPr>
      </w:pPr>
      <w:bookmarkStart w:id="477" w:name="_Toc373478379"/>
      <w:bookmarkEnd w:id="477"/>
      <w:bookmarkStart w:id="478" w:name="_Toc29203"/>
      <w:bookmarkEnd w:id="478"/>
      <w:bookmarkStart w:id="479" w:name="_Toc373227732"/>
      <w:bookmarkEnd w:id="479"/>
      <w:bookmarkStart w:id="480" w:name="_Toc389065298"/>
      <w:bookmarkEnd w:id="480"/>
      <w:bookmarkStart w:id="481" w:name="_Toc407135234"/>
      <w:bookmarkEnd w:id="481"/>
      <w:r>
        <w:rPr>
          <w:rFonts w:ascii="宋体" w:hAnsi="宋体"/>
          <w:b/>
          <w:bCs/>
          <w:color w:val="auto"/>
          <w:highlight w:val="none"/>
          <w:lang w:val="zh-CN"/>
        </w:rPr>
        <w:t xml:space="preserve">8.2 </w:t>
      </w:r>
      <w:r>
        <w:rPr>
          <w:rFonts w:hint="eastAsia" w:ascii="宋体" w:hAnsi="宋体"/>
          <w:b/>
          <w:bCs/>
          <w:color w:val="auto"/>
          <w:highlight w:val="none"/>
          <w:lang w:val="zh-CN"/>
        </w:rPr>
        <w:t>承包人采购材料与工程设备</w:t>
      </w:r>
    </w:p>
    <w:p w14:paraId="7150C9D5">
      <w:pPr>
        <w:keepNext/>
        <w:keepLines/>
        <w:pageBreakBefore w:val="0"/>
        <w:kinsoku/>
        <w:wordWrap w:val="0"/>
        <w:topLinePunct w:val="0"/>
        <w:spacing w:line="360" w:lineRule="auto"/>
        <w:ind w:firstLine="420" w:firstLineChars="200"/>
        <w:outlineLvl w:val="2"/>
        <w:rPr>
          <w:rFonts w:asciiTheme="minorEastAsia" w:hAnsiTheme="minorEastAsia" w:eastAsiaTheme="minorEastAsia"/>
          <w:color w:val="auto"/>
          <w:kern w:val="0"/>
          <w:highlight w:val="none"/>
        </w:rPr>
      </w:pPr>
      <w:r>
        <w:rPr>
          <w:rFonts w:hint="eastAsia" w:ascii="宋体" w:hAnsi="宋体"/>
          <w:color w:val="auto"/>
          <w:kern w:val="0"/>
          <w:highlight w:val="none"/>
        </w:rPr>
        <w:t>承包人负责工程材料和设备的采购、运输和保管，</w:t>
      </w:r>
      <w:r>
        <w:rPr>
          <w:rFonts w:hint="eastAsia" w:asciiTheme="minorEastAsia" w:hAnsiTheme="minorEastAsia" w:eastAsiaTheme="minorEastAsia"/>
          <w:color w:val="auto"/>
          <w:highlight w:val="none"/>
        </w:rPr>
        <w:t>所</w:t>
      </w:r>
      <w:r>
        <w:rPr>
          <w:rFonts w:asciiTheme="minorEastAsia" w:hAnsiTheme="minorEastAsia" w:eastAsiaTheme="minorEastAsia"/>
          <w:color w:val="auto"/>
          <w:highlight w:val="none"/>
        </w:rPr>
        <w:t>采购材料、工程设备的,</w:t>
      </w:r>
      <w:r>
        <w:rPr>
          <w:rFonts w:hint="eastAsia" w:asciiTheme="minorEastAsia" w:hAnsiTheme="minorEastAsia" w:eastAsiaTheme="minorEastAsia"/>
          <w:color w:val="auto"/>
          <w:highlight w:val="none"/>
        </w:rPr>
        <w:t>须</w:t>
      </w:r>
      <w:r>
        <w:rPr>
          <w:rFonts w:asciiTheme="minorEastAsia" w:hAnsiTheme="minorEastAsia" w:eastAsiaTheme="minorEastAsia"/>
          <w:color w:val="auto"/>
          <w:highlight w:val="none"/>
        </w:rPr>
        <w:t xml:space="preserve">按照设计和有关标准要求采购, </w:t>
      </w:r>
      <w:r>
        <w:rPr>
          <w:color w:val="auto"/>
          <w:highlight w:val="none"/>
        </w:rPr>
        <w:t>并提供产品合格证明及出厂证明</w:t>
      </w:r>
      <w:r>
        <w:rPr>
          <w:rFonts w:hint="eastAsia" w:asciiTheme="minorEastAsia" w:hAnsiTheme="minorEastAsia" w:eastAsiaTheme="minorEastAsia"/>
          <w:color w:val="auto"/>
          <w:highlight w:val="none"/>
        </w:rPr>
        <w:t>，</w:t>
      </w:r>
      <w:r>
        <w:rPr>
          <w:rFonts w:asciiTheme="minorEastAsia" w:hAnsiTheme="minorEastAsia" w:eastAsiaTheme="minorEastAsia"/>
          <w:color w:val="auto"/>
          <w:highlight w:val="none"/>
        </w:rPr>
        <w:t>对材料、工程设备质量负责</w:t>
      </w:r>
      <w:r>
        <w:rPr>
          <w:rFonts w:hint="eastAsia" w:asciiTheme="minorEastAsia" w:hAnsiTheme="minorEastAsia" w:eastAsiaTheme="minorEastAsia"/>
          <w:color w:val="auto"/>
          <w:highlight w:val="none"/>
        </w:rPr>
        <w:t>。</w:t>
      </w:r>
      <w:r>
        <w:rPr>
          <w:rFonts w:asciiTheme="minorEastAsia" w:hAnsiTheme="minorEastAsia" w:eastAsiaTheme="minorEastAsia"/>
          <w:color w:val="auto"/>
          <w:highlight w:val="none"/>
        </w:rPr>
        <w:t>合同约定由承包人采购的材料、工程设备,发包人不得指定生产厂家或供应商,发包人违反本款约定指定生产厂家或供应商的,承包人有权拒绝,并由发包人承担相应责任。</w:t>
      </w:r>
    </w:p>
    <w:p w14:paraId="6987E7BB">
      <w:pPr>
        <w:pageBreakBefore w:val="0"/>
        <w:kinsoku/>
        <w:wordWrap w:val="0"/>
        <w:topLinePunct w:val="0"/>
        <w:autoSpaceDE w:val="0"/>
        <w:autoSpaceDN w:val="0"/>
        <w:adjustRightInd w:val="0"/>
        <w:spacing w:line="360" w:lineRule="auto"/>
        <w:ind w:firstLine="420" w:firstLineChars="200"/>
        <w:jc w:val="left"/>
        <w:rPr>
          <w:rFonts w:asciiTheme="minorEastAsia" w:hAnsiTheme="minorEastAsia" w:eastAsiaTheme="minorEastAsia"/>
          <w:color w:val="auto"/>
          <w:highlight w:val="none"/>
          <w:u w:val="single"/>
        </w:rPr>
      </w:pPr>
      <w:bookmarkStart w:id="482" w:name="_Toc30643"/>
      <w:bookmarkEnd w:id="482"/>
      <w:bookmarkStart w:id="483" w:name="_Toc373478380"/>
      <w:bookmarkEnd w:id="483"/>
      <w:bookmarkStart w:id="484" w:name="_Toc373227733"/>
      <w:bookmarkEnd w:id="484"/>
      <w:bookmarkStart w:id="485" w:name="_Toc407135235"/>
      <w:r>
        <w:rPr>
          <w:rFonts w:hint="eastAsia" w:asciiTheme="minorEastAsia" w:hAnsiTheme="minorEastAsia" w:eastAsiaTheme="minorEastAsia"/>
          <w:color w:val="auto"/>
          <w:highlight w:val="none"/>
          <w:u w:val="single"/>
        </w:rPr>
        <w:t>承包人采购工程所需的材料、设备时，</w:t>
      </w:r>
      <w:r>
        <w:rPr>
          <w:rFonts w:hint="eastAsia"/>
          <w:color w:val="auto"/>
          <w:highlight w:val="none"/>
          <w:u w:val="single"/>
        </w:rPr>
        <w:t>品种、</w:t>
      </w:r>
      <w:r>
        <w:rPr>
          <w:rFonts w:hint="eastAsia" w:asciiTheme="minorEastAsia" w:hAnsiTheme="minorEastAsia" w:eastAsiaTheme="minorEastAsia"/>
          <w:color w:val="auto"/>
          <w:highlight w:val="none"/>
          <w:u w:val="single"/>
        </w:rPr>
        <w:t>规格</w:t>
      </w:r>
      <w:r>
        <w:rPr>
          <w:rFonts w:hint="eastAsia" w:asciiTheme="minorEastAsia" w:hAnsiTheme="minorEastAsia"/>
          <w:color w:val="auto"/>
          <w:highlight w:val="none"/>
          <w:u w:val="single"/>
        </w:rPr>
        <w:t>和质量技术等级</w:t>
      </w:r>
      <w:r>
        <w:rPr>
          <w:rFonts w:hint="eastAsia" w:asciiTheme="minorEastAsia" w:hAnsiTheme="minorEastAsia" w:eastAsiaTheme="minorEastAsia"/>
          <w:color w:val="auto"/>
          <w:highlight w:val="none"/>
          <w:u w:val="single"/>
        </w:rPr>
        <w:t>等标准必须</w:t>
      </w:r>
      <w:r>
        <w:rPr>
          <w:rFonts w:hint="eastAsia" w:asciiTheme="minorEastAsia" w:hAnsiTheme="minorEastAsia"/>
          <w:color w:val="auto"/>
          <w:highlight w:val="none"/>
          <w:u w:val="single"/>
        </w:rPr>
        <w:t>不低</w:t>
      </w:r>
      <w:r>
        <w:rPr>
          <w:rFonts w:hint="eastAsia" w:asciiTheme="minorEastAsia" w:hAnsiTheme="minorEastAsia" w:eastAsiaTheme="minorEastAsia"/>
          <w:color w:val="auto"/>
          <w:highlight w:val="none"/>
          <w:u w:val="single"/>
        </w:rPr>
        <w:t>发包人在招标时</w:t>
      </w:r>
      <w:r>
        <w:rPr>
          <w:rFonts w:hint="eastAsia" w:asciiTheme="minorEastAsia" w:hAnsiTheme="minorEastAsia"/>
          <w:color w:val="auto"/>
          <w:highlight w:val="none"/>
          <w:u w:val="single"/>
        </w:rPr>
        <w:t>的相关资料</w:t>
      </w:r>
      <w:r>
        <w:rPr>
          <w:rFonts w:hint="eastAsia" w:asciiTheme="minorEastAsia" w:hAnsiTheme="minorEastAsia" w:eastAsiaTheme="minorEastAsia"/>
          <w:color w:val="auto"/>
          <w:highlight w:val="none"/>
          <w:u w:val="single"/>
        </w:rPr>
        <w:t>所规定价格</w:t>
      </w:r>
      <w:r>
        <w:rPr>
          <w:rFonts w:hint="eastAsia" w:asciiTheme="minorEastAsia" w:hAnsiTheme="minorEastAsia"/>
          <w:color w:val="auto"/>
          <w:highlight w:val="none"/>
          <w:u w:val="single"/>
        </w:rPr>
        <w:t>和质量</w:t>
      </w:r>
      <w:r>
        <w:rPr>
          <w:rFonts w:hint="eastAsia" w:asciiTheme="minorEastAsia" w:hAnsiTheme="minorEastAsia" w:eastAsiaTheme="minorEastAsia"/>
          <w:color w:val="auto"/>
          <w:highlight w:val="none"/>
          <w:u w:val="single"/>
        </w:rPr>
        <w:t>等级进行采购，</w:t>
      </w:r>
      <w:r>
        <w:rPr>
          <w:rFonts w:hint="eastAsia" w:asciiTheme="minorEastAsia" w:hAnsiTheme="minorEastAsia" w:eastAsiaTheme="minorEastAsia"/>
          <w:color w:val="auto"/>
          <w:kern w:val="0"/>
          <w:highlight w:val="none"/>
          <w:u w:val="single"/>
        </w:rPr>
        <w:t>以</w:t>
      </w:r>
      <w:r>
        <w:rPr>
          <w:rFonts w:hint="eastAsia" w:asciiTheme="minorEastAsia" w:hAnsiTheme="minorEastAsia" w:eastAsiaTheme="minorEastAsia"/>
          <w:color w:val="auto"/>
          <w:highlight w:val="none"/>
          <w:u w:val="single"/>
        </w:rPr>
        <w:t>确保材料、设备的质量。</w:t>
      </w:r>
    </w:p>
    <w:p w14:paraId="4CE885A4">
      <w:pPr>
        <w:keepNext/>
        <w:keepLines/>
        <w:pageBreakBefore w:val="0"/>
        <w:kinsoku/>
        <w:wordWrap w:val="0"/>
        <w:topLinePunct w:val="0"/>
        <w:spacing w:line="360" w:lineRule="auto"/>
        <w:outlineLvl w:val="2"/>
        <w:rPr>
          <w:rFonts w:ascii="宋体" w:hAnsi="宋体"/>
          <w:b/>
          <w:bCs/>
          <w:color w:val="auto"/>
          <w:highlight w:val="none"/>
          <w:lang w:val="zh-CN"/>
        </w:rPr>
      </w:pPr>
      <w:r>
        <w:rPr>
          <w:rFonts w:ascii="宋体" w:hAnsi="宋体"/>
          <w:b/>
          <w:bCs/>
          <w:color w:val="auto"/>
          <w:highlight w:val="none"/>
          <w:lang w:val="zh-CN"/>
        </w:rPr>
        <w:t>8</w:t>
      </w:r>
      <w:bookmarkEnd w:id="485"/>
      <w:bookmarkStart w:id="486" w:name="_Toc292559877"/>
      <w:bookmarkEnd w:id="486"/>
      <w:bookmarkStart w:id="487" w:name="_Toc296346668"/>
      <w:bookmarkEnd w:id="487"/>
      <w:bookmarkStart w:id="488" w:name="_Toc297216186"/>
      <w:bookmarkEnd w:id="488"/>
      <w:bookmarkStart w:id="489" w:name="_Toc304295556"/>
      <w:bookmarkEnd w:id="489"/>
      <w:bookmarkStart w:id="490" w:name="_Toc292559372"/>
      <w:bookmarkEnd w:id="490"/>
      <w:bookmarkStart w:id="491" w:name="_Toc297048353"/>
      <w:bookmarkEnd w:id="491"/>
      <w:bookmarkStart w:id="492" w:name="_Toc296891207"/>
      <w:bookmarkEnd w:id="492"/>
      <w:bookmarkStart w:id="493" w:name="_Toc280868655"/>
      <w:bookmarkEnd w:id="493"/>
      <w:bookmarkStart w:id="494" w:name="_Toc296503167"/>
      <w:bookmarkEnd w:id="494"/>
      <w:bookmarkStart w:id="495" w:name="_Toc296890995"/>
      <w:bookmarkEnd w:id="495"/>
      <w:bookmarkStart w:id="496" w:name="_Toc300934979"/>
      <w:bookmarkEnd w:id="496"/>
      <w:bookmarkStart w:id="497" w:name="_Toc297120467"/>
      <w:bookmarkEnd w:id="497"/>
      <w:bookmarkStart w:id="498" w:name="_Toc312678019"/>
      <w:bookmarkEnd w:id="498"/>
      <w:bookmarkStart w:id="499" w:name="_Toc297123527"/>
      <w:bookmarkEnd w:id="499"/>
      <w:bookmarkStart w:id="500" w:name="_Toc296944506"/>
      <w:bookmarkEnd w:id="500"/>
      <w:bookmarkStart w:id="501" w:name="_Toc296347166"/>
      <w:bookmarkEnd w:id="501"/>
      <w:bookmarkStart w:id="502" w:name="_Toc303539136"/>
      <w:bookmarkEnd w:id="502"/>
      <w:bookmarkStart w:id="503" w:name="_Toc312677493"/>
      <w:bookmarkEnd w:id="503"/>
      <w:bookmarkStart w:id="504" w:name="_Toc280868654"/>
      <w:bookmarkEnd w:id="504"/>
      <w:bookmarkStart w:id="505" w:name="_Toc267251424"/>
      <w:bookmarkEnd w:id="505"/>
      <w:bookmarkStart w:id="506" w:name="_Toc280868656"/>
      <w:r>
        <w:rPr>
          <w:rFonts w:ascii="宋体" w:hAnsi="宋体"/>
          <w:b/>
          <w:bCs/>
          <w:color w:val="auto"/>
          <w:highlight w:val="none"/>
          <w:lang w:val="zh-CN"/>
        </w:rPr>
        <w:t xml:space="preserve">.4 </w:t>
      </w:r>
      <w:bookmarkEnd w:id="506"/>
      <w:r>
        <w:rPr>
          <w:rFonts w:hint="eastAsia" w:ascii="宋体" w:hAnsi="宋体"/>
          <w:b/>
          <w:bCs/>
          <w:color w:val="auto"/>
          <w:highlight w:val="none"/>
          <w:lang w:val="zh-CN"/>
        </w:rPr>
        <w:t>材料与工程设备的保管与使用</w:t>
      </w:r>
    </w:p>
    <w:p w14:paraId="63B57FE7">
      <w:pPr>
        <w:pageBreakBefore w:val="0"/>
        <w:kinsoku/>
        <w:wordWrap w:val="0"/>
        <w:topLinePunct w:val="0"/>
        <w:spacing w:line="360" w:lineRule="auto"/>
        <w:ind w:firstLine="420" w:firstLineChars="200"/>
        <w:jc w:val="left"/>
        <w:rPr>
          <w:rFonts w:ascii="宋体" w:hAnsi="宋体"/>
          <w:color w:val="auto"/>
          <w:highlight w:val="none"/>
          <w:u w:val="single"/>
        </w:rPr>
      </w:pPr>
      <w:r>
        <w:rPr>
          <w:rFonts w:ascii="宋体" w:hAnsi="宋体"/>
          <w:color w:val="auto"/>
          <w:highlight w:val="none"/>
        </w:rPr>
        <w:t>8</w:t>
      </w:r>
      <w:bookmarkStart w:id="507" w:name="_Toc296346669"/>
      <w:bookmarkEnd w:id="507"/>
      <w:bookmarkStart w:id="508" w:name="_Toc296347167"/>
      <w:bookmarkEnd w:id="508"/>
      <w:bookmarkStart w:id="509" w:name="_Toc297216187"/>
      <w:bookmarkEnd w:id="509"/>
      <w:bookmarkStart w:id="510" w:name="_Toc296503168"/>
      <w:bookmarkEnd w:id="510"/>
      <w:bookmarkStart w:id="511" w:name="_Toc318581173"/>
      <w:bookmarkEnd w:id="511"/>
      <w:bookmarkStart w:id="512" w:name="_Toc297120468"/>
      <w:bookmarkEnd w:id="512"/>
      <w:bookmarkStart w:id="513" w:name="_Toc296944507"/>
      <w:bookmarkEnd w:id="513"/>
      <w:bookmarkStart w:id="514" w:name="_Toc297048354"/>
      <w:bookmarkEnd w:id="514"/>
      <w:bookmarkStart w:id="515" w:name="_Toc300934980"/>
      <w:bookmarkEnd w:id="515"/>
      <w:bookmarkStart w:id="516" w:name="_Toc303539137"/>
      <w:bookmarkEnd w:id="516"/>
      <w:bookmarkStart w:id="517" w:name="_Toc296890996"/>
      <w:bookmarkEnd w:id="517"/>
      <w:bookmarkStart w:id="518" w:name="_Toc312677494"/>
      <w:bookmarkEnd w:id="518"/>
      <w:bookmarkStart w:id="519" w:name="_Toc292559878"/>
      <w:bookmarkEnd w:id="519"/>
      <w:bookmarkStart w:id="520" w:name="_Toc304295557"/>
      <w:bookmarkEnd w:id="520"/>
      <w:bookmarkStart w:id="521" w:name="_Toc297123528"/>
      <w:bookmarkEnd w:id="521"/>
      <w:bookmarkStart w:id="522" w:name="_Toc312678020"/>
      <w:bookmarkEnd w:id="522"/>
      <w:bookmarkStart w:id="523" w:name="_Toc296891208"/>
      <w:bookmarkEnd w:id="523"/>
      <w:bookmarkStart w:id="524" w:name="_Toc292559373"/>
      <w:r>
        <w:rPr>
          <w:rFonts w:ascii="宋体" w:hAnsi="宋体"/>
          <w:color w:val="auto"/>
          <w:highlight w:val="none"/>
        </w:rPr>
        <w:t>.4.</w:t>
      </w:r>
      <w:r>
        <w:rPr>
          <w:rFonts w:hint="eastAsia" w:ascii="宋体" w:hAnsi="宋体"/>
          <w:color w:val="auto"/>
          <w:highlight w:val="none"/>
          <w:u w:val="single"/>
        </w:rPr>
        <w:t xml:space="preserve">1承包人供应的材料和工程设备使用前, </w:t>
      </w:r>
      <w:r>
        <w:rPr>
          <w:rFonts w:hint="eastAsia" w:ascii="宋体" w:hAnsi="宋体"/>
          <w:color w:val="auto"/>
          <w:kern w:val="0"/>
          <w:highlight w:val="none"/>
          <w:u w:val="single"/>
        </w:rPr>
        <w:t>需</w:t>
      </w:r>
      <w:r>
        <w:rPr>
          <w:rFonts w:hint="eastAsia" w:ascii="宋体" w:hAnsi="宋体"/>
          <w:color w:val="auto"/>
          <w:highlight w:val="none"/>
          <w:u w:val="single"/>
        </w:rPr>
        <w:t>监理单位、施工单位共同验收或相关检测部门检验（检验的费用已包含在合同价款的综合单价当中），</w:t>
      </w:r>
      <w:r>
        <w:rPr>
          <w:rFonts w:hint="eastAsia"/>
          <w:color w:val="auto"/>
          <w:highlight w:val="none"/>
          <w:u w:val="single"/>
        </w:rPr>
        <w:t>产品花色、品种、规格、</w:t>
      </w:r>
      <w:r>
        <w:rPr>
          <w:rFonts w:hint="eastAsia" w:asciiTheme="minorEastAsia" w:hAnsiTheme="minorEastAsia"/>
          <w:color w:val="auto"/>
          <w:highlight w:val="none"/>
          <w:u w:val="single"/>
        </w:rPr>
        <w:t>质量</w:t>
      </w:r>
      <w:r>
        <w:rPr>
          <w:rFonts w:hint="eastAsia" w:asciiTheme="minorEastAsia" w:hAnsiTheme="minorEastAsia" w:eastAsiaTheme="minorEastAsia"/>
          <w:color w:val="auto"/>
          <w:highlight w:val="none"/>
          <w:u w:val="single"/>
        </w:rPr>
        <w:t>等级等标准达不</w:t>
      </w:r>
      <w:r>
        <w:rPr>
          <w:rFonts w:hint="eastAsia" w:ascii="宋体" w:hAnsi="宋体"/>
          <w:color w:val="auto"/>
          <w:highlight w:val="none"/>
          <w:u w:val="single"/>
        </w:rPr>
        <w:t>到招标文件要求，不得使用</w:t>
      </w:r>
      <w:bookmarkEnd w:id="524"/>
      <w:r>
        <w:rPr>
          <w:rFonts w:hint="eastAsia" w:ascii="宋体" w:hAnsi="宋体"/>
          <w:color w:val="auto"/>
          <w:highlight w:val="none"/>
          <w:u w:val="single"/>
        </w:rPr>
        <w:t>。</w:t>
      </w:r>
      <w:r>
        <w:rPr>
          <w:rFonts w:hint="eastAsia" w:ascii="宋体" w:hAnsi="宋体"/>
          <w:bCs/>
          <w:color w:val="auto"/>
          <w:highlight w:val="none"/>
          <w:u w:val="single"/>
          <w:lang w:val="zh-CN"/>
        </w:rPr>
        <w:t xml:space="preserve"> 材料与工程设备由</w:t>
      </w:r>
      <w:r>
        <w:rPr>
          <w:rFonts w:hint="eastAsia" w:ascii="宋体" w:hAnsi="宋体"/>
          <w:color w:val="auto"/>
          <w:highlight w:val="none"/>
          <w:u w:val="single"/>
        </w:rPr>
        <w:t>承包人妥善保管,保管期间产生的费用由承包人承担</w:t>
      </w:r>
      <w:r>
        <w:rPr>
          <w:rFonts w:hint="eastAsia" w:ascii="宋体" w:hAnsi="宋体"/>
          <w:color w:val="auto"/>
          <w:highlight w:val="none"/>
        </w:rPr>
        <w:t>。</w:t>
      </w:r>
    </w:p>
    <w:p w14:paraId="2D59EB35">
      <w:pPr>
        <w:keepNext/>
        <w:keepLines/>
        <w:pageBreakBefore w:val="0"/>
        <w:kinsoku/>
        <w:wordWrap w:val="0"/>
        <w:topLinePunct w:val="0"/>
        <w:spacing w:line="360" w:lineRule="auto"/>
        <w:outlineLvl w:val="2"/>
        <w:rPr>
          <w:rFonts w:ascii="宋体" w:hAnsi="宋体"/>
          <w:b/>
          <w:bCs/>
          <w:color w:val="auto"/>
          <w:highlight w:val="none"/>
          <w:lang w:val="zh-CN"/>
        </w:rPr>
      </w:pPr>
      <w:bookmarkStart w:id="525" w:name="_Toc373227734"/>
      <w:bookmarkEnd w:id="525"/>
      <w:bookmarkStart w:id="526" w:name="_Toc28857"/>
      <w:bookmarkEnd w:id="526"/>
      <w:bookmarkStart w:id="527" w:name="_Toc407135236"/>
      <w:bookmarkEnd w:id="527"/>
      <w:bookmarkStart w:id="528" w:name="_Toc389065300"/>
      <w:bookmarkEnd w:id="528"/>
      <w:bookmarkStart w:id="529" w:name="_Toc373478381"/>
      <w:r>
        <w:rPr>
          <w:rFonts w:ascii="宋体" w:hAnsi="宋体"/>
          <w:b/>
          <w:bCs/>
          <w:color w:val="auto"/>
          <w:highlight w:val="none"/>
          <w:lang w:val="zh-CN"/>
        </w:rPr>
        <w:t xml:space="preserve">8.6 </w:t>
      </w:r>
      <w:bookmarkEnd w:id="529"/>
      <w:r>
        <w:rPr>
          <w:rFonts w:hint="eastAsia" w:ascii="宋体" w:hAnsi="宋体"/>
          <w:b/>
          <w:bCs/>
          <w:color w:val="auto"/>
          <w:highlight w:val="none"/>
          <w:lang w:val="zh-CN"/>
        </w:rPr>
        <w:t>样品</w:t>
      </w:r>
    </w:p>
    <w:p w14:paraId="396754BB">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 xml:space="preserve">8.6.1 </w:t>
      </w:r>
      <w:r>
        <w:rPr>
          <w:rFonts w:hint="eastAsia" w:ascii="宋体" w:hAnsi="宋体"/>
          <w:color w:val="auto"/>
          <w:kern w:val="0"/>
          <w:highlight w:val="none"/>
        </w:rPr>
        <w:t>样品的报送与封存</w:t>
      </w:r>
    </w:p>
    <w:p w14:paraId="09F2C3B3">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u w:val="single"/>
        </w:rPr>
      </w:pPr>
      <w:r>
        <w:rPr>
          <w:rFonts w:hint="eastAsia" w:ascii="宋体" w:hAnsi="宋体"/>
          <w:color w:val="auto"/>
          <w:kern w:val="0"/>
          <w:highlight w:val="none"/>
        </w:rPr>
        <w:t>需要承包人报送样品的材料或工程设备，样品的种类、名称、规格、数量要求：</w:t>
      </w:r>
      <w:bookmarkStart w:id="530" w:name="_Toc407135237"/>
      <w:bookmarkEnd w:id="530"/>
      <w:bookmarkStart w:id="531" w:name="_Toc2018"/>
      <w:bookmarkEnd w:id="531"/>
      <w:bookmarkStart w:id="532" w:name="_Toc373227735"/>
      <w:bookmarkEnd w:id="532"/>
      <w:bookmarkStart w:id="533" w:name="_Toc389065301"/>
      <w:bookmarkEnd w:id="533"/>
      <w:bookmarkStart w:id="534" w:name="_Toc373478382"/>
      <w:r>
        <w:rPr>
          <w:rFonts w:hint="eastAsia" w:ascii="宋体" w:hAnsi="宋体"/>
          <w:color w:val="auto"/>
          <w:highlight w:val="none"/>
          <w:u w:val="single"/>
        </w:rPr>
        <w:t>主要材料(设备)明细表中列明的材料及设备,由发包人、监理人认可后方可供货至现场;材料进场后由采购人、监理单位、施工单位共同验收,如不能确定其质</w:t>
      </w:r>
      <w:r>
        <w:rPr>
          <w:rFonts w:hint="eastAsia" w:ascii="宋体" w:hAnsi="宋体"/>
          <w:color w:val="auto"/>
          <w:kern w:val="0"/>
          <w:highlight w:val="none"/>
          <w:u w:val="single"/>
        </w:rPr>
        <w:t>量的</w:t>
      </w:r>
      <w:r>
        <w:rPr>
          <w:rFonts w:hint="eastAsia" w:ascii="宋体" w:hAnsi="宋体"/>
          <w:color w:val="auto"/>
          <w:kern w:val="0"/>
          <w:highlight w:val="none"/>
        </w:rPr>
        <w:t>，</w:t>
      </w:r>
      <w:r>
        <w:rPr>
          <w:rFonts w:hint="eastAsia" w:ascii="宋体" w:hAnsi="宋体"/>
          <w:color w:val="auto"/>
          <w:highlight w:val="none"/>
          <w:u w:val="single"/>
        </w:rPr>
        <w:t>由监理单位进行抽样报送检测部门检验合格后方可使用。</w:t>
      </w:r>
    </w:p>
    <w:p w14:paraId="50F4D8BB">
      <w:pPr>
        <w:pageBreakBefore w:val="0"/>
        <w:kinsoku/>
        <w:wordWrap w:val="0"/>
        <w:topLinePunct w:val="0"/>
        <w:autoSpaceDE w:val="0"/>
        <w:autoSpaceDN w:val="0"/>
        <w:adjustRightInd w:val="0"/>
        <w:spacing w:line="360" w:lineRule="auto"/>
        <w:jc w:val="left"/>
        <w:rPr>
          <w:rFonts w:ascii="宋体" w:hAnsi="宋体"/>
          <w:b/>
          <w:bCs/>
          <w:color w:val="auto"/>
          <w:highlight w:val="none"/>
          <w:lang w:val="zh-CN"/>
        </w:rPr>
      </w:pPr>
      <w:r>
        <w:rPr>
          <w:rFonts w:ascii="宋体" w:hAnsi="宋体"/>
          <w:b/>
          <w:bCs/>
          <w:color w:val="auto"/>
          <w:highlight w:val="none"/>
          <w:lang w:val="zh-CN"/>
        </w:rPr>
        <w:t xml:space="preserve">8.8 </w:t>
      </w:r>
      <w:bookmarkEnd w:id="534"/>
      <w:r>
        <w:rPr>
          <w:rFonts w:hint="eastAsia" w:ascii="宋体" w:hAnsi="宋体"/>
          <w:b/>
          <w:bCs/>
          <w:color w:val="auto"/>
          <w:highlight w:val="none"/>
          <w:lang w:val="zh-CN"/>
        </w:rPr>
        <w:t>施工设备和临时设施</w:t>
      </w:r>
    </w:p>
    <w:p w14:paraId="16860632">
      <w:pPr>
        <w:pageBreakBefore w:val="0"/>
        <w:kinsoku/>
        <w:wordWrap w:val="0"/>
        <w:topLinePunct w:val="0"/>
        <w:spacing w:line="360" w:lineRule="auto"/>
        <w:ind w:firstLine="420"/>
        <w:jc w:val="left"/>
        <w:rPr>
          <w:rFonts w:ascii="宋体" w:hAnsi="宋体"/>
          <w:color w:val="auto"/>
          <w:highlight w:val="none"/>
        </w:rPr>
      </w:pPr>
      <w:bookmarkStart w:id="535" w:name="_Toc389065302"/>
      <w:bookmarkEnd w:id="535"/>
      <w:bookmarkStart w:id="536" w:name="_Toc373227736"/>
      <w:bookmarkEnd w:id="536"/>
      <w:bookmarkStart w:id="537" w:name="_Toc407135238"/>
      <w:bookmarkEnd w:id="537"/>
      <w:bookmarkStart w:id="538" w:name="_Toc351203641"/>
      <w:bookmarkEnd w:id="538"/>
      <w:bookmarkStart w:id="539" w:name="_Toc373478383"/>
      <w:bookmarkEnd w:id="539"/>
      <w:r>
        <w:rPr>
          <w:rFonts w:ascii="宋体" w:hAnsi="宋体"/>
          <w:color w:val="auto"/>
          <w:highlight w:val="none"/>
        </w:rPr>
        <w:t xml:space="preserve">8.8.1 </w:t>
      </w:r>
      <w:r>
        <w:rPr>
          <w:rFonts w:hint="eastAsia" w:ascii="宋体" w:hAnsi="宋体"/>
          <w:color w:val="auto"/>
          <w:highlight w:val="none"/>
        </w:rPr>
        <w:t>承包人提供的施工设备和临时设施</w:t>
      </w:r>
    </w:p>
    <w:p w14:paraId="0B224C54">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rPr>
        <w:t>关于修建临时设施费用承担的约定：</w:t>
      </w:r>
      <w:r>
        <w:rPr>
          <w:rFonts w:hint="eastAsia" w:ascii="宋体" w:hAnsi="宋体"/>
          <w:color w:val="auto"/>
          <w:highlight w:val="none"/>
          <w:u w:val="single"/>
        </w:rPr>
        <w:t>①承包人的临时场所（含项目部驻地等）租用费（含拆迁补偿）、临时用地的环保、恢复、及地面附着物拆除等费用均由承包人负责，以上费用在投标报价中综合考虑。</w:t>
      </w:r>
    </w:p>
    <w:p w14:paraId="16E6A33D">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u w:val="single"/>
        </w:rPr>
        <w:t>②承包人负责合同实施期间其合同段内临时交通道路（含场内外连接公共交通道路）和交通设施的修建、维修、养护和交通管理工作，并承担一切费用。</w:t>
      </w:r>
    </w:p>
    <w:p w14:paraId="108A098B">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③承包人修建的临时道路和交通设施，应免费提供给发包人、监理工程师和其他合同段的承包人使用</w:t>
      </w:r>
      <w:r>
        <w:rPr>
          <w:rFonts w:hint="eastAsia" w:ascii="宋体" w:hAnsi="宋体"/>
          <w:color w:val="auto"/>
          <w:highlight w:val="none"/>
        </w:rPr>
        <w:t>。</w:t>
      </w:r>
    </w:p>
    <w:p w14:paraId="5E6DDFA9">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ascii="宋体" w:hAnsi="宋体"/>
          <w:color w:val="auto"/>
          <w:highlight w:val="none"/>
        </w:rPr>
        <w:t xml:space="preserve">8.8.2 </w:t>
      </w:r>
      <w:r>
        <w:rPr>
          <w:rFonts w:hint="eastAsia" w:ascii="宋体" w:hAnsi="宋体"/>
          <w:color w:val="auto"/>
          <w:highlight w:val="none"/>
        </w:rPr>
        <w:t>发包人提供的施工设备和临时设施</w:t>
      </w:r>
    </w:p>
    <w:p w14:paraId="5C7F6CE4">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olor w:val="auto"/>
          <w:highlight w:val="none"/>
        </w:rPr>
        <w:t>发包人提供的施工设备和临时设施：</w:t>
      </w:r>
      <w:r>
        <w:rPr>
          <w:rFonts w:ascii="宋体" w:hAnsi="宋体"/>
          <w:color w:val="auto"/>
          <w:highlight w:val="none"/>
          <w:u w:val="single"/>
        </w:rPr>
        <w:t xml:space="preserve">           /        </w:t>
      </w:r>
      <w:r>
        <w:rPr>
          <w:rFonts w:hint="eastAsia" w:ascii="宋体" w:hAnsi="宋体"/>
          <w:color w:val="auto"/>
          <w:highlight w:val="none"/>
        </w:rPr>
        <w:t>。</w:t>
      </w:r>
    </w:p>
    <w:p w14:paraId="029E3FF3">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hint="eastAsia" w:ascii="宋体" w:hAnsi="宋体"/>
          <w:color w:val="auto"/>
          <w:highlight w:val="none"/>
        </w:rPr>
        <w:t>发包人提供的施工设备和临时设施的运行、维护、拆除、清运费用的承担人：</w:t>
      </w:r>
      <w:r>
        <w:rPr>
          <w:rFonts w:hint="eastAsia" w:ascii="宋体" w:hAnsi="宋体"/>
          <w:color w:val="auto"/>
          <w:highlight w:val="none"/>
          <w:u w:val="single"/>
        </w:rPr>
        <w:t xml:space="preserve">  承包人负责费用  </w:t>
      </w:r>
      <w:r>
        <w:rPr>
          <w:rFonts w:hint="eastAsia" w:ascii="宋体" w:hAnsi="宋体"/>
          <w:color w:val="auto"/>
          <w:highlight w:val="none"/>
        </w:rPr>
        <w:t>。</w:t>
      </w:r>
    </w:p>
    <w:p w14:paraId="75153927">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540" w:name="_Toc7145"/>
      <w:bookmarkEnd w:id="540"/>
      <w:r>
        <w:rPr>
          <w:rFonts w:ascii="宋体" w:hAnsi="宋体"/>
          <w:b/>
          <w:bCs/>
          <w:color w:val="auto"/>
          <w:highlight w:val="none"/>
          <w:lang w:val="zh-CN"/>
        </w:rPr>
        <w:t>9</w:t>
      </w:r>
      <w:bookmarkStart w:id="541" w:name="_Toc296503173"/>
      <w:bookmarkEnd w:id="541"/>
      <w:bookmarkStart w:id="542" w:name="_Toc297048359"/>
      <w:bookmarkEnd w:id="542"/>
      <w:bookmarkStart w:id="543" w:name="_Toc312678021"/>
      <w:bookmarkEnd w:id="543"/>
      <w:bookmarkStart w:id="544" w:name="_Toc312677495"/>
      <w:bookmarkEnd w:id="544"/>
      <w:bookmarkStart w:id="545" w:name="_Toc296347172"/>
      <w:bookmarkEnd w:id="545"/>
      <w:bookmarkStart w:id="546" w:name="_Toc296891001"/>
      <w:bookmarkEnd w:id="546"/>
      <w:bookmarkStart w:id="547" w:name="_Toc297216192"/>
      <w:bookmarkEnd w:id="547"/>
      <w:bookmarkStart w:id="548" w:name="_Toc297120473"/>
      <w:bookmarkEnd w:id="548"/>
      <w:bookmarkStart w:id="549" w:name="_Toc267251428"/>
      <w:bookmarkEnd w:id="549"/>
      <w:bookmarkStart w:id="550" w:name="_Toc296346674"/>
      <w:bookmarkEnd w:id="550"/>
      <w:bookmarkStart w:id="551" w:name="_Toc303539139"/>
      <w:bookmarkEnd w:id="551"/>
      <w:bookmarkStart w:id="552" w:name="_Toc267251427"/>
      <w:bookmarkEnd w:id="552"/>
      <w:bookmarkStart w:id="553" w:name="_Toc296944512"/>
      <w:bookmarkEnd w:id="553"/>
      <w:bookmarkStart w:id="554" w:name="_Toc292559883"/>
      <w:bookmarkEnd w:id="554"/>
      <w:bookmarkStart w:id="555" w:name="_Toc297123533"/>
      <w:bookmarkEnd w:id="555"/>
      <w:bookmarkStart w:id="556" w:name="_Toc292559378"/>
      <w:bookmarkEnd w:id="556"/>
      <w:bookmarkStart w:id="557" w:name="_Toc300934982"/>
      <w:bookmarkEnd w:id="557"/>
      <w:bookmarkStart w:id="558" w:name="_Toc304295559"/>
      <w:bookmarkEnd w:id="558"/>
      <w:bookmarkStart w:id="559" w:name="_Toc296891213"/>
      <w:r>
        <w:rPr>
          <w:rFonts w:ascii="宋体" w:hAnsi="宋体"/>
          <w:b/>
          <w:bCs/>
          <w:color w:val="auto"/>
          <w:highlight w:val="none"/>
          <w:lang w:val="zh-CN"/>
        </w:rPr>
        <w:t xml:space="preserve">. </w:t>
      </w:r>
      <w:bookmarkEnd w:id="559"/>
      <w:r>
        <w:rPr>
          <w:rFonts w:hint="eastAsia" w:ascii="宋体" w:hAnsi="宋体"/>
          <w:b/>
          <w:bCs/>
          <w:color w:val="auto"/>
          <w:highlight w:val="none"/>
          <w:lang w:val="zh-CN"/>
        </w:rPr>
        <w:t>试验与检验</w:t>
      </w:r>
    </w:p>
    <w:p w14:paraId="6DD26DCD">
      <w:pPr>
        <w:keepNext/>
        <w:keepLines/>
        <w:pageBreakBefore w:val="0"/>
        <w:kinsoku/>
        <w:wordWrap w:val="0"/>
        <w:topLinePunct w:val="0"/>
        <w:spacing w:line="360" w:lineRule="auto"/>
        <w:outlineLvl w:val="2"/>
        <w:rPr>
          <w:rFonts w:ascii="宋体" w:hAnsi="宋体"/>
          <w:b/>
          <w:bCs/>
          <w:color w:val="auto"/>
          <w:highlight w:val="none"/>
          <w:lang w:val="zh-CN"/>
        </w:rPr>
      </w:pPr>
      <w:bookmarkStart w:id="560" w:name="_Toc29377"/>
      <w:bookmarkEnd w:id="560"/>
      <w:bookmarkStart w:id="561" w:name="_Toc373227737"/>
      <w:bookmarkEnd w:id="561"/>
      <w:bookmarkStart w:id="562" w:name="_Toc389065303"/>
      <w:bookmarkEnd w:id="562"/>
      <w:bookmarkStart w:id="563" w:name="_Toc373478384"/>
      <w:bookmarkEnd w:id="563"/>
      <w:bookmarkStart w:id="564" w:name="_Toc407135239"/>
      <w:bookmarkEnd w:id="564"/>
      <w:r>
        <w:rPr>
          <w:rFonts w:ascii="宋体" w:hAnsi="宋体"/>
          <w:b/>
          <w:bCs/>
          <w:color w:val="auto"/>
          <w:highlight w:val="none"/>
          <w:lang w:val="zh-CN"/>
        </w:rPr>
        <w:t>9</w:t>
      </w:r>
      <w:bookmarkStart w:id="565" w:name="_Toc300934983"/>
      <w:bookmarkEnd w:id="565"/>
      <w:bookmarkStart w:id="566" w:name="_Toc312678022"/>
      <w:bookmarkEnd w:id="566"/>
      <w:bookmarkStart w:id="567" w:name="_Toc297123534"/>
      <w:bookmarkEnd w:id="567"/>
      <w:bookmarkStart w:id="568" w:name="_Toc303539140"/>
      <w:bookmarkEnd w:id="568"/>
      <w:bookmarkStart w:id="569" w:name="_Toc304295560"/>
      <w:bookmarkEnd w:id="569"/>
      <w:bookmarkStart w:id="570" w:name="_Toc312677496"/>
      <w:bookmarkEnd w:id="570"/>
      <w:bookmarkStart w:id="571" w:name="_Toc297216193"/>
      <w:r>
        <w:rPr>
          <w:rFonts w:ascii="宋体" w:hAnsi="宋体"/>
          <w:b/>
          <w:bCs/>
          <w:color w:val="auto"/>
          <w:highlight w:val="none"/>
          <w:lang w:val="zh-CN"/>
        </w:rPr>
        <w:t xml:space="preserve">.1 </w:t>
      </w:r>
      <w:bookmarkEnd w:id="571"/>
      <w:r>
        <w:rPr>
          <w:rFonts w:hint="eastAsia" w:ascii="宋体" w:hAnsi="宋体"/>
          <w:b/>
          <w:bCs/>
          <w:color w:val="auto"/>
          <w:highlight w:val="none"/>
          <w:lang w:val="zh-CN"/>
        </w:rPr>
        <w:t>试验设备与试验人员</w:t>
      </w:r>
    </w:p>
    <w:p w14:paraId="236BD8B2">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9</w:t>
      </w:r>
      <w:bookmarkStart w:id="572" w:name="_Toc303539141"/>
      <w:bookmarkEnd w:id="572"/>
      <w:bookmarkStart w:id="573" w:name="_Toc304295561"/>
      <w:bookmarkEnd w:id="573"/>
      <w:bookmarkStart w:id="574" w:name="_Toc300934984"/>
      <w:bookmarkEnd w:id="574"/>
      <w:bookmarkStart w:id="575" w:name="_Toc312678023"/>
      <w:bookmarkEnd w:id="575"/>
      <w:bookmarkStart w:id="576" w:name="_Toc297123535"/>
      <w:bookmarkEnd w:id="576"/>
      <w:bookmarkStart w:id="577" w:name="_Toc312677497"/>
      <w:bookmarkEnd w:id="577"/>
      <w:bookmarkStart w:id="578" w:name="_Toc297216194"/>
      <w:bookmarkEnd w:id="578"/>
      <w:bookmarkStart w:id="579" w:name="_Toc318581174"/>
      <w:r>
        <w:rPr>
          <w:rFonts w:ascii="宋体" w:hAnsi="宋体"/>
          <w:color w:val="auto"/>
          <w:highlight w:val="none"/>
        </w:rPr>
        <w:t xml:space="preserve">.1.2 </w:t>
      </w:r>
      <w:bookmarkEnd w:id="579"/>
      <w:r>
        <w:rPr>
          <w:rFonts w:hint="eastAsia" w:ascii="宋体" w:hAnsi="宋体"/>
          <w:color w:val="auto"/>
          <w:highlight w:val="none"/>
        </w:rPr>
        <w:t>试验设备</w:t>
      </w:r>
    </w:p>
    <w:p w14:paraId="4A5E59BF">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施工现场需要配置的试验场所：</w:t>
      </w:r>
      <w:bookmarkStart w:id="580" w:name="_Toc297123536"/>
      <w:bookmarkEnd w:id="580"/>
      <w:bookmarkStart w:id="581" w:name="_Toc304295562"/>
      <w:bookmarkEnd w:id="581"/>
      <w:bookmarkStart w:id="582" w:name="_Toc297216195"/>
      <w:bookmarkEnd w:id="582"/>
      <w:bookmarkStart w:id="583" w:name="_Toc300934985"/>
      <w:bookmarkEnd w:id="583"/>
      <w:bookmarkStart w:id="584" w:name="_Toc312677498"/>
      <w:bookmarkEnd w:id="584"/>
      <w:bookmarkStart w:id="585" w:name="_Toc312678024"/>
      <w:bookmarkEnd w:id="585"/>
      <w:bookmarkStart w:id="586" w:name="_Toc303539142"/>
      <w:bookmarkEnd w:id="586"/>
      <w:r>
        <w:rPr>
          <w:rFonts w:hint="eastAsia" w:ascii="宋体" w:hAnsi="宋体"/>
          <w:color w:val="auto"/>
          <w:highlight w:val="none"/>
          <w:u w:val="single"/>
        </w:rPr>
        <w:t>按相关规定执行，由承包人提供</w:t>
      </w:r>
      <w:r>
        <w:rPr>
          <w:rFonts w:hint="eastAsia" w:ascii="宋体" w:hAnsi="宋体"/>
          <w:color w:val="auto"/>
          <w:highlight w:val="none"/>
        </w:rPr>
        <w:t>。</w:t>
      </w:r>
    </w:p>
    <w:p w14:paraId="31C226B0">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施工现场需要配备的试验设备：</w:t>
      </w:r>
      <w:r>
        <w:rPr>
          <w:rFonts w:hint="eastAsia" w:ascii="宋体" w:hAnsi="宋体"/>
          <w:color w:val="auto"/>
          <w:highlight w:val="none"/>
          <w:u w:val="single"/>
        </w:rPr>
        <w:t>按相关规定执行，由承包人提供</w:t>
      </w:r>
      <w:r>
        <w:rPr>
          <w:rFonts w:hint="eastAsia" w:ascii="宋体" w:hAnsi="宋体"/>
          <w:color w:val="auto"/>
          <w:highlight w:val="none"/>
        </w:rPr>
        <w:t>。</w:t>
      </w:r>
    </w:p>
    <w:p w14:paraId="68B9A027">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施工现场需要具备的其他试验条件：</w:t>
      </w:r>
      <w:r>
        <w:rPr>
          <w:rFonts w:hint="eastAsia" w:ascii="宋体" w:hAnsi="宋体"/>
          <w:color w:val="auto"/>
          <w:highlight w:val="none"/>
          <w:u w:val="single"/>
        </w:rPr>
        <w:t>按相关规定执行，由承包人提供</w:t>
      </w:r>
      <w:r>
        <w:rPr>
          <w:rFonts w:hint="eastAsia" w:ascii="宋体" w:hAnsi="宋体"/>
          <w:color w:val="auto"/>
          <w:highlight w:val="none"/>
        </w:rPr>
        <w:t>。</w:t>
      </w:r>
    </w:p>
    <w:p w14:paraId="07E06307">
      <w:pPr>
        <w:keepNext/>
        <w:keepLines/>
        <w:pageBreakBefore w:val="0"/>
        <w:kinsoku/>
        <w:wordWrap w:val="0"/>
        <w:topLinePunct w:val="0"/>
        <w:spacing w:line="360" w:lineRule="auto"/>
        <w:outlineLvl w:val="2"/>
        <w:rPr>
          <w:rFonts w:ascii="宋体" w:hAnsi="宋体"/>
          <w:b/>
          <w:bCs/>
          <w:color w:val="auto"/>
          <w:highlight w:val="none"/>
          <w:lang w:val="zh-CN"/>
        </w:rPr>
      </w:pPr>
      <w:bookmarkStart w:id="587" w:name="_Toc407135240"/>
      <w:bookmarkEnd w:id="587"/>
      <w:bookmarkStart w:id="588" w:name="_Toc389065304"/>
      <w:bookmarkEnd w:id="588"/>
      <w:bookmarkStart w:id="589" w:name="_Toc373227738"/>
      <w:bookmarkEnd w:id="589"/>
      <w:bookmarkStart w:id="590" w:name="_Toc373478385"/>
      <w:r>
        <w:rPr>
          <w:rFonts w:ascii="宋体" w:hAnsi="宋体"/>
          <w:b/>
          <w:bCs/>
          <w:color w:val="auto"/>
          <w:highlight w:val="none"/>
          <w:lang w:val="zh-CN"/>
        </w:rPr>
        <w:t xml:space="preserve">9.4 </w:t>
      </w:r>
      <w:bookmarkEnd w:id="590"/>
      <w:r>
        <w:rPr>
          <w:rFonts w:hint="eastAsia" w:ascii="宋体" w:hAnsi="宋体"/>
          <w:b/>
          <w:bCs/>
          <w:color w:val="auto"/>
          <w:highlight w:val="none"/>
          <w:lang w:val="zh-CN"/>
        </w:rPr>
        <w:t>现场工艺试验</w:t>
      </w:r>
    </w:p>
    <w:p w14:paraId="332ED167">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现场工艺试验的有关约定：</w:t>
      </w:r>
      <w:r>
        <w:rPr>
          <w:rFonts w:hint="eastAsia" w:ascii="宋体" w:hAnsi="宋体"/>
          <w:color w:val="auto"/>
          <w:highlight w:val="none"/>
          <w:u w:val="single"/>
        </w:rPr>
        <w:t>按《通用合同条款》</w:t>
      </w:r>
      <w:r>
        <w:rPr>
          <w:rFonts w:ascii="宋体" w:hAnsi="宋体"/>
          <w:color w:val="auto"/>
          <w:highlight w:val="none"/>
          <w:u w:val="single"/>
        </w:rPr>
        <w:t>9.4</w:t>
      </w:r>
      <w:r>
        <w:rPr>
          <w:rFonts w:hint="eastAsia" w:ascii="宋体" w:hAnsi="宋体"/>
          <w:color w:val="auto"/>
          <w:highlight w:val="none"/>
          <w:u w:val="single"/>
        </w:rPr>
        <w:t>条执行</w:t>
      </w:r>
      <w:r>
        <w:rPr>
          <w:rFonts w:hint="eastAsia" w:ascii="宋体" w:hAnsi="宋体"/>
          <w:color w:val="auto"/>
          <w:highlight w:val="none"/>
        </w:rPr>
        <w:t>。</w:t>
      </w:r>
    </w:p>
    <w:p w14:paraId="508BC08B">
      <w:pPr>
        <w:keepNext/>
        <w:keepLines/>
        <w:pageBreakBefore w:val="0"/>
        <w:kinsoku/>
        <w:wordWrap w:val="0"/>
        <w:topLinePunct w:val="0"/>
        <w:spacing w:line="360" w:lineRule="auto"/>
        <w:outlineLvl w:val="2"/>
        <w:rPr>
          <w:rFonts w:ascii="宋体" w:hAnsi="宋体"/>
          <w:b/>
          <w:bCs/>
          <w:color w:val="auto"/>
          <w:highlight w:val="none"/>
          <w:lang w:val="zh-CN"/>
        </w:rPr>
      </w:pPr>
      <w:bookmarkStart w:id="591" w:name="_Toc18997"/>
      <w:bookmarkEnd w:id="591"/>
      <w:bookmarkStart w:id="592" w:name="_Toc407135241"/>
      <w:bookmarkEnd w:id="592"/>
      <w:bookmarkStart w:id="593" w:name="OLE_LINK1"/>
      <w:r>
        <w:rPr>
          <w:rFonts w:ascii="宋体" w:hAnsi="宋体"/>
          <w:b/>
          <w:bCs/>
          <w:color w:val="auto"/>
          <w:highlight w:val="none"/>
          <w:lang w:val="zh-CN"/>
        </w:rPr>
        <w:t xml:space="preserve">9.5 </w:t>
      </w:r>
      <w:bookmarkEnd w:id="593"/>
      <w:r>
        <w:rPr>
          <w:rFonts w:hint="eastAsia" w:ascii="宋体" w:hAnsi="宋体"/>
          <w:b/>
          <w:bCs/>
          <w:color w:val="auto"/>
          <w:highlight w:val="none"/>
          <w:lang w:val="zh-CN"/>
        </w:rPr>
        <w:t>检验费用</w:t>
      </w:r>
    </w:p>
    <w:p w14:paraId="10F49897">
      <w:pPr>
        <w:pageBreakBefore w:val="0"/>
        <w:kinsoku/>
        <w:wordWrap w:val="0"/>
        <w:topLinePunct w:val="0"/>
        <w:spacing w:line="360" w:lineRule="auto"/>
        <w:ind w:firstLine="411" w:firstLineChars="196"/>
        <w:rPr>
          <w:rFonts w:ascii="宋体" w:hAnsi="宋体"/>
          <w:color w:val="auto"/>
          <w:highlight w:val="none"/>
        </w:rPr>
      </w:pPr>
      <w:r>
        <w:rPr>
          <w:rFonts w:hint="eastAsia" w:ascii="宋体" w:hAnsi="宋体"/>
          <w:color w:val="auto"/>
          <w:highlight w:val="none"/>
        </w:rPr>
        <w:t>根据《建设工程质量检测管理办法》（建设部令第</w:t>
      </w:r>
      <w:r>
        <w:rPr>
          <w:rFonts w:ascii="宋体" w:hAnsi="宋体"/>
          <w:color w:val="auto"/>
          <w:highlight w:val="none"/>
        </w:rPr>
        <w:t>141</w:t>
      </w:r>
      <w:r>
        <w:rPr>
          <w:rFonts w:hint="eastAsia" w:ascii="宋体" w:hAnsi="宋体"/>
          <w:color w:val="auto"/>
          <w:highlight w:val="none"/>
        </w:rPr>
        <w:t>号）以及《广西壮族自治区建设工程质量检测管理规定》（桂建管〔</w:t>
      </w:r>
      <w:r>
        <w:rPr>
          <w:rFonts w:ascii="宋体" w:hAnsi="宋体"/>
          <w:color w:val="auto"/>
          <w:highlight w:val="none"/>
        </w:rPr>
        <w:t>2013</w:t>
      </w:r>
      <w:r>
        <w:rPr>
          <w:rFonts w:hint="eastAsia" w:ascii="宋体" w:hAnsi="宋体"/>
          <w:color w:val="auto"/>
          <w:highlight w:val="none"/>
        </w:rPr>
        <w:t>〕</w:t>
      </w:r>
      <w:r>
        <w:rPr>
          <w:rFonts w:ascii="宋体" w:hAnsi="宋体"/>
          <w:color w:val="auto"/>
          <w:highlight w:val="none"/>
        </w:rPr>
        <w:t>11</w:t>
      </w:r>
      <w:r>
        <w:rPr>
          <w:rFonts w:hint="eastAsia" w:ascii="宋体" w:hAnsi="宋体"/>
          <w:color w:val="auto"/>
          <w:highlight w:val="none"/>
        </w:rPr>
        <w:t>号）规定，工程质量检测业务由发包人委托有相应资质的检测机构检测。费用从发包人的项目建设经费中支出并直接支付给检测机构，不计入合同价款内。</w:t>
      </w:r>
    </w:p>
    <w:p w14:paraId="0BB46893">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594" w:name="_Toc373478386"/>
      <w:bookmarkEnd w:id="594"/>
      <w:bookmarkStart w:id="595" w:name="_Toc373227739"/>
      <w:bookmarkEnd w:id="595"/>
      <w:bookmarkStart w:id="596" w:name="_Toc351203642"/>
      <w:bookmarkEnd w:id="596"/>
      <w:bookmarkStart w:id="597" w:name="_Toc389065305"/>
      <w:bookmarkEnd w:id="597"/>
      <w:bookmarkStart w:id="598" w:name="_Toc16275"/>
      <w:bookmarkEnd w:id="598"/>
      <w:bookmarkStart w:id="599" w:name="_Toc407135242"/>
      <w:bookmarkEnd w:id="599"/>
      <w:r>
        <w:rPr>
          <w:rFonts w:ascii="宋体" w:hAnsi="宋体"/>
          <w:b/>
          <w:bCs/>
          <w:color w:val="auto"/>
          <w:highlight w:val="none"/>
          <w:lang w:val="zh-CN"/>
        </w:rPr>
        <w:t>1</w:t>
      </w:r>
      <w:bookmarkStart w:id="600" w:name="_Toc296944532"/>
      <w:bookmarkEnd w:id="600"/>
      <w:bookmarkStart w:id="601" w:name="_Toc312678025"/>
      <w:bookmarkEnd w:id="601"/>
      <w:bookmarkStart w:id="602" w:name="_Toc297048379"/>
      <w:bookmarkEnd w:id="602"/>
      <w:bookmarkStart w:id="603" w:name="_Toc296891021"/>
      <w:bookmarkEnd w:id="603"/>
      <w:bookmarkStart w:id="604" w:name="_Toc267251441"/>
      <w:bookmarkEnd w:id="604"/>
      <w:bookmarkStart w:id="605" w:name="_Toc297120493"/>
      <w:bookmarkEnd w:id="605"/>
      <w:bookmarkStart w:id="606" w:name="_Toc292559398"/>
      <w:bookmarkEnd w:id="606"/>
      <w:bookmarkStart w:id="607" w:name="_Toc304295566"/>
      <w:bookmarkEnd w:id="607"/>
      <w:bookmarkStart w:id="608" w:name="_Toc312677499"/>
      <w:bookmarkEnd w:id="608"/>
      <w:bookmarkStart w:id="609" w:name="_Toc267251435"/>
      <w:bookmarkEnd w:id="609"/>
      <w:bookmarkStart w:id="610" w:name="_Toc303539146"/>
      <w:bookmarkEnd w:id="610"/>
      <w:bookmarkStart w:id="611" w:name="_Toc297216199"/>
      <w:bookmarkEnd w:id="611"/>
      <w:bookmarkStart w:id="612" w:name="_Toc296346694"/>
      <w:bookmarkEnd w:id="612"/>
      <w:bookmarkStart w:id="613" w:name="_Toc296347192"/>
      <w:bookmarkEnd w:id="613"/>
      <w:bookmarkStart w:id="614" w:name="_Toc297123540"/>
      <w:bookmarkEnd w:id="614"/>
      <w:bookmarkStart w:id="615" w:name="_Toc292559903"/>
      <w:bookmarkEnd w:id="615"/>
      <w:bookmarkStart w:id="616" w:name="_Toc267251442"/>
      <w:bookmarkEnd w:id="616"/>
      <w:bookmarkStart w:id="617" w:name="_Toc296891233"/>
      <w:bookmarkEnd w:id="617"/>
      <w:bookmarkStart w:id="618" w:name="_Toc267251439"/>
      <w:bookmarkEnd w:id="618"/>
      <w:bookmarkStart w:id="619" w:name="_Toc296503193"/>
      <w:bookmarkEnd w:id="619"/>
      <w:bookmarkStart w:id="620" w:name="_Toc300934989"/>
      <w:bookmarkEnd w:id="620"/>
      <w:bookmarkStart w:id="621" w:name="_Toc267251433"/>
      <w:bookmarkEnd w:id="621"/>
      <w:bookmarkStart w:id="622" w:name="_Toc267251440"/>
      <w:bookmarkEnd w:id="622"/>
      <w:bookmarkStart w:id="623" w:name="_Toc267251437"/>
      <w:r>
        <w:rPr>
          <w:rFonts w:ascii="宋体" w:hAnsi="宋体"/>
          <w:b/>
          <w:bCs/>
          <w:color w:val="auto"/>
          <w:highlight w:val="none"/>
          <w:lang w:val="zh-CN"/>
        </w:rPr>
        <w:t xml:space="preserve">0. </w:t>
      </w:r>
      <w:bookmarkEnd w:id="623"/>
      <w:r>
        <w:rPr>
          <w:rFonts w:hint="eastAsia" w:ascii="宋体" w:hAnsi="宋体"/>
          <w:b/>
          <w:bCs/>
          <w:color w:val="auto"/>
          <w:highlight w:val="none"/>
          <w:lang w:val="zh-CN"/>
        </w:rPr>
        <w:t>变更</w:t>
      </w:r>
    </w:p>
    <w:p w14:paraId="3774F877">
      <w:pPr>
        <w:keepNext/>
        <w:keepLines/>
        <w:pageBreakBefore w:val="0"/>
        <w:kinsoku/>
        <w:wordWrap w:val="0"/>
        <w:topLinePunct w:val="0"/>
        <w:spacing w:line="360" w:lineRule="auto"/>
        <w:outlineLvl w:val="2"/>
        <w:rPr>
          <w:rFonts w:ascii="宋体" w:hAnsi="宋体"/>
          <w:b/>
          <w:bCs/>
          <w:color w:val="auto"/>
          <w:highlight w:val="none"/>
          <w:lang w:val="zh-CN"/>
        </w:rPr>
      </w:pPr>
      <w:bookmarkStart w:id="624" w:name="_Toc389065306"/>
      <w:bookmarkEnd w:id="624"/>
      <w:bookmarkStart w:id="625" w:name="_Toc9754"/>
      <w:bookmarkEnd w:id="625"/>
      <w:bookmarkStart w:id="626" w:name="_Toc407135243"/>
      <w:bookmarkEnd w:id="626"/>
      <w:bookmarkStart w:id="627" w:name="_Toc373227740"/>
      <w:bookmarkEnd w:id="627"/>
      <w:bookmarkStart w:id="628" w:name="_Toc373478387"/>
      <w:r>
        <w:rPr>
          <w:rFonts w:ascii="宋体" w:hAnsi="宋体"/>
          <w:b/>
          <w:bCs/>
          <w:color w:val="auto"/>
          <w:highlight w:val="none"/>
          <w:lang w:val="zh-CN"/>
        </w:rPr>
        <w:t>1</w:t>
      </w:r>
      <w:bookmarkEnd w:id="628"/>
      <w:bookmarkStart w:id="629" w:name="_Toc312678026"/>
      <w:bookmarkEnd w:id="629"/>
      <w:bookmarkStart w:id="630" w:name="_Toc296944533"/>
      <w:bookmarkEnd w:id="630"/>
      <w:bookmarkStart w:id="631" w:name="_Toc297120494"/>
      <w:bookmarkEnd w:id="631"/>
      <w:bookmarkStart w:id="632" w:name="_Toc296891234"/>
      <w:bookmarkEnd w:id="632"/>
      <w:bookmarkStart w:id="633" w:name="_Toc296503194"/>
      <w:bookmarkEnd w:id="633"/>
      <w:bookmarkStart w:id="634" w:name="_Toc292559904"/>
      <w:bookmarkEnd w:id="634"/>
      <w:bookmarkStart w:id="635" w:name="_Toc312677500"/>
      <w:bookmarkEnd w:id="635"/>
      <w:bookmarkStart w:id="636" w:name="_Toc296891022"/>
      <w:bookmarkEnd w:id="636"/>
      <w:bookmarkStart w:id="637" w:name="_Toc300934990"/>
      <w:bookmarkEnd w:id="637"/>
      <w:bookmarkStart w:id="638" w:name="_Toc297048380"/>
      <w:bookmarkEnd w:id="638"/>
      <w:bookmarkStart w:id="639" w:name="_Toc292559399"/>
      <w:bookmarkEnd w:id="639"/>
      <w:bookmarkStart w:id="640" w:name="_Toc303539147"/>
      <w:bookmarkEnd w:id="640"/>
      <w:bookmarkStart w:id="641" w:name="_Toc304295567"/>
      <w:bookmarkEnd w:id="641"/>
      <w:bookmarkStart w:id="642" w:name="_Toc297123541"/>
      <w:bookmarkEnd w:id="642"/>
      <w:bookmarkStart w:id="643" w:name="_Toc296346695"/>
      <w:bookmarkEnd w:id="643"/>
      <w:bookmarkStart w:id="644" w:name="_Toc296347193"/>
      <w:bookmarkEnd w:id="644"/>
      <w:bookmarkStart w:id="645" w:name="_Toc297216200"/>
      <w:r>
        <w:rPr>
          <w:rFonts w:ascii="宋体" w:hAnsi="宋体"/>
          <w:b/>
          <w:bCs/>
          <w:color w:val="auto"/>
          <w:highlight w:val="none"/>
          <w:lang w:val="zh-CN"/>
        </w:rPr>
        <w:t xml:space="preserve">0.1 </w:t>
      </w:r>
      <w:bookmarkEnd w:id="645"/>
      <w:r>
        <w:rPr>
          <w:rFonts w:hint="eastAsia" w:ascii="宋体" w:hAnsi="宋体"/>
          <w:b/>
          <w:bCs/>
          <w:color w:val="auto"/>
          <w:highlight w:val="none"/>
          <w:lang w:val="zh-CN"/>
        </w:rPr>
        <w:t>变更的范围</w:t>
      </w:r>
    </w:p>
    <w:p w14:paraId="36F37212">
      <w:pPr>
        <w:pageBreakBefore w:val="0"/>
        <w:kinsoku/>
        <w:wordWrap w:val="0"/>
        <w:topLinePunct w:val="0"/>
        <w:spacing w:line="360" w:lineRule="auto"/>
        <w:ind w:firstLine="426"/>
        <w:jc w:val="left"/>
        <w:rPr>
          <w:rFonts w:ascii="宋体" w:hAnsi="宋体"/>
          <w:color w:val="auto"/>
          <w:highlight w:val="none"/>
        </w:rPr>
      </w:pPr>
      <w:r>
        <w:rPr>
          <w:rFonts w:hint="eastAsia" w:ascii="宋体" w:hAnsi="宋体"/>
          <w:color w:val="auto"/>
          <w:highlight w:val="none"/>
        </w:rPr>
        <w:t>关于变更的范围的约定：</w:t>
      </w:r>
      <w:r>
        <w:rPr>
          <w:rFonts w:hint="eastAsia" w:ascii="宋体" w:hAnsi="宋体"/>
          <w:color w:val="auto"/>
          <w:highlight w:val="none"/>
          <w:u w:val="single"/>
        </w:rPr>
        <w:t>设计变更</w:t>
      </w:r>
      <w:r>
        <w:rPr>
          <w:rFonts w:hint="eastAsia" w:ascii="宋体" w:hAnsi="宋体"/>
          <w:color w:val="auto"/>
          <w:highlight w:val="none"/>
        </w:rPr>
        <w:t>。</w:t>
      </w:r>
    </w:p>
    <w:p w14:paraId="3147B601">
      <w:pPr>
        <w:pageBreakBefore w:val="0"/>
        <w:kinsoku/>
        <w:wordWrap w:val="0"/>
        <w:topLinePunct w:val="0"/>
        <w:spacing w:line="360" w:lineRule="auto"/>
        <w:ind w:firstLine="426"/>
        <w:jc w:val="left"/>
        <w:rPr>
          <w:rFonts w:ascii="宋体" w:hAnsi="宋体"/>
          <w:color w:val="auto"/>
          <w:highlight w:val="none"/>
        </w:rPr>
      </w:pPr>
      <w:r>
        <w:rPr>
          <w:rFonts w:hint="eastAsia" w:ascii="宋体" w:hAnsi="宋体"/>
          <w:color w:val="auto"/>
          <w:highlight w:val="none"/>
        </w:rPr>
        <w:t>所发生的工程设计变更,应由发包人驻工地代表根据授权的范围内与设计单位签字认可后,发生的工程量变更由发包人驻工地代表和现场的监理工程师承包方共同签字认可。合同履行中承包人不得要求变更工程质量标准及发生其他实质性变更。发包人根据工程实际情况,可以对工程中个别工程内容进行增减。</w:t>
      </w:r>
    </w:p>
    <w:p w14:paraId="274D5F40">
      <w:pPr>
        <w:keepNext/>
        <w:keepLines/>
        <w:pageBreakBefore w:val="0"/>
        <w:kinsoku/>
        <w:wordWrap w:val="0"/>
        <w:topLinePunct w:val="0"/>
        <w:spacing w:line="360" w:lineRule="auto"/>
        <w:outlineLvl w:val="2"/>
        <w:rPr>
          <w:rFonts w:ascii="宋体" w:hAnsi="宋体"/>
          <w:b/>
          <w:bCs/>
          <w:color w:val="auto"/>
          <w:highlight w:val="none"/>
          <w:lang w:val="zh-CN"/>
        </w:rPr>
      </w:pPr>
      <w:bookmarkStart w:id="646" w:name="_Toc373227741"/>
      <w:bookmarkEnd w:id="646"/>
      <w:bookmarkStart w:id="647" w:name="_Toc407135244"/>
      <w:bookmarkEnd w:id="647"/>
      <w:bookmarkStart w:id="648" w:name="_Toc389065307"/>
      <w:bookmarkEnd w:id="648"/>
      <w:bookmarkStart w:id="649" w:name="_Toc373478388"/>
      <w:bookmarkEnd w:id="649"/>
      <w:bookmarkStart w:id="650" w:name="_Toc1870"/>
      <w:r>
        <w:rPr>
          <w:rFonts w:ascii="宋体" w:hAnsi="宋体"/>
          <w:b/>
          <w:bCs/>
          <w:color w:val="auto"/>
          <w:highlight w:val="none"/>
          <w:lang w:val="zh-CN"/>
        </w:rPr>
        <w:t xml:space="preserve">10.3 </w:t>
      </w:r>
      <w:bookmarkEnd w:id="650"/>
      <w:r>
        <w:rPr>
          <w:rFonts w:hint="eastAsia" w:ascii="宋体" w:hAnsi="宋体"/>
          <w:b/>
          <w:bCs/>
          <w:color w:val="auto"/>
          <w:highlight w:val="none"/>
          <w:lang w:val="zh-CN"/>
        </w:rPr>
        <w:t>变更程序</w:t>
      </w:r>
    </w:p>
    <w:p w14:paraId="6697CFD5">
      <w:pPr>
        <w:pageBreakBefore w:val="0"/>
        <w:kinsoku/>
        <w:wordWrap w:val="0"/>
        <w:topLinePunct w:val="0"/>
        <w:spacing w:line="360" w:lineRule="auto"/>
        <w:ind w:firstLine="441" w:firstLineChars="210"/>
        <w:rPr>
          <w:rFonts w:ascii="宋体" w:hAnsi="宋体"/>
          <w:color w:val="auto"/>
          <w:highlight w:val="none"/>
        </w:rPr>
      </w:pPr>
      <w:r>
        <w:rPr>
          <w:rFonts w:ascii="宋体" w:hAnsi="宋体"/>
          <w:color w:val="auto"/>
          <w:highlight w:val="none"/>
        </w:rPr>
        <w:t>10.3.1</w:t>
      </w:r>
      <w:r>
        <w:rPr>
          <w:rFonts w:hint="eastAsia" w:ascii="宋体" w:hAnsi="宋体"/>
          <w:color w:val="auto"/>
          <w:highlight w:val="none"/>
        </w:rPr>
        <w:t>国有投资项目：</w:t>
      </w:r>
    </w:p>
    <w:p w14:paraId="72ABA588">
      <w:pPr>
        <w:pageBreakBefore w:val="0"/>
        <w:kinsoku/>
        <w:wordWrap w:val="0"/>
        <w:topLinePunct w:val="0"/>
        <w:spacing w:line="360" w:lineRule="auto"/>
        <w:ind w:firstLine="441" w:firstLineChars="210"/>
        <w:rPr>
          <w:rFonts w:ascii="宋体" w:hAnsi="宋体"/>
          <w:color w:val="auto"/>
          <w:highlight w:val="none"/>
        </w:rPr>
      </w:pPr>
      <w:r>
        <w:rPr>
          <w:rFonts w:hint="eastAsia" w:ascii="宋体" w:hAnsi="宋体"/>
          <w:color w:val="auto"/>
          <w:highlight w:val="none"/>
        </w:rPr>
        <w:t>⑴设计变更和工程签证，按政府相关部门或发包人的上级相关部门的规定办理。属不可抗力（自然灾害、突发事件等）造成变更的，按特事特办原则予以办理。</w:t>
      </w:r>
    </w:p>
    <w:p w14:paraId="608270A5">
      <w:pPr>
        <w:pageBreakBefore w:val="0"/>
        <w:kinsoku/>
        <w:wordWrap w:val="0"/>
        <w:topLinePunct w:val="0"/>
        <w:spacing w:line="360" w:lineRule="auto"/>
        <w:ind w:firstLine="441" w:firstLineChars="210"/>
        <w:rPr>
          <w:rFonts w:ascii="宋体" w:hAnsi="宋体"/>
          <w:color w:val="auto"/>
          <w:highlight w:val="none"/>
        </w:rPr>
      </w:pPr>
      <w:r>
        <w:rPr>
          <w:rFonts w:hint="eastAsia" w:ascii="宋体" w:hAnsi="宋体"/>
          <w:color w:val="auto"/>
          <w:highlight w:val="none"/>
        </w:rPr>
        <w:t>⑵合同规定的合同价款调整情况发生后，承包人未在规定时间内书面通知发包人，或者未在规定时间内提出调整报告，发包人可以根据有关资料，决定是否调整和调整的金额。</w:t>
      </w:r>
    </w:p>
    <w:p w14:paraId="36474FA8">
      <w:pPr>
        <w:pageBreakBefore w:val="0"/>
        <w:kinsoku/>
        <w:wordWrap w:val="0"/>
        <w:topLinePunct w:val="0"/>
        <w:spacing w:line="360" w:lineRule="auto"/>
        <w:ind w:firstLine="420" w:firstLineChars="200"/>
        <w:jc w:val="left"/>
        <w:rPr>
          <w:rFonts w:ascii="宋体" w:hAnsi="宋体"/>
          <w:color w:val="auto"/>
          <w:highlight w:val="none"/>
          <w:u w:val="single"/>
        </w:rPr>
      </w:pPr>
      <w:r>
        <w:rPr>
          <w:rFonts w:ascii="宋体" w:hAnsi="宋体"/>
          <w:color w:val="auto"/>
          <w:highlight w:val="none"/>
        </w:rPr>
        <w:t xml:space="preserve">10.3.2 </w:t>
      </w:r>
      <w:r>
        <w:rPr>
          <w:rFonts w:hint="eastAsia" w:ascii="宋体" w:hAnsi="宋体"/>
          <w:color w:val="auto"/>
          <w:highlight w:val="none"/>
        </w:rPr>
        <w:t>非国有投资项目：</w:t>
      </w:r>
      <w:r>
        <w:rPr>
          <w:rFonts w:hint="eastAsia" w:ascii="宋体" w:hAnsi="宋体"/>
          <w:color w:val="auto"/>
          <w:highlight w:val="none"/>
          <w:u w:val="single"/>
        </w:rPr>
        <w:t xml:space="preserve">     /     </w:t>
      </w:r>
    </w:p>
    <w:p w14:paraId="144AF2DE">
      <w:pPr>
        <w:keepNext/>
        <w:keepLines/>
        <w:pageBreakBefore w:val="0"/>
        <w:kinsoku/>
        <w:wordWrap w:val="0"/>
        <w:topLinePunct w:val="0"/>
        <w:spacing w:line="360" w:lineRule="auto"/>
        <w:outlineLvl w:val="2"/>
        <w:rPr>
          <w:rFonts w:ascii="宋体" w:hAnsi="宋体"/>
          <w:b/>
          <w:bCs/>
          <w:color w:val="auto"/>
          <w:highlight w:val="none"/>
          <w:lang w:val="zh-CN"/>
        </w:rPr>
      </w:pPr>
      <w:bookmarkStart w:id="651" w:name="_Toc373227742"/>
      <w:r>
        <w:rPr>
          <w:rFonts w:ascii="宋体" w:hAnsi="宋体"/>
          <w:b/>
          <w:bCs/>
          <w:color w:val="auto"/>
          <w:highlight w:val="none"/>
          <w:lang w:val="zh-CN"/>
        </w:rPr>
        <w:t xml:space="preserve">10.4 </w:t>
      </w:r>
      <w:bookmarkEnd w:id="651"/>
      <w:r>
        <w:rPr>
          <w:rFonts w:hint="eastAsia" w:ascii="宋体" w:hAnsi="宋体"/>
          <w:b/>
          <w:bCs/>
          <w:color w:val="auto"/>
          <w:highlight w:val="none"/>
          <w:lang w:val="zh-CN"/>
        </w:rPr>
        <w:t>变更估价</w:t>
      </w:r>
    </w:p>
    <w:p w14:paraId="60ACA300">
      <w:pPr>
        <w:pageBreakBefore w:val="0"/>
        <w:kinsoku/>
        <w:wordWrap w:val="0"/>
        <w:topLinePunct w:val="0"/>
        <w:spacing w:line="360" w:lineRule="auto"/>
        <w:ind w:firstLine="420" w:firstLineChars="200"/>
        <w:jc w:val="left"/>
        <w:rPr>
          <w:rFonts w:ascii="宋体" w:hAnsi="宋体"/>
          <w:color w:val="auto"/>
          <w:highlight w:val="none"/>
        </w:rPr>
      </w:pPr>
      <w:bookmarkStart w:id="652" w:name="_Toc389065309"/>
      <w:bookmarkEnd w:id="652"/>
      <w:bookmarkStart w:id="653" w:name="_Toc373478390"/>
      <w:bookmarkEnd w:id="653"/>
      <w:bookmarkStart w:id="654" w:name="_Toc5836"/>
      <w:bookmarkEnd w:id="654"/>
      <w:bookmarkStart w:id="655" w:name="_Toc373227743"/>
      <w:bookmarkEnd w:id="655"/>
      <w:r>
        <w:rPr>
          <w:rFonts w:ascii="宋体" w:hAnsi="宋体"/>
          <w:color w:val="auto"/>
          <w:highlight w:val="none"/>
        </w:rPr>
        <w:t xml:space="preserve">10.4.1 </w:t>
      </w:r>
      <w:r>
        <w:rPr>
          <w:rFonts w:hint="eastAsia" w:ascii="宋体" w:hAnsi="宋体"/>
          <w:color w:val="auto"/>
          <w:highlight w:val="none"/>
        </w:rPr>
        <w:t>变更估价原则</w:t>
      </w:r>
    </w:p>
    <w:p w14:paraId="11CF4654">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关于变更估价的约定</w:t>
      </w:r>
    </w:p>
    <w:p w14:paraId="1808CA85">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变更价款约定的其他方法:施工中发生的设计变更追加及减少的项目,工程量按实计算。</w:t>
      </w:r>
    </w:p>
    <w:p w14:paraId="10BF04AE">
      <w:pPr>
        <w:pageBreakBefore w:val="0"/>
        <w:kinsoku/>
        <w:wordWrap w:val="0"/>
        <w:topLinePunct w:val="0"/>
        <w:spacing w:line="360" w:lineRule="auto"/>
        <w:ind w:firstLine="420" w:firstLineChars="200"/>
        <w:jc w:val="left"/>
        <w:rPr>
          <w:rFonts w:ascii="宋体" w:hAnsi="宋体"/>
          <w:color w:val="auto"/>
          <w:highlight w:val="none"/>
          <w:u w:val="single"/>
        </w:rPr>
      </w:pPr>
      <w:bookmarkStart w:id="656" w:name="_Toc251051742"/>
      <w:bookmarkEnd w:id="656"/>
      <w:r>
        <w:rPr>
          <w:rFonts w:hint="eastAsia" w:ascii="宋体" w:hAnsi="宋体"/>
          <w:color w:val="auto"/>
          <w:highlight w:val="none"/>
          <w:u w:val="single"/>
        </w:rPr>
        <w:t>工程变更合同价款按下列方法进行：（</w:t>
      </w:r>
      <w:r>
        <w:rPr>
          <w:rFonts w:ascii="宋体" w:hAnsi="宋体"/>
          <w:color w:val="auto"/>
          <w:highlight w:val="none"/>
          <w:u w:val="single"/>
        </w:rPr>
        <w:t>1</w:t>
      </w:r>
      <w:r>
        <w:rPr>
          <w:rFonts w:hint="eastAsia" w:ascii="宋体" w:hAnsi="宋体"/>
          <w:color w:val="auto"/>
          <w:highlight w:val="none"/>
          <w:u w:val="single"/>
        </w:rPr>
        <w:t>）合同中已有相同清单项目的，按合同该清单项目价格进行计算；（</w:t>
      </w:r>
      <w:r>
        <w:rPr>
          <w:rFonts w:ascii="宋体" w:hAnsi="宋体"/>
          <w:color w:val="auto"/>
          <w:highlight w:val="none"/>
          <w:u w:val="single"/>
        </w:rPr>
        <w:t>2</w:t>
      </w:r>
      <w:r>
        <w:rPr>
          <w:rFonts w:hint="eastAsia" w:ascii="宋体" w:hAnsi="宋体"/>
          <w:color w:val="auto"/>
          <w:highlight w:val="none"/>
          <w:u w:val="single"/>
        </w:rPr>
        <w:t>）合同中只有类似清单项目的，参照该类似清单项目价格进行计算；（</w:t>
      </w:r>
      <w:r>
        <w:rPr>
          <w:rFonts w:ascii="宋体" w:hAnsi="宋体"/>
          <w:color w:val="auto"/>
          <w:highlight w:val="none"/>
          <w:u w:val="single"/>
        </w:rPr>
        <w:t>3</w:t>
      </w:r>
      <w:r>
        <w:rPr>
          <w:rFonts w:hint="eastAsia" w:ascii="宋体" w:hAnsi="宋体"/>
          <w:color w:val="auto"/>
          <w:highlight w:val="none"/>
          <w:u w:val="single"/>
        </w:rPr>
        <w:t>）合同中没有适用或类似清单项目的价格计算方法：有定额的套定额，并（</w:t>
      </w:r>
      <w:r>
        <w:rPr>
          <w:rFonts w:hint="eastAsia" w:ascii="宋体" w:hAnsi="宋体" w:eastAsia="MS Mincho" w:cs="MS Mincho"/>
          <w:b/>
          <w:bCs/>
          <w:color w:val="auto"/>
          <w:highlight w:val="none"/>
        </w:rPr>
        <w:t>☑</w:t>
      </w:r>
      <w:r>
        <w:rPr>
          <w:rFonts w:hint="eastAsia" w:ascii="宋体" w:hAnsi="宋体"/>
          <w:color w:val="auto"/>
          <w:highlight w:val="none"/>
          <w:u w:val="single"/>
        </w:rPr>
        <w:t>乘以下浮系数</w:t>
      </w:r>
      <w:r>
        <w:rPr>
          <w:rFonts w:hint="eastAsia" w:ascii="宋体" w:hAnsi="宋体" w:cs="宋体"/>
          <w:color w:val="auto"/>
          <w:highlight w:val="none"/>
          <w:u w:val="single"/>
        </w:rPr>
        <w:t>（中标价除以控制价乘以</w:t>
      </w:r>
      <w:r>
        <w:rPr>
          <w:rFonts w:ascii="宋体" w:hAnsi="宋体" w:cs="宋体"/>
          <w:color w:val="auto"/>
          <w:highlight w:val="none"/>
          <w:u w:val="single"/>
        </w:rPr>
        <w:t>100%</w:t>
      </w:r>
      <w:r>
        <w:rPr>
          <w:rFonts w:hint="eastAsia" w:ascii="宋体" w:hAnsi="宋体" w:cs="宋体"/>
          <w:color w:val="auto"/>
          <w:highlight w:val="none"/>
          <w:u w:val="single"/>
        </w:rPr>
        <w:t>）</w:t>
      </w:r>
      <w:r>
        <w:rPr>
          <w:rFonts w:hint="eastAsia" w:ascii="宋体" w:hAnsi="宋体"/>
          <w:color w:val="auto"/>
          <w:highlight w:val="none"/>
          <w:u w:val="single"/>
        </w:rPr>
        <w:t>，</w:t>
      </w:r>
      <w:r>
        <w:rPr>
          <w:rFonts w:hint="eastAsia" w:ascii="宋体" w:hAnsi="宋体"/>
          <w:b/>
          <w:bCs/>
          <w:color w:val="auto"/>
          <w:highlight w:val="none"/>
        </w:rPr>
        <w:t>□</w:t>
      </w:r>
      <w:r>
        <w:rPr>
          <w:rFonts w:hint="eastAsia" w:ascii="宋体" w:hAnsi="宋体"/>
          <w:color w:val="auto"/>
          <w:highlight w:val="none"/>
          <w:u w:val="single"/>
        </w:rPr>
        <w:t>不乘下浮系数）计算，其中：材料设备价格按施工期间的《</w:t>
      </w:r>
      <w:r>
        <w:rPr>
          <w:rFonts w:hint="eastAsia" w:ascii="宋体" w:hAnsi="宋体"/>
          <w:color w:val="auto"/>
          <w:highlight w:val="none"/>
          <w:u w:val="single"/>
          <w:lang w:eastAsia="zh-CN"/>
        </w:rPr>
        <w:t>桂林市建设工程造价信息</w:t>
      </w:r>
      <w:r>
        <w:rPr>
          <w:rFonts w:hint="eastAsia" w:ascii="宋体" w:hAnsi="宋体"/>
          <w:color w:val="auto"/>
          <w:highlight w:val="none"/>
          <w:u w:val="single"/>
        </w:rPr>
        <w:t>》相应信息价的加权平均值计算，</w:t>
      </w:r>
      <w:r>
        <w:rPr>
          <w:rFonts w:hint="eastAsia" w:asciiTheme="minorEastAsia" w:hAnsiTheme="minorEastAsia" w:eastAsiaTheme="minorEastAsia"/>
          <w:color w:val="auto"/>
          <w:highlight w:val="none"/>
          <w:u w:val="single"/>
        </w:rPr>
        <w:t>《</w:t>
      </w:r>
      <w:r>
        <w:rPr>
          <w:rFonts w:hint="eastAsia" w:asciiTheme="minorEastAsia" w:hAnsiTheme="minorEastAsia" w:eastAsiaTheme="minorEastAsia"/>
          <w:color w:val="auto"/>
          <w:highlight w:val="none"/>
          <w:u w:val="single"/>
          <w:lang w:eastAsia="zh-CN"/>
        </w:rPr>
        <w:t>桂林市建设工程造价信息</w:t>
      </w:r>
      <w:r>
        <w:rPr>
          <w:rFonts w:hint="eastAsia" w:asciiTheme="minorEastAsia" w:hAnsiTheme="minorEastAsia" w:eastAsiaTheme="minorEastAsia"/>
          <w:color w:val="auto"/>
          <w:highlight w:val="none"/>
          <w:u w:val="single"/>
        </w:rPr>
        <w:t>》没有相应价格信息的按施工期间的《南宁市建设工程造价信息》相应价格信息</w:t>
      </w:r>
      <w:r>
        <w:rPr>
          <w:rFonts w:hint="eastAsia" w:ascii="宋体" w:hAnsi="宋体"/>
          <w:color w:val="auto"/>
          <w:highlight w:val="none"/>
          <w:u w:val="single"/>
        </w:rPr>
        <w:t>加权平均值计算，</w:t>
      </w:r>
      <w:r>
        <w:rPr>
          <w:rFonts w:hint="eastAsia" w:asciiTheme="minorEastAsia" w:hAnsiTheme="minorEastAsia" w:eastAsiaTheme="minorEastAsia"/>
          <w:color w:val="auto"/>
          <w:highlight w:val="none"/>
          <w:u w:val="single"/>
        </w:rPr>
        <w:t>《南宁市建设工程造价信息》</w:t>
      </w:r>
      <w:r>
        <w:rPr>
          <w:rFonts w:hint="eastAsia" w:ascii="宋体" w:hAnsi="宋体"/>
          <w:color w:val="auto"/>
          <w:highlight w:val="none"/>
          <w:u w:val="single"/>
        </w:rPr>
        <w:t>没有相应信息价的，由建设单位委托造价咨询单位根据当地市场行情来确定，新增单价需报送造价咨询单位评审确定。</w:t>
      </w:r>
    </w:p>
    <w:p w14:paraId="2A379C9E">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u w:val="single"/>
        </w:rPr>
        <w:t>施工单位投标报价时的措施项目费报价不因施工过程中发生的设计变更而调整。</w:t>
      </w:r>
    </w:p>
    <w:p w14:paraId="011F0976">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u w:val="single"/>
        </w:rPr>
        <w:t>设计变更导致实际完成的工程量与已标价清单或预算书中列明的该项目工程量有偏差时，按专用条款“</w:t>
      </w:r>
      <w:r>
        <w:rPr>
          <w:rFonts w:ascii="宋体" w:hAnsi="宋体"/>
          <w:color w:val="auto"/>
          <w:highlight w:val="none"/>
          <w:u w:val="single"/>
        </w:rPr>
        <w:t>1.13</w:t>
      </w:r>
      <w:r>
        <w:rPr>
          <w:rFonts w:hint="eastAsia" w:ascii="宋体" w:hAnsi="宋体"/>
          <w:color w:val="auto"/>
          <w:highlight w:val="none"/>
          <w:u w:val="single"/>
        </w:rPr>
        <w:t>工程量清单错误的修正”执行。</w:t>
      </w:r>
    </w:p>
    <w:p w14:paraId="3E3F37E9">
      <w:pPr>
        <w:keepNext/>
        <w:keepLines/>
        <w:pageBreakBefore w:val="0"/>
        <w:kinsoku/>
        <w:wordWrap w:val="0"/>
        <w:topLinePunct w:val="0"/>
        <w:spacing w:line="360" w:lineRule="auto"/>
        <w:outlineLvl w:val="2"/>
        <w:rPr>
          <w:rFonts w:ascii="宋体" w:hAnsi="宋体"/>
          <w:b/>
          <w:bCs/>
          <w:color w:val="auto"/>
          <w:highlight w:val="none"/>
          <w:lang w:val="zh-CN"/>
        </w:rPr>
      </w:pPr>
      <w:r>
        <w:rPr>
          <w:rFonts w:ascii="宋体" w:hAnsi="宋体"/>
          <w:b/>
          <w:bCs/>
          <w:color w:val="auto"/>
          <w:highlight w:val="none"/>
          <w:lang w:val="zh-CN"/>
        </w:rPr>
        <w:t>1</w:t>
      </w:r>
      <w:bookmarkStart w:id="657" w:name="_Toc292559907"/>
      <w:bookmarkEnd w:id="657"/>
      <w:bookmarkStart w:id="658" w:name="_Toc296891025"/>
      <w:bookmarkEnd w:id="658"/>
      <w:bookmarkStart w:id="659" w:name="_Toc300934993"/>
      <w:bookmarkEnd w:id="659"/>
      <w:bookmarkStart w:id="660" w:name="_Toc296891237"/>
      <w:bookmarkEnd w:id="660"/>
      <w:bookmarkStart w:id="661" w:name="_Toc296944536"/>
      <w:bookmarkEnd w:id="661"/>
      <w:bookmarkStart w:id="662" w:name="_Toc297120497"/>
      <w:bookmarkEnd w:id="662"/>
      <w:bookmarkStart w:id="663" w:name="_Toc296346698"/>
      <w:bookmarkEnd w:id="663"/>
      <w:bookmarkStart w:id="664" w:name="_Toc304295570"/>
      <w:bookmarkEnd w:id="664"/>
      <w:bookmarkStart w:id="665" w:name="_Toc296347196"/>
      <w:bookmarkEnd w:id="665"/>
      <w:bookmarkStart w:id="666" w:name="_Toc303539150"/>
      <w:bookmarkEnd w:id="666"/>
      <w:bookmarkStart w:id="667" w:name="_Toc296503197"/>
      <w:bookmarkEnd w:id="667"/>
      <w:bookmarkStart w:id="668" w:name="_Toc297048383"/>
      <w:bookmarkEnd w:id="668"/>
      <w:bookmarkStart w:id="669" w:name="_Toc297216203"/>
      <w:bookmarkEnd w:id="669"/>
      <w:bookmarkStart w:id="670" w:name="_Toc292559402"/>
      <w:bookmarkEnd w:id="670"/>
      <w:bookmarkStart w:id="671" w:name="_Toc297123544"/>
      <w:bookmarkEnd w:id="671"/>
      <w:bookmarkStart w:id="672" w:name="_Toc312677503"/>
      <w:bookmarkEnd w:id="672"/>
      <w:bookmarkStart w:id="673" w:name="_Toc312678029"/>
      <w:bookmarkEnd w:id="673"/>
      <w:r>
        <w:rPr>
          <w:rFonts w:ascii="宋体" w:hAnsi="宋体"/>
          <w:b/>
          <w:bCs/>
          <w:color w:val="auto"/>
          <w:highlight w:val="none"/>
          <w:lang w:val="zh-CN"/>
        </w:rPr>
        <w:t xml:space="preserve">0.5 </w:t>
      </w:r>
      <w:r>
        <w:rPr>
          <w:rFonts w:hint="eastAsia" w:ascii="宋体" w:hAnsi="宋体"/>
          <w:b/>
          <w:bCs/>
          <w:color w:val="auto"/>
          <w:highlight w:val="none"/>
          <w:lang w:val="zh-CN"/>
        </w:rPr>
        <w:t>承</w:t>
      </w:r>
      <w:bookmarkStart w:id="674" w:name="_Toc296346704"/>
      <w:bookmarkEnd w:id="674"/>
      <w:bookmarkStart w:id="675" w:name="_Toc296891031"/>
      <w:bookmarkEnd w:id="675"/>
      <w:bookmarkStart w:id="676" w:name="_Toc297216204"/>
      <w:bookmarkEnd w:id="676"/>
      <w:bookmarkStart w:id="677" w:name="_Toc300934994"/>
      <w:bookmarkEnd w:id="677"/>
      <w:bookmarkStart w:id="678" w:name="_Toc303539151"/>
      <w:bookmarkEnd w:id="678"/>
      <w:bookmarkStart w:id="679" w:name="_Toc296503203"/>
      <w:bookmarkEnd w:id="679"/>
      <w:bookmarkStart w:id="680" w:name="_Toc296347202"/>
      <w:bookmarkEnd w:id="680"/>
      <w:bookmarkStart w:id="681" w:name="_Toc292559408"/>
      <w:bookmarkEnd w:id="681"/>
      <w:bookmarkStart w:id="682" w:name="_Toc297120503"/>
      <w:bookmarkEnd w:id="682"/>
      <w:bookmarkStart w:id="683" w:name="_Toc296944542"/>
      <w:bookmarkEnd w:id="683"/>
      <w:bookmarkStart w:id="684" w:name="_Toc296891243"/>
      <w:bookmarkEnd w:id="684"/>
      <w:bookmarkStart w:id="685" w:name="_Toc297123545"/>
      <w:bookmarkEnd w:id="685"/>
      <w:bookmarkStart w:id="686" w:name="_Toc292559913"/>
      <w:bookmarkEnd w:id="686"/>
      <w:bookmarkStart w:id="687" w:name="_Toc297048389"/>
      <w:bookmarkEnd w:id="687"/>
      <w:r>
        <w:rPr>
          <w:rFonts w:hint="eastAsia" w:ascii="宋体" w:hAnsi="宋体"/>
          <w:b/>
          <w:bCs/>
          <w:color w:val="auto"/>
          <w:highlight w:val="none"/>
          <w:lang w:val="zh-CN"/>
        </w:rPr>
        <w:t>包人的合理化建议</w:t>
      </w:r>
    </w:p>
    <w:p w14:paraId="44A83B4C">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监理人审查承包人合理化建议的期限：</w:t>
      </w:r>
      <w:r>
        <w:rPr>
          <w:rFonts w:ascii="宋体" w:hAnsi="宋体"/>
          <w:bCs/>
          <w:color w:val="auto"/>
          <w:highlight w:val="none"/>
          <w:u w:val="single"/>
        </w:rPr>
        <w:t>7</w:t>
      </w:r>
      <w:r>
        <w:rPr>
          <w:rFonts w:hint="eastAsia" w:ascii="宋体" w:hAnsi="宋体"/>
          <w:bCs/>
          <w:color w:val="auto"/>
          <w:highlight w:val="none"/>
          <w:u w:val="single"/>
        </w:rPr>
        <w:t>天内审查完毕并报发包人</w:t>
      </w:r>
      <w:r>
        <w:rPr>
          <w:rFonts w:hint="eastAsia" w:ascii="宋体" w:hAnsi="宋体"/>
          <w:color w:val="auto"/>
          <w:highlight w:val="none"/>
        </w:rPr>
        <w:t>。</w:t>
      </w:r>
    </w:p>
    <w:p w14:paraId="20BC940F">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发包人审批承包人合理化建议的期限：</w:t>
      </w:r>
      <w:r>
        <w:rPr>
          <w:rFonts w:hint="eastAsia" w:ascii="宋体" w:hAnsi="宋体"/>
          <w:bCs/>
          <w:color w:val="auto"/>
          <w:highlight w:val="none"/>
          <w:u w:val="single"/>
        </w:rPr>
        <w:t>收到监理人报送的合理化建议后</w:t>
      </w:r>
      <w:r>
        <w:rPr>
          <w:rFonts w:ascii="宋体" w:hAnsi="宋体"/>
          <w:bCs/>
          <w:color w:val="auto"/>
          <w:highlight w:val="none"/>
          <w:u w:val="single"/>
        </w:rPr>
        <w:t>7</w:t>
      </w:r>
      <w:r>
        <w:rPr>
          <w:rFonts w:hint="eastAsia" w:ascii="宋体" w:hAnsi="宋体"/>
          <w:bCs/>
          <w:color w:val="auto"/>
          <w:highlight w:val="none"/>
          <w:u w:val="single"/>
        </w:rPr>
        <w:t>天内审批完毕</w:t>
      </w:r>
      <w:r>
        <w:rPr>
          <w:rFonts w:hint="eastAsia" w:ascii="宋体" w:hAnsi="宋体"/>
          <w:color w:val="auto"/>
          <w:highlight w:val="none"/>
        </w:rPr>
        <w:t>。</w:t>
      </w:r>
    </w:p>
    <w:p w14:paraId="5929375A">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承</w:t>
      </w:r>
      <w:bookmarkStart w:id="688" w:name="_Toc296891244"/>
      <w:bookmarkEnd w:id="688"/>
      <w:bookmarkStart w:id="689" w:name="_Toc296944543"/>
      <w:bookmarkEnd w:id="689"/>
      <w:bookmarkStart w:id="690" w:name="_Toc312677504"/>
      <w:bookmarkEnd w:id="690"/>
      <w:bookmarkStart w:id="691" w:name="_Toc297123546"/>
      <w:bookmarkEnd w:id="691"/>
      <w:bookmarkStart w:id="692" w:name="_Toc296503204"/>
      <w:bookmarkEnd w:id="692"/>
      <w:bookmarkStart w:id="693" w:name="_Toc297216205"/>
      <w:bookmarkEnd w:id="693"/>
      <w:bookmarkStart w:id="694" w:name="_Toc303539152"/>
      <w:bookmarkEnd w:id="694"/>
      <w:bookmarkStart w:id="695" w:name="_Toc296346705"/>
      <w:bookmarkEnd w:id="695"/>
      <w:bookmarkStart w:id="696" w:name="_Toc292559914"/>
      <w:bookmarkEnd w:id="696"/>
      <w:bookmarkStart w:id="697" w:name="_Toc292559409"/>
      <w:bookmarkEnd w:id="697"/>
      <w:bookmarkStart w:id="698" w:name="_Toc300934995"/>
      <w:bookmarkEnd w:id="698"/>
      <w:bookmarkStart w:id="699" w:name="_Toc296347203"/>
      <w:bookmarkEnd w:id="699"/>
      <w:bookmarkStart w:id="700" w:name="_Toc304295571"/>
      <w:bookmarkEnd w:id="700"/>
      <w:bookmarkStart w:id="701" w:name="_Toc297120504"/>
      <w:bookmarkEnd w:id="701"/>
      <w:bookmarkStart w:id="702" w:name="_Toc312678030"/>
      <w:bookmarkEnd w:id="702"/>
      <w:bookmarkStart w:id="703" w:name="_Toc297048390"/>
      <w:bookmarkEnd w:id="703"/>
      <w:bookmarkStart w:id="704" w:name="_Toc318581175"/>
      <w:bookmarkEnd w:id="704"/>
      <w:bookmarkStart w:id="705" w:name="_Toc296891032"/>
      <w:r>
        <w:rPr>
          <w:rFonts w:hint="eastAsia" w:ascii="宋体" w:hAnsi="宋体"/>
          <w:color w:val="auto"/>
          <w:highlight w:val="none"/>
        </w:rPr>
        <w:t>包人提出的合理化建议降低了合同价格或者提高了工程经济效益的奖励的方法和金额为：</w:t>
      </w:r>
      <w:bookmarkEnd w:id="705"/>
      <w:r>
        <w:rPr>
          <w:rFonts w:hint="eastAsia" w:ascii="宋体" w:hAnsi="宋体"/>
          <w:color w:val="auto"/>
          <w:highlight w:val="none"/>
          <w:u w:val="single"/>
        </w:rPr>
        <w:t>无</w:t>
      </w:r>
      <w:r>
        <w:rPr>
          <w:rFonts w:hint="eastAsia" w:ascii="宋体" w:hAnsi="宋体"/>
          <w:color w:val="auto"/>
          <w:highlight w:val="none"/>
        </w:rPr>
        <w:t>。</w:t>
      </w:r>
    </w:p>
    <w:p w14:paraId="25903F3E">
      <w:pPr>
        <w:keepNext/>
        <w:keepLines/>
        <w:pageBreakBefore w:val="0"/>
        <w:kinsoku/>
        <w:wordWrap w:val="0"/>
        <w:topLinePunct w:val="0"/>
        <w:spacing w:line="360" w:lineRule="auto"/>
        <w:outlineLvl w:val="2"/>
        <w:rPr>
          <w:rFonts w:ascii="宋体" w:hAnsi="宋体"/>
          <w:b/>
          <w:bCs/>
          <w:color w:val="auto"/>
          <w:highlight w:val="none"/>
          <w:lang w:val="zh-CN"/>
        </w:rPr>
      </w:pPr>
      <w:bookmarkStart w:id="706" w:name="_Toc389065310"/>
      <w:bookmarkEnd w:id="706"/>
      <w:bookmarkStart w:id="707" w:name="_Toc373478391"/>
      <w:bookmarkEnd w:id="707"/>
      <w:bookmarkStart w:id="708" w:name="_Toc373227744"/>
      <w:bookmarkEnd w:id="708"/>
      <w:bookmarkStart w:id="709" w:name="_Toc407135247"/>
      <w:bookmarkEnd w:id="709"/>
      <w:bookmarkStart w:id="710" w:name="_Toc865"/>
      <w:bookmarkEnd w:id="710"/>
      <w:r>
        <w:rPr>
          <w:rFonts w:ascii="宋体" w:hAnsi="宋体"/>
          <w:b/>
          <w:bCs/>
          <w:color w:val="auto"/>
          <w:highlight w:val="none"/>
          <w:lang w:val="zh-CN"/>
        </w:rPr>
        <w:t>1</w:t>
      </w:r>
      <w:bookmarkStart w:id="711" w:name="_Toc312678033"/>
      <w:bookmarkEnd w:id="711"/>
      <w:bookmarkStart w:id="712" w:name="_Toc304295574"/>
      <w:bookmarkEnd w:id="712"/>
      <w:bookmarkStart w:id="713" w:name="_Toc296891239"/>
      <w:bookmarkEnd w:id="713"/>
      <w:bookmarkStart w:id="714" w:name="_Toc297120499"/>
      <w:bookmarkEnd w:id="714"/>
      <w:bookmarkStart w:id="715" w:name="_Toc296503199"/>
      <w:bookmarkEnd w:id="715"/>
      <w:bookmarkStart w:id="716" w:name="_Toc297048385"/>
      <w:bookmarkEnd w:id="716"/>
      <w:bookmarkStart w:id="717" w:name="_Toc292559404"/>
      <w:bookmarkEnd w:id="717"/>
      <w:bookmarkStart w:id="718" w:name="_Toc303539154"/>
      <w:bookmarkEnd w:id="718"/>
      <w:bookmarkStart w:id="719" w:name="_Toc292559909"/>
      <w:bookmarkEnd w:id="719"/>
      <w:bookmarkStart w:id="720" w:name="_Toc296891027"/>
      <w:bookmarkEnd w:id="720"/>
      <w:bookmarkStart w:id="721" w:name="_Toc300934997"/>
      <w:bookmarkEnd w:id="721"/>
      <w:bookmarkStart w:id="722" w:name="_Toc297123548"/>
      <w:bookmarkEnd w:id="722"/>
      <w:bookmarkStart w:id="723" w:name="_Toc296347198"/>
      <w:bookmarkEnd w:id="723"/>
      <w:bookmarkStart w:id="724" w:name="_Toc296346700"/>
      <w:bookmarkEnd w:id="724"/>
      <w:bookmarkStart w:id="725" w:name="_Toc297216207"/>
      <w:bookmarkEnd w:id="725"/>
      <w:bookmarkStart w:id="726" w:name="_Toc296944538"/>
      <w:bookmarkEnd w:id="726"/>
      <w:bookmarkStart w:id="727" w:name="_Toc312677507"/>
      <w:r>
        <w:rPr>
          <w:rFonts w:ascii="宋体" w:hAnsi="宋体"/>
          <w:b/>
          <w:bCs/>
          <w:color w:val="auto"/>
          <w:highlight w:val="none"/>
          <w:lang w:val="zh-CN"/>
        </w:rPr>
        <w:t xml:space="preserve">0.7 </w:t>
      </w:r>
      <w:bookmarkEnd w:id="727"/>
      <w:r>
        <w:rPr>
          <w:rFonts w:hint="eastAsia" w:ascii="宋体" w:hAnsi="宋体"/>
          <w:b/>
          <w:bCs/>
          <w:color w:val="auto"/>
          <w:highlight w:val="none"/>
          <w:lang w:val="zh-CN"/>
        </w:rPr>
        <w:t>暂估价</w:t>
      </w:r>
    </w:p>
    <w:p w14:paraId="0EB076CC">
      <w:pPr>
        <w:pageBreakBefore w:val="0"/>
        <w:kinsoku/>
        <w:wordWrap w:val="0"/>
        <w:topLinePunct w:val="0"/>
        <w:spacing w:line="360" w:lineRule="auto"/>
        <w:ind w:firstLine="422" w:firstLineChars="200"/>
        <w:jc w:val="left"/>
        <w:rPr>
          <w:rFonts w:ascii="宋体" w:hAnsi="宋体"/>
          <w:b/>
          <w:color w:val="auto"/>
          <w:highlight w:val="none"/>
        </w:rPr>
      </w:pPr>
      <w:bookmarkStart w:id="728" w:name="_Toc373227745"/>
      <w:bookmarkEnd w:id="728"/>
      <w:bookmarkStart w:id="729" w:name="_Toc389065311"/>
      <w:bookmarkEnd w:id="729"/>
      <w:bookmarkStart w:id="730" w:name="_Toc407135248"/>
      <w:bookmarkEnd w:id="730"/>
      <w:bookmarkStart w:id="731" w:name="_Toc373478392"/>
      <w:bookmarkEnd w:id="731"/>
      <w:r>
        <w:rPr>
          <w:rFonts w:ascii="宋体" w:hAnsi="宋体"/>
          <w:b/>
          <w:color w:val="auto"/>
          <w:highlight w:val="none"/>
        </w:rPr>
        <w:t>1</w:t>
      </w:r>
      <w:bookmarkStart w:id="732" w:name="_Toc312677509"/>
      <w:bookmarkEnd w:id="732"/>
      <w:bookmarkStart w:id="733" w:name="_Toc312678035"/>
      <w:bookmarkEnd w:id="733"/>
      <w:bookmarkStart w:id="734" w:name="_Toc318581177"/>
      <w:r>
        <w:rPr>
          <w:rFonts w:ascii="宋体" w:hAnsi="宋体"/>
          <w:b/>
          <w:color w:val="auto"/>
          <w:highlight w:val="none"/>
        </w:rPr>
        <w:t xml:space="preserve">0.7.1 </w:t>
      </w:r>
      <w:bookmarkEnd w:id="734"/>
      <w:r>
        <w:rPr>
          <w:rFonts w:hint="eastAsia" w:ascii="宋体" w:hAnsi="宋体"/>
          <w:b/>
          <w:color w:val="auto"/>
          <w:highlight w:val="none"/>
        </w:rPr>
        <w:t>依法必须招标的暂估价项目</w:t>
      </w:r>
    </w:p>
    <w:p w14:paraId="48C59B14">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对于依法必须招标的暂估价项目的确认和批准采取第</w:t>
      </w:r>
      <w:r>
        <w:rPr>
          <w:rFonts w:ascii="宋体" w:hAnsi="宋体"/>
          <w:color w:val="auto"/>
          <w:highlight w:val="none"/>
          <w:u w:val="single"/>
        </w:rPr>
        <w:t>1</w:t>
      </w:r>
      <w:r>
        <w:rPr>
          <w:rFonts w:hint="eastAsia" w:ascii="宋体" w:hAnsi="宋体"/>
          <w:color w:val="auto"/>
          <w:highlight w:val="none"/>
        </w:rPr>
        <w:t>种方式确定。</w:t>
      </w:r>
    </w:p>
    <w:p w14:paraId="51BE0A7F">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rPr>
        <w:t>第</w:t>
      </w:r>
      <w:r>
        <w:rPr>
          <w:rFonts w:ascii="宋体" w:hAnsi="宋体"/>
          <w:color w:val="auto"/>
          <w:highlight w:val="none"/>
        </w:rPr>
        <w:t>1</w:t>
      </w:r>
      <w:r>
        <w:rPr>
          <w:rFonts w:hint="eastAsia" w:ascii="宋体" w:hAnsi="宋体"/>
          <w:color w:val="auto"/>
          <w:highlight w:val="none"/>
        </w:rPr>
        <w:t>种方式：</w:t>
      </w:r>
      <w:r>
        <w:rPr>
          <w:rFonts w:hint="eastAsia" w:ascii="宋体" w:hAnsi="宋体"/>
          <w:color w:val="auto"/>
          <w:highlight w:val="none"/>
          <w:u w:val="single"/>
        </w:rPr>
        <w:t>对于依法必须招标的暂估价项目，由承包人招标，对该暂估价项目的确认和批准按照以下约定执行：</w:t>
      </w:r>
    </w:p>
    <w:p w14:paraId="37587625">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1</w:t>
      </w:r>
      <w:r>
        <w:rPr>
          <w:rFonts w:hint="eastAsia" w:ascii="宋体" w:hAnsi="宋体"/>
          <w:color w:val="auto"/>
          <w:highlight w:val="none"/>
          <w:u w:val="single"/>
        </w:rPr>
        <w:t>）承包人应当根据施工进度计划，在招标工作启动前</w:t>
      </w:r>
      <w:r>
        <w:rPr>
          <w:rFonts w:ascii="宋体" w:hAnsi="宋体"/>
          <w:color w:val="auto"/>
          <w:highlight w:val="none"/>
          <w:u w:val="single"/>
        </w:rPr>
        <w:t>14</w:t>
      </w:r>
      <w:r>
        <w:rPr>
          <w:rFonts w:hint="eastAsia" w:ascii="宋体" w:hAnsi="宋体"/>
          <w:color w:val="auto"/>
          <w:highlight w:val="none"/>
          <w:u w:val="single"/>
        </w:rPr>
        <w:t>天将招标方案通过监理人报送发包人审查，发包人应当在收到承包人报送的招标方案后</w:t>
      </w:r>
      <w:r>
        <w:rPr>
          <w:rFonts w:ascii="宋体" w:hAnsi="宋体"/>
          <w:color w:val="auto"/>
          <w:highlight w:val="none"/>
          <w:u w:val="single"/>
        </w:rPr>
        <w:t>7</w:t>
      </w:r>
      <w:r>
        <w:rPr>
          <w:rFonts w:hint="eastAsia" w:ascii="宋体" w:hAnsi="宋体"/>
          <w:color w:val="auto"/>
          <w:highlight w:val="none"/>
          <w:u w:val="single"/>
        </w:rPr>
        <w:t>天内批准或提出修改意见。承包人应当按照经过发包人批准的招标方案开展招标工作；</w:t>
      </w:r>
    </w:p>
    <w:p w14:paraId="463BF3AA">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2</w:t>
      </w:r>
      <w:r>
        <w:rPr>
          <w:rFonts w:hint="eastAsia" w:ascii="宋体" w:hAnsi="宋体"/>
          <w:color w:val="auto"/>
          <w:highlight w:val="none"/>
          <w:u w:val="single"/>
        </w:rPr>
        <w:t>）承包人应当根据施工进度计划，提前</w:t>
      </w:r>
      <w:r>
        <w:rPr>
          <w:rFonts w:ascii="宋体" w:hAnsi="宋体"/>
          <w:color w:val="auto"/>
          <w:highlight w:val="none"/>
          <w:u w:val="single"/>
        </w:rPr>
        <w:t>14</w:t>
      </w:r>
      <w:r>
        <w:rPr>
          <w:rFonts w:hint="eastAsia" w:ascii="宋体" w:hAnsi="宋体"/>
          <w:color w:val="auto"/>
          <w:highlight w:val="none"/>
          <w:u w:val="single"/>
        </w:rPr>
        <w:t>天将招标文件通过监理人报送发包人审批，发包人应当在收到承包人报送的相关文件后</w:t>
      </w:r>
      <w:r>
        <w:rPr>
          <w:rFonts w:ascii="宋体" w:hAnsi="宋体"/>
          <w:color w:val="auto"/>
          <w:highlight w:val="none"/>
          <w:u w:val="single"/>
        </w:rPr>
        <w:t>7</w:t>
      </w:r>
      <w:r>
        <w:rPr>
          <w:rFonts w:hint="eastAsia" w:ascii="宋体" w:hAnsi="宋体"/>
          <w:color w:val="auto"/>
          <w:highlight w:val="none"/>
          <w:u w:val="single"/>
        </w:rPr>
        <w:t>天内完成审批或提出修改意见；发包人有权确定招标控制价并委派评标委员会成员；</w:t>
      </w:r>
    </w:p>
    <w:p w14:paraId="5D97E291">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3</w:t>
      </w:r>
      <w:r>
        <w:rPr>
          <w:rFonts w:hint="eastAsia" w:ascii="宋体" w:hAnsi="宋体"/>
          <w:color w:val="auto"/>
          <w:highlight w:val="none"/>
          <w:u w:val="single"/>
        </w:rPr>
        <w:t>）承包人与供应商、分包人在签订暂估价合同前，应当提前</w:t>
      </w:r>
      <w:r>
        <w:rPr>
          <w:rFonts w:ascii="宋体" w:hAnsi="宋体"/>
          <w:color w:val="auto"/>
          <w:highlight w:val="none"/>
          <w:u w:val="single"/>
        </w:rPr>
        <w:t>7</w:t>
      </w:r>
      <w:r>
        <w:rPr>
          <w:rFonts w:hint="eastAsia" w:ascii="宋体" w:hAnsi="宋体"/>
          <w:color w:val="auto"/>
          <w:highlight w:val="none"/>
          <w:u w:val="single"/>
        </w:rPr>
        <w:t>天将确定的中标候选供应商或中标候选分包人的资料报送发包人，发包人应在收到资料后</w:t>
      </w:r>
      <w:r>
        <w:rPr>
          <w:rFonts w:ascii="宋体" w:hAnsi="宋体"/>
          <w:color w:val="auto"/>
          <w:highlight w:val="none"/>
          <w:u w:val="single"/>
        </w:rPr>
        <w:t>3</w:t>
      </w:r>
      <w:r>
        <w:rPr>
          <w:rFonts w:hint="eastAsia" w:ascii="宋体" w:hAnsi="宋体"/>
          <w:color w:val="auto"/>
          <w:highlight w:val="none"/>
          <w:u w:val="single"/>
        </w:rPr>
        <w:t>天内与承包人共同确定成交人；承包人应当在签订合同后</w:t>
      </w:r>
      <w:r>
        <w:rPr>
          <w:rFonts w:ascii="宋体" w:hAnsi="宋体"/>
          <w:color w:val="auto"/>
          <w:highlight w:val="none"/>
          <w:u w:val="single"/>
        </w:rPr>
        <w:t>7</w:t>
      </w:r>
      <w:r>
        <w:rPr>
          <w:rFonts w:hint="eastAsia" w:ascii="宋体" w:hAnsi="宋体"/>
          <w:color w:val="auto"/>
          <w:highlight w:val="none"/>
          <w:u w:val="single"/>
        </w:rPr>
        <w:t>天内，将暂估价合同副本报送发包人留存。</w:t>
      </w:r>
    </w:p>
    <w:p w14:paraId="30736FAC">
      <w:pPr>
        <w:pageBreakBefore w:val="0"/>
        <w:kinsoku/>
        <w:wordWrap w:val="0"/>
        <w:topLinePunct w:val="0"/>
        <w:spacing w:line="360" w:lineRule="auto"/>
        <w:ind w:firstLine="420"/>
        <w:jc w:val="left"/>
        <w:outlineLvl w:val="0"/>
        <w:rPr>
          <w:rFonts w:ascii="宋体" w:hAnsi="宋体"/>
          <w:b/>
          <w:color w:val="auto"/>
          <w:highlight w:val="none"/>
        </w:rPr>
      </w:pPr>
      <w:bookmarkStart w:id="735" w:name="_Toc4418"/>
      <w:bookmarkStart w:id="736" w:name="_Toc10767"/>
      <w:bookmarkStart w:id="737" w:name="_Toc17678"/>
      <w:bookmarkStart w:id="738" w:name="_Toc31404"/>
      <w:bookmarkStart w:id="739" w:name="_Toc15049"/>
      <w:r>
        <w:rPr>
          <w:rFonts w:ascii="宋体" w:hAnsi="宋体"/>
          <w:b/>
          <w:color w:val="auto"/>
          <w:highlight w:val="none"/>
        </w:rPr>
        <w:t xml:space="preserve">10.7.2 </w:t>
      </w:r>
      <w:r>
        <w:rPr>
          <w:rFonts w:hint="eastAsia" w:ascii="宋体" w:hAnsi="宋体"/>
          <w:b/>
          <w:color w:val="auto"/>
          <w:highlight w:val="none"/>
        </w:rPr>
        <w:t>不属于依法必须招标的暂估价项目</w:t>
      </w:r>
      <w:bookmarkEnd w:id="735"/>
      <w:bookmarkEnd w:id="736"/>
      <w:bookmarkEnd w:id="737"/>
      <w:bookmarkEnd w:id="738"/>
      <w:bookmarkEnd w:id="739"/>
    </w:p>
    <w:p w14:paraId="6766E09F">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对于不属于依法必须招标的暂估价项目的确认和批准采取第</w:t>
      </w:r>
      <w:r>
        <w:rPr>
          <w:rFonts w:ascii="宋体" w:hAnsi="宋体"/>
          <w:color w:val="auto"/>
          <w:highlight w:val="none"/>
          <w:u w:val="single"/>
        </w:rPr>
        <w:t>1</w:t>
      </w:r>
      <w:r>
        <w:rPr>
          <w:rFonts w:hint="eastAsia" w:ascii="宋体" w:hAnsi="宋体"/>
          <w:color w:val="auto"/>
          <w:highlight w:val="none"/>
        </w:rPr>
        <w:t>种方式确定。</w:t>
      </w:r>
    </w:p>
    <w:p w14:paraId="3EEC2B46">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第</w:t>
      </w:r>
      <w:r>
        <w:rPr>
          <w:rFonts w:ascii="宋体" w:hAnsi="宋体"/>
          <w:color w:val="auto"/>
          <w:highlight w:val="none"/>
        </w:rPr>
        <w:t>1</w:t>
      </w:r>
      <w:r>
        <w:rPr>
          <w:rFonts w:hint="eastAsia" w:ascii="宋体" w:hAnsi="宋体"/>
          <w:color w:val="auto"/>
          <w:highlight w:val="none"/>
        </w:rPr>
        <w:t>种方式：对于不属于依法必须招标的暂估价项目，按本项约定确认和批准：</w:t>
      </w:r>
    </w:p>
    <w:p w14:paraId="1EE09270">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1</w:t>
      </w:r>
      <w:r>
        <w:rPr>
          <w:rFonts w:hint="eastAsia" w:ascii="宋体" w:hAnsi="宋体"/>
          <w:color w:val="auto"/>
          <w:highlight w:val="none"/>
          <w:u w:val="single"/>
        </w:rPr>
        <w:t>）承包人应根据施工进度计划，在签订暂估价项目的采购合同、分包合同前</w:t>
      </w:r>
      <w:r>
        <w:rPr>
          <w:rFonts w:ascii="宋体" w:hAnsi="宋体"/>
          <w:color w:val="auto"/>
          <w:highlight w:val="none"/>
          <w:u w:val="single"/>
        </w:rPr>
        <w:t>28</w:t>
      </w:r>
      <w:r>
        <w:rPr>
          <w:rFonts w:hint="eastAsia" w:ascii="宋体" w:hAnsi="宋体"/>
          <w:color w:val="auto"/>
          <w:highlight w:val="none"/>
          <w:u w:val="single"/>
        </w:rPr>
        <w:t>天向监理人提出书面申请。监理人应当在收到申请后</w:t>
      </w:r>
      <w:r>
        <w:rPr>
          <w:rFonts w:ascii="宋体" w:hAnsi="宋体"/>
          <w:color w:val="auto"/>
          <w:highlight w:val="none"/>
          <w:u w:val="single"/>
        </w:rPr>
        <w:t>3</w:t>
      </w:r>
      <w:r>
        <w:rPr>
          <w:rFonts w:hint="eastAsia" w:ascii="宋体" w:hAnsi="宋体"/>
          <w:color w:val="auto"/>
          <w:highlight w:val="none"/>
          <w:u w:val="single"/>
        </w:rPr>
        <w:t>天内报送发包人，发包人应当在收到申请后</w:t>
      </w:r>
      <w:r>
        <w:rPr>
          <w:rFonts w:ascii="宋体" w:hAnsi="宋体"/>
          <w:color w:val="auto"/>
          <w:highlight w:val="none"/>
          <w:u w:val="single"/>
        </w:rPr>
        <w:t>14</w:t>
      </w:r>
      <w:r>
        <w:rPr>
          <w:rFonts w:hint="eastAsia" w:ascii="宋体" w:hAnsi="宋体"/>
          <w:color w:val="auto"/>
          <w:highlight w:val="none"/>
          <w:u w:val="single"/>
        </w:rPr>
        <w:t>天内给予批准或提出修改意见，发包人逾期未予批准或提出修改意见的，视为该书面申请已获得同意；</w:t>
      </w:r>
    </w:p>
    <w:p w14:paraId="4F73A90A">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2</w:t>
      </w:r>
      <w:r>
        <w:rPr>
          <w:rFonts w:hint="eastAsia" w:ascii="宋体" w:hAnsi="宋体"/>
          <w:color w:val="auto"/>
          <w:highlight w:val="none"/>
          <w:u w:val="single"/>
        </w:rPr>
        <w:t>）发包人认为承包人确定的供应商、分包人无法满足工程质量或合同要求的，发包人可以要求承包人重新确定暂估价项目的供应商、分包人；</w:t>
      </w:r>
    </w:p>
    <w:p w14:paraId="0BAD3E65">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3</w:t>
      </w:r>
      <w:r>
        <w:rPr>
          <w:rFonts w:hint="eastAsia" w:ascii="宋体" w:hAnsi="宋体"/>
          <w:color w:val="auto"/>
          <w:highlight w:val="none"/>
          <w:u w:val="single"/>
        </w:rPr>
        <w:t>）承包人应当在签订暂估价合同后</w:t>
      </w:r>
      <w:r>
        <w:rPr>
          <w:rFonts w:ascii="宋体" w:hAnsi="宋体"/>
          <w:color w:val="auto"/>
          <w:highlight w:val="none"/>
          <w:u w:val="single"/>
        </w:rPr>
        <w:t>7</w:t>
      </w:r>
      <w:r>
        <w:rPr>
          <w:rFonts w:hint="eastAsia" w:ascii="宋体" w:hAnsi="宋体"/>
          <w:color w:val="auto"/>
          <w:highlight w:val="none"/>
          <w:u w:val="single"/>
        </w:rPr>
        <w:t>天内，将暂估价合同副本报送发包人留存。</w:t>
      </w:r>
      <w:bookmarkStart w:id="740" w:name="_Toc20455"/>
      <w:bookmarkEnd w:id="740"/>
    </w:p>
    <w:p w14:paraId="056D5054">
      <w:pPr>
        <w:pageBreakBefore w:val="0"/>
        <w:kinsoku/>
        <w:wordWrap w:val="0"/>
        <w:topLinePunct w:val="0"/>
        <w:spacing w:line="360" w:lineRule="auto"/>
        <w:ind w:firstLine="420"/>
        <w:jc w:val="left"/>
        <w:rPr>
          <w:rFonts w:ascii="宋体" w:hAnsi="宋体"/>
          <w:color w:val="auto"/>
          <w:highlight w:val="none"/>
          <w:u w:val="single"/>
        </w:rPr>
      </w:pPr>
      <w:r>
        <w:rPr>
          <w:rFonts w:ascii="宋体" w:hAnsi="宋体"/>
          <w:b/>
          <w:bCs/>
          <w:color w:val="auto"/>
          <w:highlight w:val="none"/>
          <w:lang w:val="zh-CN"/>
        </w:rPr>
        <w:t xml:space="preserve">10.8 </w:t>
      </w:r>
      <w:r>
        <w:rPr>
          <w:rFonts w:hint="eastAsia" w:ascii="宋体" w:hAnsi="宋体"/>
          <w:b/>
          <w:bCs/>
          <w:color w:val="auto"/>
          <w:highlight w:val="none"/>
          <w:lang w:val="zh-CN"/>
        </w:rPr>
        <w:t>暂列金额</w:t>
      </w:r>
    </w:p>
    <w:p w14:paraId="5EF59255">
      <w:pPr>
        <w:pageBreakBefore w:val="0"/>
        <w:kinsoku/>
        <w:wordWrap w:val="0"/>
        <w:topLinePunct w:val="0"/>
        <w:spacing w:line="360" w:lineRule="auto"/>
        <w:ind w:firstLine="420" w:firstLineChars="200"/>
        <w:jc w:val="left"/>
        <w:rPr>
          <w:rFonts w:ascii="宋体" w:hAnsi="宋体"/>
          <w:color w:val="auto"/>
          <w:kern w:val="0"/>
          <w:highlight w:val="none"/>
          <w:u w:val="single"/>
        </w:rPr>
      </w:pPr>
      <w:r>
        <w:rPr>
          <w:rFonts w:hint="eastAsia" w:ascii="宋体" w:hAnsi="宋体"/>
          <w:color w:val="auto"/>
          <w:kern w:val="0"/>
          <w:highlight w:val="none"/>
        </w:rPr>
        <w:t>合同当事人关于暂列金额使用的约定:</w:t>
      </w:r>
      <w:r>
        <w:rPr>
          <w:rFonts w:hint="eastAsia" w:ascii="宋体" w:hAnsi="宋体"/>
          <w:color w:val="auto"/>
          <w:kern w:val="0"/>
          <w:highlight w:val="none"/>
          <w:u w:val="single"/>
        </w:rPr>
        <w:t xml:space="preserve"> 执行通用合同条款  。</w:t>
      </w:r>
    </w:p>
    <w:p w14:paraId="31F510DC">
      <w:pPr>
        <w:pageBreakBefore w:val="0"/>
        <w:kinsoku/>
        <w:wordWrap w:val="0"/>
        <w:topLinePunct w:val="0"/>
        <w:autoSpaceDE w:val="0"/>
        <w:autoSpaceDN w:val="0"/>
        <w:adjustRightInd w:val="0"/>
        <w:spacing w:line="360" w:lineRule="auto"/>
        <w:ind w:firstLine="422" w:firstLineChars="200"/>
        <w:jc w:val="left"/>
        <w:rPr>
          <w:rFonts w:ascii="宋体" w:hAnsi="宋体"/>
          <w:b/>
          <w:bCs/>
          <w:color w:val="auto"/>
          <w:highlight w:val="none"/>
          <w:lang w:val="zh-CN"/>
        </w:rPr>
      </w:pPr>
      <w:bookmarkStart w:id="741" w:name="_Toc373478393"/>
      <w:r>
        <w:rPr>
          <w:rFonts w:hint="eastAsia" w:ascii="宋体" w:hAnsi="宋体"/>
          <w:b/>
          <w:bCs/>
          <w:color w:val="auto"/>
          <w:highlight w:val="none"/>
          <w:lang w:val="zh-CN"/>
        </w:rPr>
        <w:t>价格调整</w:t>
      </w:r>
      <w:bookmarkEnd w:id="741"/>
    </w:p>
    <w:p w14:paraId="48FF444A">
      <w:pPr>
        <w:keepNext/>
        <w:keepLines/>
        <w:pageBreakBefore w:val="0"/>
        <w:kinsoku/>
        <w:wordWrap w:val="0"/>
        <w:topLinePunct w:val="0"/>
        <w:spacing w:line="360" w:lineRule="auto"/>
        <w:outlineLvl w:val="2"/>
        <w:rPr>
          <w:rFonts w:ascii="宋体" w:hAnsi="宋体"/>
          <w:b/>
          <w:bCs/>
          <w:color w:val="auto"/>
          <w:highlight w:val="none"/>
          <w:lang w:val="zh-CN"/>
        </w:rPr>
      </w:pPr>
      <w:bookmarkStart w:id="742" w:name="_Toc296503201"/>
      <w:bookmarkEnd w:id="742"/>
      <w:bookmarkStart w:id="743" w:name="_Toc373478394"/>
      <w:bookmarkEnd w:id="743"/>
      <w:bookmarkStart w:id="744" w:name="_Toc373227747"/>
      <w:bookmarkEnd w:id="744"/>
      <w:bookmarkStart w:id="745" w:name="_Toc297120501"/>
      <w:bookmarkEnd w:id="745"/>
      <w:bookmarkStart w:id="746" w:name="_Toc389065313"/>
      <w:bookmarkEnd w:id="746"/>
      <w:bookmarkStart w:id="747" w:name="_Toc25985"/>
      <w:bookmarkEnd w:id="747"/>
      <w:bookmarkStart w:id="748" w:name="_Toc296347200"/>
      <w:bookmarkEnd w:id="748"/>
      <w:bookmarkStart w:id="749" w:name="_Toc292559406"/>
      <w:bookmarkEnd w:id="749"/>
      <w:bookmarkStart w:id="750" w:name="_Toc304295577"/>
      <w:bookmarkEnd w:id="750"/>
      <w:bookmarkStart w:id="751" w:name="_Toc296346702"/>
      <w:bookmarkEnd w:id="751"/>
      <w:bookmarkStart w:id="752" w:name="_Toc312678039"/>
      <w:bookmarkEnd w:id="752"/>
      <w:bookmarkStart w:id="753" w:name="_Toc296891241"/>
      <w:bookmarkEnd w:id="753"/>
      <w:bookmarkStart w:id="754" w:name="_Toc297216209"/>
      <w:bookmarkEnd w:id="754"/>
      <w:bookmarkStart w:id="755" w:name="_Toc292559911"/>
      <w:bookmarkEnd w:id="755"/>
      <w:bookmarkStart w:id="756" w:name="_Toc407135250"/>
      <w:bookmarkEnd w:id="756"/>
      <w:bookmarkStart w:id="757" w:name="_Toc297048387"/>
      <w:bookmarkEnd w:id="757"/>
      <w:bookmarkStart w:id="758" w:name="_Toc303539157"/>
      <w:bookmarkEnd w:id="758"/>
      <w:bookmarkStart w:id="759" w:name="_Toc296891029"/>
      <w:bookmarkEnd w:id="759"/>
      <w:bookmarkStart w:id="760" w:name="_Toc296944540"/>
      <w:bookmarkEnd w:id="760"/>
      <w:bookmarkStart w:id="761" w:name="_Toc297123550"/>
      <w:bookmarkEnd w:id="761"/>
      <w:bookmarkStart w:id="762" w:name="_Toc300935000"/>
      <w:r>
        <w:rPr>
          <w:rFonts w:ascii="宋体" w:hAnsi="宋体"/>
          <w:b/>
          <w:bCs/>
          <w:color w:val="auto"/>
          <w:highlight w:val="none"/>
          <w:lang w:val="zh-CN"/>
        </w:rPr>
        <w:t xml:space="preserve">11.1 </w:t>
      </w:r>
      <w:bookmarkEnd w:id="762"/>
      <w:r>
        <w:rPr>
          <w:rFonts w:hint="eastAsia" w:ascii="宋体" w:hAnsi="宋体"/>
          <w:b/>
          <w:bCs/>
          <w:color w:val="auto"/>
          <w:highlight w:val="none"/>
          <w:lang w:val="zh-CN"/>
        </w:rPr>
        <w:t>市场价格波动引起的调整</w:t>
      </w:r>
    </w:p>
    <w:p w14:paraId="3202D5EA">
      <w:pPr>
        <w:pageBreakBefore w:val="0"/>
        <w:kinsoku/>
        <w:wordWrap w:val="0"/>
        <w:topLinePunct w:val="0"/>
        <w:spacing w:line="360" w:lineRule="auto"/>
        <w:ind w:firstLine="420" w:firstLineChars="200"/>
        <w:jc w:val="left"/>
        <w:rPr>
          <w:rFonts w:ascii="宋体" w:hAnsi="宋体" w:cs="宋体"/>
          <w:color w:val="auto"/>
          <w:highlight w:val="none"/>
        </w:rPr>
      </w:pPr>
      <w:bookmarkStart w:id="763" w:name="_Toc373478395"/>
      <w:bookmarkEnd w:id="763"/>
      <w:bookmarkStart w:id="764" w:name="_Toc296346706"/>
      <w:bookmarkEnd w:id="764"/>
      <w:bookmarkStart w:id="765" w:name="_Toc292559410"/>
      <w:bookmarkEnd w:id="765"/>
      <w:bookmarkStart w:id="766" w:name="_Toc297048391"/>
      <w:bookmarkEnd w:id="766"/>
      <w:bookmarkStart w:id="767" w:name="_Toc297123552"/>
      <w:bookmarkEnd w:id="767"/>
      <w:bookmarkStart w:id="768" w:name="_Toc303539159"/>
      <w:bookmarkEnd w:id="768"/>
      <w:bookmarkStart w:id="769" w:name="_Toc292559915"/>
      <w:bookmarkEnd w:id="769"/>
      <w:bookmarkStart w:id="770" w:name="_Toc373227748"/>
      <w:bookmarkEnd w:id="770"/>
      <w:bookmarkStart w:id="771" w:name="_Toc296347204"/>
      <w:bookmarkEnd w:id="771"/>
      <w:bookmarkStart w:id="772" w:name="_Toc296891033"/>
      <w:bookmarkEnd w:id="772"/>
      <w:bookmarkStart w:id="773" w:name="_Toc297120505"/>
      <w:bookmarkEnd w:id="773"/>
      <w:bookmarkStart w:id="774" w:name="_Toc297216211"/>
      <w:bookmarkEnd w:id="774"/>
      <w:bookmarkStart w:id="775" w:name="_Toc300935002"/>
      <w:bookmarkEnd w:id="775"/>
      <w:bookmarkStart w:id="776" w:name="_Toc351203644"/>
      <w:bookmarkEnd w:id="776"/>
      <w:bookmarkStart w:id="777" w:name="_Toc304295579"/>
      <w:bookmarkEnd w:id="777"/>
      <w:bookmarkStart w:id="778" w:name="_Toc312678040"/>
      <w:bookmarkEnd w:id="778"/>
      <w:bookmarkStart w:id="779" w:name="_Toc407135251"/>
      <w:bookmarkEnd w:id="779"/>
      <w:bookmarkStart w:id="780" w:name="_Toc296944544"/>
      <w:bookmarkEnd w:id="780"/>
      <w:bookmarkStart w:id="781" w:name="_Toc296891245"/>
      <w:bookmarkEnd w:id="781"/>
      <w:bookmarkStart w:id="782" w:name="_Toc296503205"/>
      <w:bookmarkEnd w:id="782"/>
      <w:r>
        <w:rPr>
          <w:rFonts w:hint="eastAsia" w:ascii="宋体" w:hAnsi="宋体"/>
          <w:color w:val="auto"/>
          <w:kern w:val="0"/>
          <w:highlight w:val="none"/>
        </w:rPr>
        <w:t>市场价格波动是否调整合同价格的约定：</w:t>
      </w:r>
      <w:r>
        <w:rPr>
          <w:rFonts w:hint="eastAsia" w:ascii="宋体" w:hAnsi="宋体" w:cs="宋体"/>
          <w:color w:val="auto"/>
          <w:highlight w:val="none"/>
          <w:u w:val="single"/>
        </w:rPr>
        <w:t xml:space="preserve">施工期间主要材料(钢材、水泥、商品砼、铝合金门窗、电线和电缆)平均价以施工期间《工程所在地工程造价信息》公布的信息价平均值与预算控制价采用的材料价偏差在±5%内不调整，调整超出部分仅计差额及相应的税金（分部分项工程量清单（单价清单）和图纸未含项目除外） </w:t>
      </w:r>
      <w:r>
        <w:rPr>
          <w:rFonts w:hint="eastAsia" w:ascii="宋体" w:hAnsi="宋体" w:cs="宋体"/>
          <w:color w:val="auto"/>
          <w:highlight w:val="none"/>
        </w:rPr>
        <w:t>。</w:t>
      </w:r>
    </w:p>
    <w:p w14:paraId="34B96129">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因市场价格波动调整合同价格，采用以下第</w:t>
      </w:r>
      <w:r>
        <w:rPr>
          <w:rFonts w:ascii="宋体" w:hAnsi="宋体"/>
          <w:color w:val="auto"/>
          <w:highlight w:val="none"/>
          <w:u w:val="single"/>
        </w:rPr>
        <w:t>2</w:t>
      </w:r>
      <w:r>
        <w:rPr>
          <w:rFonts w:hint="eastAsia" w:ascii="宋体" w:hAnsi="宋体"/>
          <w:color w:val="auto"/>
          <w:highlight w:val="none"/>
        </w:rPr>
        <w:t>种方式对合同价格进行调整：</w:t>
      </w:r>
    </w:p>
    <w:p w14:paraId="33AFC112">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第</w:t>
      </w:r>
      <w:r>
        <w:rPr>
          <w:rFonts w:ascii="宋体" w:hAnsi="宋体"/>
          <w:color w:val="auto"/>
          <w:highlight w:val="none"/>
        </w:rPr>
        <w:t>1</w:t>
      </w:r>
      <w:r>
        <w:rPr>
          <w:rFonts w:hint="eastAsia" w:ascii="宋体" w:hAnsi="宋体"/>
          <w:color w:val="auto"/>
          <w:highlight w:val="none"/>
        </w:rPr>
        <w:t>种方式：采用价格指数进行价格调整。</w:t>
      </w:r>
    </w:p>
    <w:p w14:paraId="2B906216">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关于各可调因子、定值和变值权重，以及基本价格指数及其来源的约定：；</w:t>
      </w:r>
    </w:p>
    <w:p w14:paraId="7533779C">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第</w:t>
      </w:r>
      <w:r>
        <w:rPr>
          <w:rFonts w:ascii="宋体" w:hAnsi="宋体"/>
          <w:color w:val="auto"/>
          <w:highlight w:val="none"/>
        </w:rPr>
        <w:t>2</w:t>
      </w:r>
      <w:r>
        <w:rPr>
          <w:rFonts w:hint="eastAsia" w:ascii="宋体" w:hAnsi="宋体"/>
          <w:color w:val="auto"/>
          <w:highlight w:val="none"/>
        </w:rPr>
        <w:t>种方式：采用造价信息进行价格调整。</w:t>
      </w:r>
    </w:p>
    <w:p w14:paraId="175DC459">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）允许调整的主要材料和设备、基准价格、风险系数、投标报价详见《承包人提供主要材料和设备一览表》（表</w:t>
      </w:r>
      <w:r>
        <w:rPr>
          <w:rFonts w:ascii="宋体" w:hAnsi="宋体"/>
          <w:color w:val="auto"/>
          <w:highlight w:val="none"/>
        </w:rPr>
        <w:t>-22</w:t>
      </w:r>
      <w:r>
        <w:rPr>
          <w:rFonts w:hint="eastAsia" w:ascii="宋体" w:hAnsi="宋体"/>
          <w:color w:val="auto"/>
          <w:highlight w:val="none"/>
        </w:rPr>
        <w:t>）</w:t>
      </w:r>
      <w:r>
        <w:rPr>
          <w:rFonts w:ascii="宋体" w:hAnsi="宋体" w:cs="Calibri"/>
          <w:color w:val="auto"/>
          <w:highlight w:val="none"/>
        </w:rPr>
        <w:t>,</w:t>
      </w:r>
      <w:r>
        <w:rPr>
          <w:rFonts w:hint="eastAsia" w:ascii="宋体" w:hAnsi="宋体"/>
          <w:color w:val="auto"/>
          <w:highlight w:val="none"/>
        </w:rPr>
        <w:t>价</w:t>
      </w:r>
      <w:r>
        <w:rPr>
          <w:rFonts w:hint="eastAsia" w:ascii="宋体" w:hAnsi="宋体" w:cs="宋体"/>
          <w:color w:val="auto"/>
          <w:highlight w:val="none"/>
        </w:rPr>
        <w:t>差</w:t>
      </w:r>
      <w:r>
        <w:rPr>
          <w:rFonts w:hint="eastAsia" w:ascii="宋体" w:hAnsi="宋体"/>
          <w:color w:val="auto"/>
          <w:highlight w:val="none"/>
        </w:rPr>
        <w:t>调整部分仅计算税金，除此表列明的材料、设备外，其余材料设备价差原则上不予调整。</w:t>
      </w:r>
    </w:p>
    <w:p w14:paraId="7087F76D">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）主要材料和设备确认价：</w:t>
      </w:r>
    </w:p>
    <w:p w14:paraId="7A3C9667">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u w:val="single"/>
        </w:rPr>
        <w:t>按施工期间《</w:t>
      </w:r>
      <w:r>
        <w:rPr>
          <w:rFonts w:hint="eastAsia" w:ascii="宋体" w:hAnsi="宋体"/>
          <w:color w:val="auto"/>
          <w:highlight w:val="none"/>
          <w:u w:val="single"/>
          <w:lang w:eastAsia="zh-CN"/>
        </w:rPr>
        <w:t>桂林市建设工程造价信息</w:t>
      </w:r>
      <w:r>
        <w:rPr>
          <w:rFonts w:hint="eastAsia" w:ascii="宋体" w:hAnsi="宋体"/>
          <w:color w:val="auto"/>
          <w:highlight w:val="none"/>
          <w:u w:val="single"/>
        </w:rPr>
        <w:t>》材料和设备信息价的加权平均价计算，《</w:t>
      </w:r>
      <w:r>
        <w:rPr>
          <w:rFonts w:hint="eastAsia" w:asciiTheme="minorEastAsia" w:hAnsiTheme="minorEastAsia" w:eastAsiaTheme="minorEastAsia"/>
          <w:color w:val="auto"/>
          <w:highlight w:val="none"/>
          <w:u w:val="single"/>
          <w:lang w:eastAsia="zh-CN"/>
        </w:rPr>
        <w:t>桂林市建设工程造价信息</w:t>
      </w:r>
      <w:r>
        <w:rPr>
          <w:rFonts w:hint="eastAsia" w:asciiTheme="minorEastAsia" w:hAnsiTheme="minorEastAsia" w:eastAsiaTheme="minorEastAsia"/>
          <w:color w:val="auto"/>
          <w:highlight w:val="none"/>
          <w:u w:val="single"/>
        </w:rPr>
        <w:t>》没有相应价格信息的按施工期间的《南宁市建设工程造价信息》</w:t>
      </w:r>
      <w:r>
        <w:rPr>
          <w:rFonts w:hint="eastAsia" w:ascii="宋体" w:hAnsi="宋体"/>
          <w:color w:val="auto"/>
          <w:highlight w:val="none"/>
        </w:rPr>
        <w:t>加权平均价计算</w:t>
      </w:r>
      <w:r>
        <w:rPr>
          <w:rFonts w:hint="eastAsia" w:asciiTheme="minorEastAsia" w:hAnsiTheme="minorEastAsia" w:eastAsiaTheme="minorEastAsia"/>
          <w:color w:val="auto"/>
          <w:highlight w:val="none"/>
          <w:u w:val="single"/>
        </w:rPr>
        <w:t>，《南宁市建设工程造价信息》</w:t>
      </w:r>
      <w:r>
        <w:rPr>
          <w:rFonts w:hint="eastAsia" w:ascii="宋体" w:hAnsi="宋体"/>
          <w:color w:val="auto"/>
          <w:highlight w:val="none"/>
          <w:u w:val="single"/>
        </w:rPr>
        <w:t>没有相应信息价的，由建设单位委托造价咨询单位根据当地市场行情来确定，</w:t>
      </w:r>
      <w:r>
        <w:rPr>
          <w:rFonts w:hint="eastAsia" w:asciiTheme="minorEastAsia" w:hAnsiTheme="minorEastAsia" w:eastAsiaTheme="minorEastAsia"/>
          <w:color w:val="auto"/>
          <w:highlight w:val="none"/>
          <w:u w:val="single"/>
        </w:rPr>
        <w:t>已审定的新增、减项项目综合单价结算时均不允许调整</w:t>
      </w:r>
      <w:r>
        <w:rPr>
          <w:rFonts w:hint="eastAsia" w:ascii="宋体" w:hAnsi="宋体"/>
          <w:color w:val="auto"/>
          <w:highlight w:val="none"/>
        </w:rPr>
        <w:t>。</w:t>
      </w:r>
    </w:p>
    <w:p w14:paraId="08F7AF0E">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）价差计算方法：</w:t>
      </w:r>
    </w:p>
    <w:p w14:paraId="5F0E0DDC">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w:t>
      </w:r>
      <w:r>
        <w:rPr>
          <w:rFonts w:ascii="宋体" w:hAnsi="宋体" w:cs="Calibri"/>
          <w:color w:val="auto"/>
          <w:highlight w:val="none"/>
        </w:rPr>
        <w:t>=</w:t>
      </w:r>
      <w:r>
        <w:rPr>
          <w:rFonts w:hint="eastAsia" w:ascii="宋体" w:hAnsi="宋体"/>
          <w:color w:val="auto"/>
          <w:highlight w:val="none"/>
        </w:rPr>
        <w:t>确认价</w:t>
      </w:r>
      <w:r>
        <w:rPr>
          <w:rFonts w:ascii="宋体" w:hAnsi="宋体" w:cs="Calibri"/>
          <w:color w:val="auto"/>
          <w:highlight w:val="none"/>
        </w:rPr>
        <w:t>-</w:t>
      </w:r>
      <w:r>
        <w:rPr>
          <w:rFonts w:hint="eastAsia" w:ascii="宋体" w:hAnsi="宋体"/>
          <w:color w:val="auto"/>
          <w:highlight w:val="none"/>
        </w:rPr>
        <w:t>基准价</w:t>
      </w:r>
      <w:r>
        <w:rPr>
          <w:rFonts w:ascii="宋体" w:hAnsi="宋体" w:cs="Calibri"/>
          <w:color w:val="auto"/>
          <w:highlight w:val="none"/>
        </w:rPr>
        <w:t>*</w:t>
      </w:r>
      <w:r>
        <w:rPr>
          <w:rFonts w:hint="eastAsia" w:ascii="宋体" w:hAnsi="宋体"/>
          <w:color w:val="auto"/>
          <w:highlight w:val="none"/>
        </w:rPr>
        <w:t>（</w:t>
      </w:r>
      <w:r>
        <w:rPr>
          <w:rFonts w:ascii="宋体" w:hAnsi="宋体" w:cs="Calibri"/>
          <w:color w:val="auto"/>
          <w:highlight w:val="none"/>
        </w:rPr>
        <w:t>1+</w:t>
      </w:r>
      <w:r>
        <w:rPr>
          <w:rFonts w:hint="eastAsia" w:ascii="宋体" w:hAnsi="宋体"/>
          <w:color w:val="auto"/>
          <w:highlight w:val="none"/>
        </w:rPr>
        <w:t>风险系数），价格下跌价差</w:t>
      </w:r>
      <w:r>
        <w:rPr>
          <w:rFonts w:ascii="宋体" w:hAnsi="宋体" w:cs="Calibri"/>
          <w:color w:val="auto"/>
          <w:highlight w:val="none"/>
        </w:rPr>
        <w:t>=</w:t>
      </w:r>
      <w:r>
        <w:rPr>
          <w:rFonts w:hint="eastAsia" w:ascii="宋体" w:hAnsi="宋体"/>
          <w:color w:val="auto"/>
          <w:highlight w:val="none"/>
        </w:rPr>
        <w:t>确认价</w:t>
      </w:r>
      <w:r>
        <w:rPr>
          <w:rFonts w:ascii="宋体" w:hAnsi="宋体" w:cs="Calibri"/>
          <w:color w:val="auto"/>
          <w:highlight w:val="none"/>
        </w:rPr>
        <w:t>-</w:t>
      </w:r>
      <w:r>
        <w:rPr>
          <w:rFonts w:hint="eastAsia" w:ascii="宋体" w:hAnsi="宋体"/>
          <w:color w:val="auto"/>
          <w:highlight w:val="none"/>
        </w:rPr>
        <w:t>投标报价</w:t>
      </w:r>
      <w:r>
        <w:rPr>
          <w:rFonts w:ascii="宋体" w:hAnsi="宋体" w:cs="Calibri"/>
          <w:color w:val="auto"/>
          <w:highlight w:val="none"/>
        </w:rPr>
        <w:t>*</w:t>
      </w:r>
      <w:r>
        <w:rPr>
          <w:rFonts w:hint="eastAsia" w:ascii="宋体" w:hAnsi="宋体"/>
          <w:color w:val="auto"/>
          <w:highlight w:val="none"/>
        </w:rPr>
        <w:t>（</w:t>
      </w:r>
      <w:r>
        <w:rPr>
          <w:rFonts w:ascii="宋体" w:hAnsi="宋体" w:cs="Calibri"/>
          <w:color w:val="auto"/>
          <w:highlight w:val="none"/>
        </w:rPr>
        <w:t>1+</w:t>
      </w:r>
      <w:r>
        <w:rPr>
          <w:rFonts w:hint="eastAsia" w:ascii="宋体" w:hAnsi="宋体"/>
          <w:color w:val="auto"/>
          <w:highlight w:val="none"/>
        </w:rPr>
        <w:t>风险系数）。</w:t>
      </w:r>
    </w:p>
    <w:p w14:paraId="236F2416">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w:t>
      </w:r>
      <w:r>
        <w:rPr>
          <w:rFonts w:ascii="宋体" w:hAnsi="宋体" w:cs="Calibri"/>
          <w:color w:val="auto"/>
          <w:highlight w:val="none"/>
        </w:rPr>
        <w:t>=</w:t>
      </w:r>
      <w:r>
        <w:rPr>
          <w:rFonts w:hint="eastAsia" w:ascii="宋体" w:hAnsi="宋体"/>
          <w:color w:val="auto"/>
          <w:highlight w:val="none"/>
        </w:rPr>
        <w:t>确认价投标报价</w:t>
      </w:r>
      <w:r>
        <w:rPr>
          <w:rFonts w:ascii="宋体" w:hAnsi="宋体" w:cs="Calibri"/>
          <w:color w:val="auto"/>
          <w:highlight w:val="none"/>
        </w:rPr>
        <w:t>*</w:t>
      </w:r>
      <w:r>
        <w:rPr>
          <w:rFonts w:hint="eastAsia" w:ascii="宋体" w:hAnsi="宋体"/>
          <w:color w:val="auto"/>
          <w:highlight w:val="none"/>
        </w:rPr>
        <w:t>（</w:t>
      </w:r>
      <w:r>
        <w:rPr>
          <w:rFonts w:ascii="宋体" w:hAnsi="宋体" w:cs="Calibri"/>
          <w:color w:val="auto"/>
          <w:highlight w:val="none"/>
        </w:rPr>
        <w:t>1+</w:t>
      </w:r>
      <w:r>
        <w:rPr>
          <w:rFonts w:hint="eastAsia" w:ascii="宋体" w:hAnsi="宋体"/>
          <w:color w:val="auto"/>
          <w:highlight w:val="none"/>
        </w:rPr>
        <w:t>风险系数），价格下跌价差</w:t>
      </w:r>
      <w:r>
        <w:rPr>
          <w:rFonts w:ascii="宋体" w:hAnsi="宋体" w:cs="Calibri"/>
          <w:color w:val="auto"/>
          <w:highlight w:val="none"/>
        </w:rPr>
        <w:t>=</w:t>
      </w:r>
      <w:r>
        <w:rPr>
          <w:rFonts w:hint="eastAsia" w:ascii="宋体" w:hAnsi="宋体"/>
          <w:color w:val="auto"/>
          <w:highlight w:val="none"/>
        </w:rPr>
        <w:t>确认价</w:t>
      </w:r>
      <w:r>
        <w:rPr>
          <w:rFonts w:ascii="宋体" w:hAnsi="宋体" w:cs="Calibri"/>
          <w:color w:val="auto"/>
          <w:highlight w:val="none"/>
        </w:rPr>
        <w:t>-</w:t>
      </w:r>
      <w:r>
        <w:rPr>
          <w:rFonts w:hint="eastAsia" w:ascii="宋体" w:hAnsi="宋体"/>
          <w:color w:val="auto"/>
          <w:highlight w:val="none"/>
        </w:rPr>
        <w:t>基准价</w:t>
      </w:r>
      <w:r>
        <w:rPr>
          <w:rFonts w:ascii="宋体" w:hAnsi="宋体" w:cs="Calibri"/>
          <w:color w:val="auto"/>
          <w:highlight w:val="none"/>
        </w:rPr>
        <w:t>*</w:t>
      </w:r>
      <w:r>
        <w:rPr>
          <w:rFonts w:hint="eastAsia" w:ascii="宋体" w:hAnsi="宋体"/>
          <w:color w:val="auto"/>
          <w:highlight w:val="none"/>
        </w:rPr>
        <w:t>（</w:t>
      </w:r>
      <w:r>
        <w:rPr>
          <w:rFonts w:ascii="宋体" w:hAnsi="宋体" w:cs="Calibri"/>
          <w:color w:val="auto"/>
          <w:highlight w:val="none"/>
        </w:rPr>
        <w:t>1+</w:t>
      </w:r>
      <w:r>
        <w:rPr>
          <w:rFonts w:hint="eastAsia" w:ascii="宋体" w:hAnsi="宋体"/>
          <w:color w:val="auto"/>
          <w:highlight w:val="none"/>
        </w:rPr>
        <w:t>风险系数。）</w:t>
      </w:r>
    </w:p>
    <w:p w14:paraId="116D9788">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w:t>
      </w:r>
      <w:r>
        <w:rPr>
          <w:rFonts w:ascii="宋体" w:hAnsi="宋体" w:cs="Calibri"/>
          <w:color w:val="auto"/>
          <w:highlight w:val="none"/>
        </w:rPr>
        <w:t>=</w:t>
      </w:r>
      <w:r>
        <w:rPr>
          <w:rFonts w:hint="eastAsia" w:ascii="宋体" w:hAnsi="宋体"/>
          <w:color w:val="auto"/>
          <w:highlight w:val="none"/>
        </w:rPr>
        <w:t>确认价</w:t>
      </w:r>
      <w:r>
        <w:rPr>
          <w:rFonts w:ascii="宋体" w:hAnsi="宋体" w:cs="Calibri"/>
          <w:color w:val="auto"/>
          <w:highlight w:val="none"/>
        </w:rPr>
        <w:t>-</w:t>
      </w:r>
      <w:r>
        <w:rPr>
          <w:rFonts w:hint="eastAsia" w:ascii="宋体" w:hAnsi="宋体"/>
          <w:color w:val="auto"/>
          <w:highlight w:val="none"/>
        </w:rPr>
        <w:t>基准单价</w:t>
      </w:r>
      <w:r>
        <w:rPr>
          <w:rFonts w:ascii="宋体" w:hAnsi="宋体" w:cs="Calibri"/>
          <w:color w:val="auto"/>
          <w:highlight w:val="none"/>
        </w:rPr>
        <w:t>*</w:t>
      </w:r>
      <w:r>
        <w:rPr>
          <w:rFonts w:hint="eastAsia" w:ascii="宋体" w:hAnsi="宋体"/>
          <w:color w:val="auto"/>
          <w:highlight w:val="none"/>
        </w:rPr>
        <w:t>（</w:t>
      </w:r>
      <w:r>
        <w:rPr>
          <w:rFonts w:ascii="宋体" w:hAnsi="宋体" w:cs="Calibri"/>
          <w:color w:val="auto"/>
          <w:highlight w:val="none"/>
        </w:rPr>
        <w:t>1+</w:t>
      </w:r>
      <w:r>
        <w:rPr>
          <w:rFonts w:hint="eastAsia" w:ascii="宋体" w:hAnsi="宋体"/>
          <w:color w:val="auto"/>
          <w:highlight w:val="none"/>
        </w:rPr>
        <w:t>风险系数））</w:t>
      </w:r>
    </w:p>
    <w:p w14:paraId="0C980DA9">
      <w:pPr>
        <w:pageBreakBefore w:val="0"/>
        <w:kinsoku/>
        <w:wordWrap w:val="0"/>
        <w:topLinePunct w:val="0"/>
        <w:spacing w:line="360" w:lineRule="auto"/>
        <w:ind w:firstLine="645"/>
        <w:jc w:val="left"/>
        <w:rPr>
          <w:rFonts w:ascii="宋体" w:hAnsi="宋体"/>
          <w:color w:val="auto"/>
          <w:highlight w:val="none"/>
        </w:rPr>
      </w:pPr>
      <w:r>
        <w:rPr>
          <w:rFonts w:hint="eastAsia" w:ascii="宋体" w:hAnsi="宋体"/>
          <w:color w:val="auto"/>
          <w:highlight w:val="none"/>
        </w:rPr>
        <w:t>第</w:t>
      </w:r>
      <w:r>
        <w:rPr>
          <w:rFonts w:ascii="宋体" w:hAnsi="宋体"/>
          <w:color w:val="auto"/>
          <w:highlight w:val="none"/>
        </w:rPr>
        <w:t>3</w:t>
      </w:r>
      <w:r>
        <w:rPr>
          <w:rFonts w:hint="eastAsia" w:ascii="宋体" w:hAnsi="宋体"/>
          <w:color w:val="auto"/>
          <w:highlight w:val="none"/>
        </w:rPr>
        <w:t>种方式：其他价格调整方式</w:t>
      </w:r>
      <w:r>
        <w:rPr>
          <w:rFonts w:hint="eastAsia" w:ascii="宋体" w:hAnsi="宋体"/>
          <w:color w:val="auto"/>
          <w:highlight w:val="none"/>
          <w:u w:val="single"/>
        </w:rPr>
        <w:t xml:space="preserve">   /  </w:t>
      </w:r>
      <w:r>
        <w:rPr>
          <w:rFonts w:hint="eastAsia" w:ascii="宋体" w:hAnsi="宋体"/>
          <w:color w:val="auto"/>
          <w:highlight w:val="none"/>
        </w:rPr>
        <w:t xml:space="preserve"> 。</w:t>
      </w:r>
    </w:p>
    <w:p w14:paraId="04EC680B">
      <w:pPr>
        <w:keepNext/>
        <w:keepLines/>
        <w:pageBreakBefore w:val="0"/>
        <w:kinsoku/>
        <w:wordWrap w:val="0"/>
        <w:topLinePunct w:val="0"/>
        <w:spacing w:before="60" w:after="60" w:line="413" w:lineRule="auto"/>
        <w:outlineLvl w:val="1"/>
        <w:rPr>
          <w:rFonts w:ascii="宋体" w:hAnsi="宋体"/>
          <w:b/>
          <w:bCs/>
          <w:color w:val="auto"/>
          <w:highlight w:val="none"/>
          <w:lang w:val="zh-CN"/>
        </w:rPr>
      </w:pPr>
      <w:r>
        <w:rPr>
          <w:rFonts w:ascii="宋体" w:hAnsi="宋体"/>
          <w:b/>
          <w:bCs/>
          <w:color w:val="auto"/>
          <w:highlight w:val="none"/>
          <w:lang w:val="zh-CN"/>
        </w:rPr>
        <w:t xml:space="preserve">12. </w:t>
      </w:r>
      <w:r>
        <w:rPr>
          <w:rFonts w:hint="eastAsia" w:ascii="宋体" w:hAnsi="宋体"/>
          <w:b/>
          <w:bCs/>
          <w:color w:val="auto"/>
          <w:highlight w:val="none"/>
          <w:lang w:val="zh-CN"/>
        </w:rPr>
        <w:t>合同价格、计量与支付</w:t>
      </w:r>
    </w:p>
    <w:p w14:paraId="36206659">
      <w:pPr>
        <w:keepNext/>
        <w:keepLines/>
        <w:pageBreakBefore w:val="0"/>
        <w:kinsoku/>
        <w:wordWrap w:val="0"/>
        <w:topLinePunct w:val="0"/>
        <w:spacing w:line="360" w:lineRule="auto"/>
        <w:outlineLvl w:val="2"/>
        <w:rPr>
          <w:rFonts w:ascii="宋体" w:hAnsi="宋体"/>
          <w:b/>
          <w:bCs/>
          <w:color w:val="auto"/>
          <w:highlight w:val="none"/>
          <w:lang w:val="zh-CN"/>
        </w:rPr>
      </w:pPr>
      <w:bookmarkStart w:id="783" w:name="_Toc304295580"/>
      <w:bookmarkEnd w:id="783"/>
      <w:bookmarkStart w:id="784" w:name="_Toc297120506"/>
      <w:bookmarkEnd w:id="784"/>
      <w:bookmarkStart w:id="785" w:name="_Toc296346707"/>
      <w:bookmarkEnd w:id="785"/>
      <w:bookmarkStart w:id="786" w:name="_Toc389065314"/>
      <w:bookmarkEnd w:id="786"/>
      <w:bookmarkStart w:id="787" w:name="_Toc296347205"/>
      <w:bookmarkEnd w:id="787"/>
      <w:bookmarkStart w:id="788" w:name="_Toc303539160"/>
      <w:bookmarkEnd w:id="788"/>
      <w:bookmarkStart w:id="789" w:name="_Toc373227749"/>
      <w:bookmarkEnd w:id="789"/>
      <w:bookmarkStart w:id="790" w:name="_Toc267251461"/>
      <w:bookmarkEnd w:id="790"/>
      <w:bookmarkStart w:id="791" w:name="_Toc297216212"/>
      <w:bookmarkEnd w:id="791"/>
      <w:bookmarkStart w:id="792" w:name="_Toc407135252"/>
      <w:bookmarkEnd w:id="792"/>
      <w:bookmarkStart w:id="793" w:name="_Toc296944545"/>
      <w:bookmarkEnd w:id="793"/>
      <w:bookmarkStart w:id="794" w:name="_Toc5477"/>
      <w:bookmarkEnd w:id="794"/>
      <w:bookmarkStart w:id="795" w:name="_Toc312678041"/>
      <w:bookmarkEnd w:id="795"/>
      <w:bookmarkStart w:id="796" w:name="_Toc292559411"/>
      <w:bookmarkEnd w:id="796"/>
      <w:bookmarkStart w:id="797" w:name="_Toc297123553"/>
      <w:bookmarkEnd w:id="797"/>
      <w:bookmarkStart w:id="798" w:name="_Toc300935003"/>
      <w:bookmarkEnd w:id="798"/>
      <w:bookmarkStart w:id="799" w:name="_Toc297048392"/>
      <w:bookmarkEnd w:id="799"/>
      <w:bookmarkStart w:id="800" w:name="_Toc296891246"/>
      <w:bookmarkEnd w:id="800"/>
      <w:bookmarkStart w:id="801" w:name="_Toc296891034"/>
      <w:bookmarkEnd w:id="801"/>
      <w:bookmarkStart w:id="802" w:name="_Toc373478396"/>
      <w:bookmarkEnd w:id="802"/>
      <w:bookmarkStart w:id="803" w:name="_Toc296503206"/>
      <w:bookmarkEnd w:id="803"/>
      <w:bookmarkStart w:id="804" w:name="_Toc292559916"/>
      <w:r>
        <w:rPr>
          <w:rFonts w:ascii="宋体" w:hAnsi="宋体"/>
          <w:b/>
          <w:bCs/>
          <w:color w:val="auto"/>
          <w:highlight w:val="none"/>
          <w:lang w:val="zh-CN"/>
        </w:rPr>
        <w:t xml:space="preserve">12.1 </w:t>
      </w:r>
      <w:bookmarkEnd w:id="804"/>
      <w:r>
        <w:rPr>
          <w:rFonts w:hint="eastAsia" w:ascii="宋体" w:hAnsi="宋体"/>
          <w:b/>
          <w:bCs/>
          <w:color w:val="auto"/>
          <w:highlight w:val="none"/>
          <w:lang w:val="zh-CN"/>
        </w:rPr>
        <w:t>合同价格形式</w:t>
      </w:r>
    </w:p>
    <w:p w14:paraId="428AFB90">
      <w:pPr>
        <w:pageBreakBefore w:val="0"/>
        <w:kinsoku/>
        <w:wordWrap w:val="0"/>
        <w:topLinePunct w:val="0"/>
        <w:spacing w:line="360" w:lineRule="auto"/>
        <w:ind w:firstLine="420" w:firstLineChars="200"/>
        <w:jc w:val="left"/>
        <w:rPr>
          <w:rFonts w:ascii="宋体" w:hAnsi="宋体"/>
          <w:color w:val="auto"/>
          <w:highlight w:val="none"/>
        </w:rPr>
      </w:pPr>
      <w:bookmarkStart w:id="805" w:name="_Toc389065315"/>
      <w:bookmarkEnd w:id="805"/>
      <w:bookmarkStart w:id="806" w:name="_Toc297123554"/>
      <w:bookmarkEnd w:id="806"/>
      <w:bookmarkStart w:id="807" w:name="_Toc296347206"/>
      <w:bookmarkEnd w:id="807"/>
      <w:bookmarkStart w:id="808" w:name="_Toc312678042"/>
      <w:bookmarkEnd w:id="808"/>
      <w:bookmarkStart w:id="809" w:name="_Toc292559412"/>
      <w:bookmarkEnd w:id="809"/>
      <w:bookmarkStart w:id="810" w:name="_Toc297120507"/>
      <w:bookmarkEnd w:id="810"/>
      <w:bookmarkStart w:id="811" w:name="_Toc292559917"/>
      <w:bookmarkEnd w:id="811"/>
      <w:bookmarkStart w:id="812" w:name="_Toc296346708"/>
      <w:bookmarkEnd w:id="812"/>
      <w:bookmarkStart w:id="813" w:name="_Toc296891247"/>
      <w:bookmarkEnd w:id="813"/>
      <w:bookmarkStart w:id="814" w:name="_Toc296944546"/>
      <w:bookmarkEnd w:id="814"/>
      <w:bookmarkStart w:id="815" w:name="_Toc303539161"/>
      <w:bookmarkEnd w:id="815"/>
      <w:bookmarkStart w:id="816" w:name="_Toc407135253"/>
      <w:bookmarkEnd w:id="816"/>
      <w:bookmarkStart w:id="817" w:name="_Toc300935004"/>
      <w:bookmarkEnd w:id="817"/>
      <w:bookmarkStart w:id="818" w:name="_Toc296503207"/>
      <w:bookmarkEnd w:id="818"/>
      <w:bookmarkStart w:id="819" w:name="_Toc297216213"/>
      <w:bookmarkEnd w:id="819"/>
      <w:bookmarkStart w:id="820" w:name="_Toc296891035"/>
      <w:bookmarkEnd w:id="820"/>
      <w:bookmarkStart w:id="821" w:name="_Toc304295581"/>
      <w:bookmarkEnd w:id="821"/>
      <w:bookmarkStart w:id="822" w:name="_Toc297048393"/>
      <w:bookmarkEnd w:id="822"/>
      <w:bookmarkStart w:id="823" w:name="_Toc373478397"/>
      <w:bookmarkEnd w:id="823"/>
      <w:bookmarkStart w:id="824" w:name="_Toc373227750"/>
      <w:r>
        <w:rPr>
          <w:rFonts w:hint="eastAsia" w:ascii="宋体" w:hAnsi="宋体"/>
          <w:color w:val="auto"/>
          <w:highlight w:val="none"/>
        </w:rPr>
        <w:t>本工程采用</w:t>
      </w:r>
      <w:bookmarkEnd w:id="824"/>
      <w:r>
        <w:rPr>
          <w:rFonts w:hint="eastAsia" w:ascii="宋体" w:hAnsi="宋体"/>
          <w:b/>
          <w:color w:val="auto"/>
          <w:highlight w:val="none"/>
          <w:u w:val="single"/>
        </w:rPr>
        <w:t>单价</w:t>
      </w:r>
      <w:r>
        <w:rPr>
          <w:rFonts w:hint="eastAsia" w:ascii="宋体" w:hAnsi="宋体"/>
          <w:color w:val="auto"/>
          <w:highlight w:val="none"/>
        </w:rPr>
        <w:t>合同价格形式，合同价格包含增值税，本工程计价时采用的增值税计税方法为：简易计税法。</w:t>
      </w:r>
    </w:p>
    <w:p w14:paraId="23050573">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）单价合同。</w:t>
      </w:r>
    </w:p>
    <w:p w14:paraId="57C64797">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采用综合单价合同方式时，工程量按建设单位、监理单位、施工单位三方确认的竣工图结算。</w:t>
      </w:r>
    </w:p>
    <w:p w14:paraId="13A9D76E">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综合单价包含的风险范围：</w:t>
      </w:r>
      <w:r>
        <w:rPr>
          <w:rFonts w:hint="eastAsia" w:asciiTheme="minorEastAsia" w:hAnsiTheme="minorEastAsia" w:eastAsiaTheme="minorEastAsia"/>
          <w:color w:val="auto"/>
          <w:highlight w:val="none"/>
          <w:u w:val="single"/>
        </w:rPr>
        <w:t>在合同实施期间材料、设备市场波动在约定的风险范围内综合单价不再调整，风险范围以外（超</w:t>
      </w:r>
      <w:r>
        <w:rPr>
          <w:rFonts w:hint="eastAsia" w:ascii="宋体" w:hAnsi="宋体"/>
          <w:color w:val="auto"/>
          <w:highlight w:val="none"/>
          <w:u w:val="single"/>
        </w:rPr>
        <w:t>基准价格）</w:t>
      </w:r>
      <w:r>
        <w:rPr>
          <w:rFonts w:hint="eastAsia" w:asciiTheme="minorEastAsia" w:hAnsiTheme="minorEastAsia" w:eastAsiaTheme="minorEastAsia"/>
          <w:color w:val="auto"/>
          <w:highlight w:val="none"/>
          <w:u w:val="single"/>
        </w:rPr>
        <w:t>和</w:t>
      </w:r>
      <w:r>
        <w:rPr>
          <w:rFonts w:hint="eastAsia" w:ascii="宋体" w:hAnsi="宋体"/>
          <w:color w:val="auto"/>
          <w:highlight w:val="none"/>
          <w:u w:val="single"/>
        </w:rPr>
        <w:t>发生设计变更</w:t>
      </w:r>
      <w:r>
        <w:rPr>
          <w:rFonts w:hint="eastAsia" w:asciiTheme="minorEastAsia" w:hAnsiTheme="minorEastAsia" w:eastAsiaTheme="minorEastAsia"/>
          <w:color w:val="auto"/>
          <w:highlight w:val="none"/>
          <w:u w:val="single"/>
        </w:rPr>
        <w:t>的综合单价</w:t>
      </w:r>
      <w:r>
        <w:rPr>
          <w:rFonts w:hint="eastAsia" w:ascii="宋体" w:hAnsi="宋体"/>
          <w:color w:val="auto"/>
          <w:highlight w:val="none"/>
          <w:u w:val="single"/>
        </w:rPr>
        <w:t>可作调整。</w:t>
      </w:r>
    </w:p>
    <w:p w14:paraId="36977F2C">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u w:val="single"/>
        </w:rPr>
        <w:t>承包人在签订本合同时已充分考虑风险系数和范围。</w:t>
      </w:r>
    </w:p>
    <w:p w14:paraId="5187FD0D">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风险范围以外合同价格的调整方法：</w:t>
      </w:r>
    </w:p>
    <w:p w14:paraId="3D04F7F9">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①工程变更：按</w:t>
      </w:r>
      <w:r>
        <w:rPr>
          <w:rFonts w:ascii="宋体" w:hAnsi="宋体" w:cs="宋体"/>
          <w:color w:val="auto"/>
          <w:highlight w:val="none"/>
        </w:rPr>
        <w:t>10.4.1</w:t>
      </w:r>
      <w:r>
        <w:rPr>
          <w:rFonts w:hint="eastAsia" w:ascii="宋体" w:hAnsi="宋体"/>
          <w:color w:val="auto"/>
          <w:highlight w:val="none"/>
        </w:rPr>
        <w:t>变更估价原则的约定调整。</w:t>
      </w:r>
    </w:p>
    <w:p w14:paraId="434A6108">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②工程量偏差：按</w:t>
      </w:r>
      <w:r>
        <w:rPr>
          <w:rFonts w:ascii="宋体" w:hAnsi="宋体" w:cs="Calibri"/>
          <w:color w:val="auto"/>
          <w:highlight w:val="none"/>
        </w:rPr>
        <w:t>1.13</w:t>
      </w:r>
      <w:r>
        <w:rPr>
          <w:rFonts w:hint="eastAsia" w:ascii="宋体" w:hAnsi="宋体"/>
          <w:color w:val="auto"/>
          <w:highlight w:val="none"/>
        </w:rPr>
        <w:t>工程量清单错误修正的约定调整。</w:t>
      </w:r>
    </w:p>
    <w:p w14:paraId="74DDC4B5">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③政策性调整：按自治区住房城乡建设厅或工程所在地住房城乡建设主管部门颁布的文件执行。</w:t>
      </w:r>
    </w:p>
    <w:p w14:paraId="1A02A7EF">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④材料价格风险：按</w:t>
      </w:r>
      <w:r>
        <w:rPr>
          <w:rFonts w:ascii="宋体" w:hAnsi="宋体" w:cs="宋体"/>
          <w:color w:val="auto"/>
          <w:highlight w:val="none"/>
        </w:rPr>
        <w:t>11.1</w:t>
      </w:r>
      <w:r>
        <w:rPr>
          <w:rFonts w:hint="eastAsia" w:ascii="宋体" w:hAnsi="宋体"/>
          <w:color w:val="auto"/>
          <w:highlight w:val="none"/>
        </w:rPr>
        <w:t>的约定调整。</w:t>
      </w:r>
    </w:p>
    <w:p w14:paraId="65C3B52F">
      <w:pPr>
        <w:pageBreakBefore w:val="0"/>
        <w:kinsoku/>
        <w:wordWrap w:val="0"/>
        <w:topLinePunct w:val="0"/>
        <w:spacing w:line="360" w:lineRule="auto"/>
        <w:ind w:firstLine="420"/>
        <w:jc w:val="left"/>
        <w:rPr>
          <w:rFonts w:ascii="宋体" w:hAnsi="宋体" w:cs="Calibri"/>
          <w:color w:val="auto"/>
          <w:highlight w:val="none"/>
          <w:u w:val="single"/>
        </w:rPr>
      </w:pPr>
      <w:r>
        <w:rPr>
          <w:rFonts w:hint="eastAsia" w:ascii="宋体" w:hAnsi="宋体"/>
          <w:color w:val="auto"/>
          <w:highlight w:val="none"/>
        </w:rPr>
        <w:t>⑤其它：</w:t>
      </w:r>
      <w:r>
        <w:rPr>
          <w:rFonts w:hint="eastAsia" w:ascii="宋体" w:hAnsi="宋体"/>
          <w:color w:val="auto"/>
          <w:highlight w:val="none"/>
          <w:u w:val="single"/>
        </w:rPr>
        <w:t>价格调整</w:t>
      </w:r>
      <w:r>
        <w:rPr>
          <w:rFonts w:ascii="宋体" w:hAnsi="宋体"/>
          <w:color w:val="auto"/>
          <w:highlight w:val="none"/>
          <w:u w:val="single"/>
        </w:rPr>
        <w:t>A</w:t>
      </w:r>
      <w:r>
        <w:rPr>
          <w:rFonts w:hint="eastAsia" w:ascii="宋体" w:hAnsi="宋体"/>
          <w:color w:val="auto"/>
          <w:highlight w:val="none"/>
          <w:u w:val="single"/>
        </w:rPr>
        <w:t>、需变更设计或者因特殊情况造成工程内容和工程量变化需现场签证的，应当履行审批手续并经建设单位、设计单位、监理单位和施工单位等共同确认，若工程内容和工程量变化较大的，应邀请</w:t>
      </w:r>
      <w:r>
        <w:rPr>
          <w:rFonts w:hint="eastAsia" w:ascii="宋体" w:hAnsi="宋体"/>
          <w:color w:val="auto"/>
          <w:highlight w:val="none"/>
          <w:u w:val="single"/>
          <w:lang w:eastAsia="zh-CN"/>
        </w:rPr>
        <w:t>桂林市</w:t>
      </w:r>
      <w:r>
        <w:rPr>
          <w:rFonts w:hint="eastAsia" w:ascii="宋体" w:hAnsi="宋体"/>
          <w:color w:val="auto"/>
          <w:highlight w:val="none"/>
          <w:u w:val="single"/>
        </w:rPr>
        <w:t>行业行政主管部门、审计机关、勘察单位和造价咨询单位参加。</w:t>
      </w:r>
      <w:r>
        <w:rPr>
          <w:rFonts w:ascii="宋体" w:hAnsi="宋体"/>
          <w:color w:val="auto"/>
          <w:highlight w:val="none"/>
          <w:u w:val="single"/>
        </w:rPr>
        <w:t>B</w:t>
      </w:r>
      <w:r>
        <w:rPr>
          <w:rFonts w:hint="eastAsia" w:ascii="宋体" w:hAnsi="宋体"/>
          <w:color w:val="auto"/>
          <w:highlight w:val="none"/>
          <w:u w:val="single"/>
        </w:rPr>
        <w:t>、根据</w:t>
      </w:r>
      <w:r>
        <w:rPr>
          <w:rFonts w:hint="eastAsia" w:ascii="宋体" w:hAnsi="宋体"/>
          <w:color w:val="auto"/>
          <w:highlight w:val="none"/>
          <w:u w:val="single"/>
          <w:lang w:eastAsia="zh-CN"/>
        </w:rPr>
        <w:t>供应商</w:t>
      </w:r>
      <w:r>
        <w:rPr>
          <w:rFonts w:hint="eastAsia" w:ascii="宋体" w:hAnsi="宋体"/>
          <w:color w:val="auto"/>
          <w:highlight w:val="none"/>
          <w:u w:val="single"/>
        </w:rPr>
        <w:t>的中标综合单价及施工实际工程量进行结算。在施工过程中，若《</w:t>
      </w:r>
      <w:r>
        <w:rPr>
          <w:rFonts w:hint="eastAsia" w:ascii="宋体" w:hAnsi="宋体"/>
          <w:color w:val="auto"/>
          <w:highlight w:val="none"/>
          <w:u w:val="single"/>
          <w:lang w:eastAsia="zh-CN"/>
        </w:rPr>
        <w:t>桂林市建设工程造价信息</w:t>
      </w:r>
      <w:r>
        <w:rPr>
          <w:rFonts w:hint="eastAsia" w:ascii="宋体" w:hAnsi="宋体"/>
          <w:color w:val="auto"/>
          <w:highlight w:val="none"/>
          <w:u w:val="single"/>
        </w:rPr>
        <w:t>》上发布的市场价格幅度超过基准材料价格的时，工程所用的主要材料（指：钢筋、水泥、沙、碎石、给排水管、块料、水电、装饰、商品混凝土、砖、通风、）可以调整价格。具体调整办法为：即（施工期《</w:t>
      </w:r>
      <w:r>
        <w:rPr>
          <w:rFonts w:hint="eastAsia" w:ascii="宋体" w:hAnsi="宋体"/>
          <w:color w:val="auto"/>
          <w:highlight w:val="none"/>
          <w:u w:val="single"/>
          <w:lang w:eastAsia="zh-CN"/>
        </w:rPr>
        <w:t>桂林市建设工程造价信息</w:t>
      </w:r>
      <w:r>
        <w:rPr>
          <w:rFonts w:hint="eastAsia" w:ascii="宋体" w:hAnsi="宋体"/>
          <w:color w:val="auto"/>
          <w:highlight w:val="none"/>
          <w:u w:val="single"/>
        </w:rPr>
        <w:t>》发布的材料价格－投标期预算控制价套用的材料价格）×发包人确认材料数量）及相应的税金。</w:t>
      </w:r>
      <w:r>
        <w:rPr>
          <w:rFonts w:ascii="宋体" w:hAnsi="宋体"/>
          <w:color w:val="auto"/>
          <w:highlight w:val="none"/>
          <w:u w:val="single"/>
        </w:rPr>
        <w:t>C</w:t>
      </w:r>
      <w:r>
        <w:rPr>
          <w:rFonts w:hint="eastAsia" w:ascii="宋体" w:hAnsi="宋体"/>
          <w:color w:val="auto"/>
          <w:highlight w:val="none"/>
          <w:u w:val="single"/>
        </w:rPr>
        <w:t>、对于法律、法规、规章或有关政策出台导致工程税金、规费、人工费发生变化，并由自治区建设行政主管部门或其授权的自治区工程造价管理机构根据上述变化发布的政策性调整，承包人不应承担风险，应按照有关调整规定执行。</w:t>
      </w:r>
      <w:r>
        <w:rPr>
          <w:rFonts w:ascii="宋体" w:hAnsi="宋体"/>
          <w:color w:val="auto"/>
          <w:highlight w:val="none"/>
          <w:u w:val="single"/>
        </w:rPr>
        <w:t xml:space="preserve"> D</w:t>
      </w:r>
      <w:r>
        <w:rPr>
          <w:rFonts w:hint="eastAsia" w:ascii="宋体" w:hAnsi="宋体"/>
          <w:color w:val="auto"/>
          <w:highlight w:val="none"/>
          <w:u w:val="single"/>
        </w:rPr>
        <w:t>、设计变更引起的调整方法</w:t>
      </w:r>
      <w:r>
        <w:rPr>
          <w:rFonts w:ascii="宋体" w:hAnsi="宋体"/>
          <w:color w:val="auto"/>
          <w:highlight w:val="none"/>
          <w:u w:val="single"/>
        </w:rPr>
        <w:t>a</w:t>
      </w:r>
      <w:r>
        <w:rPr>
          <w:rFonts w:hint="eastAsia" w:ascii="宋体" w:hAnsi="宋体"/>
          <w:color w:val="auto"/>
          <w:highlight w:val="none"/>
          <w:u w:val="single"/>
        </w:rPr>
        <w:t>、合同中已有适用的综合单价，按合同中已有的综合单价确定。</w:t>
      </w:r>
      <w:r>
        <w:rPr>
          <w:rFonts w:ascii="宋体" w:hAnsi="宋体"/>
          <w:color w:val="auto"/>
          <w:highlight w:val="none"/>
          <w:u w:val="single"/>
        </w:rPr>
        <w:t>b</w:t>
      </w:r>
      <w:r>
        <w:rPr>
          <w:rFonts w:hint="eastAsia" w:ascii="宋体" w:hAnsi="宋体"/>
          <w:color w:val="auto"/>
          <w:highlight w:val="none"/>
          <w:u w:val="single"/>
        </w:rPr>
        <w:t>、合同中有类似的综合单价，参照类似的综合单价确定。</w:t>
      </w:r>
      <w:r>
        <w:rPr>
          <w:rFonts w:ascii="宋体" w:hAnsi="宋体"/>
          <w:color w:val="auto"/>
          <w:highlight w:val="none"/>
          <w:u w:val="single"/>
        </w:rPr>
        <w:t>c</w:t>
      </w:r>
      <w:r>
        <w:rPr>
          <w:rFonts w:hint="eastAsia" w:ascii="宋体" w:hAnsi="宋体"/>
          <w:color w:val="auto"/>
          <w:highlight w:val="none"/>
          <w:u w:val="single"/>
        </w:rPr>
        <w:t>、合同中没有适用或类似的综合单价，按</w:t>
      </w:r>
      <w:r>
        <w:rPr>
          <w:rFonts w:hint="eastAsia" w:asciiTheme="minorEastAsia" w:hAnsiTheme="minorEastAsia" w:eastAsiaTheme="minorEastAsia"/>
          <w:color w:val="auto"/>
          <w:highlight w:val="none"/>
          <w:u w:val="single"/>
          <w:lang w:eastAsia="zh-CN"/>
        </w:rPr>
        <w:t>桂林市建设工程造价信息</w:t>
      </w:r>
      <w:r>
        <w:rPr>
          <w:rFonts w:hint="eastAsia" w:ascii="宋体" w:hAnsi="宋体"/>
          <w:color w:val="auto"/>
          <w:highlight w:val="none"/>
          <w:u w:val="single"/>
        </w:rPr>
        <w:t>确定，经发包人及有关部门审核确认并乘以下浮系数（中标价</w:t>
      </w:r>
      <w:r>
        <w:rPr>
          <w:rFonts w:ascii="宋体" w:hAnsi="宋体"/>
          <w:color w:val="auto"/>
          <w:highlight w:val="none"/>
          <w:u w:val="single"/>
        </w:rPr>
        <w:t>/</w:t>
      </w:r>
      <w:r>
        <w:rPr>
          <w:rFonts w:hint="eastAsia" w:ascii="宋体" w:hAnsi="宋体"/>
          <w:color w:val="auto"/>
          <w:highlight w:val="none"/>
          <w:u w:val="single"/>
        </w:rPr>
        <w:t>工程预算控制价）后执行。</w:t>
      </w:r>
      <w:r>
        <w:rPr>
          <w:rFonts w:ascii="宋体" w:hAnsi="宋体"/>
          <w:color w:val="auto"/>
          <w:highlight w:val="none"/>
          <w:u w:val="single"/>
        </w:rPr>
        <w:t>E</w:t>
      </w:r>
      <w:r>
        <w:rPr>
          <w:rFonts w:hint="eastAsia" w:ascii="宋体" w:hAnsi="宋体"/>
          <w:color w:val="auto"/>
          <w:highlight w:val="none"/>
          <w:u w:val="single"/>
        </w:rPr>
        <w:t>、由以上原因引起的工程措施项目费和其他项目费等按</w:t>
      </w:r>
      <w:r>
        <w:rPr>
          <w:rFonts w:ascii="宋体" w:hAnsi="宋体"/>
          <w:color w:val="auto"/>
          <w:highlight w:val="none"/>
          <w:u w:val="single"/>
        </w:rPr>
        <w:t>GB50500</w:t>
      </w:r>
      <w:r>
        <w:rPr>
          <w:rFonts w:hint="eastAsia" w:ascii="宋体" w:hAnsi="宋体"/>
          <w:color w:val="auto"/>
          <w:highlight w:val="none"/>
          <w:u w:val="single"/>
        </w:rPr>
        <w:t>－</w:t>
      </w:r>
      <w:r>
        <w:rPr>
          <w:rFonts w:ascii="宋体" w:hAnsi="宋体"/>
          <w:color w:val="auto"/>
          <w:highlight w:val="none"/>
          <w:u w:val="single"/>
        </w:rPr>
        <w:t>2013</w:t>
      </w:r>
      <w:r>
        <w:rPr>
          <w:rFonts w:hint="eastAsia" w:ascii="宋体" w:hAnsi="宋体"/>
          <w:color w:val="auto"/>
          <w:highlight w:val="none"/>
          <w:u w:val="single"/>
        </w:rPr>
        <w:t>《建设工程工程量清单计价规范广西壮族自治区实施细则》规定进行调整</w:t>
      </w:r>
      <w:r>
        <w:rPr>
          <w:rFonts w:hint="eastAsia" w:ascii="宋体" w:hAnsi="宋体"/>
          <w:color w:val="auto"/>
          <w:highlight w:val="none"/>
        </w:rPr>
        <w:t>。</w:t>
      </w:r>
    </w:p>
    <w:p w14:paraId="363AF129">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u w:val="single"/>
        </w:rPr>
        <w:t>⑥工程量按实际工程量，材料价格按施工期间</w:t>
      </w:r>
      <w:r>
        <w:rPr>
          <w:rFonts w:hint="eastAsia" w:ascii="宋体" w:hAnsi="宋体"/>
          <w:color w:val="auto"/>
          <w:highlight w:val="none"/>
          <w:u w:val="single"/>
          <w:lang w:eastAsia="zh-CN"/>
        </w:rPr>
        <w:t>桂林市</w:t>
      </w:r>
      <w:r>
        <w:rPr>
          <w:rFonts w:hint="eastAsia" w:ascii="宋体" w:hAnsi="宋体"/>
          <w:color w:val="auto"/>
          <w:highlight w:val="none"/>
          <w:u w:val="single"/>
        </w:rPr>
        <w:t>的信息价格，新增单价以造价咨询单位评审核定为准</w:t>
      </w:r>
      <w:r>
        <w:rPr>
          <w:rFonts w:hint="eastAsia" w:ascii="宋体" w:hAnsi="宋体"/>
          <w:color w:val="auto"/>
          <w:highlight w:val="none"/>
        </w:rPr>
        <w:t>。</w:t>
      </w:r>
    </w:p>
    <w:p w14:paraId="2E5ABECF">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）总价合同。</w:t>
      </w:r>
    </w:p>
    <w:p w14:paraId="296DDBC3">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总价包含的风险范围：</w:t>
      </w:r>
      <w:r>
        <w:rPr>
          <w:rFonts w:hint="eastAsia" w:ascii="宋体" w:hAnsi="宋体"/>
          <w:color w:val="auto"/>
          <w:highlight w:val="none"/>
          <w:u w:val="single"/>
        </w:rPr>
        <w:t>除工程设计变更、政策性调整、本工程《承包人提供主要材料和设备一览表》中约定的材料和设备价格变动风险以外，总价不做调整。工程设计没变更的，结算时不得超招标施工图对应的工程量</w:t>
      </w:r>
      <w:r>
        <w:rPr>
          <w:rFonts w:hint="eastAsia" w:ascii="宋体" w:hAnsi="宋体"/>
          <w:color w:val="auto"/>
          <w:highlight w:val="none"/>
        </w:rPr>
        <w:t>。</w:t>
      </w:r>
    </w:p>
    <w:p w14:paraId="24173F1E">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风险范围以外合同价格的调整方法：</w:t>
      </w:r>
    </w:p>
    <w:p w14:paraId="41CCA9AE">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①工程变更：按</w:t>
      </w:r>
      <w:r>
        <w:rPr>
          <w:rFonts w:ascii="宋体" w:hAnsi="宋体" w:cs="宋体"/>
          <w:color w:val="auto"/>
          <w:highlight w:val="none"/>
        </w:rPr>
        <w:t>10.4.1</w:t>
      </w:r>
      <w:r>
        <w:rPr>
          <w:rFonts w:hint="eastAsia" w:ascii="宋体" w:hAnsi="宋体"/>
          <w:color w:val="auto"/>
          <w:highlight w:val="none"/>
        </w:rPr>
        <w:t>变更估价原则的约定调整。</w:t>
      </w:r>
    </w:p>
    <w:p w14:paraId="2C512337">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②政策性调整：按自治区住房城乡建设厅或工程所在地住房城乡建设主管部门颁布的文件执行。</w:t>
      </w:r>
    </w:p>
    <w:p w14:paraId="09057E8E">
      <w:pPr>
        <w:pageBreakBefore w:val="0"/>
        <w:kinsoku/>
        <w:wordWrap w:val="0"/>
        <w:topLinePunct w:val="0"/>
        <w:spacing w:line="360" w:lineRule="auto"/>
        <w:ind w:firstLine="420" w:firstLineChars="200"/>
        <w:jc w:val="left"/>
        <w:rPr>
          <w:rFonts w:ascii="宋体" w:hAnsi="宋体" w:cs="宋体"/>
          <w:color w:val="auto"/>
          <w:highlight w:val="none"/>
        </w:rPr>
      </w:pPr>
      <w:r>
        <w:rPr>
          <w:rFonts w:hint="eastAsia" w:ascii="宋体" w:hAnsi="宋体"/>
          <w:color w:val="auto"/>
          <w:highlight w:val="none"/>
        </w:rPr>
        <w:t>③材料价格风险：按</w:t>
      </w:r>
      <w:r>
        <w:rPr>
          <w:rFonts w:ascii="宋体" w:hAnsi="宋体" w:cs="宋体"/>
          <w:color w:val="auto"/>
          <w:highlight w:val="none"/>
        </w:rPr>
        <w:t>11.1</w:t>
      </w:r>
      <w:r>
        <w:rPr>
          <w:rFonts w:hint="eastAsia" w:ascii="宋体" w:hAnsi="宋体"/>
          <w:color w:val="auto"/>
          <w:highlight w:val="none"/>
        </w:rPr>
        <w:t>的约定调整。</w:t>
      </w:r>
    </w:p>
    <w:p w14:paraId="72F9B0AA">
      <w:pPr>
        <w:keepNext/>
        <w:keepLines/>
        <w:pageBreakBefore w:val="0"/>
        <w:kinsoku/>
        <w:wordWrap w:val="0"/>
        <w:topLinePunct w:val="0"/>
        <w:spacing w:line="360" w:lineRule="auto"/>
        <w:outlineLvl w:val="2"/>
        <w:rPr>
          <w:rFonts w:ascii="宋体" w:hAnsi="宋体"/>
          <w:b/>
          <w:bCs/>
          <w:color w:val="auto"/>
          <w:highlight w:val="none"/>
          <w:lang w:val="zh-CN"/>
        </w:rPr>
      </w:pPr>
      <w:bookmarkStart w:id="825" w:name="_Toc22186"/>
      <w:bookmarkEnd w:id="825"/>
      <w:r>
        <w:rPr>
          <w:rFonts w:ascii="宋体" w:hAnsi="宋体"/>
          <w:b/>
          <w:bCs/>
          <w:color w:val="auto"/>
          <w:highlight w:val="none"/>
          <w:lang w:val="zh-CN"/>
        </w:rPr>
        <w:t xml:space="preserve">12.2 </w:t>
      </w:r>
      <w:r>
        <w:rPr>
          <w:rFonts w:hint="eastAsia" w:ascii="宋体" w:hAnsi="宋体"/>
          <w:b/>
          <w:bCs/>
          <w:color w:val="auto"/>
          <w:highlight w:val="none"/>
          <w:lang w:val="zh-CN"/>
        </w:rPr>
        <w:t>预付款</w:t>
      </w:r>
    </w:p>
    <w:p w14:paraId="1579A3BF">
      <w:pPr>
        <w:pageBreakBefore w:val="0"/>
        <w:kinsoku/>
        <w:wordWrap w:val="0"/>
        <w:topLinePunct w:val="0"/>
        <w:spacing w:line="360" w:lineRule="auto"/>
        <w:ind w:firstLine="420" w:firstLineChars="200"/>
        <w:jc w:val="left"/>
        <w:rPr>
          <w:rFonts w:ascii="宋体" w:hAnsi="宋体"/>
          <w:color w:val="auto"/>
          <w:highlight w:val="none"/>
        </w:rPr>
      </w:pPr>
      <w:bookmarkStart w:id="826" w:name="_Toc373478398"/>
      <w:bookmarkEnd w:id="826"/>
      <w:bookmarkStart w:id="827" w:name="_Toc407135254"/>
      <w:bookmarkEnd w:id="827"/>
      <w:bookmarkStart w:id="828" w:name="_Toc373227751"/>
      <w:bookmarkEnd w:id="828"/>
      <w:bookmarkStart w:id="829" w:name="_Toc389065316"/>
      <w:bookmarkEnd w:id="829"/>
      <w:r>
        <w:rPr>
          <w:rFonts w:ascii="宋体" w:hAnsi="宋体"/>
          <w:color w:val="auto"/>
          <w:highlight w:val="none"/>
        </w:rPr>
        <w:t xml:space="preserve">12.2.1 </w:t>
      </w:r>
      <w:r>
        <w:rPr>
          <w:rFonts w:hint="eastAsia" w:ascii="宋体" w:hAnsi="宋体"/>
          <w:color w:val="auto"/>
          <w:highlight w:val="none"/>
        </w:rPr>
        <w:t>预付款的支付</w:t>
      </w:r>
    </w:p>
    <w:p w14:paraId="229AC42E">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预付款支付比例或金额：</w:t>
      </w:r>
      <w:r>
        <w:rPr>
          <w:rFonts w:hint="eastAsia" w:ascii="宋体" w:hAnsi="宋体"/>
          <w:color w:val="auto"/>
          <w:highlight w:val="none"/>
          <w:u w:val="single"/>
        </w:rPr>
        <w:t>合同价款的30%</w:t>
      </w:r>
      <w:r>
        <w:rPr>
          <w:rFonts w:hint="eastAsia" w:ascii="宋体" w:hAnsi="宋体"/>
          <w:color w:val="auto"/>
          <w:highlight w:val="none"/>
        </w:rPr>
        <w:t>。</w:t>
      </w:r>
    </w:p>
    <w:p w14:paraId="501A2A00">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预付款支付期限：</w:t>
      </w:r>
      <w:r>
        <w:rPr>
          <w:rFonts w:hint="eastAsia" w:asciiTheme="minorEastAsia" w:hAnsiTheme="minorEastAsia" w:eastAsiaTheme="minorEastAsia"/>
          <w:color w:val="auto"/>
          <w:highlight w:val="none"/>
          <w:u w:val="single"/>
        </w:rPr>
        <w:t>本项目的工程</w:t>
      </w:r>
      <w:r>
        <w:rPr>
          <w:rFonts w:hint="eastAsia" w:asciiTheme="minorEastAsia" w:hAnsiTheme="minorEastAsia" w:eastAsiaTheme="minorEastAsia"/>
          <w:color w:val="auto"/>
          <w:kern w:val="0"/>
          <w:highlight w:val="none"/>
          <w:u w:val="single"/>
        </w:rPr>
        <w:t>施工</w:t>
      </w:r>
      <w:r>
        <w:rPr>
          <w:rFonts w:hint="eastAsia" w:asciiTheme="minorEastAsia" w:hAnsiTheme="minorEastAsia" w:eastAsiaTheme="minorEastAsia"/>
          <w:color w:val="auto"/>
          <w:highlight w:val="none"/>
          <w:u w:val="single"/>
        </w:rPr>
        <w:t>合同签订后，</w:t>
      </w:r>
      <w:r>
        <w:rPr>
          <w:rFonts w:hint="eastAsia" w:asciiTheme="minorEastAsia" w:hAnsiTheme="minorEastAsia" w:eastAsiaTheme="minorEastAsia"/>
          <w:color w:val="auto"/>
          <w:kern w:val="0"/>
          <w:highlight w:val="none"/>
          <w:u w:val="single"/>
        </w:rPr>
        <w:t>在具备施工条件的前提下，发包人将不迟于约定的开工日期前的7天内预付工程款</w:t>
      </w:r>
      <w:r>
        <w:rPr>
          <w:rFonts w:hint="eastAsia" w:ascii="宋体" w:hAnsi="宋体"/>
          <w:color w:val="auto"/>
          <w:highlight w:val="none"/>
          <w:u w:val="single"/>
        </w:rPr>
        <w:t>。</w:t>
      </w:r>
    </w:p>
    <w:p w14:paraId="404B8EB5">
      <w:pPr>
        <w:pageBreakBefore w:val="0"/>
        <w:kinsoku/>
        <w:wordWrap w:val="0"/>
        <w:topLinePunct w:val="0"/>
        <w:spacing w:line="360" w:lineRule="auto"/>
        <w:ind w:firstLine="420" w:firstLineChars="200"/>
        <w:jc w:val="left"/>
        <w:rPr>
          <w:rFonts w:ascii="宋体" w:hAnsi="宋体" w:cs="宋体"/>
          <w:color w:val="auto"/>
          <w:highlight w:val="none"/>
          <w:u w:val="single"/>
        </w:rPr>
      </w:pPr>
      <w:r>
        <w:rPr>
          <w:rFonts w:hint="eastAsia" w:ascii="宋体" w:hAnsi="宋体" w:cs="宋体"/>
          <w:color w:val="auto"/>
          <w:highlight w:val="none"/>
          <w:u w:val="single"/>
        </w:rPr>
        <w:t>预付款在承包人人员以及主要施工设备进场后，承包人向发包人提交资金使用计划，经批准后在发包人的监督下支付使用，并确保该款项用于本项目工程。</w:t>
      </w:r>
    </w:p>
    <w:p w14:paraId="62915F7D">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预付款扣回的方式：</w:t>
      </w:r>
      <w:r>
        <w:rPr>
          <w:rFonts w:hint="eastAsia" w:ascii="宋体" w:hAnsi="宋体" w:cs="宋体"/>
          <w:color w:val="auto"/>
          <w:spacing w:val="11"/>
          <w:highlight w:val="none"/>
          <w:u w:val="single"/>
        </w:rPr>
        <w:t>进度款达到 50%作为预付款起扣点，从此之后的每次进度款中分三次扣回，每次扣款比例为预付款的三分之一</w:t>
      </w:r>
      <w:r>
        <w:rPr>
          <w:rFonts w:hint="eastAsia" w:ascii="宋体" w:hAnsi="宋体"/>
          <w:color w:val="auto"/>
          <w:highlight w:val="none"/>
        </w:rPr>
        <w:t>。</w:t>
      </w:r>
    </w:p>
    <w:p w14:paraId="42C2A977">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12.2.2 </w:t>
      </w:r>
      <w:r>
        <w:rPr>
          <w:rFonts w:hint="eastAsia" w:ascii="宋体" w:hAnsi="宋体"/>
          <w:color w:val="auto"/>
          <w:highlight w:val="none"/>
        </w:rPr>
        <w:t>预付款担保</w:t>
      </w:r>
    </w:p>
    <w:p w14:paraId="6BFF4447">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承包人提交预付款担保的期限：</w:t>
      </w:r>
      <w:r>
        <w:rPr>
          <w:rFonts w:hint="eastAsia" w:ascii="宋体" w:hAnsi="宋体"/>
          <w:color w:val="auto"/>
          <w:highlight w:val="none"/>
          <w:u w:val="single"/>
        </w:rPr>
        <w:t>无</w:t>
      </w:r>
      <w:r>
        <w:rPr>
          <w:rFonts w:hint="eastAsia" w:ascii="宋体" w:hAnsi="宋体"/>
          <w:color w:val="auto"/>
          <w:highlight w:val="none"/>
        </w:rPr>
        <w:t>。</w:t>
      </w:r>
    </w:p>
    <w:p w14:paraId="5C38F0D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预付款担保的形式为：</w:t>
      </w:r>
      <w:r>
        <w:rPr>
          <w:rFonts w:hint="eastAsia" w:ascii="宋体" w:hAnsi="宋体"/>
          <w:color w:val="auto"/>
          <w:highlight w:val="none"/>
          <w:u w:val="single"/>
        </w:rPr>
        <w:t>无</w:t>
      </w:r>
      <w:r>
        <w:rPr>
          <w:rFonts w:hint="eastAsia" w:ascii="宋体" w:hAnsi="宋体"/>
          <w:color w:val="auto"/>
          <w:highlight w:val="none"/>
        </w:rPr>
        <w:t>。</w:t>
      </w:r>
    </w:p>
    <w:p w14:paraId="30459FFA">
      <w:pPr>
        <w:keepNext/>
        <w:keepLines/>
        <w:pageBreakBefore w:val="0"/>
        <w:kinsoku/>
        <w:wordWrap w:val="0"/>
        <w:topLinePunct w:val="0"/>
        <w:spacing w:line="360" w:lineRule="auto"/>
        <w:outlineLvl w:val="2"/>
        <w:rPr>
          <w:rFonts w:ascii="宋体" w:hAnsi="宋体" w:cs="宋体"/>
          <w:bCs/>
          <w:color w:val="auto"/>
          <w:highlight w:val="none"/>
          <w:lang w:val="zh-CN"/>
        </w:rPr>
      </w:pPr>
      <w:bookmarkStart w:id="830" w:name="_Toc15912"/>
      <w:bookmarkEnd w:id="830"/>
      <w:r>
        <w:rPr>
          <w:rFonts w:hint="eastAsia" w:ascii="宋体" w:hAnsi="宋体" w:cs="宋体"/>
          <w:bCs/>
          <w:color w:val="auto"/>
          <w:highlight w:val="none"/>
          <w:lang w:val="zh-CN"/>
        </w:rPr>
        <w:t>预付款担保格式见合同附件</w:t>
      </w:r>
      <w:r>
        <w:rPr>
          <w:rFonts w:ascii="宋体" w:hAnsi="宋体" w:cs="宋体"/>
          <w:bCs/>
          <w:color w:val="auto"/>
          <w:highlight w:val="none"/>
          <w:lang w:val="zh-CN"/>
        </w:rPr>
        <w:t>8</w:t>
      </w:r>
      <w:r>
        <w:rPr>
          <w:rFonts w:hint="eastAsia" w:ascii="宋体" w:hAnsi="宋体" w:cs="宋体"/>
          <w:bCs/>
          <w:color w:val="auto"/>
          <w:highlight w:val="none"/>
          <w:lang w:val="zh-CN"/>
        </w:rPr>
        <w:t>。预付款支付申请（核准）表见合同附件**</w:t>
      </w:r>
    </w:p>
    <w:p w14:paraId="69A322E4">
      <w:pPr>
        <w:keepNext/>
        <w:keepLines/>
        <w:pageBreakBefore w:val="0"/>
        <w:kinsoku/>
        <w:wordWrap w:val="0"/>
        <w:topLinePunct w:val="0"/>
        <w:spacing w:line="360" w:lineRule="auto"/>
        <w:outlineLvl w:val="2"/>
        <w:rPr>
          <w:rFonts w:ascii="宋体" w:hAnsi="宋体"/>
          <w:bCs/>
          <w:color w:val="auto"/>
          <w:highlight w:val="none"/>
          <w:lang w:val="zh-CN"/>
        </w:rPr>
      </w:pPr>
      <w:bookmarkStart w:id="831" w:name="_Toc4411"/>
      <w:bookmarkEnd w:id="831"/>
      <w:r>
        <w:rPr>
          <w:rFonts w:ascii="宋体" w:hAnsi="宋体"/>
          <w:bCs/>
          <w:color w:val="auto"/>
          <w:highlight w:val="none"/>
          <w:lang w:val="zh-CN"/>
        </w:rPr>
        <w:t xml:space="preserve">12.3 </w:t>
      </w:r>
      <w:r>
        <w:rPr>
          <w:rFonts w:hint="eastAsia" w:ascii="宋体" w:hAnsi="宋体"/>
          <w:bCs/>
          <w:color w:val="auto"/>
          <w:highlight w:val="none"/>
          <w:lang w:val="zh-CN"/>
        </w:rPr>
        <w:t>计量</w:t>
      </w:r>
    </w:p>
    <w:p w14:paraId="6ABC5211">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12.3.1 </w:t>
      </w:r>
      <w:r>
        <w:rPr>
          <w:rFonts w:hint="eastAsia" w:ascii="宋体" w:hAnsi="宋体"/>
          <w:color w:val="auto"/>
          <w:highlight w:val="none"/>
        </w:rPr>
        <w:t>计量原则</w:t>
      </w:r>
    </w:p>
    <w:p w14:paraId="41D79738">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工程量计算规则：</w:t>
      </w:r>
      <w:r>
        <w:rPr>
          <w:rFonts w:hint="eastAsia" w:ascii="宋体" w:hAnsi="宋体"/>
          <w:color w:val="auto"/>
          <w:highlight w:val="none"/>
          <w:u w:val="single"/>
        </w:rPr>
        <w:t>工程的计量均以《建设工程工程量清单计价规范》（</w:t>
      </w:r>
      <w:r>
        <w:rPr>
          <w:rFonts w:ascii="宋体" w:hAnsi="宋体"/>
          <w:color w:val="auto"/>
          <w:highlight w:val="none"/>
          <w:u w:val="single"/>
        </w:rPr>
        <w:t>GB50500</w:t>
      </w:r>
      <w:r>
        <w:rPr>
          <w:rFonts w:hint="eastAsia" w:ascii="宋体" w:hAnsi="宋体"/>
          <w:color w:val="auto"/>
          <w:highlight w:val="none"/>
          <w:u w:val="single"/>
        </w:rPr>
        <w:t>－</w:t>
      </w:r>
      <w:r>
        <w:rPr>
          <w:rFonts w:ascii="宋体" w:hAnsi="宋体"/>
          <w:color w:val="auto"/>
          <w:highlight w:val="none"/>
          <w:u w:val="single"/>
        </w:rPr>
        <w:t>2013</w:t>
      </w:r>
      <w:r>
        <w:rPr>
          <w:rFonts w:hint="eastAsia" w:ascii="宋体" w:hAnsi="宋体"/>
          <w:color w:val="auto"/>
          <w:highlight w:val="none"/>
          <w:u w:val="single"/>
        </w:rPr>
        <w:t>）和及其广西壮族自治区实施细则、《建设工程工程量清单计算规范》（</w:t>
      </w:r>
      <w:r>
        <w:rPr>
          <w:rFonts w:ascii="宋体" w:hAnsi="宋体"/>
          <w:color w:val="auto"/>
          <w:highlight w:val="none"/>
          <w:u w:val="single"/>
        </w:rPr>
        <w:t>GB50854~50862</w:t>
      </w:r>
      <w:r>
        <w:rPr>
          <w:rFonts w:hint="eastAsia" w:ascii="宋体" w:hAnsi="宋体"/>
          <w:color w:val="auto"/>
          <w:highlight w:val="none"/>
          <w:u w:val="single"/>
        </w:rPr>
        <w:t>－</w:t>
      </w:r>
      <w:r>
        <w:rPr>
          <w:rFonts w:ascii="宋体" w:hAnsi="宋体"/>
          <w:color w:val="auto"/>
          <w:highlight w:val="none"/>
          <w:u w:val="single"/>
        </w:rPr>
        <w:t>2013</w:t>
      </w:r>
      <w:r>
        <w:rPr>
          <w:rFonts w:hint="eastAsia" w:ascii="宋体" w:hAnsi="宋体"/>
          <w:color w:val="auto"/>
          <w:highlight w:val="none"/>
          <w:u w:val="single"/>
        </w:rPr>
        <w:t>）及其广西实施细则、本工程补充项目清单为准。</w:t>
      </w:r>
    </w:p>
    <w:p w14:paraId="6979725F">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12.3.2 </w:t>
      </w:r>
      <w:r>
        <w:rPr>
          <w:rFonts w:hint="eastAsia" w:ascii="宋体" w:hAnsi="宋体"/>
          <w:color w:val="auto"/>
          <w:highlight w:val="none"/>
        </w:rPr>
        <w:t>计量周期</w:t>
      </w:r>
    </w:p>
    <w:p w14:paraId="1062A83F">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关于计量周期的约定：</w:t>
      </w:r>
      <w:r>
        <w:rPr>
          <w:rFonts w:hint="eastAsia" w:ascii="宋体" w:hAnsi="宋体"/>
          <w:color w:val="auto"/>
          <w:highlight w:val="none"/>
          <w:u w:val="single"/>
        </w:rPr>
        <w:t>每月</w:t>
      </w:r>
      <w:r>
        <w:rPr>
          <w:rFonts w:ascii="宋体" w:hAnsi="宋体"/>
          <w:color w:val="auto"/>
          <w:highlight w:val="none"/>
          <w:u w:val="single"/>
        </w:rPr>
        <w:t>25</w:t>
      </w:r>
      <w:r>
        <w:rPr>
          <w:rFonts w:hint="eastAsia" w:ascii="宋体" w:hAnsi="宋体"/>
          <w:color w:val="auto"/>
          <w:highlight w:val="none"/>
          <w:u w:val="single"/>
        </w:rPr>
        <w:t>日前</w:t>
      </w:r>
      <w:r>
        <w:rPr>
          <w:rFonts w:hint="eastAsia" w:ascii="宋体" w:hAnsi="宋体"/>
          <w:color w:val="auto"/>
          <w:highlight w:val="none"/>
        </w:rPr>
        <w:t>。</w:t>
      </w:r>
    </w:p>
    <w:p w14:paraId="74EA1FCC">
      <w:pPr>
        <w:pageBreakBefore w:val="0"/>
        <w:kinsoku/>
        <w:wordWrap w:val="0"/>
        <w:topLinePunct w:val="0"/>
        <w:spacing w:line="360" w:lineRule="auto"/>
        <w:ind w:firstLine="420" w:firstLineChars="200"/>
        <w:jc w:val="left"/>
        <w:outlineLvl w:val="0"/>
        <w:rPr>
          <w:rFonts w:ascii="宋体" w:hAnsi="宋体"/>
          <w:color w:val="auto"/>
          <w:highlight w:val="none"/>
        </w:rPr>
      </w:pPr>
      <w:bookmarkStart w:id="832" w:name="_Toc9612"/>
      <w:bookmarkStart w:id="833" w:name="_Toc9441"/>
      <w:bookmarkStart w:id="834" w:name="_Toc22762"/>
      <w:bookmarkStart w:id="835" w:name="_Toc3766"/>
      <w:bookmarkStart w:id="836" w:name="_Toc4094"/>
      <w:r>
        <w:rPr>
          <w:rFonts w:ascii="宋体" w:hAnsi="宋体"/>
          <w:color w:val="auto"/>
          <w:highlight w:val="none"/>
        </w:rPr>
        <w:t xml:space="preserve">12.3.3 </w:t>
      </w:r>
      <w:r>
        <w:rPr>
          <w:rFonts w:hint="eastAsia" w:ascii="宋体" w:hAnsi="宋体"/>
          <w:color w:val="auto"/>
          <w:highlight w:val="none"/>
        </w:rPr>
        <w:t>单价合同的计量</w:t>
      </w:r>
      <w:bookmarkEnd w:id="832"/>
      <w:bookmarkEnd w:id="833"/>
      <w:bookmarkEnd w:id="834"/>
      <w:bookmarkEnd w:id="835"/>
      <w:bookmarkEnd w:id="836"/>
    </w:p>
    <w:p w14:paraId="4C5DD62B">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关于单价合同计量的约定：</w:t>
      </w:r>
    </w:p>
    <w:p w14:paraId="4A0D9B98">
      <w:pPr>
        <w:pageBreakBefore w:val="0"/>
        <w:kinsoku/>
        <w:wordWrap w:val="0"/>
        <w:topLinePunct w:val="0"/>
        <w:spacing w:line="360" w:lineRule="auto"/>
        <w:ind w:firstLine="441" w:firstLineChars="210"/>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工程量清单所列的工程量，不能作为承包人按合同履行其责任依据，实际施工中发生的工程量增加或减少并不影响承包人履行合同的责任，工程结算以完成的实际工程量为准。</w:t>
      </w:r>
    </w:p>
    <w:p w14:paraId="7BBFF8C6">
      <w:pPr>
        <w:pageBreakBefore w:val="0"/>
        <w:kinsoku/>
        <w:wordWrap w:val="0"/>
        <w:topLinePunct w:val="0"/>
        <w:spacing w:line="360" w:lineRule="auto"/>
        <w:ind w:firstLine="443" w:firstLineChars="210"/>
        <w:rPr>
          <w:rFonts w:ascii="宋体" w:hAnsi="宋体"/>
          <w:color w:val="auto"/>
          <w:highlight w:val="none"/>
        </w:rPr>
      </w:pPr>
      <w:r>
        <w:rPr>
          <w:rFonts w:ascii="宋体" w:hAnsi="宋体"/>
          <w:b/>
          <w:color w:val="auto"/>
          <w:highlight w:val="none"/>
        </w:rPr>
        <w:t xml:space="preserve">(2) </w:t>
      </w:r>
      <w:r>
        <w:rPr>
          <w:rFonts w:hint="eastAsia" w:ascii="宋体" w:hAnsi="宋体"/>
          <w:color w:val="auto"/>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71C1BA91">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12.3.4 </w:t>
      </w:r>
      <w:r>
        <w:rPr>
          <w:rFonts w:hint="eastAsia" w:ascii="宋体" w:hAnsi="宋体"/>
          <w:color w:val="auto"/>
          <w:highlight w:val="none"/>
        </w:rPr>
        <w:t>总价合同的计量</w:t>
      </w:r>
    </w:p>
    <w:p w14:paraId="281D1412">
      <w:pPr>
        <w:pageBreakBefore w:val="0"/>
        <w:kinsoku/>
        <w:wordWrap w:val="0"/>
        <w:topLinePunct w:val="0"/>
        <w:spacing w:line="360" w:lineRule="auto"/>
        <w:ind w:firstLine="420" w:firstLineChars="200"/>
        <w:jc w:val="left"/>
        <w:rPr>
          <w:rFonts w:asciiTheme="minorEastAsia" w:hAnsiTheme="minorEastAsia" w:eastAsiaTheme="minorEastAsia"/>
          <w:color w:val="auto"/>
          <w:highlight w:val="none"/>
        </w:rPr>
      </w:pPr>
      <w:r>
        <w:rPr>
          <w:rFonts w:hint="eastAsia" w:ascii="宋体" w:hAnsi="宋体"/>
          <w:color w:val="auto"/>
          <w:highlight w:val="none"/>
        </w:rPr>
        <w:t>关于总价合同计量约定：</w:t>
      </w:r>
      <w:r>
        <w:rPr>
          <w:rFonts w:hint="eastAsia" w:asciiTheme="minorEastAsia" w:hAnsiTheme="minorEastAsia" w:eastAsiaTheme="minorEastAsia"/>
          <w:color w:val="auto"/>
          <w:highlight w:val="none"/>
          <w:u w:val="single"/>
        </w:rPr>
        <w:t>除工程变更外, 不得超原</w:t>
      </w:r>
      <w:r>
        <w:rPr>
          <w:rFonts w:hint="eastAsia" w:ascii="宋体" w:hAnsi="宋体"/>
          <w:color w:val="auto"/>
          <w:highlight w:val="none"/>
          <w:u w:val="single"/>
        </w:rPr>
        <w:t>施工</w:t>
      </w:r>
      <w:r>
        <w:rPr>
          <w:rFonts w:hint="eastAsia" w:asciiTheme="minorEastAsia" w:hAnsiTheme="minorEastAsia" w:eastAsiaTheme="minorEastAsia"/>
          <w:color w:val="auto"/>
          <w:highlight w:val="none"/>
          <w:u w:val="single"/>
        </w:rPr>
        <w:t>图纸范围内的工程量</w:t>
      </w:r>
      <w:r>
        <w:rPr>
          <w:rFonts w:hint="eastAsia" w:ascii="宋体" w:hAnsi="宋体"/>
          <w:color w:val="auto"/>
          <w:highlight w:val="none"/>
          <w:u w:val="single"/>
        </w:rPr>
        <w:t>计量</w:t>
      </w:r>
      <w:r>
        <w:rPr>
          <w:rFonts w:hint="eastAsia" w:asciiTheme="minorEastAsia" w:hAnsiTheme="minorEastAsia" w:eastAsiaTheme="minorEastAsia"/>
          <w:color w:val="auto"/>
          <w:highlight w:val="none"/>
          <w:u w:val="single"/>
        </w:rPr>
        <w:t>。</w:t>
      </w:r>
      <w:r>
        <w:rPr>
          <w:rFonts w:hint="eastAsia" w:ascii="宋体" w:hAnsi="宋体"/>
          <w:color w:val="auto"/>
          <w:highlight w:val="none"/>
          <w:u w:val="single"/>
        </w:rPr>
        <w:t>进度款按约定支付</w:t>
      </w:r>
      <w:r>
        <w:rPr>
          <w:rFonts w:hint="eastAsia" w:ascii="宋体" w:hAnsi="宋体"/>
          <w:color w:val="auto"/>
          <w:highlight w:val="none"/>
        </w:rPr>
        <w:t xml:space="preserve">。                                                  </w:t>
      </w:r>
    </w:p>
    <w:p w14:paraId="2DD6082B">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12.3.6 </w:t>
      </w:r>
      <w:r>
        <w:rPr>
          <w:rFonts w:hint="eastAsia" w:ascii="宋体" w:hAnsi="宋体"/>
          <w:color w:val="auto"/>
          <w:highlight w:val="none"/>
        </w:rPr>
        <w:t>其他价格形式合同的计量</w:t>
      </w:r>
    </w:p>
    <w:p w14:paraId="4B48A66F">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其他价格形式的计量方式和程序：</w:t>
      </w:r>
      <w:r>
        <w:rPr>
          <w:rFonts w:hint="eastAsia" w:ascii="宋体" w:hAnsi="宋体"/>
          <w:color w:val="auto"/>
          <w:highlight w:val="none"/>
          <w:u w:val="single"/>
        </w:rPr>
        <w:t>本合同价款采用固定综合单价方式确定，材料价格超约定的风险范围时按施工期间</w:t>
      </w:r>
      <w:r>
        <w:rPr>
          <w:rFonts w:hint="eastAsia" w:ascii="宋体" w:hAnsi="宋体"/>
          <w:color w:val="auto"/>
          <w:highlight w:val="none"/>
          <w:u w:val="single"/>
          <w:lang w:eastAsia="zh-CN"/>
        </w:rPr>
        <w:t>桂林市</w:t>
      </w:r>
      <w:r>
        <w:rPr>
          <w:rFonts w:hint="eastAsia" w:ascii="宋体" w:hAnsi="宋体"/>
          <w:color w:val="auto"/>
          <w:highlight w:val="none"/>
          <w:u w:val="single"/>
        </w:rPr>
        <w:t>的信息价格</w:t>
      </w:r>
      <w:r>
        <w:rPr>
          <w:rFonts w:hint="eastAsia" w:ascii="宋体" w:hAnsi="宋体"/>
          <w:color w:val="auto"/>
          <w:highlight w:val="none"/>
        </w:rPr>
        <w:t>。</w:t>
      </w:r>
    </w:p>
    <w:p w14:paraId="0E8EDB44">
      <w:pPr>
        <w:keepNext/>
        <w:keepLines/>
        <w:pageBreakBefore w:val="0"/>
        <w:kinsoku/>
        <w:wordWrap w:val="0"/>
        <w:topLinePunct w:val="0"/>
        <w:spacing w:line="360" w:lineRule="auto"/>
        <w:outlineLvl w:val="2"/>
        <w:rPr>
          <w:rFonts w:ascii="宋体" w:hAnsi="宋体"/>
          <w:b/>
          <w:bCs/>
          <w:color w:val="auto"/>
          <w:highlight w:val="none"/>
          <w:lang w:val="zh-CN"/>
        </w:rPr>
      </w:pPr>
      <w:bookmarkStart w:id="837" w:name="_Toc389065317"/>
      <w:bookmarkEnd w:id="837"/>
      <w:bookmarkStart w:id="838" w:name="_Toc373478399"/>
      <w:bookmarkEnd w:id="838"/>
      <w:bookmarkStart w:id="839" w:name="_Toc407135255"/>
      <w:bookmarkEnd w:id="839"/>
      <w:bookmarkStart w:id="840" w:name="_Toc373227752"/>
      <w:bookmarkEnd w:id="840"/>
      <w:bookmarkStart w:id="841" w:name="_Toc6416"/>
      <w:r>
        <w:rPr>
          <w:rFonts w:ascii="宋体" w:hAnsi="宋体"/>
          <w:b/>
          <w:bCs/>
          <w:color w:val="auto"/>
          <w:highlight w:val="none"/>
          <w:lang w:val="zh-CN"/>
        </w:rPr>
        <w:t xml:space="preserve">12.4 </w:t>
      </w:r>
      <w:bookmarkEnd w:id="841"/>
      <w:r>
        <w:rPr>
          <w:rFonts w:hint="eastAsia" w:ascii="宋体" w:hAnsi="宋体"/>
          <w:b/>
          <w:bCs/>
          <w:color w:val="auto"/>
          <w:highlight w:val="none"/>
          <w:lang w:val="zh-CN"/>
        </w:rPr>
        <w:t xml:space="preserve">工程进度款支付                                                                                                                                                           </w:t>
      </w:r>
    </w:p>
    <w:p w14:paraId="43175C40">
      <w:pPr>
        <w:pageBreakBefore w:val="0"/>
        <w:kinsoku/>
        <w:wordWrap w:val="0"/>
        <w:topLinePunct w:val="0"/>
        <w:spacing w:line="360" w:lineRule="auto"/>
        <w:ind w:firstLine="420" w:firstLineChars="200"/>
        <w:jc w:val="left"/>
        <w:rPr>
          <w:rFonts w:ascii="宋体" w:hAnsi="宋体"/>
          <w:color w:val="auto"/>
          <w:highlight w:val="none"/>
        </w:rPr>
      </w:pPr>
      <w:bookmarkStart w:id="842" w:name="_Toc296891039"/>
      <w:bookmarkEnd w:id="842"/>
      <w:bookmarkStart w:id="843" w:name="_Toc296346720"/>
      <w:bookmarkEnd w:id="843"/>
      <w:bookmarkStart w:id="844" w:name="_Toc292559929"/>
      <w:bookmarkEnd w:id="844"/>
      <w:bookmarkStart w:id="845" w:name="_Toc292559921"/>
      <w:bookmarkEnd w:id="845"/>
      <w:bookmarkStart w:id="846" w:name="_Toc351203645"/>
      <w:bookmarkEnd w:id="846"/>
      <w:bookmarkStart w:id="847" w:name="_Toc303539163"/>
      <w:bookmarkEnd w:id="847"/>
      <w:bookmarkStart w:id="848" w:name="_Toc297123564"/>
      <w:bookmarkEnd w:id="848"/>
      <w:bookmarkStart w:id="849" w:name="_Toc297048405"/>
      <w:bookmarkEnd w:id="849"/>
      <w:bookmarkStart w:id="850" w:name="_Toc296891047"/>
      <w:bookmarkEnd w:id="850"/>
      <w:bookmarkStart w:id="851" w:name="_Toc300935015"/>
      <w:bookmarkEnd w:id="851"/>
      <w:bookmarkStart w:id="852" w:name="_Toc296346712"/>
      <w:bookmarkEnd w:id="852"/>
      <w:bookmarkStart w:id="853" w:name="_Toc292559416"/>
      <w:bookmarkEnd w:id="853"/>
      <w:bookmarkStart w:id="854" w:name="_Toc373478400"/>
      <w:bookmarkEnd w:id="854"/>
      <w:bookmarkStart w:id="855" w:name="_Toc296503211"/>
      <w:bookmarkEnd w:id="855"/>
      <w:bookmarkStart w:id="856" w:name="_Toc300935006"/>
      <w:bookmarkEnd w:id="856"/>
      <w:bookmarkStart w:id="857" w:name="_Toc373227753"/>
      <w:bookmarkEnd w:id="857"/>
      <w:bookmarkStart w:id="858" w:name="_Toc407135256"/>
      <w:bookmarkEnd w:id="858"/>
      <w:bookmarkStart w:id="859" w:name="_Toc297123556"/>
      <w:bookmarkEnd w:id="859"/>
      <w:bookmarkStart w:id="860" w:name="_Toc296944558"/>
      <w:bookmarkEnd w:id="860"/>
      <w:bookmarkStart w:id="861" w:name="_Toc304295593"/>
      <w:bookmarkEnd w:id="861"/>
      <w:bookmarkStart w:id="862" w:name="_Toc296944550"/>
      <w:bookmarkEnd w:id="862"/>
      <w:bookmarkStart w:id="863" w:name="_Toc297120511"/>
      <w:bookmarkEnd w:id="863"/>
      <w:bookmarkStart w:id="864" w:name="_Toc389065318"/>
      <w:bookmarkEnd w:id="864"/>
      <w:bookmarkStart w:id="865" w:name="_Toc296347218"/>
      <w:bookmarkEnd w:id="865"/>
      <w:bookmarkStart w:id="866" w:name="_Toc312678053"/>
      <w:bookmarkEnd w:id="866"/>
      <w:bookmarkStart w:id="867" w:name="_Toc297216223"/>
      <w:bookmarkEnd w:id="867"/>
      <w:bookmarkStart w:id="868" w:name="_Toc297048397"/>
      <w:bookmarkEnd w:id="868"/>
      <w:bookmarkStart w:id="869" w:name="_Toc297120519"/>
      <w:bookmarkEnd w:id="869"/>
      <w:bookmarkStart w:id="870" w:name="_Toc296891251"/>
      <w:bookmarkEnd w:id="870"/>
      <w:bookmarkStart w:id="871" w:name="_Toc296347210"/>
      <w:bookmarkEnd w:id="871"/>
      <w:bookmarkStart w:id="872" w:name="_Toc297216215"/>
      <w:bookmarkEnd w:id="872"/>
      <w:bookmarkStart w:id="873" w:name="_Toc292559424"/>
      <w:bookmarkEnd w:id="873"/>
      <w:bookmarkStart w:id="874" w:name="_Toc303539172"/>
      <w:bookmarkEnd w:id="874"/>
      <w:bookmarkStart w:id="875" w:name="_Toc296891259"/>
      <w:bookmarkEnd w:id="875"/>
      <w:bookmarkStart w:id="876" w:name="_Toc296503219"/>
      <w:r>
        <w:rPr>
          <w:rFonts w:ascii="宋体" w:hAnsi="宋体"/>
          <w:color w:val="auto"/>
          <w:highlight w:val="none"/>
        </w:rPr>
        <w:t xml:space="preserve">12.4.1 </w:t>
      </w:r>
      <w:bookmarkEnd w:id="876"/>
      <w:r>
        <w:rPr>
          <w:rFonts w:hint="eastAsia" w:ascii="宋体" w:hAnsi="宋体"/>
          <w:color w:val="auto"/>
          <w:highlight w:val="none"/>
        </w:rPr>
        <w:t>付款周期</w:t>
      </w:r>
    </w:p>
    <w:p w14:paraId="18B55273">
      <w:pPr>
        <w:pageBreakBefore w:val="0"/>
        <w:kinsoku/>
        <w:wordWrap w:val="0"/>
        <w:topLinePunct w:val="0"/>
        <w:spacing w:line="500" w:lineRule="exact"/>
        <w:rPr>
          <w:rFonts w:ascii="宋体" w:hAnsi="宋体" w:cs="宋体"/>
          <w:color w:val="auto"/>
          <w:spacing w:val="11"/>
          <w:highlight w:val="none"/>
        </w:rPr>
      </w:pPr>
      <w:r>
        <w:rPr>
          <w:rFonts w:hint="eastAsia" w:ascii="宋体" w:hAnsi="宋体"/>
          <w:color w:val="auto"/>
          <w:highlight w:val="none"/>
        </w:rPr>
        <w:t>⑴</w:t>
      </w:r>
      <w:r>
        <w:rPr>
          <w:rFonts w:hint="eastAsia" w:asciiTheme="minorEastAsia" w:hAnsiTheme="minorEastAsia" w:eastAsiaTheme="minorEastAsia"/>
          <w:color w:val="auto"/>
          <w:highlight w:val="none"/>
        </w:rPr>
        <w:t>本项目</w:t>
      </w:r>
      <w:r>
        <w:rPr>
          <w:rFonts w:hint="eastAsia" w:ascii="宋体" w:hAnsi="宋体"/>
          <w:color w:val="auto"/>
          <w:highlight w:val="none"/>
        </w:rPr>
        <w:t>工程款支付方式</w:t>
      </w:r>
      <w:r>
        <w:rPr>
          <w:rFonts w:hint="eastAsia" w:ascii="宋体" w:hAnsi="宋体" w:cs="宋体"/>
          <w:color w:val="auto"/>
          <w:kern w:val="0"/>
          <w:highlight w:val="none"/>
        </w:rPr>
        <w:t>参照《建设工程价款结算暂行办法》相关规定及</w:t>
      </w:r>
      <w:r>
        <w:rPr>
          <w:rFonts w:hint="eastAsia" w:ascii="宋体" w:hAnsi="宋体"/>
          <w:color w:val="auto"/>
          <w:highlight w:val="none"/>
        </w:rPr>
        <w:t>当地政府或主管部门和</w:t>
      </w:r>
      <w:r>
        <w:rPr>
          <w:rFonts w:hint="eastAsia" w:asciiTheme="minorEastAsia" w:hAnsiTheme="minorEastAsia" w:eastAsiaTheme="minorEastAsia"/>
          <w:color w:val="auto"/>
          <w:highlight w:val="none"/>
        </w:rPr>
        <w:t>发包人上级</w:t>
      </w:r>
      <w:r>
        <w:rPr>
          <w:rFonts w:hint="eastAsia" w:ascii="宋体" w:hAnsi="宋体"/>
          <w:color w:val="auto"/>
          <w:highlight w:val="none"/>
        </w:rPr>
        <w:t>有关部门的国有投资项目结算相关文件规定执行。1)</w:t>
      </w:r>
      <w:r>
        <w:rPr>
          <w:rFonts w:hint="eastAsia" w:asciiTheme="minorEastAsia" w:hAnsiTheme="minorEastAsia" w:eastAsiaTheme="minorEastAsia"/>
          <w:color w:val="auto"/>
          <w:highlight w:val="none"/>
        </w:rPr>
        <w:t>本项目的工程</w:t>
      </w:r>
      <w:r>
        <w:rPr>
          <w:rFonts w:hint="eastAsia" w:asciiTheme="minorEastAsia" w:hAnsiTheme="minorEastAsia" w:eastAsiaTheme="minorEastAsia"/>
          <w:color w:val="auto"/>
          <w:kern w:val="0"/>
          <w:highlight w:val="none"/>
        </w:rPr>
        <w:t>施工</w:t>
      </w:r>
      <w:r>
        <w:rPr>
          <w:rFonts w:hint="eastAsia" w:asciiTheme="minorEastAsia" w:hAnsiTheme="minorEastAsia" w:eastAsiaTheme="minorEastAsia"/>
          <w:color w:val="auto"/>
          <w:highlight w:val="none"/>
        </w:rPr>
        <w:t>合同签订后，</w:t>
      </w:r>
      <w:r>
        <w:rPr>
          <w:rFonts w:hint="eastAsia" w:asciiTheme="minorEastAsia" w:hAnsiTheme="minorEastAsia" w:eastAsiaTheme="minorEastAsia"/>
          <w:color w:val="auto"/>
          <w:kern w:val="0"/>
          <w:highlight w:val="none"/>
        </w:rPr>
        <w:t>在具备施工条件的前提下，发包人将不迟于约定的开工日期前的7天内预付工程款。预付款支付比例或金额：合同价款的30%。工程款支付方式：</w:t>
      </w:r>
      <w:r>
        <w:rPr>
          <w:rFonts w:hint="eastAsia" w:ascii="宋体" w:hAnsi="宋体"/>
          <w:bCs/>
          <w:color w:val="auto"/>
          <w:highlight w:val="none"/>
          <w:lang w:val="en-US" w:eastAsia="zh-CN"/>
        </w:rPr>
        <w:t>原则上工程款按工程进度支付，</w:t>
      </w:r>
      <w:r>
        <w:rPr>
          <w:rFonts w:hint="eastAsia" w:ascii="宋体" w:hAnsi="宋体"/>
          <w:bCs/>
          <w:color w:val="auto"/>
          <w:highlight w:val="none"/>
          <w:lang w:eastAsia="zh-CN"/>
        </w:rPr>
        <w:t>合同内进度款支付限额为已完成工程量的</w:t>
      </w:r>
      <w:r>
        <w:rPr>
          <w:rFonts w:hint="eastAsia" w:ascii="宋体" w:hAnsi="宋体"/>
          <w:bCs/>
          <w:color w:val="auto"/>
          <w:highlight w:val="none"/>
        </w:rPr>
        <w:t>85%，工程完工验收达到质量要求，结算经审计部门审定后支付至结算总价的97%（含已支付的）；发包人按工程价款结算总额的3%预留工程质量保修金，待工程质量保修期满，经发包人、承包人及监理单位三方验收合格后，无息拨付给承包人</w:t>
      </w:r>
      <w:r>
        <w:rPr>
          <w:rFonts w:hint="eastAsia" w:ascii="宋体" w:hAnsi="宋体"/>
          <w:bCs/>
          <w:color w:val="auto"/>
          <w:highlight w:val="none"/>
          <w:lang w:eastAsia="zh-CN"/>
        </w:rPr>
        <w:t>。</w:t>
      </w:r>
    </w:p>
    <w:p w14:paraId="045BA7F1">
      <w:pPr>
        <w:pageBreakBefore w:val="0"/>
        <w:kinsoku/>
        <w:wordWrap w:val="0"/>
        <w:topLinePunct w:val="0"/>
        <w:spacing w:line="360" w:lineRule="auto"/>
        <w:ind w:firstLine="420"/>
        <w:rPr>
          <w:rFonts w:ascii="宋体" w:hAnsi="宋体"/>
          <w:color w:val="auto"/>
          <w:highlight w:val="none"/>
          <w:u w:val="single"/>
        </w:rPr>
      </w:pPr>
      <w:r>
        <w:rPr>
          <w:rFonts w:hint="eastAsia" w:ascii="宋体" w:hAnsi="宋体"/>
          <w:color w:val="auto"/>
          <w:highlight w:val="none"/>
          <w:u w:val="single"/>
        </w:rPr>
        <w:t>⑵合同约定的工程质量缺陷责任期（1年）满后由承包人向发包人提出返还保证金的申请，发包人在接到承包人返还保证金申请后，于</w:t>
      </w:r>
      <w:r>
        <w:rPr>
          <w:rFonts w:ascii="宋体" w:hAnsi="宋体"/>
          <w:color w:val="auto"/>
          <w:highlight w:val="none"/>
          <w:u w:val="single"/>
        </w:rPr>
        <w:t>14</w:t>
      </w:r>
      <w:r>
        <w:rPr>
          <w:rFonts w:hint="eastAsia" w:ascii="宋体" w:hAnsi="宋体"/>
          <w:color w:val="auto"/>
          <w:highlight w:val="none"/>
          <w:u w:val="single"/>
        </w:rPr>
        <w:t>天内会同承包人按照合同约定的内容进行核实。如无异议，发包人在核实后30天内将保证金</w:t>
      </w:r>
      <w:r>
        <w:rPr>
          <w:rFonts w:hint="eastAsia" w:cs="Arial" w:asciiTheme="minorEastAsia" w:hAnsiTheme="minorEastAsia" w:eastAsiaTheme="minorEastAsia"/>
          <w:color w:val="auto"/>
          <w:highlight w:val="none"/>
          <w:u w:val="single"/>
        </w:rPr>
        <w:t>(无息)</w:t>
      </w:r>
      <w:r>
        <w:rPr>
          <w:rFonts w:hint="eastAsia" w:ascii="宋体" w:hAnsi="宋体"/>
          <w:color w:val="auto"/>
          <w:highlight w:val="none"/>
          <w:u w:val="single"/>
        </w:rPr>
        <w:t>返还承包人，逾期未返还的，依法承担违约责任。发包人在接到承包人返还保证金申请后</w:t>
      </w:r>
      <w:r>
        <w:rPr>
          <w:rFonts w:ascii="宋体" w:hAnsi="宋体"/>
          <w:color w:val="auto"/>
          <w:highlight w:val="none"/>
          <w:u w:val="single"/>
        </w:rPr>
        <w:t>14</w:t>
      </w:r>
      <w:r>
        <w:rPr>
          <w:rFonts w:hint="eastAsia" w:ascii="宋体" w:hAnsi="宋体"/>
          <w:color w:val="auto"/>
          <w:highlight w:val="none"/>
          <w:u w:val="single"/>
        </w:rPr>
        <w:t>天内不予答复，经催告后</w:t>
      </w:r>
      <w:r>
        <w:rPr>
          <w:rFonts w:ascii="宋体" w:hAnsi="宋体"/>
          <w:color w:val="auto"/>
          <w:highlight w:val="none"/>
          <w:u w:val="single"/>
        </w:rPr>
        <w:t>14</w:t>
      </w:r>
      <w:r>
        <w:rPr>
          <w:rFonts w:hint="eastAsia" w:ascii="宋体" w:hAnsi="宋体"/>
          <w:color w:val="auto"/>
          <w:highlight w:val="none"/>
          <w:u w:val="single"/>
        </w:rPr>
        <w:t>天内仍不予答复，视同认可承包人的返还保证金申请。</w:t>
      </w:r>
    </w:p>
    <w:p w14:paraId="6E8DC670">
      <w:pPr>
        <w:pageBreakBefore w:val="0"/>
        <w:kinsoku/>
        <w:wordWrap w:val="0"/>
        <w:topLinePunct w:val="0"/>
        <w:spacing w:line="360" w:lineRule="auto"/>
        <w:ind w:firstLine="420"/>
        <w:rPr>
          <w:rFonts w:ascii="宋体" w:hAnsi="宋体"/>
          <w:color w:val="auto"/>
          <w:highlight w:val="none"/>
          <w:u w:val="single"/>
        </w:rPr>
      </w:pPr>
      <w:r>
        <w:rPr>
          <w:rFonts w:ascii="宋体" w:hAnsi="宋体"/>
          <w:color w:val="auto"/>
          <w:highlight w:val="none"/>
          <w:u w:val="single"/>
        </w:rPr>
        <w:t>2</w:t>
      </w:r>
      <w:r>
        <w:rPr>
          <w:rFonts w:hint="eastAsia" w:ascii="宋体" w:hAnsi="宋体"/>
          <w:color w:val="auto"/>
          <w:highlight w:val="none"/>
          <w:u w:val="single"/>
        </w:rPr>
        <w:t>、工程竣工验收合格</w:t>
      </w:r>
      <w:r>
        <w:rPr>
          <w:rFonts w:ascii="宋体" w:hAnsi="宋体"/>
          <w:color w:val="auto"/>
          <w:highlight w:val="none"/>
          <w:u w:val="single"/>
        </w:rPr>
        <w:t>,</w:t>
      </w:r>
      <w:r>
        <w:rPr>
          <w:rFonts w:hint="eastAsia" w:ascii="宋体" w:hAnsi="宋体"/>
          <w:color w:val="auto"/>
          <w:highlight w:val="none"/>
          <w:u w:val="single"/>
        </w:rPr>
        <w:t>工程结算手续完善，保质期结束后余款</w:t>
      </w:r>
      <w:r>
        <w:rPr>
          <w:rFonts w:ascii="宋体" w:hAnsi="宋体"/>
          <w:color w:val="auto"/>
          <w:highlight w:val="none"/>
          <w:u w:val="single"/>
        </w:rPr>
        <w:t>30</w:t>
      </w:r>
      <w:r>
        <w:rPr>
          <w:rFonts w:hint="eastAsia" w:ascii="宋体" w:hAnsi="宋体"/>
          <w:color w:val="auto"/>
          <w:highlight w:val="none"/>
          <w:u w:val="single"/>
        </w:rPr>
        <w:t>天内全部付清。</w:t>
      </w:r>
    </w:p>
    <w:p w14:paraId="1AB0E8FF">
      <w:pPr>
        <w:pageBreakBefore w:val="0"/>
        <w:kinsoku/>
        <w:wordWrap w:val="0"/>
        <w:topLinePunct w:val="0"/>
        <w:spacing w:line="360" w:lineRule="auto"/>
        <w:ind w:firstLine="420"/>
        <w:jc w:val="left"/>
        <w:rPr>
          <w:rFonts w:ascii="宋体" w:hAnsi="宋体"/>
          <w:color w:val="auto"/>
          <w:highlight w:val="none"/>
        </w:rPr>
      </w:pPr>
      <w:r>
        <w:rPr>
          <w:rFonts w:ascii="宋体" w:hAnsi="宋体"/>
          <w:color w:val="auto"/>
          <w:highlight w:val="none"/>
          <w:u w:val="single"/>
        </w:rPr>
        <w:t>3</w:t>
      </w:r>
      <w:r>
        <w:rPr>
          <w:rFonts w:hint="eastAsia" w:ascii="宋体" w:hAnsi="宋体"/>
          <w:color w:val="auto"/>
          <w:highlight w:val="none"/>
          <w:u w:val="single"/>
        </w:rPr>
        <w:t>、支付方式：银行转账方式。施工单位必须就核准的工程进度款提供税务机关开出的完税发票</w:t>
      </w:r>
      <w:r>
        <w:rPr>
          <w:rFonts w:hint="eastAsia" w:ascii="宋体" w:hAnsi="宋体"/>
          <w:color w:val="auto"/>
          <w:highlight w:val="none"/>
        </w:rPr>
        <w:t>。</w:t>
      </w:r>
    </w:p>
    <w:p w14:paraId="2DBC1FED">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12.4.2 </w:t>
      </w:r>
      <w:r>
        <w:rPr>
          <w:rFonts w:hint="eastAsia" w:ascii="宋体" w:hAnsi="宋体"/>
          <w:color w:val="auto"/>
          <w:highlight w:val="none"/>
        </w:rPr>
        <w:t>进度付款申请单的编制</w:t>
      </w:r>
    </w:p>
    <w:p w14:paraId="193C5AD1">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关于进度付款申请单编制的约定：</w:t>
      </w:r>
      <w:r>
        <w:rPr>
          <w:rFonts w:hint="eastAsia" w:ascii="宋体" w:hAnsi="宋体"/>
          <w:color w:val="auto"/>
          <w:highlight w:val="none"/>
          <w:u w:val="single"/>
        </w:rPr>
        <w:t>每月</w:t>
      </w:r>
      <w:r>
        <w:rPr>
          <w:rFonts w:ascii="宋体" w:hAnsi="宋体"/>
          <w:color w:val="auto"/>
          <w:highlight w:val="none"/>
          <w:u w:val="single"/>
        </w:rPr>
        <w:t>25</w:t>
      </w:r>
      <w:r>
        <w:rPr>
          <w:rFonts w:hint="eastAsia" w:ascii="宋体" w:hAnsi="宋体"/>
          <w:color w:val="auto"/>
          <w:highlight w:val="none"/>
          <w:u w:val="single"/>
        </w:rPr>
        <w:t>日前</w:t>
      </w:r>
      <w:r>
        <w:rPr>
          <w:rFonts w:hint="eastAsia" w:ascii="宋体" w:hAnsi="宋体"/>
          <w:color w:val="auto"/>
          <w:highlight w:val="none"/>
        </w:rPr>
        <w:t>。</w:t>
      </w:r>
    </w:p>
    <w:p w14:paraId="02F9D8D0">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12.4.3 </w:t>
      </w:r>
      <w:r>
        <w:rPr>
          <w:rFonts w:hint="eastAsia" w:ascii="宋体" w:hAnsi="宋体"/>
          <w:color w:val="auto"/>
          <w:highlight w:val="none"/>
        </w:rPr>
        <w:t>进度付款申请单的提交</w:t>
      </w:r>
    </w:p>
    <w:p w14:paraId="2BB3B603">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）单价合同进度付款申请单提交的约定：</w:t>
      </w:r>
      <w:r>
        <w:rPr>
          <w:rFonts w:hint="eastAsia" w:ascii="宋体" w:hAnsi="宋体"/>
          <w:color w:val="auto"/>
          <w:highlight w:val="none"/>
          <w:u w:val="single"/>
        </w:rPr>
        <w:t>/</w:t>
      </w:r>
      <w:r>
        <w:rPr>
          <w:rFonts w:hint="eastAsia" w:ascii="宋体" w:hAnsi="宋体"/>
          <w:color w:val="auto"/>
          <w:highlight w:val="none"/>
        </w:rPr>
        <w:t>。</w:t>
      </w:r>
    </w:p>
    <w:p w14:paraId="6C54E490">
      <w:pPr>
        <w:pageBreakBefore w:val="0"/>
        <w:kinsoku/>
        <w:wordWrap w:val="0"/>
        <w:topLinePunct w:val="0"/>
        <w:spacing w:line="360" w:lineRule="auto"/>
        <w:ind w:firstLine="42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）总价合同进度付款申请单提交的约定：</w:t>
      </w:r>
      <w:r>
        <w:rPr>
          <w:rFonts w:hint="eastAsia" w:ascii="宋体" w:hAnsi="宋体"/>
          <w:color w:val="auto"/>
          <w:highlight w:val="none"/>
          <w:u w:val="single"/>
        </w:rPr>
        <w:t>承包人应在每个计量周期到期后的14天内向发包人提交已完工程进度款支付申请一式四份，详细说明此周期自己认为有权得到的款额。</w:t>
      </w:r>
    </w:p>
    <w:p w14:paraId="19E70E7B">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）其他价格形式合同进度付款申请单提交的约定：</w:t>
      </w:r>
      <w:r>
        <w:rPr>
          <w:rFonts w:hint="eastAsia" w:ascii="宋体" w:hAnsi="宋体"/>
          <w:color w:val="auto"/>
          <w:highlight w:val="none"/>
          <w:u w:val="single"/>
        </w:rPr>
        <w:t>每月</w:t>
      </w:r>
      <w:r>
        <w:rPr>
          <w:rFonts w:ascii="宋体" w:hAnsi="宋体"/>
          <w:color w:val="auto"/>
          <w:highlight w:val="none"/>
          <w:u w:val="single"/>
        </w:rPr>
        <w:t>25</w:t>
      </w:r>
      <w:r>
        <w:rPr>
          <w:rFonts w:hint="eastAsia" w:ascii="宋体" w:hAnsi="宋体"/>
          <w:color w:val="auto"/>
          <w:highlight w:val="none"/>
          <w:u w:val="single"/>
        </w:rPr>
        <w:t>日前</w:t>
      </w:r>
      <w:r>
        <w:rPr>
          <w:rFonts w:hint="eastAsia" w:ascii="宋体" w:hAnsi="宋体"/>
          <w:color w:val="auto"/>
          <w:highlight w:val="none"/>
        </w:rPr>
        <w:t>。</w:t>
      </w:r>
    </w:p>
    <w:p w14:paraId="7B8477C9">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12.4.4 </w:t>
      </w:r>
      <w:r>
        <w:rPr>
          <w:rFonts w:hint="eastAsia" w:ascii="宋体" w:hAnsi="宋体"/>
          <w:color w:val="auto"/>
          <w:highlight w:val="none"/>
        </w:rPr>
        <w:t>进度款审核和支付</w:t>
      </w:r>
    </w:p>
    <w:p w14:paraId="29C617D6">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）监理人审查并报送发包人的期限：</w:t>
      </w:r>
      <w:r>
        <w:rPr>
          <w:rFonts w:hint="eastAsia" w:ascii="宋体" w:hAnsi="宋体"/>
          <w:color w:val="auto"/>
          <w:highlight w:val="none"/>
          <w:u w:val="single"/>
        </w:rPr>
        <w:t>监理人应在收到承包人进度付款申请单以及相关资料后</w:t>
      </w:r>
      <w:r>
        <w:rPr>
          <w:rFonts w:ascii="宋体" w:hAnsi="宋体"/>
          <w:color w:val="auto"/>
          <w:highlight w:val="none"/>
          <w:u w:val="single"/>
        </w:rPr>
        <w:t>7</w:t>
      </w:r>
      <w:r>
        <w:rPr>
          <w:rFonts w:hint="eastAsia" w:ascii="宋体" w:hAnsi="宋体"/>
          <w:color w:val="auto"/>
          <w:highlight w:val="none"/>
          <w:u w:val="single"/>
        </w:rPr>
        <w:t>天内完成审查并报送发包人</w:t>
      </w:r>
      <w:r>
        <w:rPr>
          <w:rFonts w:hint="eastAsia" w:ascii="宋体" w:hAnsi="宋体"/>
          <w:color w:val="auto"/>
          <w:highlight w:val="none"/>
        </w:rPr>
        <w:t>。</w:t>
      </w:r>
    </w:p>
    <w:p w14:paraId="094D4020">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发包人完成审批并签发进度款支付证书的期限：</w:t>
      </w:r>
      <w:r>
        <w:rPr>
          <w:rFonts w:hint="eastAsia" w:ascii="宋体" w:hAnsi="宋体"/>
          <w:color w:val="auto"/>
          <w:highlight w:val="none"/>
          <w:u w:val="single"/>
        </w:rPr>
        <w:t>发包人应在收到后</w:t>
      </w:r>
      <w:r>
        <w:rPr>
          <w:rFonts w:ascii="宋体" w:hAnsi="宋体"/>
          <w:color w:val="auto"/>
          <w:highlight w:val="none"/>
          <w:u w:val="single"/>
        </w:rPr>
        <w:t>7</w:t>
      </w:r>
      <w:r>
        <w:rPr>
          <w:rFonts w:hint="eastAsia" w:ascii="宋体" w:hAnsi="宋体"/>
          <w:color w:val="auto"/>
          <w:highlight w:val="none"/>
          <w:u w:val="single"/>
        </w:rPr>
        <w:t>天内完成审批并签发进度款支付证书，发包人逾期未完成审批且未提出异议的，视为已签发进度款支付证书</w:t>
      </w:r>
      <w:r>
        <w:rPr>
          <w:rFonts w:hint="eastAsia" w:ascii="宋体" w:hAnsi="宋体"/>
          <w:color w:val="auto"/>
          <w:highlight w:val="none"/>
        </w:rPr>
        <w:t>。</w:t>
      </w:r>
    </w:p>
    <w:p w14:paraId="2D7FFB3E">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）发包人支付进度款的期限：</w:t>
      </w:r>
      <w:r>
        <w:rPr>
          <w:rFonts w:hint="eastAsia" w:ascii="宋体" w:hAnsi="宋体"/>
          <w:color w:val="auto"/>
          <w:highlight w:val="none"/>
          <w:u w:val="single"/>
        </w:rPr>
        <w:t>收到承包人进度支付申请单以及相关资料后</w:t>
      </w:r>
      <w:r>
        <w:rPr>
          <w:rFonts w:ascii="宋体" w:hAnsi="宋体"/>
          <w:color w:val="auto"/>
          <w:highlight w:val="none"/>
          <w:u w:val="single"/>
        </w:rPr>
        <w:t>7</w:t>
      </w:r>
      <w:r>
        <w:rPr>
          <w:rFonts w:hint="eastAsia" w:ascii="宋体" w:hAnsi="宋体"/>
          <w:color w:val="auto"/>
          <w:highlight w:val="none"/>
          <w:u w:val="single"/>
        </w:rPr>
        <w:t>天内</w:t>
      </w:r>
      <w:r>
        <w:rPr>
          <w:rFonts w:hint="eastAsia" w:ascii="宋体" w:hAnsi="宋体"/>
          <w:color w:val="auto"/>
          <w:highlight w:val="none"/>
        </w:rPr>
        <w:t>。</w:t>
      </w:r>
    </w:p>
    <w:p w14:paraId="1856E3B7">
      <w:pPr>
        <w:pageBreakBefore w:val="0"/>
        <w:kinsoku/>
        <w:wordWrap w:val="0"/>
        <w:topLinePunct w:val="0"/>
        <w:spacing w:line="360" w:lineRule="auto"/>
        <w:ind w:firstLine="525" w:firstLineChars="250"/>
        <w:jc w:val="left"/>
        <w:rPr>
          <w:rFonts w:ascii="宋体" w:hAnsi="宋体"/>
          <w:color w:val="auto"/>
          <w:highlight w:val="none"/>
        </w:rPr>
      </w:pPr>
      <w:r>
        <w:rPr>
          <w:rFonts w:hint="eastAsia" w:ascii="宋体" w:hAnsi="宋体"/>
          <w:color w:val="auto"/>
          <w:highlight w:val="none"/>
        </w:rPr>
        <w:t>发包人逾期支付进度款的违约金的计算方式：</w:t>
      </w:r>
      <w:r>
        <w:rPr>
          <w:rFonts w:hint="eastAsia" w:ascii="宋体" w:hAnsi="宋体"/>
          <w:color w:val="auto"/>
          <w:highlight w:val="none"/>
          <w:u w:val="single"/>
        </w:rPr>
        <w:t>按《通用合同条款》</w:t>
      </w:r>
      <w:r>
        <w:rPr>
          <w:rFonts w:ascii="宋体" w:hAnsi="宋体"/>
          <w:color w:val="auto"/>
          <w:highlight w:val="none"/>
          <w:u w:val="single"/>
        </w:rPr>
        <w:t>12.4.4</w:t>
      </w:r>
      <w:r>
        <w:rPr>
          <w:rFonts w:hint="eastAsia" w:ascii="宋体" w:hAnsi="宋体"/>
          <w:color w:val="auto"/>
          <w:highlight w:val="none"/>
          <w:u w:val="single"/>
        </w:rPr>
        <w:t>条执行</w:t>
      </w:r>
      <w:r>
        <w:rPr>
          <w:rFonts w:hint="eastAsia" w:ascii="宋体" w:hAnsi="宋体"/>
          <w:color w:val="auto"/>
          <w:highlight w:val="none"/>
        </w:rPr>
        <w:t>。</w:t>
      </w:r>
    </w:p>
    <w:p w14:paraId="12A7ACE0">
      <w:pPr>
        <w:pageBreakBefore w:val="0"/>
        <w:kinsoku/>
        <w:wordWrap w:val="0"/>
        <w:topLinePunct w:val="0"/>
        <w:spacing w:line="360" w:lineRule="auto"/>
        <w:ind w:firstLine="630" w:firstLineChars="300"/>
        <w:rPr>
          <w:rFonts w:ascii="宋体" w:hAnsi="宋体" w:cs="宋体"/>
          <w:color w:val="auto"/>
          <w:highlight w:val="none"/>
        </w:rPr>
      </w:pPr>
      <w:r>
        <w:rPr>
          <w:rFonts w:hint="eastAsia" w:ascii="宋体" w:hAnsi="宋体"/>
          <w:color w:val="auto"/>
          <w:highlight w:val="none"/>
        </w:rPr>
        <w:t>进度款支付方式：</w:t>
      </w:r>
      <w:r>
        <w:rPr>
          <w:rFonts w:hint="eastAsia" w:ascii="宋体" w:hAnsi="宋体"/>
          <w:color w:val="auto"/>
          <w:highlight w:val="none"/>
          <w:u w:val="single"/>
        </w:rPr>
        <w:t>银行转账</w:t>
      </w:r>
      <w:r>
        <w:rPr>
          <w:rFonts w:hint="eastAsia" w:ascii="宋体" w:hAnsi="宋体"/>
          <w:color w:val="auto"/>
          <w:highlight w:val="none"/>
        </w:rPr>
        <w:t>。进度款支付申请（核准）表见合同附件</w:t>
      </w:r>
      <w:r>
        <w:rPr>
          <w:rFonts w:ascii="宋体" w:hAnsi="宋体"/>
          <w:color w:val="auto"/>
          <w:highlight w:val="none"/>
        </w:rPr>
        <w:t>11</w:t>
      </w:r>
      <w:r>
        <w:rPr>
          <w:rFonts w:hint="eastAsia" w:ascii="宋体" w:hAnsi="宋体"/>
          <w:color w:val="auto"/>
          <w:highlight w:val="none"/>
        </w:rPr>
        <w:t>。</w:t>
      </w:r>
    </w:p>
    <w:p w14:paraId="06E453CF">
      <w:pPr>
        <w:pageBreakBefore w:val="0"/>
        <w:kinsoku/>
        <w:wordWrap w:val="0"/>
        <w:topLinePunct w:val="0"/>
        <w:spacing w:line="360" w:lineRule="auto"/>
        <w:ind w:firstLine="525" w:firstLineChars="25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）农民工工资支付</w:t>
      </w:r>
    </w:p>
    <w:p w14:paraId="3C1E3110">
      <w:pPr>
        <w:pageBreakBefore w:val="0"/>
        <w:kinsoku/>
        <w:wordWrap w:val="0"/>
        <w:topLinePunct w:val="0"/>
        <w:autoSpaceDE w:val="0"/>
        <w:autoSpaceDN w:val="0"/>
        <w:adjustRightInd w:val="0"/>
        <w:spacing w:line="360" w:lineRule="auto"/>
        <w:ind w:firstLine="420" w:firstLineChars="200"/>
        <w:jc w:val="left"/>
        <w:rPr>
          <w:rFonts w:ascii="宋体" w:hAnsi="宋体"/>
          <w:color w:val="auto"/>
          <w:highlight w:val="none"/>
        </w:rPr>
      </w:pPr>
      <w:r>
        <w:rPr>
          <w:rFonts w:ascii="宋体" w:hAnsi="宋体"/>
          <w:color w:val="auto"/>
          <w:kern w:val="0"/>
          <w:highlight w:val="none"/>
        </w:rPr>
        <w:t>1</w:t>
      </w:r>
      <w:r>
        <w:rPr>
          <w:rFonts w:hint="eastAsia" w:ascii="宋体" w:hAnsi="宋体"/>
          <w:color w:val="auto"/>
          <w:kern w:val="0"/>
          <w:highlight w:val="none"/>
        </w:rPr>
        <w:t>）农民工工资应与其它工程进度款分帐管理。农民工工资必须按时足额支付，农民工费用拨付周期不得超过</w:t>
      </w:r>
      <w:r>
        <w:rPr>
          <w:rFonts w:ascii="宋体" w:hAnsi="宋体" w:cs="Calibri"/>
          <w:color w:val="auto"/>
          <w:kern w:val="0"/>
          <w:highlight w:val="none"/>
        </w:rPr>
        <w:t>1</w:t>
      </w:r>
      <w:r>
        <w:rPr>
          <w:rFonts w:hint="eastAsia" w:ascii="宋体" w:hAnsi="宋体"/>
          <w:color w:val="auto"/>
          <w:kern w:val="0"/>
          <w:highlight w:val="none"/>
        </w:rPr>
        <w:t>个月，最</w:t>
      </w:r>
      <w:r>
        <w:rPr>
          <w:rFonts w:hint="eastAsia" w:ascii="宋体" w:hAnsi="宋体" w:cs="宋体"/>
          <w:color w:val="auto"/>
          <w:kern w:val="0"/>
          <w:highlight w:val="none"/>
        </w:rPr>
        <w:t>少每月支付一次</w:t>
      </w:r>
      <w:r>
        <w:rPr>
          <w:rFonts w:hint="eastAsia" w:ascii="宋体" w:hAnsi="宋体"/>
          <w:color w:val="auto"/>
          <w:kern w:val="0"/>
          <w:highlight w:val="none"/>
        </w:rPr>
        <w:t>，</w:t>
      </w:r>
      <w:r>
        <w:rPr>
          <w:rFonts w:hint="eastAsia" w:ascii="宋体" w:hAnsi="宋体" w:cs="宋体"/>
          <w:color w:val="auto"/>
          <w:kern w:val="0"/>
          <w:highlight w:val="none"/>
        </w:rPr>
        <w:t>无工程款申请的月份</w:t>
      </w:r>
      <w:r>
        <w:rPr>
          <w:rFonts w:hint="eastAsia" w:ascii="宋体" w:hAnsi="宋体"/>
          <w:color w:val="auto"/>
          <w:kern w:val="0"/>
          <w:highlight w:val="none"/>
        </w:rPr>
        <w:t>，</w:t>
      </w:r>
      <w:r>
        <w:rPr>
          <w:rFonts w:hint="eastAsia" w:ascii="宋体" w:hAnsi="宋体" w:cs="宋体"/>
          <w:color w:val="auto"/>
          <w:kern w:val="0"/>
          <w:highlight w:val="none"/>
        </w:rPr>
        <w:t>承包人单独上</w:t>
      </w:r>
      <w:r>
        <w:rPr>
          <w:rFonts w:hint="eastAsia" w:ascii="宋体" w:hAnsi="宋体"/>
          <w:color w:val="auto"/>
          <w:kern w:val="0"/>
          <w:highlight w:val="none"/>
        </w:rPr>
        <w:t>报</w:t>
      </w:r>
      <w:r>
        <w:rPr>
          <w:rFonts w:hint="eastAsia" w:ascii="宋体" w:hAnsi="宋体" w:cs="宋体"/>
          <w:color w:val="auto"/>
          <w:kern w:val="0"/>
          <w:highlight w:val="none"/>
        </w:rPr>
        <w:t>农</w:t>
      </w:r>
      <w:r>
        <w:rPr>
          <w:rFonts w:hint="eastAsia" w:ascii="宋体" w:hAnsi="宋体"/>
          <w:color w:val="auto"/>
          <w:kern w:val="0"/>
          <w:highlight w:val="none"/>
        </w:rPr>
        <w:t>民</w:t>
      </w:r>
      <w:r>
        <w:rPr>
          <w:rFonts w:hint="eastAsia" w:ascii="宋体" w:hAnsi="宋体" w:cs="宋体"/>
          <w:color w:val="auto"/>
          <w:kern w:val="0"/>
          <w:highlight w:val="none"/>
        </w:rPr>
        <w:t>工工资</w:t>
      </w:r>
      <w:r>
        <w:rPr>
          <w:rFonts w:hint="eastAsia" w:ascii="宋体" w:hAnsi="宋体"/>
          <w:color w:val="auto"/>
          <w:kern w:val="0"/>
          <w:highlight w:val="none"/>
        </w:rPr>
        <w:t>申请；承包人向发包人申请工程进度款时必须把工人工资部分单独列明，如果未单独列明，监理单位不得签支付证书等支付工程款的手续，发包人单位不得审批和支付工程款。承包人必须把工程款分帐出来的农民工工资转入工人工资账户，转入账户环节必须有银行流水凭证。</w:t>
      </w:r>
    </w:p>
    <w:p w14:paraId="5C7B7B76">
      <w:pPr>
        <w:pageBreakBefore w:val="0"/>
        <w:kinsoku/>
        <w:wordWrap w:val="0"/>
        <w:topLinePunct w:val="0"/>
        <w:spacing w:line="360" w:lineRule="auto"/>
        <w:ind w:firstLine="525" w:firstLineChars="250"/>
        <w:jc w:val="lef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hint="eastAsia" w:ascii="宋体" w:hAnsi="宋体"/>
          <w:color w:val="auto"/>
          <w:kern w:val="0"/>
          <w:highlight w:val="none"/>
        </w:rPr>
        <w:t>农民工工资使用要求：专款专用，除发放工人工资外，不得用于其他用途。</w:t>
      </w:r>
    </w:p>
    <w:p w14:paraId="1C607817">
      <w:pPr>
        <w:pageBreakBefore w:val="0"/>
        <w:kinsoku/>
        <w:wordWrap w:val="0"/>
        <w:topLinePunct w:val="0"/>
        <w:autoSpaceDE w:val="0"/>
        <w:autoSpaceDN w:val="0"/>
        <w:adjustRightInd w:val="0"/>
        <w:spacing w:line="360" w:lineRule="auto"/>
        <w:ind w:firstLine="420" w:firstLineChars="200"/>
        <w:jc w:val="left"/>
        <w:rPr>
          <w:rFonts w:ascii="宋体" w:hAnsi="宋体" w:cs="宋体"/>
          <w:color w:val="auto"/>
          <w:kern w:val="0"/>
          <w:highlight w:val="none"/>
        </w:rPr>
      </w:pPr>
      <w:r>
        <w:rPr>
          <w:rFonts w:hint="eastAsia" w:ascii="宋体" w:hAnsi="宋体"/>
          <w:color w:val="auto"/>
          <w:kern w:val="0"/>
          <w:highlight w:val="none"/>
        </w:rPr>
        <w:t>3）承包人将农民工工资</w:t>
      </w:r>
      <w:r>
        <w:rPr>
          <w:rFonts w:hint="eastAsia" w:ascii="宋体" w:hAnsi="宋体" w:cs="宋体"/>
          <w:color w:val="auto"/>
          <w:kern w:val="0"/>
          <w:highlight w:val="none"/>
        </w:rPr>
        <w:t>支付</w:t>
      </w:r>
      <w:r>
        <w:rPr>
          <w:rFonts w:hint="eastAsia" w:ascii="宋体" w:hAnsi="宋体"/>
          <w:color w:val="auto"/>
          <w:kern w:val="0"/>
          <w:highlight w:val="none"/>
        </w:rPr>
        <w:t>情况定期报告发包人和监理单位，并提供相应的材料接受建设行政主管部门和劳动保障行政主管部门对此事项监管。</w:t>
      </w:r>
    </w:p>
    <w:p w14:paraId="33FD8D5C">
      <w:pPr>
        <w:pageBreakBefore w:val="0"/>
        <w:kinsoku/>
        <w:wordWrap w:val="0"/>
        <w:topLinePunct w:val="0"/>
        <w:spacing w:line="360" w:lineRule="auto"/>
        <w:jc w:val="left"/>
        <w:rPr>
          <w:rFonts w:ascii="宋体" w:hAnsi="宋体"/>
          <w:color w:val="auto"/>
          <w:highlight w:val="none"/>
        </w:rPr>
      </w:pPr>
      <w:r>
        <w:rPr>
          <w:rFonts w:ascii="宋体" w:hAnsi="宋体"/>
          <w:color w:val="auto"/>
          <w:highlight w:val="none"/>
        </w:rPr>
        <w:t xml:space="preserve">12.4.6 </w:t>
      </w:r>
      <w:r>
        <w:rPr>
          <w:rFonts w:hint="eastAsia" w:ascii="宋体" w:hAnsi="宋体"/>
          <w:color w:val="auto"/>
          <w:highlight w:val="none"/>
        </w:rPr>
        <w:t>支付分解表的编制</w:t>
      </w:r>
    </w:p>
    <w:p w14:paraId="3578A3E0">
      <w:pPr>
        <w:pageBreakBefore w:val="0"/>
        <w:kinsoku/>
        <w:wordWrap w:val="0"/>
        <w:topLinePunct w:val="0"/>
        <w:spacing w:line="360" w:lineRule="auto"/>
        <w:ind w:firstLine="525" w:firstLineChars="250"/>
        <w:jc w:val="left"/>
        <w:rPr>
          <w:rFonts w:ascii="宋体" w:hAnsi="宋体"/>
          <w:color w:val="auto"/>
          <w:highlight w:val="none"/>
          <w:u w:val="singl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）总价合同支付分解表的编制与审批：</w:t>
      </w:r>
      <w:r>
        <w:rPr>
          <w:rFonts w:hint="eastAsia" w:ascii="宋体" w:hAnsi="宋体"/>
          <w:color w:val="auto"/>
          <w:highlight w:val="none"/>
          <w:u w:val="single"/>
        </w:rPr>
        <w:t>总价合同支付分分解表在招标完成后由发包人和承包人共同编制，发包人审批，并作为本合同内容，具体详见合同附件**。</w:t>
      </w:r>
    </w:p>
    <w:p w14:paraId="2075452E">
      <w:pPr>
        <w:pageBreakBefore w:val="0"/>
        <w:kinsoku/>
        <w:wordWrap w:val="0"/>
        <w:topLinePunct w:val="0"/>
        <w:spacing w:line="360" w:lineRule="auto"/>
        <w:ind w:firstLine="525" w:firstLineChars="250"/>
        <w:jc w:val="left"/>
        <w:rPr>
          <w:rFonts w:ascii="宋体" w:hAnsi="宋体"/>
          <w:color w:val="auto"/>
          <w:highlight w:val="none"/>
          <w:u w:val="singl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）单价合同的总价项目支付分解表的编制与审批：总价项目不采用支付分解表的方式计算，而按《建设工程工程量清单计价规范（</w:t>
      </w:r>
      <w:r>
        <w:rPr>
          <w:rFonts w:ascii="宋体" w:hAnsi="宋体"/>
          <w:color w:val="auto"/>
          <w:highlight w:val="none"/>
        </w:rPr>
        <w:t>GB50500-2013</w:t>
      </w:r>
      <w:r>
        <w:rPr>
          <w:rFonts w:hint="eastAsia" w:ascii="宋体" w:hAnsi="宋体"/>
          <w:color w:val="auto"/>
          <w:highlight w:val="none"/>
        </w:rPr>
        <w:t>）广西壮族自治区实施细则》的规定执行。</w:t>
      </w:r>
    </w:p>
    <w:p w14:paraId="5282FF12">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877" w:name="_Toc25945"/>
      <w:bookmarkEnd w:id="877"/>
      <w:r>
        <w:rPr>
          <w:rFonts w:ascii="宋体" w:hAnsi="宋体"/>
          <w:b/>
          <w:bCs/>
          <w:color w:val="auto"/>
          <w:highlight w:val="none"/>
          <w:lang w:val="zh-CN"/>
        </w:rPr>
        <w:t xml:space="preserve">13. </w:t>
      </w:r>
      <w:r>
        <w:rPr>
          <w:rFonts w:hint="eastAsia" w:ascii="宋体" w:hAnsi="宋体"/>
          <w:b/>
          <w:bCs/>
          <w:color w:val="auto"/>
          <w:highlight w:val="none"/>
          <w:lang w:val="zh-CN"/>
        </w:rPr>
        <w:t>验收和工程试车</w:t>
      </w:r>
    </w:p>
    <w:p w14:paraId="414C4401">
      <w:pPr>
        <w:keepNext/>
        <w:keepLines/>
        <w:pageBreakBefore w:val="0"/>
        <w:kinsoku/>
        <w:wordWrap w:val="0"/>
        <w:topLinePunct w:val="0"/>
        <w:spacing w:line="360" w:lineRule="auto"/>
        <w:outlineLvl w:val="2"/>
        <w:rPr>
          <w:rFonts w:ascii="宋体" w:hAnsi="宋体"/>
          <w:b/>
          <w:bCs/>
          <w:color w:val="auto"/>
          <w:highlight w:val="none"/>
          <w:lang w:val="zh-CN"/>
        </w:rPr>
      </w:pPr>
      <w:bookmarkStart w:id="878" w:name="_Toc373227754"/>
      <w:bookmarkEnd w:id="878"/>
      <w:bookmarkStart w:id="879" w:name="_Toc24659"/>
      <w:bookmarkEnd w:id="879"/>
      <w:bookmarkStart w:id="880" w:name="_Toc373478401"/>
      <w:bookmarkEnd w:id="880"/>
      <w:bookmarkStart w:id="881" w:name="_Toc389065319"/>
      <w:bookmarkEnd w:id="881"/>
      <w:bookmarkStart w:id="882" w:name="_Toc407135257"/>
      <w:bookmarkEnd w:id="882"/>
      <w:r>
        <w:rPr>
          <w:rFonts w:ascii="宋体" w:hAnsi="宋体"/>
          <w:b/>
          <w:bCs/>
          <w:color w:val="auto"/>
          <w:highlight w:val="none"/>
          <w:lang w:val="zh-CN"/>
        </w:rPr>
        <w:t xml:space="preserve">13.1 </w:t>
      </w:r>
      <w:r>
        <w:rPr>
          <w:rFonts w:hint="eastAsia" w:ascii="宋体" w:hAnsi="宋体"/>
          <w:b/>
          <w:bCs/>
          <w:color w:val="auto"/>
          <w:highlight w:val="none"/>
          <w:lang w:val="zh-CN"/>
        </w:rPr>
        <w:t>分部分项工程验收</w:t>
      </w:r>
    </w:p>
    <w:p w14:paraId="7709C5F3">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13.1.2</w:t>
      </w:r>
      <w:r>
        <w:rPr>
          <w:rFonts w:hint="eastAsia" w:ascii="宋体" w:hAnsi="宋体"/>
          <w:color w:val="auto"/>
          <w:highlight w:val="none"/>
        </w:rPr>
        <w:t>监理人不能按时进行验收时，应提前</w:t>
      </w:r>
      <w:r>
        <w:rPr>
          <w:rFonts w:ascii="宋体" w:hAnsi="宋体"/>
          <w:color w:val="auto"/>
          <w:highlight w:val="none"/>
          <w:u w:val="single"/>
        </w:rPr>
        <w:t xml:space="preserve">   24    </w:t>
      </w:r>
      <w:r>
        <w:rPr>
          <w:rFonts w:hint="eastAsia" w:ascii="宋体" w:hAnsi="宋体"/>
          <w:color w:val="auto"/>
          <w:highlight w:val="none"/>
        </w:rPr>
        <w:t>小时提交书面延期要求。</w:t>
      </w:r>
    </w:p>
    <w:p w14:paraId="052031AB">
      <w:pPr>
        <w:pageBreakBefore w:val="0"/>
        <w:kinsoku/>
        <w:wordWrap w:val="0"/>
        <w:topLinePunct w:val="0"/>
        <w:spacing w:line="360" w:lineRule="auto"/>
        <w:ind w:firstLine="420" w:firstLineChars="200"/>
        <w:jc w:val="left"/>
        <w:rPr>
          <w:rFonts w:ascii="宋体" w:hAnsi="宋体"/>
          <w:b/>
          <w:bCs/>
          <w:color w:val="auto"/>
          <w:highlight w:val="none"/>
        </w:rPr>
      </w:pPr>
      <w:r>
        <w:rPr>
          <w:rFonts w:hint="eastAsia" w:ascii="宋体" w:hAnsi="宋体"/>
          <w:color w:val="auto"/>
          <w:highlight w:val="none"/>
        </w:rPr>
        <w:t>关于延期最长不得超过：</w:t>
      </w:r>
      <w:r>
        <w:rPr>
          <w:rFonts w:ascii="宋体" w:hAnsi="宋体"/>
          <w:color w:val="auto"/>
          <w:highlight w:val="none"/>
          <w:u w:val="single"/>
        </w:rPr>
        <w:t xml:space="preserve">   48      </w:t>
      </w:r>
      <w:r>
        <w:rPr>
          <w:rFonts w:hint="eastAsia" w:ascii="宋体" w:hAnsi="宋体"/>
          <w:color w:val="auto"/>
          <w:highlight w:val="none"/>
        </w:rPr>
        <w:t>小时。</w:t>
      </w:r>
    </w:p>
    <w:p w14:paraId="60C6D817">
      <w:pPr>
        <w:keepNext/>
        <w:keepLines/>
        <w:pageBreakBefore w:val="0"/>
        <w:kinsoku/>
        <w:wordWrap w:val="0"/>
        <w:topLinePunct w:val="0"/>
        <w:spacing w:line="360" w:lineRule="auto"/>
        <w:outlineLvl w:val="2"/>
        <w:rPr>
          <w:rFonts w:ascii="宋体" w:hAnsi="宋体"/>
          <w:b/>
          <w:bCs/>
          <w:color w:val="auto"/>
          <w:highlight w:val="none"/>
          <w:lang w:val="zh-CN"/>
        </w:rPr>
      </w:pPr>
      <w:bookmarkStart w:id="883" w:name="_Toc297048409"/>
      <w:bookmarkEnd w:id="883"/>
      <w:bookmarkStart w:id="884" w:name="_Toc303539173"/>
      <w:bookmarkEnd w:id="884"/>
      <w:bookmarkStart w:id="885" w:name="_Toc296944562"/>
      <w:bookmarkEnd w:id="885"/>
      <w:bookmarkStart w:id="886" w:name="_Toc267251475"/>
      <w:bookmarkEnd w:id="886"/>
      <w:bookmarkStart w:id="887" w:name="_Toc267251471"/>
      <w:bookmarkEnd w:id="887"/>
      <w:bookmarkStart w:id="888" w:name="_Toc304295596"/>
      <w:bookmarkEnd w:id="888"/>
      <w:bookmarkStart w:id="889" w:name="_Toc407135258"/>
      <w:bookmarkEnd w:id="889"/>
      <w:bookmarkStart w:id="890" w:name="_Toc296891263"/>
      <w:bookmarkEnd w:id="890"/>
      <w:bookmarkStart w:id="891" w:name="_Toc292559933"/>
      <w:bookmarkEnd w:id="891"/>
      <w:bookmarkStart w:id="892" w:name="_Toc297216224"/>
      <w:bookmarkEnd w:id="892"/>
      <w:bookmarkStart w:id="893" w:name="_Toc389065320"/>
      <w:bookmarkEnd w:id="893"/>
      <w:bookmarkStart w:id="894" w:name="_Toc297123565"/>
      <w:bookmarkEnd w:id="894"/>
      <w:bookmarkStart w:id="895" w:name="_Toc267251470"/>
      <w:bookmarkEnd w:id="895"/>
      <w:bookmarkStart w:id="896" w:name="_Toc296891051"/>
      <w:bookmarkEnd w:id="896"/>
      <w:bookmarkStart w:id="897" w:name="_Toc312678056"/>
      <w:bookmarkEnd w:id="897"/>
      <w:bookmarkStart w:id="898" w:name="_Toc300935016"/>
      <w:bookmarkEnd w:id="898"/>
      <w:bookmarkStart w:id="899" w:name="_Toc296347222"/>
      <w:bookmarkEnd w:id="899"/>
      <w:bookmarkStart w:id="900" w:name="_Toc296346724"/>
      <w:bookmarkEnd w:id="900"/>
      <w:bookmarkStart w:id="901" w:name="_Toc267251474"/>
      <w:bookmarkEnd w:id="901"/>
      <w:bookmarkStart w:id="902" w:name="_Toc267251473"/>
      <w:bookmarkEnd w:id="902"/>
      <w:bookmarkStart w:id="903" w:name="_Toc292559428"/>
      <w:bookmarkEnd w:id="903"/>
      <w:bookmarkStart w:id="904" w:name="_Toc296503223"/>
      <w:bookmarkEnd w:id="904"/>
      <w:bookmarkStart w:id="905" w:name="_Toc28246"/>
      <w:bookmarkEnd w:id="905"/>
      <w:bookmarkStart w:id="906" w:name="_Toc373227755"/>
      <w:bookmarkEnd w:id="906"/>
      <w:bookmarkStart w:id="907" w:name="_Toc297120523"/>
      <w:bookmarkEnd w:id="907"/>
      <w:bookmarkStart w:id="908" w:name="_Toc267251472"/>
      <w:bookmarkEnd w:id="908"/>
      <w:bookmarkStart w:id="909" w:name="_Toc373478402"/>
      <w:bookmarkEnd w:id="909"/>
      <w:bookmarkStart w:id="910" w:name="_Toc267251476"/>
      <w:r>
        <w:rPr>
          <w:rFonts w:ascii="宋体" w:hAnsi="宋体"/>
          <w:b/>
          <w:bCs/>
          <w:color w:val="auto"/>
          <w:highlight w:val="none"/>
          <w:lang w:val="zh-CN"/>
        </w:rPr>
        <w:t xml:space="preserve">13.2 </w:t>
      </w:r>
      <w:bookmarkEnd w:id="910"/>
      <w:r>
        <w:rPr>
          <w:rFonts w:hint="eastAsia" w:ascii="宋体" w:hAnsi="宋体"/>
          <w:b/>
          <w:bCs/>
          <w:color w:val="auto"/>
          <w:highlight w:val="none"/>
          <w:lang w:val="zh-CN"/>
        </w:rPr>
        <w:t>竣工验收</w:t>
      </w:r>
    </w:p>
    <w:p w14:paraId="455A6BDC">
      <w:pPr>
        <w:pageBreakBefore w:val="0"/>
        <w:kinsoku/>
        <w:wordWrap w:val="0"/>
        <w:topLinePunct w:val="0"/>
        <w:spacing w:line="360" w:lineRule="auto"/>
        <w:ind w:firstLine="420" w:firstLineChars="200"/>
        <w:jc w:val="left"/>
        <w:rPr>
          <w:rFonts w:ascii="宋体" w:hAnsi="宋体"/>
          <w:color w:val="auto"/>
          <w:highlight w:val="none"/>
        </w:rPr>
      </w:pPr>
      <w:bookmarkStart w:id="911" w:name="_Toc280868706"/>
      <w:bookmarkEnd w:id="911"/>
      <w:bookmarkStart w:id="912" w:name="_Toc280868704"/>
      <w:bookmarkEnd w:id="912"/>
      <w:bookmarkStart w:id="913" w:name="_Toc280868708"/>
      <w:bookmarkEnd w:id="913"/>
      <w:bookmarkStart w:id="914" w:name="_Toc280868705"/>
      <w:bookmarkEnd w:id="914"/>
      <w:bookmarkStart w:id="915" w:name="_Toc280868709"/>
      <w:bookmarkEnd w:id="915"/>
      <w:bookmarkStart w:id="916" w:name="_Toc280868707"/>
      <w:bookmarkEnd w:id="916"/>
      <w:r>
        <w:rPr>
          <w:rFonts w:ascii="宋体" w:hAnsi="宋体"/>
          <w:color w:val="auto"/>
          <w:highlight w:val="none"/>
        </w:rPr>
        <w:t>13.2.1</w:t>
      </w:r>
      <w:r>
        <w:rPr>
          <w:rFonts w:hint="eastAsia" w:ascii="宋体" w:hAnsi="宋体"/>
          <w:color w:val="auto"/>
          <w:highlight w:val="none"/>
        </w:rPr>
        <w:t>竣工验收条件</w:t>
      </w:r>
    </w:p>
    <w:p w14:paraId="59B0A2EE">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）承包人负责整理和提交的竣工验收资料应当符合工程所在地建设行政主管部门、</w:t>
      </w:r>
      <w:r>
        <w:rPr>
          <w:rFonts w:ascii="宋体" w:hAnsi="宋体"/>
          <w:color w:val="auto"/>
          <w:highlight w:val="none"/>
        </w:rPr>
        <w:t xml:space="preserve"> (</w:t>
      </w:r>
      <w:r>
        <w:rPr>
          <w:rFonts w:hint="eastAsia" w:ascii="宋体" w:hAnsi="宋体"/>
          <w:color w:val="auto"/>
          <w:highlight w:val="none"/>
        </w:rPr>
        <w:t>或</w:t>
      </w:r>
      <w:r>
        <w:rPr>
          <w:rFonts w:ascii="宋体" w:hAnsi="宋体"/>
          <w:color w:val="auto"/>
          <w:highlight w:val="none"/>
        </w:rPr>
        <w:t>)</w:t>
      </w:r>
      <w:r>
        <w:rPr>
          <w:rFonts w:hint="eastAsia" w:ascii="宋体" w:hAnsi="宋体"/>
          <w:color w:val="auto"/>
          <w:highlight w:val="none"/>
        </w:rPr>
        <w:t>城市建设档案管理机构和发包人上级相关部门有关施工资料的要求，具体内容包括：</w:t>
      </w:r>
      <w:r>
        <w:rPr>
          <w:rFonts w:hint="eastAsia" w:ascii="宋体" w:hAnsi="宋体"/>
          <w:color w:val="auto"/>
          <w:highlight w:val="none"/>
          <w:u w:val="single"/>
        </w:rPr>
        <w:t>按通用条款第</w:t>
      </w:r>
      <w:r>
        <w:rPr>
          <w:rFonts w:ascii="宋体" w:hAnsi="宋体"/>
          <w:color w:val="auto"/>
          <w:highlight w:val="none"/>
          <w:u w:val="single"/>
        </w:rPr>
        <w:t>13.2.1</w:t>
      </w:r>
      <w:r>
        <w:rPr>
          <w:rFonts w:hint="eastAsia" w:ascii="宋体" w:hAnsi="宋体"/>
          <w:color w:val="auto"/>
          <w:highlight w:val="none"/>
          <w:u w:val="single"/>
        </w:rPr>
        <w:t>款执行并满足发包人要求</w:t>
      </w:r>
      <w:r>
        <w:rPr>
          <w:rFonts w:hint="eastAsia" w:ascii="宋体" w:hAnsi="宋体"/>
          <w:color w:val="auto"/>
          <w:highlight w:val="none"/>
        </w:rPr>
        <w:t>。</w:t>
      </w:r>
    </w:p>
    <w:p w14:paraId="4048D517">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竣工验收资料的份数：</w:t>
      </w:r>
      <w:r>
        <w:rPr>
          <w:rFonts w:hint="eastAsia" w:ascii="宋体" w:hAnsi="宋体" w:cs="宋体"/>
          <w:color w:val="auto"/>
          <w:kern w:val="0"/>
          <w:szCs w:val="20"/>
          <w:highlight w:val="none"/>
          <w:u w:val="single"/>
        </w:rPr>
        <w:t>一式叁份全套竣工资料（含竣工图）</w:t>
      </w:r>
      <w:r>
        <w:rPr>
          <w:rFonts w:hint="eastAsia" w:ascii="宋体" w:hAnsi="宋体"/>
          <w:color w:val="auto"/>
          <w:highlight w:val="none"/>
        </w:rPr>
        <w:t>。</w:t>
      </w:r>
    </w:p>
    <w:p w14:paraId="01F26954">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承包人提供竣工图的约定：</w:t>
      </w:r>
      <w:r>
        <w:rPr>
          <w:rFonts w:hint="eastAsia" w:ascii="宋体" w:hAnsi="宋体"/>
          <w:color w:val="auto"/>
          <w:highlight w:val="none"/>
          <w:u w:val="single"/>
        </w:rPr>
        <w:t>竣工验收正式通过后</w:t>
      </w:r>
      <w:r>
        <w:rPr>
          <w:rFonts w:ascii="宋体" w:hAnsi="宋体"/>
          <w:color w:val="auto"/>
          <w:highlight w:val="none"/>
          <w:u w:val="single"/>
        </w:rPr>
        <w:t>5</w:t>
      </w:r>
      <w:r>
        <w:rPr>
          <w:rFonts w:hint="eastAsia" w:ascii="宋体" w:hAnsi="宋体"/>
          <w:color w:val="auto"/>
          <w:highlight w:val="none"/>
          <w:u w:val="single"/>
        </w:rPr>
        <w:t>天（工程造价在</w:t>
      </w:r>
      <w:r>
        <w:rPr>
          <w:rFonts w:ascii="宋体" w:hAnsi="宋体"/>
          <w:color w:val="auto"/>
          <w:highlight w:val="none"/>
          <w:u w:val="single"/>
        </w:rPr>
        <w:t>500</w:t>
      </w:r>
      <w:r>
        <w:rPr>
          <w:rFonts w:hint="eastAsia" w:ascii="宋体" w:hAnsi="宋体"/>
          <w:color w:val="auto"/>
          <w:highlight w:val="none"/>
          <w:u w:val="single"/>
        </w:rPr>
        <w:t>万元以下含</w:t>
      </w:r>
      <w:r>
        <w:rPr>
          <w:rFonts w:ascii="宋体" w:hAnsi="宋体"/>
          <w:color w:val="auto"/>
          <w:highlight w:val="none"/>
          <w:u w:val="single"/>
        </w:rPr>
        <w:t>500</w:t>
      </w:r>
      <w:r>
        <w:rPr>
          <w:rFonts w:hint="eastAsia" w:ascii="宋体" w:hAnsi="宋体"/>
          <w:color w:val="auto"/>
          <w:highlight w:val="none"/>
          <w:u w:val="single"/>
        </w:rPr>
        <w:t>万元）、</w:t>
      </w:r>
      <w:r>
        <w:rPr>
          <w:rFonts w:ascii="宋体" w:hAnsi="宋体"/>
          <w:color w:val="auto"/>
          <w:highlight w:val="none"/>
          <w:u w:val="single"/>
        </w:rPr>
        <w:t>10</w:t>
      </w:r>
      <w:r>
        <w:rPr>
          <w:rFonts w:hint="eastAsia" w:ascii="宋体" w:hAnsi="宋体"/>
          <w:color w:val="auto"/>
          <w:highlight w:val="none"/>
          <w:u w:val="single"/>
        </w:rPr>
        <w:t>天（工程造价在</w:t>
      </w:r>
      <w:r>
        <w:rPr>
          <w:rFonts w:ascii="宋体" w:hAnsi="宋体"/>
          <w:color w:val="auto"/>
          <w:highlight w:val="none"/>
          <w:u w:val="single"/>
        </w:rPr>
        <w:t>500</w:t>
      </w:r>
      <w:r>
        <w:rPr>
          <w:rFonts w:hint="eastAsia" w:ascii="宋体" w:hAnsi="宋体"/>
          <w:color w:val="auto"/>
          <w:highlight w:val="none"/>
          <w:u w:val="single"/>
        </w:rPr>
        <w:t>万元至</w:t>
      </w:r>
      <w:r>
        <w:rPr>
          <w:rFonts w:ascii="宋体" w:hAnsi="宋体"/>
          <w:color w:val="auto"/>
          <w:highlight w:val="none"/>
          <w:u w:val="single"/>
        </w:rPr>
        <w:t>1000</w:t>
      </w:r>
      <w:r>
        <w:rPr>
          <w:rFonts w:hint="eastAsia" w:ascii="宋体" w:hAnsi="宋体"/>
          <w:color w:val="auto"/>
          <w:highlight w:val="none"/>
          <w:u w:val="single"/>
        </w:rPr>
        <w:t>万元之间含</w:t>
      </w:r>
      <w:r>
        <w:rPr>
          <w:rFonts w:ascii="宋体" w:hAnsi="宋体"/>
          <w:color w:val="auto"/>
          <w:highlight w:val="none"/>
          <w:u w:val="single"/>
        </w:rPr>
        <w:t>1000</w:t>
      </w:r>
      <w:r>
        <w:rPr>
          <w:rFonts w:hint="eastAsia" w:ascii="宋体" w:hAnsi="宋体"/>
          <w:color w:val="auto"/>
          <w:highlight w:val="none"/>
          <w:u w:val="single"/>
        </w:rPr>
        <w:t>万元）、</w:t>
      </w:r>
      <w:r>
        <w:rPr>
          <w:rFonts w:ascii="宋体" w:hAnsi="宋体"/>
          <w:color w:val="auto"/>
          <w:highlight w:val="none"/>
          <w:u w:val="single"/>
        </w:rPr>
        <w:t>15</w:t>
      </w:r>
      <w:r>
        <w:rPr>
          <w:rFonts w:hint="eastAsia" w:ascii="宋体" w:hAnsi="宋体"/>
          <w:color w:val="auto"/>
          <w:highlight w:val="none"/>
          <w:u w:val="single"/>
        </w:rPr>
        <w:t>天（工程造价在</w:t>
      </w:r>
      <w:r>
        <w:rPr>
          <w:rFonts w:ascii="宋体" w:hAnsi="宋体"/>
          <w:color w:val="auto"/>
          <w:highlight w:val="none"/>
          <w:u w:val="single"/>
        </w:rPr>
        <w:t>1000</w:t>
      </w:r>
      <w:r>
        <w:rPr>
          <w:rFonts w:hint="eastAsia" w:ascii="宋体" w:hAnsi="宋体"/>
          <w:color w:val="auto"/>
          <w:highlight w:val="none"/>
          <w:u w:val="single"/>
        </w:rPr>
        <w:t>万元以上），</w:t>
      </w:r>
      <w:r>
        <w:rPr>
          <w:rFonts w:hint="eastAsia" w:ascii="宋体" w:hAnsi="宋体" w:cs="宋体"/>
          <w:color w:val="auto"/>
          <w:spacing w:val="11"/>
          <w:highlight w:val="none"/>
          <w:u w:val="single"/>
        </w:rPr>
        <w:t>提供竣工图的数量分别为2套、4套、6套</w:t>
      </w:r>
      <w:r>
        <w:rPr>
          <w:rFonts w:hint="eastAsia" w:ascii="宋体" w:hAnsi="宋体"/>
          <w:color w:val="auto"/>
          <w:highlight w:val="none"/>
          <w:u w:val="single"/>
        </w:rPr>
        <w:t>。</w:t>
      </w:r>
    </w:p>
    <w:p w14:paraId="40DFBD6B">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13.2.2</w:t>
      </w:r>
      <w:r>
        <w:rPr>
          <w:rFonts w:hint="eastAsia" w:ascii="宋体" w:hAnsi="宋体"/>
          <w:color w:val="auto"/>
          <w:highlight w:val="none"/>
        </w:rPr>
        <w:t>竣工验收程序</w:t>
      </w:r>
    </w:p>
    <w:p w14:paraId="0CB31318">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kern w:val="0"/>
          <w:highlight w:val="none"/>
        </w:rPr>
        <w:t>关于竣工验收程序的约定：</w:t>
      </w:r>
      <w:r>
        <w:rPr>
          <w:rFonts w:hint="eastAsia" w:ascii="宋体" w:hAnsi="宋体"/>
          <w:color w:val="auto"/>
          <w:highlight w:val="none"/>
          <w:u w:val="single"/>
        </w:rPr>
        <w:t>按工程所在地建设行政主管部门、城市建设档案管理机构</w:t>
      </w:r>
      <w:r>
        <w:rPr>
          <w:rFonts w:hint="eastAsia" w:ascii="宋体" w:hAnsi="宋体"/>
          <w:color w:val="auto"/>
          <w:highlight w:val="none"/>
        </w:rPr>
        <w:t>和</w:t>
      </w:r>
      <w:r>
        <w:rPr>
          <w:rFonts w:hint="eastAsia" w:ascii="宋体" w:hAnsi="宋体"/>
          <w:color w:val="auto"/>
          <w:highlight w:val="none"/>
          <w:u w:val="single"/>
        </w:rPr>
        <w:t>发包人上级相关部门有关验收程序的要求进行</w:t>
      </w:r>
      <w:r>
        <w:rPr>
          <w:rFonts w:hint="eastAsia" w:ascii="宋体" w:hAnsi="宋体"/>
          <w:color w:val="auto"/>
          <w:highlight w:val="none"/>
        </w:rPr>
        <w:t>。</w:t>
      </w:r>
    </w:p>
    <w:p w14:paraId="5BF12612">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kern w:val="0"/>
          <w:highlight w:val="none"/>
        </w:rPr>
        <w:t>发包人不按照本项约定组织竣工验收、颁发工程接收证书的违约金的计算方法：</w:t>
      </w:r>
      <w:r>
        <w:rPr>
          <w:rFonts w:hint="eastAsia" w:ascii="宋体" w:hAnsi="宋体"/>
          <w:color w:val="auto"/>
          <w:highlight w:val="none"/>
          <w:u w:val="single"/>
        </w:rPr>
        <w:t>按工程所在地建设行政主管部门和城市建设档案管理机构有关验收程序的要求进行</w:t>
      </w:r>
      <w:r>
        <w:rPr>
          <w:rFonts w:hint="eastAsia" w:ascii="宋体" w:hAnsi="宋体"/>
          <w:color w:val="auto"/>
          <w:highlight w:val="none"/>
        </w:rPr>
        <w:t>。</w:t>
      </w:r>
    </w:p>
    <w:p w14:paraId="6F382AE1">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13.2.5</w:t>
      </w:r>
      <w:r>
        <w:rPr>
          <w:rFonts w:hint="eastAsia" w:ascii="宋体" w:hAnsi="宋体"/>
          <w:color w:val="auto"/>
          <w:highlight w:val="none"/>
        </w:rPr>
        <w:t>移交、接收全部与部分工程</w:t>
      </w:r>
    </w:p>
    <w:p w14:paraId="6AE82862">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承包人向发包人移交工程的期限：</w:t>
      </w:r>
      <w:r>
        <w:rPr>
          <w:rFonts w:hint="eastAsia" w:ascii="宋体" w:hAnsi="宋体"/>
          <w:bCs/>
          <w:color w:val="auto"/>
          <w:highlight w:val="none"/>
          <w:u w:val="single"/>
        </w:rPr>
        <w:t>颁发工程接收证书后</w:t>
      </w:r>
      <w:r>
        <w:rPr>
          <w:rFonts w:ascii="宋体" w:hAnsi="宋体"/>
          <w:bCs/>
          <w:color w:val="auto"/>
          <w:highlight w:val="none"/>
          <w:u w:val="single"/>
        </w:rPr>
        <w:t>14</w:t>
      </w:r>
      <w:r>
        <w:rPr>
          <w:rFonts w:hint="eastAsia" w:ascii="宋体" w:hAnsi="宋体"/>
          <w:bCs/>
          <w:color w:val="auto"/>
          <w:highlight w:val="none"/>
          <w:u w:val="single"/>
        </w:rPr>
        <w:t>天内完成工程的移交</w:t>
      </w:r>
      <w:r>
        <w:rPr>
          <w:rFonts w:hint="eastAsia" w:ascii="宋体" w:hAnsi="宋体"/>
          <w:color w:val="auto"/>
          <w:highlight w:val="none"/>
        </w:rPr>
        <w:t>。</w:t>
      </w:r>
    </w:p>
    <w:p w14:paraId="37393B59">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kern w:val="0"/>
          <w:highlight w:val="none"/>
        </w:rPr>
        <w:t>发包人未按本合同约定接收全部或部分工程的，违约金的计算方法为：</w:t>
      </w:r>
      <w:r>
        <w:rPr>
          <w:rFonts w:hint="eastAsia" w:ascii="宋体" w:hAnsi="宋体"/>
          <w:color w:val="auto"/>
          <w:highlight w:val="none"/>
          <w:u w:val="single"/>
        </w:rPr>
        <w:t>按《通用合同条款》</w:t>
      </w:r>
      <w:r>
        <w:rPr>
          <w:rFonts w:ascii="宋体" w:hAnsi="宋体"/>
          <w:color w:val="auto"/>
          <w:highlight w:val="none"/>
          <w:u w:val="single"/>
        </w:rPr>
        <w:t>13.2.5</w:t>
      </w:r>
      <w:r>
        <w:rPr>
          <w:rFonts w:hint="eastAsia" w:ascii="宋体" w:hAnsi="宋体"/>
          <w:color w:val="auto"/>
          <w:highlight w:val="none"/>
          <w:u w:val="single"/>
        </w:rPr>
        <w:t>条执行</w:t>
      </w:r>
      <w:r>
        <w:rPr>
          <w:rFonts w:hint="eastAsia" w:ascii="宋体" w:hAnsi="宋体"/>
          <w:color w:val="auto"/>
          <w:highlight w:val="none"/>
        </w:rPr>
        <w:t>。</w:t>
      </w:r>
    </w:p>
    <w:p w14:paraId="314CCE94">
      <w:pPr>
        <w:pageBreakBefore w:val="0"/>
        <w:kinsoku/>
        <w:wordWrap w:val="0"/>
        <w:topLinePunct w:val="0"/>
        <w:spacing w:line="360" w:lineRule="auto"/>
        <w:ind w:firstLine="420" w:firstLineChars="200"/>
        <w:jc w:val="left"/>
        <w:rPr>
          <w:rFonts w:ascii="宋体" w:hAnsi="宋体" w:cs="宋体"/>
          <w:color w:val="auto"/>
          <w:highlight w:val="none"/>
          <w:u w:val="single"/>
        </w:rPr>
      </w:pPr>
      <w:r>
        <w:rPr>
          <w:rFonts w:hint="eastAsia" w:ascii="宋体" w:hAnsi="宋体"/>
          <w:color w:val="auto"/>
          <w:highlight w:val="none"/>
        </w:rPr>
        <w:t>承包人未按时移交工程的，违约金的计算方法为：</w:t>
      </w:r>
      <w:r>
        <w:rPr>
          <w:rFonts w:hint="eastAsia" w:ascii="宋体" w:hAnsi="宋体"/>
          <w:color w:val="auto"/>
          <w:highlight w:val="none"/>
          <w:u w:val="single"/>
        </w:rPr>
        <w:t>因承包人原因未按时移交工程的，承包人应采取措施确保相关工程的正常使用，承包人应承担工程照管、成品保护、保管等与工程有关的各项费用，且每延误一天，扣除3</w:t>
      </w:r>
      <w:r>
        <w:rPr>
          <w:rFonts w:ascii="宋体" w:hAnsi="宋体"/>
          <w:color w:val="auto"/>
          <w:highlight w:val="none"/>
          <w:u w:val="single"/>
        </w:rPr>
        <w:t>0</w:t>
      </w:r>
      <w:r>
        <w:rPr>
          <w:rFonts w:hint="eastAsia" w:ascii="宋体" w:hAnsi="宋体"/>
          <w:color w:val="auto"/>
          <w:highlight w:val="none"/>
          <w:u w:val="single"/>
        </w:rPr>
        <w:t>0元</w:t>
      </w:r>
      <w:r>
        <w:rPr>
          <w:rFonts w:ascii="宋体" w:hAnsi="宋体"/>
          <w:color w:val="auto"/>
          <w:highlight w:val="none"/>
          <w:u w:val="single"/>
        </w:rPr>
        <w:t>/</w:t>
      </w:r>
      <w:r>
        <w:rPr>
          <w:rFonts w:hint="eastAsia" w:ascii="宋体" w:hAnsi="宋体"/>
          <w:color w:val="auto"/>
          <w:highlight w:val="none"/>
          <w:u w:val="single"/>
        </w:rPr>
        <w:t>天，</w:t>
      </w:r>
      <w:r>
        <w:rPr>
          <w:rFonts w:hint="eastAsia" w:ascii="宋体" w:hAnsi="宋体" w:cs="宋体"/>
          <w:color w:val="auto"/>
          <w:highlight w:val="none"/>
          <w:u w:val="single"/>
        </w:rPr>
        <w:t>但违约金最高限额不超过合同价的1%。</w:t>
      </w:r>
    </w:p>
    <w:p w14:paraId="26FC1310">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w:t>
      </w:r>
    </w:p>
    <w:p w14:paraId="4C4F2751">
      <w:pPr>
        <w:keepNext/>
        <w:keepLines/>
        <w:pageBreakBefore w:val="0"/>
        <w:kinsoku/>
        <w:wordWrap w:val="0"/>
        <w:topLinePunct w:val="0"/>
        <w:spacing w:line="360" w:lineRule="auto"/>
        <w:outlineLvl w:val="2"/>
        <w:rPr>
          <w:rFonts w:ascii="宋体" w:hAnsi="宋体"/>
          <w:b/>
          <w:bCs/>
          <w:color w:val="auto"/>
          <w:highlight w:val="none"/>
          <w:lang w:val="zh-CN"/>
        </w:rPr>
      </w:pPr>
      <w:bookmarkStart w:id="917" w:name="_Toc373227756"/>
      <w:bookmarkEnd w:id="917"/>
      <w:bookmarkStart w:id="918" w:name="_Toc373478403"/>
      <w:bookmarkEnd w:id="918"/>
      <w:bookmarkStart w:id="919" w:name="_Toc11306"/>
      <w:bookmarkEnd w:id="919"/>
      <w:bookmarkStart w:id="920" w:name="_Toc407135259"/>
      <w:bookmarkEnd w:id="920"/>
      <w:bookmarkStart w:id="921" w:name="_Toc389065321"/>
      <w:r>
        <w:rPr>
          <w:rFonts w:ascii="宋体" w:hAnsi="宋体"/>
          <w:b/>
          <w:bCs/>
          <w:color w:val="auto"/>
          <w:highlight w:val="none"/>
          <w:lang w:val="zh-CN"/>
        </w:rPr>
        <w:t xml:space="preserve">13.3 </w:t>
      </w:r>
      <w:bookmarkEnd w:id="921"/>
      <w:r>
        <w:rPr>
          <w:rFonts w:hint="eastAsia" w:ascii="宋体" w:hAnsi="宋体"/>
          <w:b/>
          <w:bCs/>
          <w:color w:val="auto"/>
          <w:highlight w:val="none"/>
          <w:lang w:val="zh-CN"/>
        </w:rPr>
        <w:t>工程试车</w:t>
      </w:r>
    </w:p>
    <w:p w14:paraId="2D1254E6">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 xml:space="preserve">13.3.1 </w:t>
      </w:r>
      <w:r>
        <w:rPr>
          <w:rFonts w:hint="eastAsia" w:ascii="宋体" w:hAnsi="宋体"/>
          <w:color w:val="auto"/>
          <w:kern w:val="0"/>
          <w:highlight w:val="none"/>
        </w:rPr>
        <w:t>试车程序</w:t>
      </w:r>
    </w:p>
    <w:p w14:paraId="4791F468">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kern w:val="0"/>
          <w:highlight w:val="none"/>
        </w:rPr>
        <w:t>工程试车内容：</w:t>
      </w:r>
      <w:r>
        <w:rPr>
          <w:rFonts w:hint="eastAsia" w:ascii="宋体" w:hAnsi="宋体"/>
          <w:color w:val="auto"/>
          <w:highlight w:val="none"/>
          <w:u w:val="single"/>
        </w:rPr>
        <w:t>按设计图纸要求</w:t>
      </w:r>
      <w:r>
        <w:rPr>
          <w:rFonts w:hint="eastAsia" w:ascii="宋体" w:hAnsi="宋体"/>
          <w:color w:val="auto"/>
          <w:highlight w:val="none"/>
        </w:rPr>
        <w:t>。</w:t>
      </w:r>
    </w:p>
    <w:p w14:paraId="4436AD4A">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）单机无负荷试车费用由</w:t>
      </w:r>
      <w:r>
        <w:rPr>
          <w:rFonts w:hint="eastAsia" w:ascii="宋体" w:hAnsi="宋体"/>
          <w:color w:val="auto"/>
          <w:highlight w:val="none"/>
          <w:u w:val="single"/>
        </w:rPr>
        <w:t>承包人</w:t>
      </w:r>
      <w:r>
        <w:rPr>
          <w:rFonts w:hint="eastAsia" w:ascii="宋体" w:hAnsi="宋体"/>
          <w:color w:val="auto"/>
          <w:kern w:val="0"/>
          <w:highlight w:val="none"/>
        </w:rPr>
        <w:t>承担；</w:t>
      </w:r>
    </w:p>
    <w:p w14:paraId="2BC8A69E">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）无负荷联动试车费用由</w:t>
      </w:r>
      <w:r>
        <w:rPr>
          <w:rFonts w:hint="eastAsia" w:ascii="宋体" w:hAnsi="宋体"/>
          <w:color w:val="auto"/>
          <w:highlight w:val="none"/>
          <w:u w:val="single"/>
        </w:rPr>
        <w:t>承包人</w:t>
      </w:r>
      <w:r>
        <w:rPr>
          <w:rFonts w:hint="eastAsia" w:ascii="宋体" w:hAnsi="宋体"/>
          <w:color w:val="auto"/>
          <w:kern w:val="0"/>
          <w:highlight w:val="none"/>
        </w:rPr>
        <w:t>承担。</w:t>
      </w:r>
    </w:p>
    <w:p w14:paraId="37E44F11">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 xml:space="preserve">13.3.3 </w:t>
      </w:r>
      <w:r>
        <w:rPr>
          <w:rFonts w:hint="eastAsia" w:ascii="宋体" w:hAnsi="宋体"/>
          <w:color w:val="auto"/>
          <w:kern w:val="0"/>
          <w:highlight w:val="none"/>
        </w:rPr>
        <w:t>投料试车</w:t>
      </w:r>
    </w:p>
    <w:p w14:paraId="01D63346">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kern w:val="0"/>
          <w:highlight w:val="none"/>
        </w:rPr>
        <w:t>关于投料试车相关事项的约定：</w:t>
      </w:r>
      <w:r>
        <w:rPr>
          <w:rFonts w:hint="eastAsia" w:ascii="宋体" w:hAnsi="宋体"/>
          <w:color w:val="auto"/>
          <w:highlight w:val="none"/>
          <w:u w:val="single"/>
        </w:rPr>
        <w:t>按设计图纸要求</w:t>
      </w:r>
      <w:r>
        <w:rPr>
          <w:rFonts w:hint="eastAsia" w:ascii="宋体" w:hAnsi="宋体"/>
          <w:color w:val="auto"/>
          <w:highlight w:val="none"/>
        </w:rPr>
        <w:t>。</w:t>
      </w:r>
    </w:p>
    <w:p w14:paraId="329E0544">
      <w:pPr>
        <w:keepNext/>
        <w:keepLines/>
        <w:pageBreakBefore w:val="0"/>
        <w:kinsoku/>
        <w:wordWrap w:val="0"/>
        <w:topLinePunct w:val="0"/>
        <w:spacing w:line="360" w:lineRule="auto"/>
        <w:outlineLvl w:val="2"/>
        <w:rPr>
          <w:rFonts w:ascii="宋体" w:hAnsi="宋体"/>
          <w:b/>
          <w:bCs/>
          <w:color w:val="auto"/>
          <w:highlight w:val="none"/>
          <w:lang w:val="zh-CN"/>
        </w:rPr>
      </w:pPr>
      <w:bookmarkStart w:id="922" w:name="_Toc373478404"/>
      <w:bookmarkEnd w:id="922"/>
      <w:bookmarkStart w:id="923" w:name="_Toc373227757"/>
      <w:bookmarkEnd w:id="923"/>
      <w:bookmarkStart w:id="924" w:name="_Toc407135260"/>
      <w:bookmarkEnd w:id="924"/>
      <w:bookmarkStart w:id="925" w:name="_Toc19721"/>
      <w:bookmarkEnd w:id="925"/>
      <w:bookmarkStart w:id="926" w:name="_Toc389065322"/>
      <w:r>
        <w:rPr>
          <w:rFonts w:ascii="宋体" w:hAnsi="宋体"/>
          <w:b/>
          <w:bCs/>
          <w:color w:val="auto"/>
          <w:highlight w:val="none"/>
          <w:lang w:val="zh-CN"/>
        </w:rPr>
        <w:t xml:space="preserve">13.6 </w:t>
      </w:r>
      <w:bookmarkEnd w:id="926"/>
      <w:r>
        <w:rPr>
          <w:rFonts w:hint="eastAsia" w:ascii="宋体" w:hAnsi="宋体"/>
          <w:b/>
          <w:bCs/>
          <w:color w:val="auto"/>
          <w:highlight w:val="none"/>
          <w:lang w:val="zh-CN"/>
        </w:rPr>
        <w:t>竣工退场</w:t>
      </w:r>
    </w:p>
    <w:p w14:paraId="691892C0">
      <w:pPr>
        <w:pageBreakBefore w:val="0"/>
        <w:kinsoku/>
        <w:wordWrap w:val="0"/>
        <w:topLinePunct w:val="0"/>
        <w:spacing w:line="360" w:lineRule="auto"/>
        <w:ind w:firstLine="420" w:firstLineChars="200"/>
        <w:jc w:val="left"/>
        <w:outlineLvl w:val="0"/>
        <w:rPr>
          <w:rFonts w:ascii="宋体" w:hAnsi="宋体"/>
          <w:color w:val="auto"/>
          <w:kern w:val="0"/>
          <w:highlight w:val="none"/>
        </w:rPr>
      </w:pPr>
      <w:bookmarkStart w:id="927" w:name="_Toc3047"/>
      <w:bookmarkStart w:id="928" w:name="_Toc16975"/>
      <w:bookmarkStart w:id="929" w:name="_Toc915"/>
      <w:bookmarkStart w:id="930" w:name="_Toc23676"/>
      <w:bookmarkStart w:id="931" w:name="_Toc22155"/>
      <w:r>
        <w:rPr>
          <w:rFonts w:ascii="宋体" w:hAnsi="宋体"/>
          <w:color w:val="auto"/>
          <w:kern w:val="0"/>
          <w:highlight w:val="none"/>
        </w:rPr>
        <w:t xml:space="preserve">13.6.1 </w:t>
      </w:r>
      <w:r>
        <w:rPr>
          <w:rFonts w:hint="eastAsia" w:ascii="宋体" w:hAnsi="宋体"/>
          <w:color w:val="auto"/>
          <w:kern w:val="0"/>
          <w:highlight w:val="none"/>
        </w:rPr>
        <w:t>竣工退场</w:t>
      </w:r>
      <w:bookmarkEnd w:id="927"/>
      <w:bookmarkEnd w:id="928"/>
      <w:bookmarkEnd w:id="929"/>
      <w:bookmarkEnd w:id="930"/>
      <w:bookmarkEnd w:id="931"/>
    </w:p>
    <w:p w14:paraId="2FEDA0B7">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承包人完成竣工退场的期限：</w:t>
      </w:r>
      <w:r>
        <w:rPr>
          <w:rFonts w:hint="eastAsia" w:ascii="宋体" w:hAnsi="宋体"/>
          <w:color w:val="auto"/>
          <w:highlight w:val="none"/>
          <w:u w:val="single"/>
        </w:rPr>
        <w:t>颁发工程接收证书后</w:t>
      </w:r>
      <w:r>
        <w:rPr>
          <w:rFonts w:ascii="宋体" w:hAnsi="宋体"/>
          <w:color w:val="auto"/>
          <w:highlight w:val="none"/>
          <w:u w:val="single"/>
        </w:rPr>
        <w:t>14</w:t>
      </w:r>
      <w:r>
        <w:rPr>
          <w:rFonts w:hint="eastAsia" w:ascii="宋体" w:hAnsi="宋体"/>
          <w:color w:val="auto"/>
          <w:highlight w:val="none"/>
          <w:u w:val="single"/>
        </w:rPr>
        <w:t>天内完成工程的移交</w:t>
      </w:r>
      <w:r>
        <w:rPr>
          <w:rFonts w:hint="eastAsia" w:ascii="宋体" w:hAnsi="宋体"/>
          <w:color w:val="auto"/>
          <w:kern w:val="0"/>
          <w:highlight w:val="none"/>
        </w:rPr>
        <w:t>。</w:t>
      </w:r>
    </w:p>
    <w:p w14:paraId="54441D66">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932" w:name="_Toc351203646"/>
      <w:bookmarkEnd w:id="932"/>
      <w:bookmarkStart w:id="933" w:name="_Toc25989"/>
      <w:bookmarkEnd w:id="933"/>
      <w:bookmarkStart w:id="934" w:name="_Toc373478405"/>
      <w:bookmarkEnd w:id="934"/>
      <w:bookmarkStart w:id="935" w:name="_Toc373227758"/>
      <w:bookmarkEnd w:id="935"/>
      <w:bookmarkStart w:id="936" w:name="_Toc389065323"/>
      <w:bookmarkEnd w:id="936"/>
      <w:bookmarkStart w:id="937" w:name="_Toc407135261"/>
      <w:r>
        <w:rPr>
          <w:rFonts w:ascii="宋体" w:hAnsi="宋体"/>
          <w:b/>
          <w:bCs/>
          <w:color w:val="auto"/>
          <w:highlight w:val="none"/>
          <w:lang w:val="zh-CN"/>
        </w:rPr>
        <w:t xml:space="preserve">14. </w:t>
      </w:r>
      <w:bookmarkEnd w:id="937"/>
      <w:r>
        <w:rPr>
          <w:rFonts w:hint="eastAsia" w:ascii="宋体" w:hAnsi="宋体"/>
          <w:b/>
          <w:bCs/>
          <w:color w:val="auto"/>
          <w:highlight w:val="none"/>
          <w:lang w:val="zh-CN"/>
        </w:rPr>
        <w:t>竣工结算</w:t>
      </w:r>
    </w:p>
    <w:p w14:paraId="38DCCF24">
      <w:pPr>
        <w:keepNext/>
        <w:keepLines/>
        <w:pageBreakBefore w:val="0"/>
        <w:kinsoku/>
        <w:wordWrap w:val="0"/>
        <w:topLinePunct w:val="0"/>
        <w:spacing w:line="360" w:lineRule="auto"/>
        <w:outlineLvl w:val="2"/>
        <w:rPr>
          <w:rFonts w:ascii="宋体" w:hAnsi="宋体"/>
          <w:b/>
          <w:bCs/>
          <w:color w:val="auto"/>
          <w:highlight w:val="none"/>
          <w:lang w:val="zh-CN"/>
        </w:rPr>
      </w:pPr>
      <w:bookmarkStart w:id="938" w:name="_Toc373227759"/>
      <w:bookmarkEnd w:id="938"/>
      <w:bookmarkStart w:id="939" w:name="_Toc19510"/>
      <w:bookmarkEnd w:id="939"/>
      <w:bookmarkStart w:id="940" w:name="_Toc389065324"/>
      <w:bookmarkEnd w:id="940"/>
      <w:bookmarkStart w:id="941" w:name="_Toc407135262"/>
      <w:bookmarkEnd w:id="941"/>
      <w:bookmarkStart w:id="942" w:name="_Toc373478406"/>
      <w:r>
        <w:rPr>
          <w:rFonts w:ascii="宋体" w:hAnsi="宋体"/>
          <w:b/>
          <w:bCs/>
          <w:color w:val="auto"/>
          <w:highlight w:val="none"/>
          <w:lang w:val="zh-CN"/>
        </w:rPr>
        <w:t xml:space="preserve">14.1 </w:t>
      </w:r>
      <w:bookmarkEnd w:id="942"/>
      <w:r>
        <w:rPr>
          <w:rFonts w:hint="eastAsia" w:ascii="宋体" w:hAnsi="宋体"/>
          <w:b/>
          <w:bCs/>
          <w:color w:val="auto"/>
          <w:highlight w:val="none"/>
          <w:lang w:val="zh-CN"/>
        </w:rPr>
        <w:t>竣工付款申请</w:t>
      </w:r>
    </w:p>
    <w:p w14:paraId="70B76069">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承包人提交竣工付款申请单的期限：</w:t>
      </w:r>
      <w:r>
        <w:rPr>
          <w:rFonts w:hint="eastAsia" w:ascii="宋体" w:hAnsi="宋体"/>
          <w:color w:val="auto"/>
          <w:highlight w:val="none"/>
          <w:u w:val="single"/>
        </w:rPr>
        <w:t>竣工结算参照《</w:t>
      </w:r>
      <w:r>
        <w:rPr>
          <w:rFonts w:hint="eastAsia" w:ascii="宋体" w:hAnsi="宋体"/>
          <w:color w:val="auto"/>
          <w:highlight w:val="none"/>
          <w:u w:val="single"/>
          <w:lang w:eastAsia="zh-CN"/>
        </w:rPr>
        <w:t>桂林市</w:t>
      </w:r>
      <w:r>
        <w:rPr>
          <w:rFonts w:hint="eastAsia" w:ascii="宋体" w:hAnsi="宋体"/>
          <w:color w:val="auto"/>
          <w:highlight w:val="none"/>
          <w:u w:val="single"/>
        </w:rPr>
        <w:t>市本级政府投资项目管理暂行办法》规定执行，在工程竣工验收合格后</w:t>
      </w:r>
      <w:r>
        <w:rPr>
          <w:rFonts w:ascii="宋体" w:hAnsi="宋体"/>
          <w:color w:val="auto"/>
          <w:highlight w:val="none"/>
          <w:u w:val="single"/>
        </w:rPr>
        <w:t>28</w:t>
      </w:r>
      <w:r>
        <w:rPr>
          <w:rFonts w:hint="eastAsia" w:ascii="宋体" w:hAnsi="宋体"/>
          <w:color w:val="auto"/>
          <w:highlight w:val="none"/>
          <w:u w:val="single"/>
        </w:rPr>
        <w:t>天内向发包人和监理人提交竣工结算申请单及相关材料。无正当理由延期或经发包人催促</w:t>
      </w:r>
      <w:r>
        <w:rPr>
          <w:rFonts w:ascii="宋体" w:hAnsi="宋体"/>
          <w:color w:val="auto"/>
          <w:highlight w:val="none"/>
          <w:u w:val="single"/>
        </w:rPr>
        <w:t>14</w:t>
      </w:r>
      <w:r>
        <w:rPr>
          <w:rFonts w:hint="eastAsia" w:ascii="宋体" w:hAnsi="宋体"/>
          <w:color w:val="auto"/>
          <w:highlight w:val="none"/>
          <w:u w:val="single"/>
        </w:rPr>
        <w:t>天内仍未提供或明确答复的，发包人有权根据已有资料进行结算审核，责任由承包人自负。承包人应及时提供竣工结算过程中所需补充的资料</w:t>
      </w:r>
      <w:r>
        <w:rPr>
          <w:rFonts w:hint="eastAsia" w:ascii="宋体" w:hAnsi="宋体"/>
          <w:color w:val="auto"/>
          <w:highlight w:val="none"/>
        </w:rPr>
        <w:t>。</w:t>
      </w:r>
    </w:p>
    <w:p w14:paraId="48224055">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竣工付款申请单应包括的内容：</w:t>
      </w:r>
      <w:r>
        <w:rPr>
          <w:rFonts w:hint="eastAsia" w:ascii="宋体" w:hAnsi="宋体"/>
          <w:color w:val="auto"/>
          <w:highlight w:val="none"/>
          <w:u w:val="single"/>
        </w:rPr>
        <w:t>竣工付款申请单须符合</w:t>
      </w:r>
      <w:r>
        <w:rPr>
          <w:rFonts w:hint="eastAsia" w:ascii="宋体" w:hAnsi="宋体"/>
          <w:color w:val="auto"/>
          <w:highlight w:val="none"/>
          <w:u w:val="single"/>
          <w:lang w:eastAsia="zh-CN"/>
        </w:rPr>
        <w:t>桂林市</w:t>
      </w:r>
      <w:r>
        <w:rPr>
          <w:rFonts w:hint="eastAsia" w:ascii="宋体" w:hAnsi="宋体"/>
          <w:color w:val="auto"/>
          <w:highlight w:val="none"/>
          <w:u w:val="single"/>
        </w:rPr>
        <w:t>人民政府相关文件规定，竣工付款申请单编制内容按发包人工程款支付管理规定执行</w:t>
      </w:r>
      <w:r>
        <w:rPr>
          <w:rFonts w:hint="eastAsia" w:ascii="宋体" w:hAnsi="宋体"/>
          <w:color w:val="auto"/>
          <w:highlight w:val="none"/>
        </w:rPr>
        <w:t>。竣工结算款支付申请（核准）表见合同附件**。</w:t>
      </w:r>
    </w:p>
    <w:p w14:paraId="37C8DFB1">
      <w:pPr>
        <w:keepNext/>
        <w:keepLines/>
        <w:pageBreakBefore w:val="0"/>
        <w:kinsoku/>
        <w:wordWrap w:val="0"/>
        <w:topLinePunct w:val="0"/>
        <w:spacing w:line="360" w:lineRule="auto"/>
        <w:outlineLvl w:val="2"/>
        <w:rPr>
          <w:rFonts w:ascii="宋体" w:hAnsi="宋体"/>
          <w:b/>
          <w:bCs/>
          <w:color w:val="auto"/>
          <w:highlight w:val="none"/>
          <w:lang w:val="zh-CN"/>
        </w:rPr>
      </w:pPr>
      <w:bookmarkStart w:id="943" w:name="_Toc373478407"/>
      <w:r>
        <w:rPr>
          <w:rFonts w:ascii="宋体" w:hAnsi="宋体"/>
          <w:b/>
          <w:bCs/>
          <w:color w:val="auto"/>
          <w:highlight w:val="none"/>
          <w:lang w:val="zh-CN"/>
        </w:rPr>
        <w:t xml:space="preserve">14.2 </w:t>
      </w:r>
      <w:bookmarkEnd w:id="943"/>
      <w:r>
        <w:rPr>
          <w:rFonts w:hint="eastAsia" w:ascii="宋体" w:hAnsi="宋体"/>
          <w:b/>
          <w:bCs/>
          <w:color w:val="auto"/>
          <w:highlight w:val="none"/>
          <w:lang w:val="zh-CN"/>
        </w:rPr>
        <w:t>竣工结算审核</w:t>
      </w:r>
    </w:p>
    <w:p w14:paraId="3BDD5715">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发包人审批竣工付款申请单的期限：</w:t>
      </w:r>
    </w:p>
    <w:tbl>
      <w:tblPr>
        <w:tblStyle w:val="48"/>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16F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845E3AC">
            <w:pPr>
              <w:pageBreakBefore w:val="0"/>
              <w:kinsoku/>
              <w:wordWrap w:val="0"/>
              <w:topLinePunct w:val="0"/>
              <w:spacing w:line="360" w:lineRule="auto"/>
              <w:rPr>
                <w:rFonts w:ascii="宋体" w:hAnsi="宋体"/>
                <w:color w:val="auto"/>
                <w:highlight w:val="none"/>
              </w:rPr>
            </w:pPr>
          </w:p>
        </w:tc>
        <w:tc>
          <w:tcPr>
            <w:tcW w:w="2466" w:type="dxa"/>
            <w:tcBorders>
              <w:left w:val="nil"/>
            </w:tcBorders>
            <w:vAlign w:val="center"/>
          </w:tcPr>
          <w:p w14:paraId="62FBD7AB">
            <w:pPr>
              <w:pageBreakBefore w:val="0"/>
              <w:kinsoku/>
              <w:wordWrap w:val="0"/>
              <w:topLinePunct w:val="0"/>
              <w:spacing w:line="360" w:lineRule="auto"/>
              <w:ind w:firstLine="27" w:firstLineChars="13"/>
              <w:jc w:val="center"/>
              <w:rPr>
                <w:rFonts w:ascii="宋体" w:hAnsi="宋体"/>
                <w:color w:val="auto"/>
                <w:highlight w:val="none"/>
              </w:rPr>
            </w:pPr>
            <w:r>
              <w:rPr>
                <w:rFonts w:hint="eastAsia" w:ascii="宋体" w:hAnsi="宋体"/>
                <w:color w:val="auto"/>
                <w:highlight w:val="none"/>
              </w:rPr>
              <w:t>工程竣工结算报告金额</w:t>
            </w:r>
          </w:p>
        </w:tc>
        <w:tc>
          <w:tcPr>
            <w:tcW w:w="5967" w:type="dxa"/>
            <w:tcBorders>
              <w:left w:val="nil"/>
            </w:tcBorders>
            <w:vAlign w:val="center"/>
          </w:tcPr>
          <w:p w14:paraId="0CB3DA35">
            <w:pPr>
              <w:pageBreakBefore w:val="0"/>
              <w:kinsoku/>
              <w:wordWrap w:val="0"/>
              <w:topLinePunct w:val="0"/>
              <w:spacing w:line="360" w:lineRule="auto"/>
              <w:ind w:firstLine="441" w:firstLineChars="210"/>
              <w:jc w:val="center"/>
              <w:rPr>
                <w:rFonts w:ascii="宋体" w:hAnsi="宋体"/>
                <w:color w:val="auto"/>
                <w:highlight w:val="none"/>
              </w:rPr>
            </w:pPr>
            <w:r>
              <w:rPr>
                <w:rFonts w:hint="eastAsia" w:ascii="宋体" w:hAnsi="宋体"/>
                <w:color w:val="auto"/>
                <w:highlight w:val="none"/>
              </w:rPr>
              <w:t>发包人审查时间</w:t>
            </w:r>
          </w:p>
        </w:tc>
      </w:tr>
      <w:tr w14:paraId="50C2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2474225">
            <w:pPr>
              <w:pageBreakBefore w:val="0"/>
              <w:kinsoku/>
              <w:wordWrap w:val="0"/>
              <w:topLinePunct w:val="0"/>
              <w:spacing w:line="360" w:lineRule="auto"/>
              <w:jc w:val="center"/>
              <w:rPr>
                <w:rFonts w:ascii="宋体" w:hAnsi="宋体"/>
                <w:color w:val="auto"/>
                <w:highlight w:val="none"/>
              </w:rPr>
            </w:pPr>
            <w:r>
              <w:rPr>
                <w:rFonts w:ascii="宋体" w:hAnsi="宋体"/>
                <w:color w:val="auto"/>
                <w:highlight w:val="none"/>
              </w:rPr>
              <w:t>1</w:t>
            </w:r>
          </w:p>
        </w:tc>
        <w:tc>
          <w:tcPr>
            <w:tcW w:w="2466" w:type="dxa"/>
            <w:tcBorders>
              <w:left w:val="nil"/>
            </w:tcBorders>
            <w:vAlign w:val="center"/>
          </w:tcPr>
          <w:p w14:paraId="52505EE2">
            <w:pPr>
              <w:pageBreakBefore w:val="0"/>
              <w:kinsoku/>
              <w:wordWrap w:val="0"/>
              <w:topLinePunct w:val="0"/>
              <w:spacing w:line="360" w:lineRule="auto"/>
              <w:ind w:firstLine="27" w:firstLineChars="13"/>
              <w:jc w:val="center"/>
              <w:rPr>
                <w:rFonts w:ascii="宋体" w:hAnsi="宋体"/>
                <w:color w:val="auto"/>
                <w:highlight w:val="none"/>
              </w:rPr>
            </w:pPr>
            <w:r>
              <w:rPr>
                <w:rFonts w:ascii="宋体" w:hAnsi="宋体"/>
                <w:color w:val="auto"/>
                <w:highlight w:val="none"/>
              </w:rPr>
              <w:t>500</w:t>
            </w:r>
            <w:r>
              <w:rPr>
                <w:rFonts w:hint="eastAsia" w:ascii="宋体" w:hAnsi="宋体"/>
                <w:color w:val="auto"/>
                <w:highlight w:val="none"/>
              </w:rPr>
              <w:t>万元以下</w:t>
            </w:r>
          </w:p>
        </w:tc>
        <w:tc>
          <w:tcPr>
            <w:tcW w:w="5967" w:type="dxa"/>
            <w:tcBorders>
              <w:left w:val="nil"/>
            </w:tcBorders>
            <w:vAlign w:val="center"/>
          </w:tcPr>
          <w:p w14:paraId="1CACB0E8">
            <w:pPr>
              <w:pageBreakBefore w:val="0"/>
              <w:kinsoku/>
              <w:wordWrap w:val="0"/>
              <w:topLinePunct w:val="0"/>
              <w:spacing w:line="360" w:lineRule="auto"/>
              <w:ind w:firstLine="441" w:firstLineChars="210"/>
              <w:jc w:val="center"/>
              <w:rPr>
                <w:rFonts w:ascii="宋体" w:hAnsi="宋体"/>
                <w:color w:val="auto"/>
                <w:highlight w:val="none"/>
              </w:rPr>
            </w:pPr>
            <w:r>
              <w:rPr>
                <w:rFonts w:hint="eastAsia" w:ascii="宋体" w:hAnsi="宋体"/>
                <w:color w:val="auto"/>
                <w:highlight w:val="none"/>
              </w:rPr>
              <w:t>从接到竣工结算报告和完整的竣工结算资料之日起</w:t>
            </w:r>
            <w:r>
              <w:rPr>
                <w:rFonts w:ascii="宋体" w:hAnsi="宋体"/>
                <w:color w:val="auto"/>
                <w:highlight w:val="none"/>
              </w:rPr>
              <w:t>20</w:t>
            </w:r>
            <w:r>
              <w:rPr>
                <w:rFonts w:hint="eastAsia" w:ascii="宋体" w:hAnsi="宋体"/>
                <w:color w:val="auto"/>
                <w:highlight w:val="none"/>
              </w:rPr>
              <w:t>天</w:t>
            </w:r>
          </w:p>
        </w:tc>
      </w:tr>
      <w:tr w14:paraId="38F2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51EB160">
            <w:pPr>
              <w:pageBreakBefore w:val="0"/>
              <w:kinsoku/>
              <w:wordWrap w:val="0"/>
              <w:topLinePunct w:val="0"/>
              <w:spacing w:line="360" w:lineRule="auto"/>
              <w:jc w:val="center"/>
              <w:rPr>
                <w:rFonts w:ascii="宋体" w:hAnsi="宋体"/>
                <w:color w:val="auto"/>
                <w:highlight w:val="none"/>
              </w:rPr>
            </w:pPr>
            <w:r>
              <w:rPr>
                <w:rFonts w:ascii="宋体" w:hAnsi="宋体"/>
                <w:color w:val="auto"/>
                <w:highlight w:val="none"/>
              </w:rPr>
              <w:t>2</w:t>
            </w:r>
          </w:p>
        </w:tc>
        <w:tc>
          <w:tcPr>
            <w:tcW w:w="2466" w:type="dxa"/>
            <w:tcBorders>
              <w:left w:val="nil"/>
            </w:tcBorders>
            <w:vAlign w:val="center"/>
          </w:tcPr>
          <w:p w14:paraId="28A8C4E6">
            <w:pPr>
              <w:pageBreakBefore w:val="0"/>
              <w:kinsoku/>
              <w:wordWrap w:val="0"/>
              <w:topLinePunct w:val="0"/>
              <w:spacing w:line="360" w:lineRule="auto"/>
              <w:ind w:firstLine="27" w:firstLineChars="13"/>
              <w:jc w:val="center"/>
              <w:rPr>
                <w:rFonts w:ascii="宋体" w:hAnsi="宋体"/>
                <w:color w:val="auto"/>
                <w:highlight w:val="none"/>
              </w:rPr>
            </w:pPr>
            <w:r>
              <w:rPr>
                <w:rFonts w:ascii="宋体" w:hAnsi="宋体"/>
                <w:color w:val="auto"/>
                <w:highlight w:val="none"/>
              </w:rPr>
              <w:t>500</w:t>
            </w:r>
            <w:r>
              <w:rPr>
                <w:rFonts w:hint="eastAsia" w:ascii="宋体" w:hAnsi="宋体"/>
                <w:color w:val="auto"/>
                <w:highlight w:val="none"/>
              </w:rPr>
              <w:t>万元</w:t>
            </w:r>
            <w:r>
              <w:rPr>
                <w:rFonts w:ascii="宋体" w:hAnsi="宋体"/>
                <w:color w:val="auto"/>
                <w:highlight w:val="none"/>
              </w:rPr>
              <w:t>-2000</w:t>
            </w:r>
            <w:r>
              <w:rPr>
                <w:rFonts w:hint="eastAsia" w:ascii="宋体" w:hAnsi="宋体"/>
                <w:color w:val="auto"/>
                <w:highlight w:val="none"/>
              </w:rPr>
              <w:t>万元</w:t>
            </w:r>
          </w:p>
        </w:tc>
        <w:tc>
          <w:tcPr>
            <w:tcW w:w="5967" w:type="dxa"/>
            <w:tcBorders>
              <w:left w:val="nil"/>
            </w:tcBorders>
            <w:vAlign w:val="center"/>
          </w:tcPr>
          <w:p w14:paraId="54D36DCE">
            <w:pPr>
              <w:pageBreakBefore w:val="0"/>
              <w:kinsoku/>
              <w:wordWrap w:val="0"/>
              <w:topLinePunct w:val="0"/>
              <w:spacing w:line="360" w:lineRule="auto"/>
              <w:ind w:firstLine="441" w:firstLineChars="210"/>
              <w:jc w:val="center"/>
              <w:rPr>
                <w:rFonts w:ascii="宋体" w:hAnsi="宋体"/>
                <w:color w:val="auto"/>
                <w:highlight w:val="none"/>
              </w:rPr>
            </w:pPr>
            <w:r>
              <w:rPr>
                <w:rFonts w:hint="eastAsia" w:ascii="宋体" w:hAnsi="宋体"/>
                <w:color w:val="auto"/>
                <w:highlight w:val="none"/>
              </w:rPr>
              <w:t>从接到竣工结算报告和完整的竣工结算资料之日起</w:t>
            </w:r>
            <w:r>
              <w:rPr>
                <w:rFonts w:ascii="宋体" w:hAnsi="宋体"/>
                <w:color w:val="auto"/>
                <w:highlight w:val="none"/>
              </w:rPr>
              <w:t>30</w:t>
            </w:r>
            <w:r>
              <w:rPr>
                <w:rFonts w:hint="eastAsia" w:ascii="宋体" w:hAnsi="宋体"/>
                <w:color w:val="auto"/>
                <w:highlight w:val="none"/>
              </w:rPr>
              <w:t>天</w:t>
            </w:r>
          </w:p>
        </w:tc>
      </w:tr>
      <w:tr w14:paraId="3694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A5F4101">
            <w:pPr>
              <w:pageBreakBefore w:val="0"/>
              <w:kinsoku/>
              <w:wordWrap w:val="0"/>
              <w:topLinePunct w:val="0"/>
              <w:spacing w:line="360" w:lineRule="auto"/>
              <w:jc w:val="center"/>
              <w:rPr>
                <w:rFonts w:ascii="宋体" w:hAnsi="宋体"/>
                <w:color w:val="auto"/>
                <w:highlight w:val="none"/>
              </w:rPr>
            </w:pPr>
            <w:r>
              <w:rPr>
                <w:rFonts w:ascii="宋体" w:hAnsi="宋体"/>
                <w:color w:val="auto"/>
                <w:highlight w:val="none"/>
              </w:rPr>
              <w:t>3</w:t>
            </w:r>
          </w:p>
        </w:tc>
        <w:tc>
          <w:tcPr>
            <w:tcW w:w="2466" w:type="dxa"/>
            <w:tcBorders>
              <w:left w:val="nil"/>
            </w:tcBorders>
            <w:vAlign w:val="center"/>
          </w:tcPr>
          <w:p w14:paraId="133B13B1">
            <w:pPr>
              <w:pageBreakBefore w:val="0"/>
              <w:kinsoku/>
              <w:wordWrap w:val="0"/>
              <w:topLinePunct w:val="0"/>
              <w:spacing w:line="360" w:lineRule="auto"/>
              <w:ind w:firstLine="27" w:firstLineChars="13"/>
              <w:jc w:val="center"/>
              <w:rPr>
                <w:rFonts w:ascii="宋体" w:hAnsi="宋体"/>
                <w:color w:val="auto"/>
                <w:highlight w:val="none"/>
              </w:rPr>
            </w:pPr>
            <w:r>
              <w:rPr>
                <w:rFonts w:ascii="宋体" w:hAnsi="宋体"/>
                <w:color w:val="auto"/>
                <w:highlight w:val="none"/>
              </w:rPr>
              <w:t>2000</w:t>
            </w:r>
            <w:r>
              <w:rPr>
                <w:rFonts w:hint="eastAsia" w:ascii="宋体" w:hAnsi="宋体"/>
                <w:color w:val="auto"/>
                <w:highlight w:val="none"/>
              </w:rPr>
              <w:t>万元</w:t>
            </w:r>
            <w:r>
              <w:rPr>
                <w:rFonts w:ascii="宋体" w:hAnsi="宋体"/>
                <w:color w:val="auto"/>
                <w:highlight w:val="none"/>
              </w:rPr>
              <w:t>-5000</w:t>
            </w:r>
            <w:r>
              <w:rPr>
                <w:rFonts w:hint="eastAsia" w:ascii="宋体" w:hAnsi="宋体"/>
                <w:color w:val="auto"/>
                <w:highlight w:val="none"/>
              </w:rPr>
              <w:t>万元</w:t>
            </w:r>
          </w:p>
        </w:tc>
        <w:tc>
          <w:tcPr>
            <w:tcW w:w="5967" w:type="dxa"/>
            <w:tcBorders>
              <w:left w:val="nil"/>
            </w:tcBorders>
            <w:vAlign w:val="center"/>
          </w:tcPr>
          <w:p w14:paraId="3CA8FDAD">
            <w:pPr>
              <w:pageBreakBefore w:val="0"/>
              <w:kinsoku/>
              <w:wordWrap w:val="0"/>
              <w:topLinePunct w:val="0"/>
              <w:spacing w:line="360" w:lineRule="auto"/>
              <w:ind w:firstLine="441" w:firstLineChars="210"/>
              <w:jc w:val="center"/>
              <w:rPr>
                <w:rFonts w:ascii="宋体" w:hAnsi="宋体"/>
                <w:color w:val="auto"/>
                <w:highlight w:val="none"/>
              </w:rPr>
            </w:pPr>
            <w:r>
              <w:rPr>
                <w:rFonts w:hint="eastAsia" w:ascii="宋体" w:hAnsi="宋体"/>
                <w:color w:val="auto"/>
                <w:highlight w:val="none"/>
              </w:rPr>
              <w:t>从接到竣工结算报告和完整的竣工结算资料之日起</w:t>
            </w:r>
            <w:r>
              <w:rPr>
                <w:rFonts w:ascii="宋体" w:hAnsi="宋体"/>
                <w:color w:val="auto"/>
                <w:highlight w:val="none"/>
              </w:rPr>
              <w:t>45</w:t>
            </w:r>
            <w:r>
              <w:rPr>
                <w:rFonts w:hint="eastAsia" w:ascii="宋体" w:hAnsi="宋体"/>
                <w:color w:val="auto"/>
                <w:highlight w:val="none"/>
              </w:rPr>
              <w:t>天</w:t>
            </w:r>
          </w:p>
        </w:tc>
      </w:tr>
      <w:tr w14:paraId="1AEC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0581ADC">
            <w:pPr>
              <w:pageBreakBefore w:val="0"/>
              <w:kinsoku/>
              <w:wordWrap w:val="0"/>
              <w:topLinePunct w:val="0"/>
              <w:spacing w:line="360" w:lineRule="auto"/>
              <w:jc w:val="center"/>
              <w:rPr>
                <w:rFonts w:ascii="宋体" w:hAnsi="宋体"/>
                <w:color w:val="auto"/>
                <w:highlight w:val="none"/>
              </w:rPr>
            </w:pPr>
            <w:r>
              <w:rPr>
                <w:rFonts w:ascii="宋体" w:hAnsi="宋体"/>
                <w:color w:val="auto"/>
                <w:highlight w:val="none"/>
              </w:rPr>
              <w:t>4</w:t>
            </w:r>
          </w:p>
        </w:tc>
        <w:tc>
          <w:tcPr>
            <w:tcW w:w="2466" w:type="dxa"/>
            <w:tcBorders>
              <w:left w:val="nil"/>
            </w:tcBorders>
            <w:vAlign w:val="center"/>
          </w:tcPr>
          <w:p w14:paraId="28F5D0D1">
            <w:pPr>
              <w:pageBreakBefore w:val="0"/>
              <w:kinsoku/>
              <w:wordWrap w:val="0"/>
              <w:topLinePunct w:val="0"/>
              <w:spacing w:line="360" w:lineRule="auto"/>
              <w:ind w:firstLine="27" w:firstLineChars="13"/>
              <w:jc w:val="center"/>
              <w:rPr>
                <w:rFonts w:ascii="宋体" w:hAnsi="宋体"/>
                <w:color w:val="auto"/>
                <w:highlight w:val="none"/>
              </w:rPr>
            </w:pPr>
            <w:r>
              <w:rPr>
                <w:rFonts w:ascii="宋体" w:hAnsi="宋体"/>
                <w:color w:val="auto"/>
                <w:highlight w:val="none"/>
              </w:rPr>
              <w:t>5000</w:t>
            </w:r>
            <w:r>
              <w:rPr>
                <w:rFonts w:hint="eastAsia" w:ascii="宋体" w:hAnsi="宋体"/>
                <w:color w:val="auto"/>
                <w:highlight w:val="none"/>
              </w:rPr>
              <w:t>万元以上</w:t>
            </w:r>
          </w:p>
        </w:tc>
        <w:tc>
          <w:tcPr>
            <w:tcW w:w="5967" w:type="dxa"/>
            <w:tcBorders>
              <w:left w:val="nil"/>
            </w:tcBorders>
            <w:vAlign w:val="center"/>
          </w:tcPr>
          <w:p w14:paraId="0F4EDADC">
            <w:pPr>
              <w:pageBreakBefore w:val="0"/>
              <w:kinsoku/>
              <w:wordWrap w:val="0"/>
              <w:topLinePunct w:val="0"/>
              <w:spacing w:line="360" w:lineRule="auto"/>
              <w:ind w:firstLine="441" w:firstLineChars="210"/>
              <w:jc w:val="center"/>
              <w:rPr>
                <w:rFonts w:ascii="宋体" w:hAnsi="宋体"/>
                <w:color w:val="auto"/>
                <w:highlight w:val="none"/>
              </w:rPr>
            </w:pPr>
            <w:r>
              <w:rPr>
                <w:rFonts w:hint="eastAsia" w:ascii="宋体" w:hAnsi="宋体"/>
                <w:color w:val="auto"/>
                <w:highlight w:val="none"/>
              </w:rPr>
              <w:t>从接到竣工结算报告和完整的竣工结算资料之日起</w:t>
            </w:r>
            <w:r>
              <w:rPr>
                <w:rFonts w:ascii="宋体" w:hAnsi="宋体"/>
                <w:color w:val="auto"/>
                <w:highlight w:val="none"/>
              </w:rPr>
              <w:t>60</w:t>
            </w:r>
            <w:r>
              <w:rPr>
                <w:rFonts w:hint="eastAsia" w:ascii="宋体" w:hAnsi="宋体"/>
                <w:color w:val="auto"/>
                <w:highlight w:val="none"/>
              </w:rPr>
              <w:t>天</w:t>
            </w:r>
          </w:p>
        </w:tc>
      </w:tr>
      <w:tr w14:paraId="6F7D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9CD6857">
            <w:pPr>
              <w:pageBreakBefore w:val="0"/>
              <w:kinsoku/>
              <w:wordWrap w:val="0"/>
              <w:topLinePunct w:val="0"/>
              <w:spacing w:line="360" w:lineRule="auto"/>
              <w:jc w:val="center"/>
              <w:rPr>
                <w:rFonts w:ascii="宋体" w:hAnsi="宋体"/>
                <w:color w:val="auto"/>
                <w:highlight w:val="none"/>
              </w:rPr>
            </w:pPr>
            <w:r>
              <w:rPr>
                <w:rFonts w:ascii="宋体" w:hAnsi="宋体"/>
                <w:color w:val="auto"/>
                <w:highlight w:val="none"/>
              </w:rPr>
              <w:t>5</w:t>
            </w:r>
          </w:p>
        </w:tc>
        <w:tc>
          <w:tcPr>
            <w:tcW w:w="2466" w:type="dxa"/>
            <w:tcBorders>
              <w:left w:val="nil"/>
            </w:tcBorders>
            <w:vAlign w:val="center"/>
          </w:tcPr>
          <w:p w14:paraId="1C17882A">
            <w:pPr>
              <w:pageBreakBefore w:val="0"/>
              <w:kinsoku/>
              <w:wordWrap w:val="0"/>
              <w:topLinePunct w:val="0"/>
              <w:spacing w:line="360" w:lineRule="auto"/>
              <w:ind w:firstLine="27" w:firstLineChars="13"/>
              <w:jc w:val="center"/>
              <w:rPr>
                <w:rFonts w:ascii="宋体" w:hAnsi="宋体"/>
                <w:color w:val="auto"/>
                <w:highlight w:val="none"/>
              </w:rPr>
            </w:pPr>
            <w:r>
              <w:rPr>
                <w:rFonts w:ascii="宋体" w:hAnsi="宋体"/>
                <w:color w:val="auto"/>
                <w:highlight w:val="none"/>
              </w:rPr>
              <w:t>5000</w:t>
            </w:r>
            <w:r>
              <w:rPr>
                <w:rFonts w:hint="eastAsia" w:ascii="宋体" w:hAnsi="宋体"/>
                <w:color w:val="auto"/>
                <w:highlight w:val="none"/>
              </w:rPr>
              <w:t>万以上每增加</w:t>
            </w:r>
            <w:r>
              <w:rPr>
                <w:rFonts w:ascii="宋体" w:hAnsi="宋体"/>
                <w:color w:val="auto"/>
                <w:highlight w:val="none"/>
              </w:rPr>
              <w:t>0.5</w:t>
            </w:r>
            <w:r>
              <w:rPr>
                <w:rFonts w:hint="eastAsia" w:ascii="宋体" w:hAnsi="宋体"/>
                <w:color w:val="auto"/>
                <w:highlight w:val="none"/>
              </w:rPr>
              <w:t>亿</w:t>
            </w:r>
            <w:r>
              <w:rPr>
                <w:rFonts w:ascii="宋体" w:hAnsi="宋体"/>
                <w:color w:val="auto"/>
                <w:highlight w:val="none"/>
              </w:rPr>
              <w:t>(</w:t>
            </w:r>
            <w:r>
              <w:rPr>
                <w:rFonts w:hint="eastAsia" w:ascii="宋体" w:hAnsi="宋体"/>
                <w:color w:val="auto"/>
                <w:highlight w:val="none"/>
              </w:rPr>
              <w:t>不足</w:t>
            </w:r>
            <w:r>
              <w:rPr>
                <w:rFonts w:ascii="宋体" w:hAnsi="宋体"/>
                <w:color w:val="auto"/>
                <w:highlight w:val="none"/>
              </w:rPr>
              <w:t>0.5</w:t>
            </w:r>
            <w:r>
              <w:rPr>
                <w:rFonts w:hint="eastAsia" w:ascii="宋体" w:hAnsi="宋体"/>
                <w:color w:val="auto"/>
                <w:highlight w:val="none"/>
              </w:rPr>
              <w:t>亿不增加</w:t>
            </w:r>
            <w:r>
              <w:rPr>
                <w:rFonts w:ascii="宋体" w:hAnsi="宋体"/>
                <w:color w:val="auto"/>
                <w:highlight w:val="none"/>
              </w:rPr>
              <w:t>)</w:t>
            </w:r>
          </w:p>
        </w:tc>
        <w:tc>
          <w:tcPr>
            <w:tcW w:w="5967" w:type="dxa"/>
            <w:tcBorders>
              <w:left w:val="nil"/>
            </w:tcBorders>
            <w:vAlign w:val="center"/>
          </w:tcPr>
          <w:p w14:paraId="7591AF93">
            <w:pPr>
              <w:pageBreakBefore w:val="0"/>
              <w:kinsoku/>
              <w:wordWrap w:val="0"/>
              <w:topLinePunct w:val="0"/>
              <w:spacing w:line="360" w:lineRule="auto"/>
              <w:ind w:firstLine="441" w:firstLineChars="210"/>
              <w:jc w:val="center"/>
              <w:rPr>
                <w:rFonts w:ascii="宋体" w:hAnsi="宋体"/>
                <w:color w:val="auto"/>
                <w:highlight w:val="none"/>
              </w:rPr>
            </w:pPr>
            <w:r>
              <w:rPr>
                <w:rFonts w:hint="eastAsia" w:ascii="宋体" w:hAnsi="宋体"/>
                <w:color w:val="auto"/>
                <w:highlight w:val="none"/>
              </w:rPr>
              <w:t>增加</w:t>
            </w:r>
            <w:r>
              <w:rPr>
                <w:rFonts w:ascii="宋体" w:hAnsi="宋体"/>
                <w:color w:val="auto"/>
                <w:highlight w:val="none"/>
              </w:rPr>
              <w:t>10</w:t>
            </w:r>
            <w:r>
              <w:rPr>
                <w:rFonts w:hint="eastAsia" w:ascii="宋体" w:hAnsi="宋体"/>
                <w:color w:val="auto"/>
                <w:highlight w:val="none"/>
              </w:rPr>
              <w:t>天</w:t>
            </w:r>
          </w:p>
        </w:tc>
      </w:tr>
    </w:tbl>
    <w:p w14:paraId="41F73B97">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备注：因承包人提供的结算资料不完整而需要补充或承包人不按时对账耽误时间时，审查时间应相应顺延。</w:t>
      </w:r>
    </w:p>
    <w:p w14:paraId="0EC091F6">
      <w:pPr>
        <w:pageBreakBefore w:val="0"/>
        <w:kinsoku/>
        <w:wordWrap w:val="0"/>
        <w:topLinePunct w:val="0"/>
        <w:spacing w:line="400" w:lineRule="exact"/>
        <w:ind w:firstLine="411" w:firstLineChars="196"/>
        <w:rPr>
          <w:rFonts w:asciiTheme="majorEastAsia" w:hAnsiTheme="majorEastAsia" w:eastAsiaTheme="majorEastAsia"/>
          <w:color w:val="auto"/>
          <w:highlight w:val="none"/>
          <w:u w:val="single"/>
        </w:rPr>
      </w:pPr>
      <w:r>
        <w:rPr>
          <w:rFonts w:hint="eastAsia" w:ascii="宋体" w:hAnsi="宋体"/>
          <w:color w:val="auto"/>
          <w:highlight w:val="none"/>
        </w:rPr>
        <w:t>竣工结算审核和</w:t>
      </w:r>
      <w:r>
        <w:rPr>
          <w:rStyle w:val="248"/>
          <w:rFonts w:asciiTheme="minorEastAsia" w:hAnsiTheme="minorEastAsia" w:eastAsiaTheme="minorEastAsia"/>
          <w:color w:val="auto"/>
          <w:highlight w:val="none"/>
        </w:rPr>
        <w:t>结</w:t>
      </w:r>
      <w:r>
        <w:rPr>
          <w:rStyle w:val="248"/>
          <w:rFonts w:asciiTheme="minorEastAsia" w:hAnsiTheme="minorEastAsia" w:eastAsiaTheme="minorEastAsia"/>
          <w:color w:val="auto"/>
          <w:highlight w:val="none"/>
          <w:u w:val="single"/>
        </w:rPr>
        <w:t>算</w:t>
      </w:r>
      <w:r>
        <w:rPr>
          <w:rFonts w:hint="eastAsia" w:ascii="宋体" w:hAnsi="宋体"/>
          <w:color w:val="auto"/>
          <w:highlight w:val="none"/>
        </w:rPr>
        <w:t>约定：</w:t>
      </w:r>
      <w:r>
        <w:rPr>
          <w:rFonts w:hint="eastAsia" w:asciiTheme="minorEastAsia" w:hAnsiTheme="minorEastAsia" w:eastAsiaTheme="minorEastAsia"/>
          <w:color w:val="auto"/>
          <w:kern w:val="0"/>
          <w:highlight w:val="none"/>
          <w:u w:val="single"/>
        </w:rPr>
        <w:t xml:space="preserve"> 1、</w:t>
      </w:r>
      <w:r>
        <w:rPr>
          <w:rFonts w:hint="eastAsia" w:ascii="宋体" w:hAnsi="宋体"/>
          <w:color w:val="auto"/>
          <w:highlight w:val="none"/>
          <w:u w:val="single"/>
        </w:rPr>
        <w:t>工程竣工验收报告通过后</w:t>
      </w:r>
      <w:r>
        <w:rPr>
          <w:rFonts w:ascii="宋体" w:hAnsi="宋体"/>
          <w:color w:val="auto"/>
          <w:highlight w:val="none"/>
          <w:u w:val="single"/>
        </w:rPr>
        <w:t>30</w:t>
      </w:r>
      <w:r>
        <w:rPr>
          <w:rFonts w:hint="eastAsia" w:ascii="宋体" w:hAnsi="宋体"/>
          <w:color w:val="auto"/>
          <w:highlight w:val="none"/>
          <w:u w:val="single"/>
        </w:rPr>
        <w:t>天内，承包人向发包人递交竣工验收合格资料及完整的结算资料和报告，</w:t>
      </w:r>
      <w:r>
        <w:rPr>
          <w:rFonts w:asciiTheme="minorEastAsia" w:hAnsiTheme="minorEastAsia" w:eastAsiaTheme="minorEastAsia"/>
          <w:color w:val="auto"/>
          <w:kern w:val="0"/>
          <w:highlight w:val="none"/>
          <w:u w:val="single"/>
        </w:rPr>
        <w:t>监理人</w:t>
      </w:r>
      <w:r>
        <w:rPr>
          <w:rFonts w:hint="eastAsia" w:asciiTheme="minorEastAsia" w:hAnsiTheme="minorEastAsia" w:eastAsiaTheme="minorEastAsia"/>
          <w:color w:val="auto"/>
          <w:kern w:val="0"/>
          <w:highlight w:val="none"/>
          <w:u w:val="single"/>
        </w:rPr>
        <w:t>和发包人应在竣工结算书文件核对期限内核对。2.</w:t>
      </w:r>
      <w:r>
        <w:rPr>
          <w:rFonts w:hint="eastAsia" w:ascii="宋体" w:hAnsi="宋体" w:cs="宋体"/>
          <w:color w:val="auto"/>
          <w:kern w:val="0"/>
          <w:highlight w:val="none"/>
          <w:u w:val="single"/>
        </w:rPr>
        <w:t xml:space="preserve"> 国有资金投资工程的发包方，应当委托具有相应资质的工程造价咨询企业对竣工结算文件进行审核</w:t>
      </w:r>
      <w:r>
        <w:rPr>
          <w:rFonts w:hint="eastAsia" w:asciiTheme="minorEastAsia" w:hAnsiTheme="minorEastAsia" w:eastAsiaTheme="minorEastAsia"/>
          <w:color w:val="auto"/>
          <w:kern w:val="0"/>
          <w:highlight w:val="none"/>
          <w:u w:val="single"/>
        </w:rPr>
        <w:t>，并以审核结果作为</w:t>
      </w:r>
      <w:r>
        <w:rPr>
          <w:rFonts w:hint="eastAsia" w:asciiTheme="minorEastAsia" w:hAnsiTheme="minorEastAsia" w:eastAsiaTheme="minorEastAsia"/>
          <w:color w:val="auto"/>
          <w:highlight w:val="none"/>
          <w:u w:val="single"/>
        </w:rPr>
        <w:t>发包人送审计部门审计</w:t>
      </w:r>
      <w:r>
        <w:rPr>
          <w:rStyle w:val="248"/>
          <w:rFonts w:asciiTheme="minorEastAsia" w:hAnsiTheme="minorEastAsia" w:eastAsiaTheme="minorEastAsia"/>
          <w:color w:val="auto"/>
          <w:highlight w:val="none"/>
          <w:u w:val="single"/>
        </w:rPr>
        <w:t>依据</w:t>
      </w:r>
      <w:r>
        <w:rPr>
          <w:rFonts w:hint="eastAsia" w:asciiTheme="minorEastAsia" w:hAnsiTheme="minorEastAsia" w:eastAsiaTheme="minorEastAsia"/>
          <w:color w:val="auto"/>
          <w:kern w:val="0"/>
          <w:highlight w:val="none"/>
          <w:u w:val="single"/>
        </w:rPr>
        <w:t>。2以</w:t>
      </w:r>
      <w:r>
        <w:rPr>
          <w:rFonts w:hint="eastAsia" w:asciiTheme="minorEastAsia" w:hAnsiTheme="minorEastAsia" w:eastAsiaTheme="minorEastAsia"/>
          <w:color w:val="auto"/>
          <w:highlight w:val="none"/>
          <w:u w:val="single"/>
        </w:rPr>
        <w:t>审计部的</w:t>
      </w:r>
      <w:r>
        <w:rPr>
          <w:rStyle w:val="248"/>
          <w:rFonts w:asciiTheme="minorEastAsia" w:hAnsiTheme="minorEastAsia" w:eastAsiaTheme="minorEastAsia"/>
          <w:color w:val="auto"/>
          <w:highlight w:val="none"/>
          <w:u w:val="single"/>
        </w:rPr>
        <w:t>审计结论作为</w:t>
      </w:r>
      <w:r>
        <w:rPr>
          <w:rStyle w:val="248"/>
          <w:rFonts w:hint="eastAsia" w:asciiTheme="minorEastAsia" w:hAnsiTheme="minorEastAsia" w:eastAsiaTheme="minorEastAsia"/>
          <w:color w:val="auto"/>
          <w:highlight w:val="none"/>
          <w:u w:val="single"/>
        </w:rPr>
        <w:t>本工程</w:t>
      </w:r>
      <w:r>
        <w:rPr>
          <w:rStyle w:val="248"/>
          <w:rFonts w:asciiTheme="minorEastAsia" w:hAnsiTheme="minorEastAsia" w:eastAsiaTheme="minorEastAsia"/>
          <w:color w:val="auto"/>
          <w:highlight w:val="none"/>
          <w:u w:val="single"/>
        </w:rPr>
        <w:t>结算</w:t>
      </w:r>
      <w:r>
        <w:rPr>
          <w:rStyle w:val="248"/>
          <w:rFonts w:hint="eastAsia" w:asciiTheme="minorEastAsia" w:hAnsiTheme="minorEastAsia" w:eastAsiaTheme="minorEastAsia"/>
          <w:color w:val="auto"/>
          <w:highlight w:val="none"/>
          <w:u w:val="single"/>
        </w:rPr>
        <w:t>的</w:t>
      </w:r>
      <w:r>
        <w:rPr>
          <w:rStyle w:val="248"/>
          <w:rFonts w:asciiTheme="minorEastAsia" w:hAnsiTheme="minorEastAsia" w:eastAsiaTheme="minorEastAsia"/>
          <w:color w:val="auto"/>
          <w:highlight w:val="none"/>
          <w:u w:val="single"/>
        </w:rPr>
        <w:t>依据</w:t>
      </w:r>
      <w:r>
        <w:rPr>
          <w:rStyle w:val="248"/>
          <w:rFonts w:hint="eastAsia" w:asciiTheme="minorEastAsia" w:hAnsiTheme="minorEastAsia" w:eastAsiaTheme="minorEastAsia"/>
          <w:color w:val="auto"/>
          <w:highlight w:val="none"/>
          <w:u w:val="single"/>
        </w:rPr>
        <w:t>。</w:t>
      </w:r>
    </w:p>
    <w:p w14:paraId="681D09F1">
      <w:pPr>
        <w:pageBreakBefore w:val="0"/>
        <w:kinsoku/>
        <w:wordWrap w:val="0"/>
        <w:topLinePunct w:val="0"/>
        <w:ind w:firstLine="420" w:firstLineChars="200"/>
        <w:rPr>
          <w:rFonts w:cs="宋体"/>
          <w:color w:val="auto"/>
          <w:kern w:val="0"/>
          <w:sz w:val="24"/>
          <w:highlight w:val="none"/>
          <w:u w:val="single"/>
        </w:rPr>
      </w:pPr>
      <w:r>
        <w:rPr>
          <w:rFonts w:hint="eastAsia"/>
          <w:color w:val="auto"/>
          <w:highlight w:val="none"/>
          <w:u w:val="single"/>
        </w:rPr>
        <w:t>除以上约定外，还需符合《</w:t>
      </w:r>
      <w:r>
        <w:rPr>
          <w:rFonts w:hint="eastAsia" w:cs="宋体"/>
          <w:bCs/>
          <w:color w:val="auto"/>
          <w:kern w:val="0"/>
          <w:highlight w:val="none"/>
          <w:u w:val="single"/>
        </w:rPr>
        <w:t>建设工程价款结算暂行办法》《建筑工程施工发包与承包计价管理办法》和</w:t>
      </w:r>
      <w:r>
        <w:rPr>
          <w:rFonts w:hint="eastAsia"/>
          <w:color w:val="auto"/>
          <w:highlight w:val="none"/>
          <w:u w:val="single"/>
        </w:rPr>
        <w:t>当地政府或主管部门</w:t>
      </w:r>
      <w:r>
        <w:rPr>
          <w:rFonts w:hint="eastAsia" w:ascii="宋体" w:hAnsi="宋体"/>
          <w:color w:val="auto"/>
          <w:highlight w:val="none"/>
          <w:u w:val="single"/>
        </w:rPr>
        <w:t>和</w:t>
      </w:r>
      <w:r>
        <w:rPr>
          <w:rFonts w:hint="eastAsia" w:asciiTheme="minorEastAsia" w:hAnsiTheme="minorEastAsia" w:eastAsiaTheme="minorEastAsia"/>
          <w:color w:val="auto"/>
          <w:highlight w:val="none"/>
          <w:u w:val="single"/>
        </w:rPr>
        <w:t>发包人上级</w:t>
      </w:r>
      <w:r>
        <w:rPr>
          <w:rFonts w:hint="eastAsia"/>
          <w:color w:val="auto"/>
          <w:highlight w:val="none"/>
          <w:u w:val="single"/>
        </w:rPr>
        <w:t>有关部门的国有投资项目结算</w:t>
      </w:r>
      <w:r>
        <w:rPr>
          <w:rFonts w:hint="eastAsia" w:ascii="宋体" w:hAnsi="宋体"/>
          <w:color w:val="auto"/>
          <w:highlight w:val="none"/>
          <w:u w:val="single"/>
        </w:rPr>
        <w:t>和</w:t>
      </w:r>
      <w:r>
        <w:rPr>
          <w:rFonts w:hint="eastAsia"/>
          <w:color w:val="auto"/>
          <w:highlight w:val="none"/>
          <w:u w:val="single"/>
        </w:rPr>
        <w:t>审核的相关管理规定。</w:t>
      </w:r>
    </w:p>
    <w:p w14:paraId="69A23A50">
      <w:pPr>
        <w:keepNext/>
        <w:keepLines/>
        <w:pageBreakBefore w:val="0"/>
        <w:kinsoku/>
        <w:wordWrap w:val="0"/>
        <w:topLinePunct w:val="0"/>
        <w:spacing w:line="360" w:lineRule="auto"/>
        <w:ind w:firstLine="105" w:firstLineChars="50"/>
        <w:rPr>
          <w:rFonts w:ascii="宋体" w:hAnsi="宋体"/>
          <w:color w:val="auto"/>
          <w:highlight w:val="none"/>
          <w:u w:val="single"/>
        </w:rPr>
      </w:pPr>
      <w:bookmarkStart w:id="944" w:name="_Toc26858"/>
      <w:bookmarkEnd w:id="944"/>
      <w:bookmarkStart w:id="945" w:name="_Toc373227761"/>
      <w:bookmarkEnd w:id="945"/>
      <w:bookmarkStart w:id="946" w:name="_Toc373478408"/>
      <w:bookmarkEnd w:id="946"/>
      <w:bookmarkStart w:id="947" w:name="_Toc407135264"/>
      <w:bookmarkEnd w:id="947"/>
      <w:bookmarkStart w:id="948" w:name="_Toc389065326"/>
    </w:p>
    <w:p w14:paraId="32F3A0B6">
      <w:pPr>
        <w:keepNext/>
        <w:keepLines/>
        <w:pageBreakBefore w:val="0"/>
        <w:kinsoku/>
        <w:wordWrap w:val="0"/>
        <w:topLinePunct w:val="0"/>
        <w:spacing w:line="360" w:lineRule="auto"/>
        <w:ind w:firstLine="105" w:firstLineChars="50"/>
        <w:outlineLvl w:val="2"/>
        <w:rPr>
          <w:rFonts w:ascii="宋体" w:hAnsi="宋体"/>
          <w:b/>
          <w:bCs/>
          <w:color w:val="auto"/>
          <w:highlight w:val="none"/>
          <w:lang w:val="zh-CN"/>
        </w:rPr>
      </w:pPr>
      <w:r>
        <w:rPr>
          <w:rFonts w:ascii="宋体" w:hAnsi="宋体"/>
          <w:b/>
          <w:bCs/>
          <w:color w:val="auto"/>
          <w:highlight w:val="none"/>
          <w:lang w:val="zh-CN"/>
        </w:rPr>
        <w:t xml:space="preserve">14.4 </w:t>
      </w:r>
      <w:bookmarkEnd w:id="948"/>
      <w:r>
        <w:rPr>
          <w:rFonts w:hint="eastAsia" w:ascii="宋体" w:hAnsi="宋体"/>
          <w:b/>
          <w:bCs/>
          <w:color w:val="auto"/>
          <w:highlight w:val="none"/>
          <w:lang w:val="zh-CN"/>
        </w:rPr>
        <w:t xml:space="preserve">最终结清                                                               </w:t>
      </w:r>
    </w:p>
    <w:p w14:paraId="1688826D">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 xml:space="preserve">14.4.1 </w:t>
      </w:r>
      <w:r>
        <w:rPr>
          <w:rFonts w:hint="eastAsia" w:ascii="宋体" w:hAnsi="宋体"/>
          <w:color w:val="auto"/>
          <w:kern w:val="0"/>
          <w:highlight w:val="none"/>
        </w:rPr>
        <w:t>最终结清申请单</w:t>
      </w:r>
    </w:p>
    <w:p w14:paraId="45C8B4AA">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承包人提交最终结清申请单的份数：</w:t>
      </w:r>
      <w:r>
        <w:rPr>
          <w:rFonts w:hint="eastAsia" w:ascii="宋体" w:hAnsi="宋体"/>
          <w:color w:val="auto"/>
          <w:highlight w:val="none"/>
          <w:u w:val="single"/>
        </w:rPr>
        <w:t>最终结清申请单须符合工程所在地相关文件规定，提交份数按发包人工程款支付管理规定执行</w:t>
      </w:r>
      <w:r>
        <w:rPr>
          <w:rFonts w:hint="eastAsia" w:ascii="宋体" w:hAnsi="宋体"/>
          <w:color w:val="auto"/>
          <w:highlight w:val="none"/>
        </w:rPr>
        <w:t>。</w:t>
      </w:r>
    </w:p>
    <w:p w14:paraId="30A205F8">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kern w:val="0"/>
          <w:highlight w:val="none"/>
        </w:rPr>
        <w:t>承包人提交最终结算申请单的期限：</w:t>
      </w:r>
      <w:r>
        <w:rPr>
          <w:rFonts w:hint="eastAsia" w:ascii="宋体" w:hAnsi="宋体"/>
          <w:color w:val="auto"/>
          <w:highlight w:val="none"/>
          <w:u w:val="single"/>
        </w:rPr>
        <w:t>缺陷责任期终止证书颁发后</w:t>
      </w:r>
      <w:r>
        <w:rPr>
          <w:rFonts w:ascii="宋体" w:hAnsi="宋体"/>
          <w:color w:val="auto"/>
          <w:highlight w:val="none"/>
          <w:u w:val="single"/>
        </w:rPr>
        <w:t>7</w:t>
      </w:r>
      <w:r>
        <w:rPr>
          <w:rFonts w:hint="eastAsia" w:ascii="宋体" w:hAnsi="宋体"/>
          <w:color w:val="auto"/>
          <w:highlight w:val="none"/>
          <w:u w:val="single"/>
        </w:rPr>
        <w:t>天内</w:t>
      </w:r>
      <w:r>
        <w:rPr>
          <w:rFonts w:hint="eastAsia" w:ascii="宋体" w:hAnsi="宋体"/>
          <w:color w:val="auto"/>
          <w:highlight w:val="none"/>
        </w:rPr>
        <w:t>。</w:t>
      </w:r>
    </w:p>
    <w:p w14:paraId="2C61E343">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最终结算款支付申请（核准）表见合同附件**。</w:t>
      </w:r>
    </w:p>
    <w:p w14:paraId="4AA68DD9">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14.4.2 </w:t>
      </w:r>
      <w:r>
        <w:rPr>
          <w:rFonts w:hint="eastAsia" w:ascii="宋体" w:hAnsi="宋体"/>
          <w:color w:val="auto"/>
          <w:highlight w:val="none"/>
        </w:rPr>
        <w:t>最终结清证书和支付</w:t>
      </w:r>
    </w:p>
    <w:p w14:paraId="6898A7AE">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）发包人完成最终结清申请单的审批并颁发最终结清证书的期限：</w:t>
      </w:r>
      <w:r>
        <w:rPr>
          <w:rFonts w:hint="eastAsia" w:ascii="宋体" w:hAnsi="宋体"/>
          <w:color w:val="auto"/>
          <w:highlight w:val="none"/>
          <w:u w:val="single"/>
        </w:rPr>
        <w:t>收到承包人提交的最终结清申请单和完整的证明材料后</w:t>
      </w:r>
      <w:r>
        <w:rPr>
          <w:rFonts w:ascii="宋体" w:hAnsi="宋体"/>
          <w:color w:val="auto"/>
          <w:highlight w:val="none"/>
          <w:u w:val="single"/>
        </w:rPr>
        <w:t>28</w:t>
      </w:r>
      <w:r>
        <w:rPr>
          <w:rFonts w:hint="eastAsia" w:ascii="宋体" w:hAnsi="宋体"/>
          <w:color w:val="auto"/>
          <w:highlight w:val="none"/>
          <w:u w:val="single"/>
        </w:rPr>
        <w:t>天内</w:t>
      </w:r>
      <w:r>
        <w:rPr>
          <w:rFonts w:hint="eastAsia" w:ascii="宋体" w:hAnsi="宋体"/>
          <w:color w:val="auto"/>
          <w:highlight w:val="none"/>
        </w:rPr>
        <w:t>。</w:t>
      </w:r>
    </w:p>
    <w:p w14:paraId="33AE994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）发包人完成支付的期限：</w:t>
      </w:r>
      <w:r>
        <w:rPr>
          <w:rFonts w:hint="eastAsia" w:ascii="宋体" w:hAnsi="宋体"/>
          <w:color w:val="auto"/>
          <w:highlight w:val="none"/>
          <w:u w:val="single"/>
        </w:rPr>
        <w:t>发包人签发颁发最终结清证书后30天</w:t>
      </w:r>
      <w:r>
        <w:rPr>
          <w:rFonts w:hint="eastAsia" w:ascii="宋体" w:hAnsi="宋体"/>
          <w:color w:val="auto"/>
          <w:highlight w:val="none"/>
        </w:rPr>
        <w:t>。</w:t>
      </w:r>
    </w:p>
    <w:p w14:paraId="006C46BA">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949" w:name="_Toc267251496"/>
      <w:r>
        <w:rPr>
          <w:rFonts w:ascii="宋体" w:hAnsi="宋体"/>
          <w:b/>
          <w:bCs/>
          <w:color w:val="auto"/>
          <w:highlight w:val="none"/>
          <w:lang w:val="zh-CN"/>
        </w:rPr>
        <w:t xml:space="preserve">15. </w:t>
      </w:r>
      <w:bookmarkEnd w:id="949"/>
      <w:r>
        <w:rPr>
          <w:rFonts w:hint="eastAsia" w:ascii="宋体" w:hAnsi="宋体"/>
          <w:b/>
          <w:bCs/>
          <w:color w:val="auto"/>
          <w:highlight w:val="none"/>
          <w:lang w:val="zh-CN"/>
        </w:rPr>
        <w:t>缺陷责任期与保修</w:t>
      </w:r>
    </w:p>
    <w:p w14:paraId="2DE14754">
      <w:pPr>
        <w:keepNext/>
        <w:keepLines/>
        <w:pageBreakBefore w:val="0"/>
        <w:kinsoku/>
        <w:wordWrap w:val="0"/>
        <w:topLinePunct w:val="0"/>
        <w:spacing w:line="360" w:lineRule="auto"/>
        <w:outlineLvl w:val="2"/>
        <w:rPr>
          <w:rFonts w:ascii="宋体" w:hAnsi="宋体"/>
          <w:b/>
          <w:bCs/>
          <w:color w:val="auto"/>
          <w:highlight w:val="none"/>
          <w:lang w:val="zh-CN"/>
        </w:rPr>
      </w:pPr>
      <w:bookmarkStart w:id="950" w:name="_Toc26391"/>
      <w:bookmarkEnd w:id="950"/>
      <w:bookmarkStart w:id="951" w:name="_Toc373227763"/>
      <w:bookmarkEnd w:id="951"/>
      <w:bookmarkStart w:id="952" w:name="_Toc407135266"/>
      <w:bookmarkEnd w:id="952"/>
      <w:bookmarkStart w:id="953" w:name="_Toc373478410"/>
      <w:bookmarkEnd w:id="953"/>
      <w:bookmarkStart w:id="954" w:name="_Toc389065328"/>
      <w:r>
        <w:rPr>
          <w:rFonts w:ascii="宋体" w:hAnsi="宋体"/>
          <w:b/>
          <w:bCs/>
          <w:color w:val="auto"/>
          <w:highlight w:val="none"/>
          <w:lang w:val="zh-CN"/>
        </w:rPr>
        <w:t xml:space="preserve">15.2 </w:t>
      </w:r>
      <w:bookmarkEnd w:id="954"/>
      <w:r>
        <w:rPr>
          <w:rFonts w:hint="eastAsia" w:ascii="宋体" w:hAnsi="宋体"/>
          <w:b/>
          <w:bCs/>
          <w:color w:val="auto"/>
          <w:highlight w:val="none"/>
          <w:lang w:val="zh-CN"/>
        </w:rPr>
        <w:t>缺陷责任期</w:t>
      </w:r>
    </w:p>
    <w:p w14:paraId="4E98681B">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缺陷责任期的具体期限：</w:t>
      </w:r>
      <w:r>
        <w:rPr>
          <w:rFonts w:hint="eastAsia" w:ascii="宋体" w:hAnsi="宋体"/>
          <w:color w:val="auto"/>
          <w:highlight w:val="none"/>
          <w:u w:val="single"/>
        </w:rPr>
        <w:t>本工程缺陷责任期为一年，以竣工验收合格之日起计算。如工程质量不能满足竣工验收要求的，承包人整改后至竣工验收合格之日起计算</w:t>
      </w:r>
      <w:r>
        <w:rPr>
          <w:rFonts w:hint="eastAsia" w:ascii="宋体" w:hAnsi="宋体"/>
          <w:color w:val="auto"/>
          <w:highlight w:val="none"/>
        </w:rPr>
        <w:t>。</w:t>
      </w:r>
    </w:p>
    <w:p w14:paraId="774C97A3">
      <w:pPr>
        <w:keepNext/>
        <w:keepLines/>
        <w:pageBreakBefore w:val="0"/>
        <w:kinsoku/>
        <w:wordWrap w:val="0"/>
        <w:topLinePunct w:val="0"/>
        <w:spacing w:line="360" w:lineRule="auto"/>
        <w:outlineLvl w:val="2"/>
        <w:rPr>
          <w:rFonts w:ascii="宋体" w:hAnsi="宋体"/>
          <w:b/>
          <w:bCs/>
          <w:color w:val="auto"/>
          <w:highlight w:val="none"/>
          <w:lang w:val="zh-CN"/>
        </w:rPr>
      </w:pPr>
      <w:bookmarkStart w:id="955" w:name="_Toc373478411"/>
      <w:bookmarkEnd w:id="955"/>
      <w:bookmarkStart w:id="956" w:name="_Toc373227764"/>
      <w:bookmarkEnd w:id="956"/>
      <w:bookmarkStart w:id="957" w:name="_Toc407135267"/>
      <w:bookmarkEnd w:id="957"/>
      <w:bookmarkStart w:id="958" w:name="_Toc389065329"/>
      <w:bookmarkEnd w:id="958"/>
      <w:bookmarkStart w:id="959" w:name="_Toc7852"/>
      <w:r>
        <w:rPr>
          <w:rFonts w:ascii="宋体" w:hAnsi="宋体"/>
          <w:b/>
          <w:bCs/>
          <w:color w:val="auto"/>
          <w:highlight w:val="none"/>
          <w:lang w:val="zh-CN"/>
        </w:rPr>
        <w:t xml:space="preserve">15.3 </w:t>
      </w:r>
      <w:bookmarkEnd w:id="959"/>
      <w:r>
        <w:rPr>
          <w:rFonts w:hint="eastAsia" w:ascii="宋体" w:hAnsi="宋体"/>
          <w:b/>
          <w:bCs/>
          <w:color w:val="auto"/>
          <w:highlight w:val="none"/>
          <w:lang w:val="zh-CN"/>
        </w:rPr>
        <w:t>质量保证金</w:t>
      </w:r>
    </w:p>
    <w:p w14:paraId="45EE798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关于是否扣留质量保证金的约定：</w:t>
      </w:r>
      <w:r>
        <w:rPr>
          <w:rFonts w:hint="eastAsia" w:ascii="宋体" w:hAnsi="宋体"/>
          <w:color w:val="auto"/>
          <w:highlight w:val="none"/>
          <w:u w:val="single"/>
        </w:rPr>
        <w:t>是</w:t>
      </w:r>
      <w:r>
        <w:rPr>
          <w:rFonts w:hint="eastAsia" w:ascii="宋体" w:hAnsi="宋体"/>
          <w:color w:val="auto"/>
          <w:highlight w:val="none"/>
        </w:rPr>
        <w:t>。</w:t>
      </w:r>
    </w:p>
    <w:p w14:paraId="0EF8ACA6">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在工程项目竣工前，承包人按专用合同条款第</w:t>
      </w:r>
      <w:r>
        <w:rPr>
          <w:rFonts w:ascii="宋体" w:hAnsi="宋体"/>
          <w:color w:val="auto"/>
          <w:highlight w:val="none"/>
        </w:rPr>
        <w:t>3.7</w:t>
      </w:r>
      <w:r>
        <w:rPr>
          <w:rFonts w:hint="eastAsia" w:ascii="宋体" w:hAnsi="宋体"/>
          <w:color w:val="auto"/>
          <w:highlight w:val="none"/>
        </w:rPr>
        <w:t>条提供履约担保的，发包人不得同时预留工程质量保证金。</w:t>
      </w:r>
    </w:p>
    <w:p w14:paraId="25A63E48">
      <w:pPr>
        <w:pageBreakBefore w:val="0"/>
        <w:kinsoku/>
        <w:wordWrap w:val="0"/>
        <w:topLinePunct w:val="0"/>
        <w:spacing w:line="360" w:lineRule="auto"/>
        <w:ind w:firstLine="420" w:firstLineChars="200"/>
        <w:jc w:val="left"/>
        <w:outlineLvl w:val="0"/>
        <w:rPr>
          <w:rFonts w:ascii="宋体" w:hAnsi="宋体"/>
          <w:color w:val="auto"/>
          <w:highlight w:val="none"/>
        </w:rPr>
      </w:pPr>
      <w:bookmarkStart w:id="960" w:name="_Toc2174"/>
      <w:bookmarkStart w:id="961" w:name="_Toc11152"/>
      <w:bookmarkStart w:id="962" w:name="_Toc19931"/>
      <w:bookmarkStart w:id="963" w:name="_Toc20214"/>
      <w:bookmarkStart w:id="964" w:name="_Toc7835"/>
      <w:r>
        <w:rPr>
          <w:rFonts w:ascii="宋体" w:hAnsi="宋体"/>
          <w:color w:val="auto"/>
          <w:highlight w:val="none"/>
        </w:rPr>
        <w:t xml:space="preserve">15.3.1 </w:t>
      </w:r>
      <w:r>
        <w:rPr>
          <w:rFonts w:hint="eastAsia" w:ascii="宋体" w:hAnsi="宋体"/>
          <w:color w:val="auto"/>
          <w:highlight w:val="none"/>
        </w:rPr>
        <w:t>承包人提供质量保证金的方式</w:t>
      </w:r>
      <w:bookmarkEnd w:id="960"/>
      <w:bookmarkEnd w:id="961"/>
      <w:bookmarkEnd w:id="962"/>
      <w:bookmarkEnd w:id="963"/>
      <w:bookmarkEnd w:id="964"/>
    </w:p>
    <w:p w14:paraId="7A22C0CE">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质量保证金采用以下第</w:t>
      </w:r>
      <w:r>
        <w:rPr>
          <w:rFonts w:hint="eastAsia" w:ascii="宋体" w:hAnsi="宋体"/>
          <w:color w:val="auto"/>
          <w:highlight w:val="none"/>
          <w:u w:val="single"/>
        </w:rPr>
        <w:t>（2）</w:t>
      </w:r>
      <w:r>
        <w:rPr>
          <w:rFonts w:hint="eastAsia" w:ascii="宋体" w:hAnsi="宋体"/>
          <w:color w:val="auto"/>
          <w:highlight w:val="none"/>
        </w:rPr>
        <w:t>种方式：</w:t>
      </w:r>
    </w:p>
    <w:p w14:paraId="64E709CE">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）质量保证金保函，保证金额为：；</w:t>
      </w:r>
    </w:p>
    <w:p w14:paraId="4001BE22">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w:t>
      </w:r>
      <w:r>
        <w:rPr>
          <w:rFonts w:hint="eastAsia" w:ascii="宋体" w:hAnsi="宋体"/>
          <w:color w:val="auto"/>
          <w:highlight w:val="none"/>
        </w:rPr>
        <w:t>发包人按工程价款结算总额的</w:t>
      </w:r>
      <w:r>
        <w:rPr>
          <w:rFonts w:ascii="宋体" w:hAnsi="宋体"/>
          <w:color w:val="auto"/>
          <w:highlight w:val="none"/>
          <w:u w:val="single"/>
        </w:rPr>
        <w:t xml:space="preserve"> 3  </w:t>
      </w:r>
      <w:r>
        <w:rPr>
          <w:rFonts w:ascii="宋体" w:hAnsi="宋体"/>
          <w:color w:val="auto"/>
          <w:highlight w:val="none"/>
        </w:rPr>
        <w:t>%</w:t>
      </w:r>
      <w:r>
        <w:rPr>
          <w:rFonts w:hint="eastAsia" w:ascii="宋体" w:hAnsi="宋体"/>
          <w:color w:val="auto"/>
          <w:highlight w:val="none"/>
        </w:rPr>
        <w:t>（不得超过</w:t>
      </w:r>
      <w:r>
        <w:rPr>
          <w:rFonts w:ascii="宋体" w:hAnsi="宋体"/>
          <w:color w:val="auto"/>
          <w:highlight w:val="none"/>
        </w:rPr>
        <w:t>3%</w:t>
      </w:r>
      <w:r>
        <w:rPr>
          <w:rFonts w:hint="eastAsia" w:ascii="宋体" w:hAnsi="宋体"/>
          <w:color w:val="auto"/>
          <w:highlight w:val="none"/>
        </w:rPr>
        <w:t>）预留工程质量保证金，待缺陷责任期满后返还，是否付息及利息计算方式为：</w:t>
      </w:r>
      <w:r>
        <w:rPr>
          <w:rFonts w:hint="eastAsia" w:ascii="宋体" w:hAnsi="宋体"/>
          <w:color w:val="auto"/>
          <w:highlight w:val="none"/>
          <w:u w:val="single"/>
        </w:rPr>
        <w:t>否</w:t>
      </w:r>
      <w:r>
        <w:rPr>
          <w:rFonts w:hint="eastAsia" w:ascii="宋体" w:hAnsi="宋体"/>
          <w:color w:val="auto"/>
          <w:kern w:val="0"/>
          <w:highlight w:val="none"/>
        </w:rPr>
        <w:t>；</w:t>
      </w:r>
    </w:p>
    <w:p w14:paraId="63BB3423">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）其他方式：</w:t>
      </w:r>
      <w:r>
        <w:rPr>
          <w:rFonts w:hint="eastAsia" w:ascii="宋体" w:hAnsi="宋体"/>
          <w:color w:val="auto"/>
          <w:kern w:val="0"/>
          <w:highlight w:val="none"/>
          <w:u w:val="single"/>
        </w:rPr>
        <w:t xml:space="preserve">      无         </w:t>
      </w:r>
      <w:r>
        <w:rPr>
          <w:rFonts w:hint="eastAsia" w:ascii="宋体" w:hAnsi="宋体"/>
          <w:color w:val="auto"/>
          <w:highlight w:val="none"/>
        </w:rPr>
        <w:t>。</w:t>
      </w:r>
    </w:p>
    <w:p w14:paraId="79EF49DB">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15.3.2 </w:t>
      </w:r>
      <w:r>
        <w:rPr>
          <w:rFonts w:hint="eastAsia" w:ascii="宋体" w:hAnsi="宋体"/>
          <w:color w:val="auto"/>
          <w:highlight w:val="none"/>
        </w:rPr>
        <w:t>质量保证金的扣留</w:t>
      </w:r>
    </w:p>
    <w:p w14:paraId="2A26910C">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质量保证金的扣留采取以下第</w:t>
      </w:r>
      <w:r>
        <w:rPr>
          <w:rFonts w:hint="eastAsia" w:ascii="宋体" w:hAnsi="宋体"/>
          <w:color w:val="auto"/>
          <w:highlight w:val="none"/>
          <w:u w:val="single"/>
        </w:rPr>
        <w:t>（2）</w:t>
      </w:r>
      <w:r>
        <w:rPr>
          <w:rFonts w:hint="eastAsia" w:ascii="宋体" w:hAnsi="宋体"/>
          <w:color w:val="auto"/>
          <w:highlight w:val="none"/>
        </w:rPr>
        <w:t>种方式：</w:t>
      </w:r>
    </w:p>
    <w:p w14:paraId="73B04434">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）在</w:t>
      </w:r>
      <w:r>
        <w:rPr>
          <w:rFonts w:hint="eastAsia" w:ascii="宋体" w:hAnsi="宋体" w:cs="宋体"/>
          <w:color w:val="auto"/>
          <w:kern w:val="0"/>
          <w:highlight w:val="none"/>
        </w:rPr>
        <w:t>不缴纳履</w:t>
      </w:r>
      <w:r>
        <w:rPr>
          <w:rFonts w:hint="eastAsia" w:ascii="宋体" w:hAnsi="宋体"/>
          <w:color w:val="auto"/>
          <w:kern w:val="0"/>
          <w:highlight w:val="none"/>
        </w:rPr>
        <w:t>保</w:t>
      </w:r>
      <w:r>
        <w:rPr>
          <w:rFonts w:hint="eastAsia" w:ascii="宋体" w:hAnsi="宋体" w:cs="宋体"/>
          <w:color w:val="auto"/>
          <w:kern w:val="0"/>
          <w:highlight w:val="none"/>
        </w:rPr>
        <w:t>证金情况下</w:t>
      </w:r>
      <w:r>
        <w:rPr>
          <w:rFonts w:hint="eastAsia" w:ascii="宋体" w:hAnsi="宋体"/>
          <w:color w:val="auto"/>
          <w:kern w:val="0"/>
          <w:highlight w:val="none"/>
        </w:rPr>
        <w:t>，按支付工程进度款时逐次扣留，质量保证金的计算基数不包括预付款的支付、扣回以及价格调整的金额；</w:t>
      </w:r>
    </w:p>
    <w:p w14:paraId="68AE4E23">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）工程竣工结算时，一次性扣留质量保证金，质保</w:t>
      </w:r>
      <w:r>
        <w:rPr>
          <w:rFonts w:hint="eastAsia" w:ascii="宋体" w:hAnsi="宋体" w:cs="宋体"/>
          <w:color w:val="auto"/>
          <w:kern w:val="0"/>
          <w:highlight w:val="none"/>
        </w:rPr>
        <w:t>金不得高</w:t>
      </w:r>
      <w:r>
        <w:rPr>
          <w:rFonts w:hint="eastAsia" w:ascii="宋体" w:hAnsi="宋体"/>
          <w:color w:val="auto"/>
          <w:kern w:val="0"/>
          <w:highlight w:val="none"/>
        </w:rPr>
        <w:t>于</w:t>
      </w:r>
      <w:r>
        <w:rPr>
          <w:rFonts w:hint="eastAsia" w:ascii="宋体" w:hAnsi="宋体" w:cs="宋体"/>
          <w:color w:val="auto"/>
          <w:kern w:val="0"/>
          <w:highlight w:val="none"/>
        </w:rPr>
        <w:t>工程价款结算总额的</w:t>
      </w:r>
      <w:r>
        <w:rPr>
          <w:rFonts w:ascii="宋体" w:hAnsi="宋体"/>
          <w:color w:val="auto"/>
          <w:kern w:val="0"/>
          <w:highlight w:val="none"/>
        </w:rPr>
        <w:t>3</w:t>
      </w:r>
      <w:r>
        <w:rPr>
          <w:rFonts w:ascii="宋体" w:hAnsi="宋体" w:cs="宋体"/>
          <w:color w:val="auto"/>
          <w:kern w:val="0"/>
          <w:highlight w:val="none"/>
        </w:rPr>
        <w:t>%</w:t>
      </w:r>
      <w:r>
        <w:rPr>
          <w:rFonts w:hint="eastAsia" w:ascii="宋体" w:hAnsi="宋体"/>
          <w:color w:val="auto"/>
          <w:kern w:val="0"/>
          <w:highlight w:val="none"/>
        </w:rPr>
        <w:t>；</w:t>
      </w:r>
    </w:p>
    <w:p w14:paraId="027ABD29">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）其他扣留方式</w:t>
      </w:r>
      <w:r>
        <w:rPr>
          <w:rFonts w:ascii="宋体" w:hAnsi="宋体"/>
          <w:color w:val="auto"/>
          <w:kern w:val="0"/>
          <w:highlight w:val="none"/>
        </w:rPr>
        <w:t>:</w:t>
      </w:r>
      <w:r>
        <w:rPr>
          <w:rFonts w:hint="eastAsia" w:ascii="宋体" w:hAnsi="宋体"/>
          <w:color w:val="auto"/>
          <w:kern w:val="0"/>
          <w:highlight w:val="none"/>
          <w:u w:val="single"/>
        </w:rPr>
        <w:t>无</w:t>
      </w:r>
      <w:r>
        <w:rPr>
          <w:rFonts w:hint="eastAsia" w:ascii="宋体" w:hAnsi="宋体"/>
          <w:color w:val="auto"/>
          <w:kern w:val="0"/>
          <w:highlight w:val="none"/>
        </w:rPr>
        <w:t>。</w:t>
      </w:r>
    </w:p>
    <w:p w14:paraId="15F36BC2">
      <w:pPr>
        <w:pageBreakBefore w:val="0"/>
        <w:kinsoku/>
        <w:wordWrap w:val="0"/>
        <w:topLinePunct w:val="0"/>
        <w:spacing w:line="360" w:lineRule="auto"/>
        <w:ind w:firstLine="420" w:firstLineChars="200"/>
        <w:jc w:val="left"/>
        <w:rPr>
          <w:rFonts w:ascii="宋体" w:hAnsi="宋体"/>
          <w:color w:val="auto"/>
          <w:kern w:val="0"/>
          <w:highlight w:val="none"/>
          <w:u w:val="single"/>
        </w:rPr>
      </w:pPr>
      <w:r>
        <w:rPr>
          <w:rFonts w:hint="eastAsia" w:ascii="宋体" w:hAnsi="宋体"/>
          <w:color w:val="auto"/>
          <w:highlight w:val="none"/>
        </w:rPr>
        <w:t>关于质量保证金的补充约定：</w:t>
      </w:r>
      <w:r>
        <w:rPr>
          <w:rFonts w:hint="eastAsia" w:ascii="宋体" w:hAnsi="宋体"/>
          <w:color w:val="auto"/>
          <w:kern w:val="0"/>
          <w:highlight w:val="none"/>
          <w:u w:val="single"/>
        </w:rPr>
        <w:t>无</w:t>
      </w:r>
      <w:r>
        <w:rPr>
          <w:rFonts w:hint="eastAsia" w:ascii="宋体" w:hAnsi="宋体"/>
          <w:color w:val="auto"/>
          <w:kern w:val="0"/>
          <w:highlight w:val="none"/>
        </w:rPr>
        <w:t>。</w:t>
      </w:r>
    </w:p>
    <w:p w14:paraId="5B7CEFDF">
      <w:pPr>
        <w:keepNext/>
        <w:keepLines/>
        <w:pageBreakBefore w:val="0"/>
        <w:kinsoku/>
        <w:wordWrap w:val="0"/>
        <w:topLinePunct w:val="0"/>
        <w:spacing w:line="360" w:lineRule="auto"/>
        <w:outlineLvl w:val="2"/>
        <w:rPr>
          <w:rFonts w:ascii="宋体" w:hAnsi="宋体"/>
          <w:b/>
          <w:bCs/>
          <w:color w:val="auto"/>
          <w:highlight w:val="none"/>
          <w:lang w:val="zh-CN"/>
        </w:rPr>
      </w:pPr>
      <w:bookmarkStart w:id="965" w:name="_Toc7093"/>
      <w:bookmarkEnd w:id="965"/>
      <w:bookmarkStart w:id="966" w:name="_Toc389065330"/>
      <w:bookmarkEnd w:id="966"/>
      <w:bookmarkStart w:id="967" w:name="_Toc407135268"/>
      <w:bookmarkEnd w:id="967"/>
      <w:bookmarkStart w:id="968" w:name="_Toc373227765"/>
      <w:bookmarkEnd w:id="968"/>
      <w:bookmarkStart w:id="969" w:name="_Toc373478412"/>
      <w:r>
        <w:rPr>
          <w:rFonts w:ascii="宋体" w:hAnsi="宋体"/>
          <w:b/>
          <w:bCs/>
          <w:color w:val="auto"/>
          <w:highlight w:val="none"/>
          <w:lang w:val="zh-CN"/>
        </w:rPr>
        <w:t xml:space="preserve">15.4 </w:t>
      </w:r>
      <w:bookmarkEnd w:id="969"/>
      <w:r>
        <w:rPr>
          <w:rFonts w:hint="eastAsia" w:ascii="宋体" w:hAnsi="宋体"/>
          <w:b/>
          <w:bCs/>
          <w:color w:val="auto"/>
          <w:highlight w:val="none"/>
          <w:lang w:val="zh-CN"/>
        </w:rPr>
        <w:t>保修</w:t>
      </w:r>
    </w:p>
    <w:p w14:paraId="7B144A6B">
      <w:pPr>
        <w:pageBreakBefore w:val="0"/>
        <w:kinsoku/>
        <w:wordWrap w:val="0"/>
        <w:topLinePunct w:val="0"/>
        <w:spacing w:line="360" w:lineRule="auto"/>
        <w:ind w:firstLine="409" w:firstLineChars="195"/>
        <w:jc w:val="left"/>
        <w:outlineLvl w:val="0"/>
        <w:rPr>
          <w:rFonts w:ascii="宋体" w:hAnsi="宋体"/>
          <w:color w:val="auto"/>
          <w:highlight w:val="none"/>
        </w:rPr>
      </w:pPr>
      <w:bookmarkStart w:id="970" w:name="_Toc10786"/>
      <w:bookmarkStart w:id="971" w:name="_Toc31451"/>
      <w:bookmarkStart w:id="972" w:name="_Toc30656"/>
      <w:bookmarkStart w:id="973" w:name="_Toc9459"/>
      <w:bookmarkStart w:id="974" w:name="_Toc22875"/>
      <w:r>
        <w:rPr>
          <w:rFonts w:ascii="宋体" w:hAnsi="宋体"/>
          <w:color w:val="auto"/>
          <w:highlight w:val="none"/>
        </w:rPr>
        <w:t xml:space="preserve">15.4.1 </w:t>
      </w:r>
      <w:r>
        <w:rPr>
          <w:rFonts w:hint="eastAsia" w:ascii="宋体" w:hAnsi="宋体"/>
          <w:color w:val="auto"/>
          <w:highlight w:val="none"/>
        </w:rPr>
        <w:t>保修责任</w:t>
      </w:r>
      <w:bookmarkEnd w:id="970"/>
      <w:bookmarkEnd w:id="971"/>
      <w:bookmarkEnd w:id="972"/>
      <w:bookmarkEnd w:id="973"/>
      <w:bookmarkEnd w:id="974"/>
    </w:p>
    <w:p w14:paraId="51947201">
      <w:pPr>
        <w:pageBreakBefore w:val="0"/>
        <w:kinsoku/>
        <w:wordWrap w:val="0"/>
        <w:topLinePunct w:val="0"/>
        <w:spacing w:line="360" w:lineRule="auto"/>
        <w:ind w:firstLine="409" w:firstLineChars="195"/>
        <w:jc w:val="left"/>
        <w:rPr>
          <w:rFonts w:ascii="宋体" w:hAnsi="宋体"/>
          <w:color w:val="auto"/>
          <w:kern w:val="0"/>
          <w:highlight w:val="none"/>
        </w:rPr>
      </w:pPr>
      <w:r>
        <w:rPr>
          <w:rFonts w:hint="eastAsia" w:ascii="宋体" w:hAnsi="宋体"/>
          <w:color w:val="auto"/>
          <w:highlight w:val="none"/>
        </w:rPr>
        <w:t>工程保修期为：</w:t>
      </w:r>
      <w:r>
        <w:rPr>
          <w:rFonts w:hint="eastAsia" w:ascii="宋体" w:hAnsi="宋体"/>
          <w:b/>
          <w:bCs/>
          <w:color w:val="auto"/>
          <w:kern w:val="0"/>
          <w:highlight w:val="none"/>
          <w:u w:val="single"/>
        </w:rPr>
        <w:t>见附件：工程质量保修书</w:t>
      </w:r>
      <w:r>
        <w:rPr>
          <w:rFonts w:hint="eastAsia" w:ascii="宋体" w:hAnsi="宋体"/>
          <w:color w:val="auto"/>
          <w:kern w:val="0"/>
          <w:highlight w:val="none"/>
        </w:rPr>
        <w:t>。</w:t>
      </w:r>
    </w:p>
    <w:p w14:paraId="269EE460">
      <w:pPr>
        <w:pageBreakBefore w:val="0"/>
        <w:kinsoku/>
        <w:wordWrap w:val="0"/>
        <w:topLinePunct w:val="0"/>
        <w:spacing w:line="360" w:lineRule="auto"/>
        <w:ind w:firstLine="409" w:firstLineChars="195"/>
        <w:jc w:val="left"/>
        <w:rPr>
          <w:rFonts w:ascii="宋体" w:hAnsi="宋体"/>
          <w:color w:val="auto"/>
          <w:kern w:val="0"/>
          <w:highlight w:val="none"/>
          <w:u w:val="single"/>
        </w:rPr>
      </w:pPr>
      <w:r>
        <w:rPr>
          <w:rFonts w:hint="eastAsia" w:ascii="宋体" w:hAnsi="宋体"/>
          <w:color w:val="auto"/>
          <w:highlight w:val="none"/>
        </w:rPr>
        <w:t>工程保修书具体内容见合同附件*。</w:t>
      </w:r>
    </w:p>
    <w:p w14:paraId="4C3A12A3">
      <w:pPr>
        <w:pageBreakBefore w:val="0"/>
        <w:kinsoku/>
        <w:wordWrap w:val="0"/>
        <w:topLinePunct w:val="0"/>
        <w:spacing w:line="360" w:lineRule="auto"/>
        <w:ind w:firstLine="409" w:firstLineChars="195"/>
        <w:jc w:val="left"/>
        <w:rPr>
          <w:rFonts w:ascii="宋体" w:hAnsi="宋体"/>
          <w:color w:val="auto"/>
          <w:highlight w:val="none"/>
        </w:rPr>
      </w:pPr>
      <w:r>
        <w:rPr>
          <w:rFonts w:ascii="宋体" w:hAnsi="宋体"/>
          <w:color w:val="auto"/>
          <w:highlight w:val="none"/>
        </w:rPr>
        <w:t xml:space="preserve">15.4.3 </w:t>
      </w:r>
      <w:r>
        <w:rPr>
          <w:rFonts w:hint="eastAsia" w:ascii="宋体" w:hAnsi="宋体"/>
          <w:color w:val="auto"/>
          <w:highlight w:val="none"/>
        </w:rPr>
        <w:t>修复通知</w:t>
      </w:r>
    </w:p>
    <w:p w14:paraId="099A3D7E">
      <w:pPr>
        <w:pageBreakBefore w:val="0"/>
        <w:kinsoku/>
        <w:wordWrap w:val="0"/>
        <w:topLinePunct w:val="0"/>
        <w:spacing w:line="360" w:lineRule="auto"/>
        <w:ind w:firstLine="409" w:firstLineChars="195"/>
        <w:jc w:val="left"/>
        <w:rPr>
          <w:rFonts w:ascii="宋体" w:hAnsi="宋体"/>
          <w:color w:val="auto"/>
          <w:kern w:val="0"/>
          <w:highlight w:val="none"/>
          <w:u w:val="single"/>
        </w:rPr>
      </w:pPr>
      <w:r>
        <w:rPr>
          <w:rFonts w:hint="eastAsia" w:ascii="宋体" w:hAnsi="宋体"/>
          <w:color w:val="auto"/>
          <w:kern w:val="0"/>
          <w:highlight w:val="none"/>
        </w:rPr>
        <w:t>承包人收到保修通知并到达工程现场的合理时间：</w:t>
      </w:r>
      <w:r>
        <w:rPr>
          <w:rFonts w:ascii="宋体" w:hAnsi="宋体"/>
          <w:color w:val="auto"/>
          <w:kern w:val="0"/>
          <w:highlight w:val="none"/>
          <w:u w:val="single"/>
        </w:rPr>
        <w:t xml:space="preserve">  24</w:t>
      </w:r>
      <w:r>
        <w:rPr>
          <w:rFonts w:hint="eastAsia" w:ascii="宋体" w:hAnsi="宋体"/>
          <w:color w:val="auto"/>
          <w:kern w:val="0"/>
          <w:highlight w:val="none"/>
          <w:u w:val="single"/>
        </w:rPr>
        <w:t>小时内</w:t>
      </w:r>
      <w:r>
        <w:rPr>
          <w:rFonts w:hint="eastAsia" w:ascii="宋体" w:hAnsi="宋体"/>
          <w:color w:val="auto"/>
          <w:kern w:val="0"/>
          <w:highlight w:val="none"/>
        </w:rPr>
        <w:t>。</w:t>
      </w:r>
    </w:p>
    <w:p w14:paraId="0AC76B55">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975" w:name="_Toc407135269"/>
      <w:bookmarkEnd w:id="975"/>
      <w:bookmarkStart w:id="976" w:name="_Toc20847"/>
      <w:bookmarkEnd w:id="976"/>
      <w:bookmarkStart w:id="977" w:name="_Toc280868718"/>
      <w:bookmarkEnd w:id="977"/>
      <w:bookmarkStart w:id="978" w:name="_Toc389065331"/>
      <w:bookmarkEnd w:id="978"/>
      <w:bookmarkStart w:id="979" w:name="_Toc351203648"/>
      <w:bookmarkEnd w:id="979"/>
      <w:bookmarkStart w:id="980" w:name="_Toc280868717"/>
      <w:bookmarkEnd w:id="980"/>
      <w:bookmarkStart w:id="981" w:name="_Toc373227766"/>
      <w:bookmarkEnd w:id="981"/>
      <w:bookmarkStart w:id="982" w:name="_Toc373478413"/>
      <w:r>
        <w:rPr>
          <w:rFonts w:ascii="宋体" w:hAnsi="宋体"/>
          <w:b/>
          <w:bCs/>
          <w:color w:val="auto"/>
          <w:highlight w:val="none"/>
          <w:lang w:val="zh-CN"/>
        </w:rPr>
        <w:t xml:space="preserve">16. </w:t>
      </w:r>
      <w:bookmarkEnd w:id="982"/>
      <w:r>
        <w:rPr>
          <w:rFonts w:hint="eastAsia" w:ascii="宋体" w:hAnsi="宋体"/>
          <w:b/>
          <w:bCs/>
          <w:color w:val="auto"/>
          <w:highlight w:val="none"/>
          <w:lang w:val="zh-CN"/>
        </w:rPr>
        <w:t>违约</w:t>
      </w:r>
    </w:p>
    <w:p w14:paraId="667EB04A">
      <w:pPr>
        <w:keepNext/>
        <w:keepLines/>
        <w:pageBreakBefore w:val="0"/>
        <w:kinsoku/>
        <w:wordWrap w:val="0"/>
        <w:topLinePunct w:val="0"/>
        <w:spacing w:line="360" w:lineRule="auto"/>
        <w:outlineLvl w:val="2"/>
        <w:rPr>
          <w:rFonts w:ascii="宋体" w:hAnsi="宋体"/>
          <w:b/>
          <w:bCs/>
          <w:color w:val="auto"/>
          <w:highlight w:val="none"/>
          <w:lang w:val="zh-CN"/>
        </w:rPr>
      </w:pPr>
      <w:bookmarkStart w:id="983" w:name="_Toc373478414"/>
      <w:bookmarkEnd w:id="983"/>
      <w:bookmarkStart w:id="984" w:name="_Toc389065332"/>
      <w:bookmarkEnd w:id="984"/>
      <w:bookmarkStart w:id="985" w:name="_Toc8492"/>
      <w:bookmarkEnd w:id="985"/>
      <w:bookmarkStart w:id="986" w:name="_Toc373227767"/>
      <w:bookmarkEnd w:id="986"/>
      <w:bookmarkStart w:id="987" w:name="_Toc407135270"/>
      <w:r>
        <w:rPr>
          <w:rFonts w:ascii="宋体" w:hAnsi="宋体"/>
          <w:b/>
          <w:bCs/>
          <w:color w:val="auto"/>
          <w:highlight w:val="none"/>
          <w:lang w:val="zh-CN"/>
        </w:rPr>
        <w:t xml:space="preserve">16.1 </w:t>
      </w:r>
      <w:bookmarkEnd w:id="987"/>
      <w:r>
        <w:rPr>
          <w:rFonts w:hint="eastAsia" w:ascii="宋体" w:hAnsi="宋体"/>
          <w:b/>
          <w:bCs/>
          <w:color w:val="auto"/>
          <w:highlight w:val="none"/>
          <w:lang w:val="zh-CN"/>
        </w:rPr>
        <w:t>发包人违约</w:t>
      </w:r>
    </w:p>
    <w:p w14:paraId="620D3987">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16.1.1</w:t>
      </w:r>
      <w:r>
        <w:rPr>
          <w:rFonts w:hint="eastAsia" w:ascii="宋体" w:hAnsi="宋体"/>
          <w:color w:val="auto"/>
          <w:highlight w:val="none"/>
        </w:rPr>
        <w:t>发包人违约的情形</w:t>
      </w:r>
    </w:p>
    <w:p w14:paraId="7CE52E23">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发包人违约的其他情形：</w:t>
      </w:r>
      <w:r>
        <w:rPr>
          <w:rFonts w:hint="eastAsia" w:ascii="宋体" w:hAnsi="宋体"/>
          <w:color w:val="auto"/>
          <w:kern w:val="0"/>
          <w:highlight w:val="none"/>
          <w:u w:val="single"/>
        </w:rPr>
        <w:t>按《通用合同条款》执行</w:t>
      </w:r>
      <w:r>
        <w:rPr>
          <w:rFonts w:hint="eastAsia" w:ascii="宋体" w:hAnsi="宋体"/>
          <w:color w:val="auto"/>
          <w:kern w:val="0"/>
          <w:highlight w:val="none"/>
        </w:rPr>
        <w:t>。</w:t>
      </w:r>
    </w:p>
    <w:p w14:paraId="44F42143">
      <w:pPr>
        <w:pageBreakBefore w:val="0"/>
        <w:kinsoku/>
        <w:wordWrap w:val="0"/>
        <w:topLinePunct w:val="0"/>
        <w:spacing w:line="360" w:lineRule="auto"/>
        <w:ind w:firstLine="420" w:firstLineChars="200"/>
        <w:jc w:val="left"/>
        <w:outlineLvl w:val="0"/>
        <w:rPr>
          <w:rFonts w:ascii="宋体" w:hAnsi="宋体"/>
          <w:color w:val="auto"/>
          <w:kern w:val="0"/>
          <w:highlight w:val="none"/>
        </w:rPr>
      </w:pPr>
      <w:bookmarkStart w:id="988" w:name="_Toc16294"/>
      <w:bookmarkStart w:id="989" w:name="_Toc21665"/>
      <w:bookmarkStart w:id="990" w:name="_Toc18903"/>
      <w:bookmarkStart w:id="991" w:name="_Toc32453"/>
      <w:bookmarkStart w:id="992" w:name="_Toc11137"/>
      <w:r>
        <w:rPr>
          <w:rFonts w:ascii="宋体" w:hAnsi="宋体"/>
          <w:color w:val="auto"/>
          <w:kern w:val="0"/>
          <w:highlight w:val="none"/>
        </w:rPr>
        <w:t xml:space="preserve">16.1.2 </w:t>
      </w:r>
      <w:r>
        <w:rPr>
          <w:rFonts w:hint="eastAsia" w:ascii="宋体" w:hAnsi="宋体"/>
          <w:color w:val="auto"/>
          <w:kern w:val="0"/>
          <w:highlight w:val="none"/>
        </w:rPr>
        <w:t>发包人违约的责任</w:t>
      </w:r>
      <w:bookmarkEnd w:id="988"/>
      <w:bookmarkEnd w:id="989"/>
      <w:bookmarkEnd w:id="990"/>
      <w:bookmarkEnd w:id="991"/>
      <w:bookmarkEnd w:id="992"/>
    </w:p>
    <w:p w14:paraId="60C6B66F">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发包人违约责任的承担方式和计算方法：</w:t>
      </w:r>
    </w:p>
    <w:p w14:paraId="01D21D0F">
      <w:pPr>
        <w:pageBreakBefore w:val="0"/>
        <w:kinsoku/>
        <w:wordWrap w:val="0"/>
        <w:topLinePunct w:val="0"/>
        <w:spacing w:line="360" w:lineRule="auto"/>
        <w:ind w:firstLine="420" w:firstLineChars="200"/>
        <w:jc w:val="left"/>
        <w:rPr>
          <w:rFonts w:ascii="宋体" w:hAnsi="宋体"/>
          <w:color w:val="auto"/>
          <w:kern w:val="0"/>
          <w:highlight w:val="none"/>
          <w:u w:val="singl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）因发包人原因未能在计划开工日期前</w:t>
      </w:r>
      <w:r>
        <w:rPr>
          <w:rFonts w:ascii="宋体" w:hAnsi="宋体"/>
          <w:color w:val="auto"/>
          <w:kern w:val="0"/>
          <w:highlight w:val="none"/>
        </w:rPr>
        <w:t>7</w:t>
      </w:r>
      <w:r>
        <w:rPr>
          <w:rFonts w:hint="eastAsia" w:ascii="宋体" w:hAnsi="宋体"/>
          <w:color w:val="auto"/>
          <w:kern w:val="0"/>
          <w:highlight w:val="none"/>
        </w:rPr>
        <w:t>天内下达开工通知的违约责任：</w:t>
      </w:r>
      <w:r>
        <w:rPr>
          <w:rFonts w:hint="eastAsia" w:ascii="宋体" w:hAnsi="宋体"/>
          <w:color w:val="auto"/>
          <w:highlight w:val="none"/>
          <w:u w:val="single"/>
        </w:rPr>
        <w:t>承包人可以顺延工程日期</w:t>
      </w:r>
      <w:r>
        <w:rPr>
          <w:rFonts w:hint="eastAsia" w:ascii="宋体" w:hAnsi="宋体"/>
          <w:color w:val="auto"/>
          <w:kern w:val="0"/>
          <w:highlight w:val="none"/>
        </w:rPr>
        <w:t>。</w:t>
      </w:r>
    </w:p>
    <w:p w14:paraId="1C3E2145">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）因发包人原因未能按合同约定支付合同价款的违约责任：</w:t>
      </w:r>
      <w:r>
        <w:rPr>
          <w:rFonts w:ascii="宋体" w:hAnsi="宋体"/>
          <w:color w:val="auto"/>
          <w:kern w:val="0"/>
          <w:highlight w:val="none"/>
          <w:u w:val="single"/>
        </w:rPr>
        <w:t xml:space="preserve">     /       </w:t>
      </w:r>
      <w:r>
        <w:rPr>
          <w:rFonts w:hint="eastAsia" w:ascii="宋体" w:hAnsi="宋体"/>
          <w:color w:val="auto"/>
          <w:kern w:val="0"/>
          <w:highlight w:val="none"/>
        </w:rPr>
        <w:t>。</w:t>
      </w:r>
    </w:p>
    <w:p w14:paraId="640459CB">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）发包人违反第</w:t>
      </w:r>
      <w:r>
        <w:rPr>
          <w:rFonts w:ascii="宋体" w:hAnsi="宋体"/>
          <w:color w:val="auto"/>
          <w:kern w:val="0"/>
          <w:highlight w:val="none"/>
        </w:rPr>
        <w:t>10.1</w:t>
      </w:r>
      <w:r>
        <w:rPr>
          <w:rFonts w:hint="eastAsia" w:ascii="宋体" w:hAnsi="宋体"/>
          <w:color w:val="auto"/>
          <w:kern w:val="0"/>
          <w:highlight w:val="none"/>
        </w:rPr>
        <w:t>款〔变更的范围〕第（</w:t>
      </w:r>
      <w:r>
        <w:rPr>
          <w:rFonts w:ascii="宋体" w:hAnsi="宋体"/>
          <w:color w:val="auto"/>
          <w:kern w:val="0"/>
          <w:highlight w:val="none"/>
        </w:rPr>
        <w:t>2</w:t>
      </w:r>
      <w:r>
        <w:rPr>
          <w:rFonts w:hint="eastAsia" w:ascii="宋体" w:hAnsi="宋体"/>
          <w:color w:val="auto"/>
          <w:kern w:val="0"/>
          <w:highlight w:val="none"/>
        </w:rPr>
        <w:t>）项约定，自行实施被取消的工作或转由他人实施的违约责任：</w:t>
      </w:r>
      <w:r>
        <w:rPr>
          <w:rFonts w:hint="eastAsia" w:ascii="宋体" w:hAnsi="宋体"/>
          <w:color w:val="auto"/>
          <w:kern w:val="0"/>
          <w:highlight w:val="none"/>
          <w:u w:val="single"/>
        </w:rPr>
        <w:t>发包人按变更工程造价的</w:t>
      </w:r>
      <w:r>
        <w:rPr>
          <w:rFonts w:ascii="宋体" w:hAnsi="宋体"/>
          <w:color w:val="auto"/>
          <w:kern w:val="0"/>
          <w:highlight w:val="none"/>
          <w:u w:val="single"/>
        </w:rPr>
        <w:t>5%</w:t>
      </w:r>
      <w:r>
        <w:rPr>
          <w:rFonts w:hint="eastAsia" w:ascii="宋体" w:hAnsi="宋体"/>
          <w:color w:val="auto"/>
          <w:kern w:val="0"/>
          <w:highlight w:val="none"/>
          <w:u w:val="single"/>
        </w:rPr>
        <w:t>赔偿承包人的经济损失，发包人自行实施的工作或转由他人实施的工作不符合国家合格质量标准的，由发包人承担因此造成的经济损失</w:t>
      </w:r>
      <w:r>
        <w:rPr>
          <w:rFonts w:hint="eastAsia" w:ascii="宋体" w:hAnsi="宋体"/>
          <w:color w:val="auto"/>
          <w:kern w:val="0"/>
          <w:highlight w:val="none"/>
        </w:rPr>
        <w:t>。</w:t>
      </w:r>
    </w:p>
    <w:p w14:paraId="2A6C5359">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4</w:t>
      </w:r>
      <w:r>
        <w:rPr>
          <w:rFonts w:hint="eastAsia" w:ascii="宋体" w:hAnsi="宋体"/>
          <w:color w:val="auto"/>
          <w:kern w:val="0"/>
          <w:highlight w:val="none"/>
        </w:rPr>
        <w:t>）发包人提供的材料、工程设备的规格、数量或质量不符合合同约定，或因发包人原因导致交货日期延误或交货地点变更等情况的违约责任：</w:t>
      </w:r>
      <w:r>
        <w:rPr>
          <w:rFonts w:hint="eastAsia" w:ascii="宋体" w:hAnsi="宋体"/>
          <w:color w:val="auto"/>
          <w:highlight w:val="none"/>
          <w:u w:val="single"/>
        </w:rPr>
        <w:t>承包人可以顺延工程日期</w:t>
      </w:r>
      <w:r>
        <w:rPr>
          <w:rFonts w:hint="eastAsia" w:ascii="宋体" w:hAnsi="宋体"/>
          <w:color w:val="auto"/>
          <w:kern w:val="0"/>
          <w:highlight w:val="none"/>
        </w:rPr>
        <w:t>。</w:t>
      </w:r>
    </w:p>
    <w:p w14:paraId="0BE963E9">
      <w:pPr>
        <w:pageBreakBefore w:val="0"/>
        <w:kinsoku/>
        <w:wordWrap w:val="0"/>
        <w:topLinePunct w:val="0"/>
        <w:spacing w:line="360" w:lineRule="auto"/>
        <w:ind w:firstLine="420" w:firstLineChars="200"/>
        <w:jc w:val="left"/>
        <w:rPr>
          <w:rFonts w:ascii="宋体" w:hAnsi="宋体"/>
          <w:color w:val="auto"/>
          <w:kern w:val="0"/>
          <w:highlight w:val="none"/>
          <w:u w:val="single"/>
        </w:rPr>
      </w:pPr>
      <w:r>
        <w:rPr>
          <w:rFonts w:hint="eastAsia" w:ascii="宋体" w:hAnsi="宋体"/>
          <w:color w:val="auto"/>
          <w:kern w:val="0"/>
          <w:highlight w:val="none"/>
        </w:rPr>
        <w:t>（</w:t>
      </w:r>
      <w:r>
        <w:rPr>
          <w:rFonts w:ascii="宋体" w:hAnsi="宋体"/>
          <w:color w:val="auto"/>
          <w:kern w:val="0"/>
          <w:highlight w:val="none"/>
        </w:rPr>
        <w:t>5</w:t>
      </w:r>
      <w:r>
        <w:rPr>
          <w:rFonts w:hint="eastAsia" w:ascii="宋体" w:hAnsi="宋体"/>
          <w:color w:val="auto"/>
          <w:kern w:val="0"/>
          <w:highlight w:val="none"/>
        </w:rPr>
        <w:t>）因发包人违反合同约定造成暂停施工的违约责任：</w:t>
      </w:r>
      <w:r>
        <w:rPr>
          <w:rFonts w:hint="eastAsia" w:ascii="宋体" w:hAnsi="宋体"/>
          <w:color w:val="auto"/>
          <w:highlight w:val="none"/>
          <w:u w:val="single"/>
        </w:rPr>
        <w:t>承包人可以顺延工程日期</w:t>
      </w:r>
      <w:r>
        <w:rPr>
          <w:rFonts w:hint="eastAsia" w:ascii="宋体" w:hAnsi="宋体"/>
          <w:color w:val="auto"/>
          <w:kern w:val="0"/>
          <w:highlight w:val="none"/>
        </w:rPr>
        <w:t>。</w:t>
      </w:r>
    </w:p>
    <w:p w14:paraId="651CC205">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6</w:t>
      </w:r>
      <w:r>
        <w:rPr>
          <w:rFonts w:hint="eastAsia" w:ascii="宋体" w:hAnsi="宋体"/>
          <w:color w:val="auto"/>
          <w:kern w:val="0"/>
          <w:highlight w:val="none"/>
        </w:rPr>
        <w:t>）发包人无正当理由没有在约定期限内发出复工指示，导致承包人无法复工的违约责任：</w:t>
      </w:r>
      <w:r>
        <w:rPr>
          <w:rFonts w:hint="eastAsia" w:ascii="宋体" w:hAnsi="宋体"/>
          <w:color w:val="auto"/>
          <w:highlight w:val="none"/>
          <w:u w:val="single"/>
        </w:rPr>
        <w:t>承包人可以顺延工程日期</w:t>
      </w:r>
      <w:r>
        <w:rPr>
          <w:rFonts w:hint="eastAsia" w:ascii="宋体" w:hAnsi="宋体"/>
          <w:color w:val="auto"/>
          <w:kern w:val="0"/>
          <w:highlight w:val="none"/>
        </w:rPr>
        <w:t>。</w:t>
      </w:r>
    </w:p>
    <w:p w14:paraId="60E08834">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7</w:t>
      </w:r>
      <w:r>
        <w:rPr>
          <w:rFonts w:hint="eastAsia" w:ascii="宋体" w:hAnsi="宋体"/>
          <w:color w:val="auto"/>
          <w:kern w:val="0"/>
          <w:highlight w:val="none"/>
        </w:rPr>
        <w:t>）其他：</w:t>
      </w:r>
      <w:r>
        <w:rPr>
          <w:rFonts w:hint="eastAsia" w:ascii="宋体" w:hAnsi="宋体"/>
          <w:color w:val="auto"/>
          <w:kern w:val="0"/>
          <w:highlight w:val="none"/>
          <w:u w:val="single"/>
        </w:rPr>
        <w:t>按《通用合同条款》执行</w:t>
      </w:r>
      <w:r>
        <w:rPr>
          <w:rFonts w:hint="eastAsia" w:ascii="宋体" w:hAnsi="宋体"/>
          <w:color w:val="auto"/>
          <w:kern w:val="0"/>
          <w:highlight w:val="none"/>
        </w:rPr>
        <w:t>。</w:t>
      </w:r>
    </w:p>
    <w:p w14:paraId="2DCB7B2C">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16.1.3 </w:t>
      </w:r>
      <w:r>
        <w:rPr>
          <w:rFonts w:hint="eastAsia" w:ascii="宋体" w:hAnsi="宋体"/>
          <w:color w:val="auto"/>
          <w:highlight w:val="none"/>
        </w:rPr>
        <w:t>因发包人违约解除合同</w:t>
      </w:r>
    </w:p>
    <w:p w14:paraId="1AEB2D2B">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承包人按</w:t>
      </w:r>
      <w:r>
        <w:rPr>
          <w:rFonts w:ascii="宋体" w:hAnsi="宋体"/>
          <w:color w:val="auto"/>
          <w:kern w:val="0"/>
          <w:highlight w:val="none"/>
        </w:rPr>
        <w:t>16.1.1</w:t>
      </w:r>
      <w:r>
        <w:rPr>
          <w:rFonts w:hint="eastAsia" w:ascii="宋体" w:hAnsi="宋体"/>
          <w:color w:val="auto"/>
          <w:kern w:val="0"/>
          <w:highlight w:val="none"/>
        </w:rPr>
        <w:t>项〔发包人违约的情形〕约定暂停施工满</w:t>
      </w:r>
      <w:r>
        <w:rPr>
          <w:rFonts w:ascii="宋体" w:hAnsi="宋体"/>
          <w:color w:val="auto"/>
          <w:kern w:val="0"/>
          <w:highlight w:val="none"/>
          <w:u w:val="single"/>
        </w:rPr>
        <w:t xml:space="preserve">  90  </w:t>
      </w:r>
      <w:r>
        <w:rPr>
          <w:rFonts w:hint="eastAsia" w:ascii="宋体" w:hAnsi="宋体"/>
          <w:color w:val="auto"/>
          <w:kern w:val="0"/>
          <w:highlight w:val="none"/>
        </w:rPr>
        <w:t>天后发包人仍不纠正其违约行为并致使合同目的不能实现的，承包人有权解除合同。</w:t>
      </w:r>
    </w:p>
    <w:p w14:paraId="656552A8">
      <w:pPr>
        <w:keepNext/>
        <w:keepLines/>
        <w:pageBreakBefore w:val="0"/>
        <w:kinsoku/>
        <w:wordWrap w:val="0"/>
        <w:topLinePunct w:val="0"/>
        <w:spacing w:line="360" w:lineRule="auto"/>
        <w:outlineLvl w:val="2"/>
        <w:rPr>
          <w:rFonts w:ascii="宋体" w:hAnsi="宋体"/>
          <w:b/>
          <w:bCs/>
          <w:color w:val="auto"/>
          <w:highlight w:val="none"/>
          <w:lang w:val="zh-CN"/>
        </w:rPr>
      </w:pPr>
      <w:bookmarkStart w:id="993" w:name="_Toc14566"/>
      <w:bookmarkEnd w:id="993"/>
      <w:bookmarkStart w:id="994" w:name="_Toc373227768"/>
      <w:bookmarkEnd w:id="994"/>
      <w:bookmarkStart w:id="995" w:name="_Toc407135271"/>
      <w:bookmarkEnd w:id="995"/>
      <w:bookmarkStart w:id="996" w:name="_Toc389065333"/>
      <w:bookmarkEnd w:id="996"/>
      <w:bookmarkStart w:id="997" w:name="_Toc373478415"/>
      <w:r>
        <w:rPr>
          <w:rFonts w:ascii="宋体" w:hAnsi="宋体"/>
          <w:b/>
          <w:bCs/>
          <w:color w:val="auto"/>
          <w:highlight w:val="none"/>
          <w:lang w:val="zh-CN"/>
        </w:rPr>
        <w:t xml:space="preserve">16.2 </w:t>
      </w:r>
      <w:bookmarkEnd w:id="997"/>
      <w:r>
        <w:rPr>
          <w:rFonts w:hint="eastAsia" w:ascii="宋体" w:hAnsi="宋体"/>
          <w:b/>
          <w:bCs/>
          <w:color w:val="auto"/>
          <w:highlight w:val="none"/>
          <w:lang w:val="zh-CN"/>
        </w:rPr>
        <w:t>承包人违约</w:t>
      </w:r>
    </w:p>
    <w:p w14:paraId="7BEF3ECC">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 xml:space="preserve">16.2.1 </w:t>
      </w:r>
      <w:r>
        <w:rPr>
          <w:rFonts w:hint="eastAsia" w:ascii="宋体" w:hAnsi="宋体"/>
          <w:color w:val="auto"/>
          <w:kern w:val="0"/>
          <w:highlight w:val="none"/>
        </w:rPr>
        <w:t>承包人违约的情形</w:t>
      </w:r>
    </w:p>
    <w:p w14:paraId="0DB815AB">
      <w:pPr>
        <w:pageBreakBefore w:val="0"/>
        <w:kinsoku/>
        <w:wordWrap w:val="0"/>
        <w:topLinePunct w:val="0"/>
        <w:spacing w:line="360" w:lineRule="auto"/>
        <w:ind w:firstLine="420" w:firstLineChars="200"/>
        <w:jc w:val="left"/>
        <w:rPr>
          <w:rFonts w:ascii="宋体" w:hAnsi="宋体"/>
          <w:color w:val="auto"/>
          <w:kern w:val="0"/>
          <w:highlight w:val="none"/>
          <w:u w:val="single"/>
        </w:rPr>
      </w:pPr>
      <w:r>
        <w:rPr>
          <w:rFonts w:hint="eastAsia" w:ascii="宋体" w:hAnsi="宋体"/>
          <w:color w:val="auto"/>
          <w:kern w:val="0"/>
          <w:highlight w:val="none"/>
        </w:rPr>
        <w:t>承包人违约的其他情形：</w:t>
      </w:r>
      <w:r>
        <w:rPr>
          <w:rFonts w:hint="eastAsia" w:ascii="宋体" w:hAnsi="宋体"/>
          <w:color w:val="auto"/>
          <w:kern w:val="0"/>
          <w:highlight w:val="none"/>
          <w:u w:val="single"/>
        </w:rPr>
        <w:t>按《通用合同条款》</w:t>
      </w:r>
      <w:r>
        <w:rPr>
          <w:rFonts w:ascii="宋体" w:hAnsi="宋体"/>
          <w:color w:val="auto"/>
          <w:kern w:val="0"/>
          <w:highlight w:val="none"/>
          <w:u w:val="single"/>
        </w:rPr>
        <w:t>16.2.1</w:t>
      </w:r>
      <w:r>
        <w:rPr>
          <w:rFonts w:hint="eastAsia" w:ascii="宋体" w:hAnsi="宋体"/>
          <w:color w:val="auto"/>
          <w:kern w:val="0"/>
          <w:highlight w:val="none"/>
          <w:u w:val="single"/>
        </w:rPr>
        <w:t>条执行</w:t>
      </w:r>
      <w:r>
        <w:rPr>
          <w:rFonts w:hint="eastAsia" w:ascii="宋体" w:hAnsi="宋体"/>
          <w:color w:val="auto"/>
          <w:kern w:val="0"/>
          <w:highlight w:val="none"/>
        </w:rPr>
        <w:t>。</w:t>
      </w:r>
    </w:p>
    <w:p w14:paraId="15BBE537">
      <w:pPr>
        <w:pageBreakBefore w:val="0"/>
        <w:kinsoku/>
        <w:wordWrap w:val="0"/>
        <w:topLinePunct w:val="0"/>
        <w:spacing w:line="360" w:lineRule="auto"/>
        <w:ind w:firstLine="420" w:firstLineChars="200"/>
        <w:jc w:val="left"/>
        <w:outlineLvl w:val="0"/>
        <w:rPr>
          <w:rFonts w:ascii="宋体" w:hAnsi="宋体"/>
          <w:color w:val="auto"/>
          <w:kern w:val="0"/>
          <w:highlight w:val="none"/>
        </w:rPr>
      </w:pPr>
      <w:bookmarkStart w:id="998" w:name="_Toc1275"/>
      <w:bookmarkStart w:id="999" w:name="_Toc18224"/>
      <w:bookmarkStart w:id="1000" w:name="_Toc8947"/>
      <w:bookmarkStart w:id="1001" w:name="_Toc24709"/>
      <w:bookmarkStart w:id="1002" w:name="_Toc31762"/>
      <w:r>
        <w:rPr>
          <w:rFonts w:ascii="宋体" w:hAnsi="宋体"/>
          <w:color w:val="auto"/>
          <w:kern w:val="0"/>
          <w:highlight w:val="none"/>
        </w:rPr>
        <w:t>16.2.2</w:t>
      </w:r>
      <w:r>
        <w:rPr>
          <w:rFonts w:hint="eastAsia" w:ascii="宋体" w:hAnsi="宋体"/>
          <w:color w:val="auto"/>
          <w:kern w:val="0"/>
          <w:highlight w:val="none"/>
        </w:rPr>
        <w:t>承包人违约的责任</w:t>
      </w:r>
      <w:bookmarkEnd w:id="998"/>
      <w:bookmarkEnd w:id="999"/>
      <w:bookmarkEnd w:id="1000"/>
      <w:bookmarkEnd w:id="1001"/>
      <w:bookmarkEnd w:id="1002"/>
    </w:p>
    <w:p w14:paraId="0C46B286">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承包人违约责任的承担方式和计算方法：</w:t>
      </w:r>
    </w:p>
    <w:p w14:paraId="78F787DA">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）承包人有本合同通用条款第</w:t>
      </w:r>
      <w:r>
        <w:rPr>
          <w:rFonts w:ascii="宋体" w:hAnsi="宋体"/>
          <w:color w:val="auto"/>
          <w:kern w:val="0"/>
          <w:highlight w:val="none"/>
        </w:rPr>
        <w:t>16.2.1</w:t>
      </w: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）条内容情形的，承包人无条件返工处理，修复至工程质量要求并承担相关费用，并在发包人规定的时间内完成返工，否则发包人有权扣罚该</w:t>
      </w:r>
      <w:r>
        <w:rPr>
          <w:rFonts w:ascii="宋体" w:hAnsi="宋体"/>
          <w:color w:val="auto"/>
          <w:kern w:val="0"/>
          <w:highlight w:val="none"/>
        </w:rPr>
        <w:t>10%</w:t>
      </w:r>
      <w:r>
        <w:rPr>
          <w:rFonts w:hint="eastAsia" w:ascii="宋体" w:hAnsi="宋体"/>
          <w:color w:val="auto"/>
          <w:kern w:val="0"/>
          <w:highlight w:val="none"/>
        </w:rPr>
        <w:t>的工程款作为处罚。</w:t>
      </w:r>
    </w:p>
    <w:p w14:paraId="33D3C3DE">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）承包人有本合同通用条款第</w:t>
      </w:r>
      <w:r>
        <w:rPr>
          <w:rFonts w:ascii="宋体" w:hAnsi="宋体"/>
          <w:color w:val="auto"/>
          <w:kern w:val="0"/>
          <w:highlight w:val="none"/>
        </w:rPr>
        <w:t>16.2.1</w:t>
      </w:r>
      <w:r>
        <w:rPr>
          <w:rFonts w:hint="eastAsia" w:ascii="宋体" w:hAnsi="宋体"/>
          <w:color w:val="auto"/>
          <w:kern w:val="0"/>
          <w:highlight w:val="none"/>
        </w:rPr>
        <w:t>（</w:t>
      </w:r>
      <w:r>
        <w:rPr>
          <w:rFonts w:ascii="宋体" w:hAnsi="宋体"/>
          <w:color w:val="auto"/>
          <w:kern w:val="0"/>
          <w:highlight w:val="none"/>
        </w:rPr>
        <w:t>6</w:t>
      </w:r>
      <w:r>
        <w:rPr>
          <w:rFonts w:hint="eastAsia" w:ascii="宋体" w:hAnsi="宋体"/>
          <w:color w:val="auto"/>
          <w:kern w:val="0"/>
          <w:highlight w:val="none"/>
        </w:rPr>
        <w:t>）条情形的，或经监理人检验认为修复质量不合格而承包人拒绝再进行修补的，发包人将扣除承包人全部质量保证金。</w:t>
      </w:r>
    </w:p>
    <w:p w14:paraId="6DEBF65F">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）承包人有本专用合同条款</w:t>
      </w:r>
      <w:r>
        <w:rPr>
          <w:rFonts w:ascii="宋体" w:hAnsi="宋体"/>
          <w:color w:val="auto"/>
          <w:kern w:val="0"/>
          <w:highlight w:val="none"/>
        </w:rPr>
        <w:t>3.2</w:t>
      </w:r>
      <w:r>
        <w:rPr>
          <w:rFonts w:hint="eastAsia" w:ascii="宋体" w:hAnsi="宋体"/>
          <w:color w:val="auto"/>
          <w:kern w:val="0"/>
          <w:highlight w:val="none"/>
        </w:rPr>
        <w:t>、</w:t>
      </w:r>
      <w:r>
        <w:rPr>
          <w:rFonts w:ascii="宋体" w:hAnsi="宋体"/>
          <w:color w:val="auto"/>
          <w:kern w:val="0"/>
          <w:highlight w:val="none"/>
        </w:rPr>
        <w:t>3.3</w:t>
      </w:r>
      <w:r>
        <w:rPr>
          <w:rFonts w:hint="eastAsia" w:ascii="宋体" w:hAnsi="宋体"/>
          <w:color w:val="auto"/>
          <w:kern w:val="0"/>
          <w:highlight w:val="none"/>
        </w:rPr>
        <w:t>条违约责任的，发包人有权扣除承包人的违约金。违约金金额均在承包人的计量支付款内扣除。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8D50476">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16.2.3 </w:t>
      </w:r>
      <w:r>
        <w:rPr>
          <w:rFonts w:hint="eastAsia" w:ascii="宋体" w:hAnsi="宋体"/>
          <w:color w:val="auto"/>
          <w:highlight w:val="none"/>
        </w:rPr>
        <w:t>因承包人违约解除合同</w:t>
      </w:r>
    </w:p>
    <w:p w14:paraId="01B84389">
      <w:pPr>
        <w:pageBreakBefore w:val="0"/>
        <w:kinsoku/>
        <w:wordWrap w:val="0"/>
        <w:topLinePunct w:val="0"/>
        <w:spacing w:line="360" w:lineRule="auto"/>
        <w:ind w:firstLine="420" w:firstLineChars="200"/>
        <w:jc w:val="left"/>
        <w:rPr>
          <w:rFonts w:ascii="宋体" w:hAnsi="宋体"/>
          <w:color w:val="auto"/>
          <w:kern w:val="0"/>
          <w:highlight w:val="none"/>
          <w:u w:val="single"/>
        </w:rPr>
      </w:pPr>
      <w:r>
        <w:rPr>
          <w:rFonts w:hint="eastAsia" w:ascii="宋体" w:hAnsi="宋体"/>
          <w:color w:val="auto"/>
          <w:kern w:val="0"/>
          <w:highlight w:val="none"/>
        </w:rPr>
        <w:t>关于承包人违约解除合同的特别约定：</w:t>
      </w:r>
      <w:r>
        <w:rPr>
          <w:rFonts w:hint="eastAsia" w:ascii="宋体" w:hAnsi="宋体"/>
          <w:color w:val="auto"/>
          <w:kern w:val="0"/>
          <w:highlight w:val="none"/>
          <w:u w:val="single"/>
        </w:rPr>
        <w:t>承包人有违反以下情况之一的，发包人有权解除合同，</w:t>
      </w:r>
      <w:r>
        <w:rPr>
          <w:rFonts w:hint="eastAsia" w:asciiTheme="minorEastAsia" w:hAnsiTheme="minorEastAsia" w:eastAsiaTheme="minorEastAsia"/>
          <w:color w:val="auto"/>
          <w:highlight w:val="none"/>
          <w:u w:val="single"/>
        </w:rPr>
        <w:t>对工程造成的损失由</w:t>
      </w:r>
      <w:r>
        <w:rPr>
          <w:rFonts w:hint="eastAsia" w:asciiTheme="minorEastAsia" w:hAnsiTheme="minorEastAsia" w:eastAsiaTheme="minorEastAsia"/>
          <w:color w:val="auto"/>
          <w:kern w:val="0"/>
          <w:highlight w:val="none"/>
          <w:u w:val="single"/>
        </w:rPr>
        <w:t>承包人</w:t>
      </w:r>
      <w:r>
        <w:rPr>
          <w:rFonts w:hint="eastAsia" w:asciiTheme="minorEastAsia" w:hAnsiTheme="minorEastAsia" w:eastAsiaTheme="minorEastAsia"/>
          <w:color w:val="auto"/>
          <w:highlight w:val="none"/>
          <w:u w:val="single"/>
        </w:rPr>
        <w:t>负责</w:t>
      </w:r>
      <w:r>
        <w:rPr>
          <w:rFonts w:hint="eastAsia" w:ascii="宋体" w:hAnsi="宋体"/>
          <w:color w:val="auto"/>
          <w:kern w:val="0"/>
          <w:highlight w:val="none"/>
          <w:u w:val="single"/>
        </w:rPr>
        <w:t>。</w:t>
      </w:r>
    </w:p>
    <w:p w14:paraId="7A6E0833">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(1)</w:t>
      </w:r>
      <w:r>
        <w:rPr>
          <w:rFonts w:hint="eastAsia" w:ascii="宋体" w:hAnsi="宋体"/>
          <w:color w:val="auto"/>
          <w:kern w:val="0"/>
          <w:highlight w:val="none"/>
        </w:rPr>
        <w:t>承包人无正当理由不按开工通知的要求及时进场组织施工和不按签订协议书时商定的进度计划有效地开展施工准备，造成工期延误的；</w:t>
      </w:r>
    </w:p>
    <w:p w14:paraId="0A432579">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(2)</w:t>
      </w:r>
      <w:r>
        <w:rPr>
          <w:rFonts w:hint="eastAsia" w:ascii="宋体" w:hAnsi="宋体"/>
          <w:color w:val="auto"/>
          <w:kern w:val="0"/>
          <w:highlight w:val="none"/>
        </w:rPr>
        <w:t>承包人违反本合同通用条款第</w:t>
      </w:r>
      <w:r>
        <w:rPr>
          <w:rFonts w:ascii="宋体" w:hAnsi="宋体"/>
          <w:color w:val="auto"/>
          <w:kern w:val="0"/>
          <w:highlight w:val="none"/>
        </w:rPr>
        <w:t>3.5</w:t>
      </w:r>
      <w:r>
        <w:rPr>
          <w:rFonts w:hint="eastAsia" w:ascii="宋体" w:hAnsi="宋体"/>
          <w:color w:val="auto"/>
          <w:kern w:val="0"/>
          <w:highlight w:val="none"/>
        </w:rPr>
        <w:t>条规定私自将合同或合同的任何部分或任何权利转让给其他人，或私自将工程或工程的一部分分包出去的；</w:t>
      </w:r>
    </w:p>
    <w:p w14:paraId="6CA7EF2A">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(3)</w:t>
      </w:r>
      <w:r>
        <w:rPr>
          <w:rFonts w:hint="eastAsia" w:ascii="宋体" w:hAnsi="宋体"/>
          <w:color w:val="auto"/>
          <w:kern w:val="0"/>
          <w:highlight w:val="none"/>
        </w:rPr>
        <w:t>未经监理人批准，承包人私自将已按</w:t>
      </w:r>
      <w:r>
        <w:rPr>
          <w:rFonts w:hint="eastAsia" w:ascii="宋体" w:hAnsi="宋体"/>
          <w:color w:val="auto"/>
          <w:kern w:val="0"/>
          <w:highlight w:val="none"/>
          <w:lang w:eastAsia="zh-CN"/>
        </w:rPr>
        <w:t>响应文件</w:t>
      </w:r>
      <w:r>
        <w:rPr>
          <w:rFonts w:hint="eastAsia" w:ascii="宋体" w:hAnsi="宋体"/>
          <w:color w:val="auto"/>
          <w:kern w:val="0"/>
          <w:highlight w:val="none"/>
        </w:rPr>
        <w:t>承诺进入工地的工程设备、施工设备、临时工程或材料撤离工地的；</w:t>
      </w:r>
    </w:p>
    <w:p w14:paraId="6FF796B7">
      <w:pPr>
        <w:pageBreakBefore w:val="0"/>
        <w:kinsoku/>
        <w:wordWrap w:val="0"/>
        <w:topLinePunct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(4)</w:t>
      </w:r>
      <w:r>
        <w:rPr>
          <w:rFonts w:hint="eastAsia" w:ascii="宋体" w:hAnsi="宋体"/>
          <w:color w:val="auto"/>
          <w:kern w:val="0"/>
          <w:highlight w:val="none"/>
        </w:rPr>
        <w:t>由于承包人原因拒绝按合同进度计划及时完成合同规定的工程，而又未采取有效措施赶上进度，造成工期严重延误的；</w:t>
      </w:r>
    </w:p>
    <w:p w14:paraId="7553E1FD">
      <w:pPr>
        <w:pageBreakBefore w:val="0"/>
        <w:kinsoku/>
        <w:wordWrap w:val="0"/>
        <w:topLinePunct w:val="0"/>
        <w:spacing w:line="360" w:lineRule="auto"/>
        <w:ind w:firstLine="420" w:firstLineChars="200"/>
        <w:rPr>
          <w:rFonts w:ascii="宋体" w:hAnsi="宋体"/>
          <w:color w:val="auto"/>
          <w:kern w:val="0"/>
          <w:highlight w:val="none"/>
        </w:rPr>
      </w:pPr>
      <w:r>
        <w:rPr>
          <w:rFonts w:ascii="宋体" w:hAnsi="宋体"/>
          <w:color w:val="auto"/>
          <w:kern w:val="0"/>
          <w:highlight w:val="none"/>
        </w:rPr>
        <w:t>(5)</w:t>
      </w:r>
      <w:r>
        <w:rPr>
          <w:rFonts w:hint="eastAsia" w:ascii="宋体" w:hAnsi="宋体"/>
          <w:color w:val="auto"/>
          <w:kern w:val="0"/>
          <w:highlight w:val="none"/>
        </w:rPr>
        <w:t>承包人否认合同有效或拒绝履行合同规定的承包人义务，或由于法律、财务等原因导致承包人无法继续履行或实质上已停止履行合同的义务的；</w:t>
      </w:r>
    </w:p>
    <w:p w14:paraId="13D57D7A">
      <w:pPr>
        <w:pageBreakBefore w:val="0"/>
        <w:kinsoku/>
        <w:wordWrap w:val="0"/>
        <w:topLinePunct w:val="0"/>
        <w:spacing w:line="360" w:lineRule="auto"/>
        <w:ind w:firstLine="420" w:firstLineChars="200"/>
        <w:rPr>
          <w:rFonts w:ascii="宋体" w:hAnsi="宋体"/>
          <w:color w:val="auto"/>
          <w:kern w:val="0"/>
          <w:highlight w:val="none"/>
        </w:rPr>
      </w:pPr>
      <w:r>
        <w:rPr>
          <w:rFonts w:ascii="宋体" w:hAnsi="宋体"/>
          <w:color w:val="auto"/>
          <w:kern w:val="0"/>
          <w:highlight w:val="none"/>
        </w:rPr>
        <w:t>(6)</w:t>
      </w:r>
      <w:r>
        <w:rPr>
          <w:rFonts w:hint="eastAsia" w:ascii="宋体" w:hAnsi="宋体"/>
          <w:color w:val="auto"/>
          <w:kern w:val="0"/>
          <w:highlight w:val="none"/>
        </w:rPr>
        <w:t>合同签订</w:t>
      </w:r>
      <w:r>
        <w:rPr>
          <w:rFonts w:hint="eastAsia" w:ascii="宋体" w:hAnsi="宋体"/>
          <w:color w:val="auto"/>
          <w:highlight w:val="none"/>
        </w:rPr>
        <w:t>且具备法定开工条件后</w:t>
      </w:r>
      <w:r>
        <w:rPr>
          <w:rFonts w:hint="eastAsia" w:ascii="宋体" w:hAnsi="宋体"/>
          <w:color w:val="auto"/>
          <w:kern w:val="0"/>
          <w:highlight w:val="none"/>
        </w:rPr>
        <w:t>之日起十五日内，承包人无法按合同规定及</w:t>
      </w:r>
      <w:r>
        <w:rPr>
          <w:rFonts w:hint="eastAsia" w:ascii="宋体" w:hAnsi="宋体"/>
          <w:color w:val="auto"/>
          <w:kern w:val="0"/>
          <w:highlight w:val="none"/>
          <w:lang w:eastAsia="zh-CN"/>
        </w:rPr>
        <w:t>响应文件</w:t>
      </w:r>
      <w:r>
        <w:rPr>
          <w:rFonts w:hint="eastAsia" w:ascii="宋体" w:hAnsi="宋体"/>
          <w:color w:val="auto"/>
          <w:kern w:val="0"/>
          <w:highlight w:val="none"/>
        </w:rPr>
        <w:t>的承诺进场经监理工程师认可的该</w:t>
      </w:r>
      <w:r>
        <w:rPr>
          <w:rFonts w:hint="eastAsia" w:ascii="宋体" w:hAnsi="宋体" w:cs="宋体"/>
          <w:color w:val="auto"/>
          <w:kern w:val="0"/>
          <w:highlight w:val="none"/>
        </w:rPr>
        <w:t>施工</w:t>
      </w:r>
      <w:r>
        <w:rPr>
          <w:rFonts w:hint="eastAsia" w:ascii="宋体" w:hAnsi="宋体"/>
          <w:color w:val="auto"/>
          <w:kern w:val="0"/>
          <w:highlight w:val="none"/>
        </w:rPr>
        <w:t>阶段</w:t>
      </w:r>
      <w:r>
        <w:rPr>
          <w:rFonts w:hint="eastAsia" w:ascii="宋体" w:hAnsi="宋体" w:cs="宋体"/>
          <w:color w:val="auto"/>
          <w:kern w:val="0"/>
          <w:highlight w:val="none"/>
        </w:rPr>
        <w:t>应有的</w:t>
      </w:r>
      <w:r>
        <w:rPr>
          <w:rFonts w:hint="eastAsia" w:ascii="宋体" w:hAnsi="宋体"/>
          <w:color w:val="auto"/>
          <w:kern w:val="0"/>
          <w:highlight w:val="none"/>
        </w:rPr>
        <w:t>全部人员的。</w:t>
      </w:r>
    </w:p>
    <w:p w14:paraId="4699E1A2">
      <w:pPr>
        <w:pageBreakBefore w:val="0"/>
        <w:kinsoku/>
        <w:wordWrap w:val="0"/>
        <w:topLinePunct w:val="0"/>
        <w:spacing w:line="360" w:lineRule="auto"/>
        <w:ind w:firstLine="420" w:firstLineChars="200"/>
        <w:jc w:val="left"/>
        <w:rPr>
          <w:rFonts w:asciiTheme="minorEastAsia" w:hAnsiTheme="minorEastAsia" w:eastAsiaTheme="minorEastAsia"/>
          <w:color w:val="auto"/>
          <w:highlight w:val="none"/>
        </w:rPr>
      </w:pPr>
      <w:r>
        <w:rPr>
          <w:rFonts w:hint="eastAsia" w:ascii="宋体" w:hAnsi="宋体"/>
          <w:color w:val="auto"/>
          <w:kern w:val="0"/>
          <w:highlight w:val="none"/>
        </w:rPr>
        <w:t>（7）</w:t>
      </w:r>
      <w:r>
        <w:rPr>
          <w:rFonts w:hint="eastAsia" w:asciiTheme="minorEastAsia" w:hAnsiTheme="minorEastAsia" w:eastAsiaTheme="minorEastAsia"/>
          <w:color w:val="auto"/>
          <w:highlight w:val="none"/>
        </w:rPr>
        <w:t>工程所用材料、设备等须符合施工图及照设计说明和</w:t>
      </w:r>
      <w:r>
        <w:rPr>
          <w:rFonts w:hint="eastAsia" w:ascii="宋体" w:hAnsi="宋体"/>
          <w:color w:val="auto"/>
          <w:highlight w:val="none"/>
        </w:rPr>
        <w:t>招标文件要求，</w:t>
      </w:r>
      <w:r>
        <w:rPr>
          <w:rFonts w:hint="eastAsia" w:asciiTheme="minorEastAsia" w:hAnsiTheme="minorEastAsia" w:eastAsiaTheme="minorEastAsia"/>
          <w:color w:val="auto"/>
          <w:kern w:val="0"/>
          <w:highlight w:val="none"/>
        </w:rPr>
        <w:t>因承包人</w:t>
      </w:r>
      <w:r>
        <w:rPr>
          <w:rFonts w:hint="eastAsia" w:asciiTheme="minorEastAsia" w:hAnsiTheme="minorEastAsia" w:eastAsiaTheme="minorEastAsia"/>
          <w:color w:val="auto"/>
          <w:highlight w:val="none"/>
        </w:rPr>
        <w:t>采购</w:t>
      </w:r>
      <w:r>
        <w:rPr>
          <w:rFonts w:hint="eastAsia" w:asciiTheme="minorEastAsia" w:hAnsiTheme="minorEastAsia" w:eastAsiaTheme="minorEastAsia"/>
          <w:color w:val="auto"/>
          <w:kern w:val="0"/>
          <w:highlight w:val="none"/>
        </w:rPr>
        <w:t>的材料、工程设备的规格、数量或质量不符合合同约定的，</w:t>
      </w:r>
      <w:r>
        <w:rPr>
          <w:rFonts w:hint="eastAsia" w:asciiTheme="minorEastAsia" w:hAnsiTheme="minorEastAsia" w:eastAsiaTheme="minorEastAsia"/>
          <w:color w:val="auto"/>
          <w:highlight w:val="none"/>
        </w:rPr>
        <w:t>禁止使用。如已使用,对工程造成的损失由</w:t>
      </w:r>
      <w:r>
        <w:rPr>
          <w:rFonts w:hint="eastAsia" w:asciiTheme="minorEastAsia" w:hAnsiTheme="minorEastAsia" w:eastAsiaTheme="minorEastAsia"/>
          <w:color w:val="auto"/>
          <w:kern w:val="0"/>
          <w:highlight w:val="none"/>
        </w:rPr>
        <w:t>承包人</w:t>
      </w:r>
      <w:r>
        <w:rPr>
          <w:rFonts w:hint="eastAsia" w:asciiTheme="minorEastAsia" w:hAnsiTheme="minorEastAsia" w:eastAsiaTheme="minorEastAsia"/>
          <w:color w:val="auto"/>
          <w:highlight w:val="none"/>
        </w:rPr>
        <w:t>负责。如</w:t>
      </w:r>
      <w:r>
        <w:rPr>
          <w:rFonts w:hint="eastAsia" w:asciiTheme="minorEastAsia" w:hAnsiTheme="minorEastAsia" w:eastAsiaTheme="minorEastAsia"/>
          <w:color w:val="auto"/>
          <w:kern w:val="0"/>
          <w:highlight w:val="none"/>
        </w:rPr>
        <w:t>承包人</w:t>
      </w:r>
      <w:r>
        <w:rPr>
          <w:rFonts w:hint="eastAsia" w:asciiTheme="minorEastAsia" w:hAnsiTheme="minorEastAsia" w:eastAsiaTheme="minorEastAsia"/>
          <w:color w:val="auto"/>
          <w:highlight w:val="none"/>
        </w:rPr>
        <w:t>使用的材料、设备系伪劣商品的应按材料、设备价款的双倍补偿给</w:t>
      </w:r>
      <w:r>
        <w:rPr>
          <w:rFonts w:hint="eastAsia" w:asciiTheme="minorEastAsia" w:hAnsiTheme="minorEastAsia" w:eastAsiaTheme="minorEastAsia"/>
          <w:color w:val="auto"/>
          <w:kern w:val="0"/>
          <w:highlight w:val="none"/>
        </w:rPr>
        <w:t>发包人外，发包人有权立即解除合同</w:t>
      </w:r>
      <w:r>
        <w:rPr>
          <w:rFonts w:hint="eastAsia" w:asciiTheme="minorEastAsia" w:hAnsiTheme="minorEastAsia" w:eastAsiaTheme="minorEastAsia"/>
          <w:color w:val="auto"/>
          <w:highlight w:val="none"/>
        </w:rPr>
        <w:t>。</w:t>
      </w:r>
    </w:p>
    <w:p w14:paraId="6F5388C5">
      <w:pPr>
        <w:pageBreakBefore w:val="0"/>
        <w:kinsoku/>
        <w:wordWrap w:val="0"/>
        <w:topLinePunct w:val="0"/>
        <w:spacing w:line="360" w:lineRule="auto"/>
        <w:ind w:firstLine="420" w:firstLineChars="200"/>
        <w:rPr>
          <w:rFonts w:asciiTheme="minorEastAsia" w:hAnsiTheme="minorEastAsia" w:eastAsiaTheme="minorEastAsia"/>
          <w:color w:val="auto"/>
          <w:kern w:val="0"/>
          <w:highlight w:val="none"/>
        </w:rPr>
      </w:pPr>
      <w:r>
        <w:rPr>
          <w:rFonts w:hint="eastAsia" w:ascii="宋体" w:hAnsi="宋体"/>
          <w:color w:val="auto"/>
          <w:kern w:val="0"/>
          <w:highlight w:val="none"/>
        </w:rPr>
        <w:t>（8）</w:t>
      </w:r>
      <w:r>
        <w:rPr>
          <w:rFonts w:hint="eastAsia" w:asciiTheme="minorEastAsia" w:hAnsiTheme="minorEastAsia" w:eastAsiaTheme="minorEastAsia"/>
          <w:color w:val="auto"/>
          <w:kern w:val="0"/>
          <w:highlight w:val="none"/>
        </w:rPr>
        <w:t>在合同执行过程中,承包人如果用行贿、送礼或其他不正当手段企图影响或已经影响了发包人代表或监理人员行为并获得超出合同规定以外的额外费用,则发包人除按有关规定严肃处理当事人(含发包人人员和监理人员)外,承包人对上述行为造成的工程损害、发包人的经济损失等,承包人应负一切责任,并予赔偿,发包人有权终止合同。</w:t>
      </w:r>
    </w:p>
    <w:p w14:paraId="672AE661">
      <w:pPr>
        <w:pageBreakBefore w:val="0"/>
        <w:kinsoku/>
        <w:wordWrap w:val="0"/>
        <w:topLinePunct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承包人违约</w:t>
      </w:r>
      <w:r>
        <w:rPr>
          <w:rFonts w:hint="eastAsia" w:asciiTheme="minorEastAsia" w:hAnsiTheme="minorEastAsia" w:eastAsiaTheme="minorEastAsia"/>
          <w:color w:val="auto"/>
          <w:kern w:val="0"/>
          <w:highlight w:val="none"/>
        </w:rPr>
        <w:t>终止</w:t>
      </w:r>
      <w:r>
        <w:rPr>
          <w:rFonts w:hint="eastAsia" w:ascii="宋体" w:hAnsi="宋体"/>
          <w:color w:val="auto"/>
          <w:kern w:val="0"/>
          <w:highlight w:val="none"/>
        </w:rPr>
        <w:t>合同后，发包人</w:t>
      </w:r>
      <w:r>
        <w:rPr>
          <w:rFonts w:hint="eastAsia" w:asciiTheme="minorEastAsia" w:hAnsiTheme="minorEastAsia" w:eastAsiaTheme="minorEastAsia"/>
          <w:color w:val="auto"/>
          <w:kern w:val="0"/>
          <w:highlight w:val="none"/>
        </w:rPr>
        <w:t>有权</w:t>
      </w:r>
      <w:r>
        <w:rPr>
          <w:rFonts w:hint="eastAsia" w:ascii="宋体" w:hAnsi="宋体"/>
          <w:color w:val="auto"/>
          <w:kern w:val="0"/>
          <w:highlight w:val="none"/>
        </w:rPr>
        <w:t>继续使用承包人在施工现场的材料、设备、临时工程、承包人文件和由承包人或以其名义编制的其他文件的费用承担方式：</w:t>
      </w:r>
      <w:r>
        <w:rPr>
          <w:rFonts w:hint="eastAsia" w:ascii="宋体" w:hAnsi="宋体"/>
          <w:color w:val="auto"/>
          <w:kern w:val="0"/>
          <w:highlight w:val="none"/>
          <w:u w:val="single"/>
        </w:rPr>
        <w:t>由承包人承担相应费用</w:t>
      </w:r>
      <w:r>
        <w:rPr>
          <w:rFonts w:hint="eastAsia" w:ascii="宋体" w:hAnsi="宋体"/>
          <w:color w:val="auto"/>
          <w:kern w:val="0"/>
          <w:highlight w:val="none"/>
        </w:rPr>
        <w:t>。</w:t>
      </w:r>
    </w:p>
    <w:p w14:paraId="05DAE1AF">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1003" w:name="_Toc351203649"/>
      <w:bookmarkEnd w:id="1003"/>
      <w:bookmarkStart w:id="1004" w:name="_Toc373227769"/>
      <w:bookmarkEnd w:id="1004"/>
      <w:bookmarkStart w:id="1005" w:name="_Toc373478416"/>
      <w:bookmarkEnd w:id="1005"/>
      <w:bookmarkStart w:id="1006" w:name="_Toc407135272"/>
      <w:bookmarkEnd w:id="1006"/>
      <w:bookmarkStart w:id="1007" w:name="_Toc4056"/>
      <w:bookmarkEnd w:id="1007"/>
      <w:bookmarkStart w:id="1008" w:name="_Toc389065334"/>
      <w:r>
        <w:rPr>
          <w:rFonts w:ascii="宋体" w:hAnsi="宋体"/>
          <w:b/>
          <w:bCs/>
          <w:color w:val="auto"/>
          <w:highlight w:val="none"/>
          <w:lang w:val="zh-CN"/>
        </w:rPr>
        <w:t xml:space="preserve">17. </w:t>
      </w:r>
      <w:bookmarkEnd w:id="1008"/>
      <w:r>
        <w:rPr>
          <w:rFonts w:hint="eastAsia" w:ascii="宋体" w:hAnsi="宋体"/>
          <w:b/>
          <w:bCs/>
          <w:color w:val="auto"/>
          <w:highlight w:val="none"/>
          <w:lang w:val="zh-CN"/>
        </w:rPr>
        <w:t>不可抗力</w:t>
      </w:r>
    </w:p>
    <w:p w14:paraId="09E5D799">
      <w:pPr>
        <w:keepNext/>
        <w:keepLines/>
        <w:pageBreakBefore w:val="0"/>
        <w:kinsoku/>
        <w:wordWrap w:val="0"/>
        <w:topLinePunct w:val="0"/>
        <w:spacing w:line="360" w:lineRule="auto"/>
        <w:outlineLvl w:val="2"/>
        <w:rPr>
          <w:rFonts w:ascii="宋体" w:hAnsi="宋体"/>
          <w:b/>
          <w:bCs/>
          <w:color w:val="auto"/>
          <w:highlight w:val="none"/>
          <w:lang w:val="zh-CN"/>
        </w:rPr>
      </w:pPr>
      <w:bookmarkStart w:id="1009" w:name="_Toc373478417"/>
      <w:bookmarkEnd w:id="1009"/>
      <w:bookmarkStart w:id="1010" w:name="_Toc373227770"/>
      <w:bookmarkEnd w:id="1010"/>
      <w:bookmarkStart w:id="1011" w:name="_Toc389065335"/>
      <w:bookmarkEnd w:id="1011"/>
      <w:bookmarkStart w:id="1012" w:name="_Toc22482"/>
      <w:bookmarkEnd w:id="1012"/>
      <w:bookmarkStart w:id="1013" w:name="_Toc407135273"/>
      <w:r>
        <w:rPr>
          <w:rFonts w:ascii="宋体" w:hAnsi="宋体"/>
          <w:b/>
          <w:bCs/>
          <w:color w:val="auto"/>
          <w:highlight w:val="none"/>
          <w:lang w:val="zh-CN"/>
        </w:rPr>
        <w:t xml:space="preserve">17.1 </w:t>
      </w:r>
      <w:bookmarkEnd w:id="1013"/>
      <w:r>
        <w:rPr>
          <w:rFonts w:hint="eastAsia" w:ascii="宋体" w:hAnsi="宋体"/>
          <w:b/>
          <w:bCs/>
          <w:color w:val="auto"/>
          <w:highlight w:val="none"/>
          <w:lang w:val="zh-CN"/>
        </w:rPr>
        <w:t>不可抗力的确认</w:t>
      </w:r>
    </w:p>
    <w:p w14:paraId="150EF165">
      <w:pPr>
        <w:pageBreakBefore w:val="0"/>
        <w:kinsoku/>
        <w:wordWrap w:val="0"/>
        <w:topLinePunct w:val="0"/>
        <w:spacing w:line="360" w:lineRule="auto"/>
        <w:ind w:firstLine="420" w:firstLineChars="200"/>
        <w:jc w:val="left"/>
        <w:rPr>
          <w:rFonts w:ascii="宋体" w:hAnsi="宋体"/>
          <w:color w:val="auto"/>
          <w:kern w:val="0"/>
          <w:highlight w:val="none"/>
          <w:u w:val="single"/>
        </w:rPr>
      </w:pPr>
      <w:r>
        <w:rPr>
          <w:rFonts w:hint="eastAsia" w:ascii="宋体" w:hAnsi="宋体"/>
          <w:color w:val="auto"/>
          <w:highlight w:val="none"/>
        </w:rPr>
        <w:t>除通用合同条款约定的不可抗力事件之外，视为不可抗力的其他情形：</w:t>
      </w:r>
      <w:r>
        <w:rPr>
          <w:rFonts w:hint="eastAsia" w:ascii="宋体" w:hAnsi="宋体"/>
          <w:color w:val="auto"/>
          <w:kern w:val="0"/>
          <w:highlight w:val="none"/>
          <w:u w:val="single"/>
        </w:rPr>
        <w:t>战争、离子辐射或放射性污染、</w:t>
      </w:r>
      <w:r>
        <w:rPr>
          <w:rFonts w:ascii="宋体" w:hAnsi="宋体"/>
          <w:color w:val="auto"/>
          <w:kern w:val="0"/>
          <w:highlight w:val="none"/>
          <w:u w:val="single"/>
        </w:rPr>
        <w:t>6</w:t>
      </w:r>
      <w:r>
        <w:rPr>
          <w:rFonts w:hint="eastAsia" w:ascii="宋体" w:hAnsi="宋体"/>
          <w:color w:val="auto"/>
          <w:kern w:val="0"/>
          <w:highlight w:val="none"/>
          <w:u w:val="single"/>
        </w:rPr>
        <w:t>级以上地震及国家确认的不可抗力事项</w:t>
      </w:r>
      <w:r>
        <w:rPr>
          <w:rFonts w:hint="eastAsia" w:ascii="宋体" w:hAnsi="宋体"/>
          <w:color w:val="auto"/>
          <w:kern w:val="0"/>
          <w:highlight w:val="none"/>
        </w:rPr>
        <w:t>。</w:t>
      </w:r>
    </w:p>
    <w:p w14:paraId="1409C123">
      <w:pPr>
        <w:keepNext/>
        <w:keepLines/>
        <w:pageBreakBefore w:val="0"/>
        <w:kinsoku/>
        <w:wordWrap w:val="0"/>
        <w:topLinePunct w:val="0"/>
        <w:spacing w:line="360" w:lineRule="auto"/>
        <w:outlineLvl w:val="2"/>
        <w:rPr>
          <w:rFonts w:ascii="宋体" w:hAnsi="宋体"/>
          <w:b/>
          <w:bCs/>
          <w:color w:val="auto"/>
          <w:highlight w:val="none"/>
          <w:lang w:val="zh-CN"/>
        </w:rPr>
      </w:pPr>
      <w:bookmarkStart w:id="1014" w:name="_Toc373478418"/>
      <w:bookmarkEnd w:id="1014"/>
      <w:bookmarkStart w:id="1015" w:name="_Toc389065336"/>
      <w:bookmarkEnd w:id="1015"/>
      <w:bookmarkStart w:id="1016" w:name="_Toc373227771"/>
      <w:bookmarkEnd w:id="1016"/>
      <w:bookmarkStart w:id="1017" w:name="_Toc407135274"/>
      <w:bookmarkEnd w:id="1017"/>
      <w:bookmarkStart w:id="1018" w:name="_Toc25572"/>
      <w:r>
        <w:rPr>
          <w:rFonts w:ascii="宋体" w:hAnsi="宋体"/>
          <w:b/>
          <w:bCs/>
          <w:color w:val="auto"/>
          <w:highlight w:val="none"/>
          <w:lang w:val="zh-CN"/>
        </w:rPr>
        <w:t xml:space="preserve">17.4 </w:t>
      </w:r>
      <w:bookmarkEnd w:id="1018"/>
      <w:r>
        <w:rPr>
          <w:rFonts w:hint="eastAsia" w:ascii="宋体" w:hAnsi="宋体"/>
          <w:b/>
          <w:bCs/>
          <w:color w:val="auto"/>
          <w:highlight w:val="none"/>
          <w:lang w:val="zh-CN"/>
        </w:rPr>
        <w:t>因不可抗力解除合同</w:t>
      </w:r>
    </w:p>
    <w:p w14:paraId="196FB44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合同解除后，发包人应在商定或确定发包人应支付款项后</w:t>
      </w:r>
      <w:r>
        <w:rPr>
          <w:rFonts w:ascii="宋体" w:hAnsi="宋体"/>
          <w:color w:val="auto"/>
          <w:highlight w:val="none"/>
          <w:u w:val="single"/>
        </w:rPr>
        <w:t xml:space="preserve">  28  </w:t>
      </w:r>
      <w:r>
        <w:rPr>
          <w:rFonts w:hint="eastAsia" w:ascii="宋体" w:hAnsi="宋体"/>
          <w:color w:val="auto"/>
          <w:highlight w:val="none"/>
        </w:rPr>
        <w:t>天内完成款项的支付。</w:t>
      </w:r>
    </w:p>
    <w:p w14:paraId="7A8BB3B9">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1019" w:name="_Toc373478419"/>
      <w:bookmarkEnd w:id="1019"/>
      <w:bookmarkStart w:id="1020" w:name="_Toc29790"/>
      <w:bookmarkEnd w:id="1020"/>
      <w:bookmarkStart w:id="1021" w:name="_Toc389065337"/>
      <w:bookmarkEnd w:id="1021"/>
      <w:bookmarkStart w:id="1022" w:name="_Toc407135275"/>
      <w:bookmarkEnd w:id="1022"/>
      <w:bookmarkStart w:id="1023" w:name="_Toc373227772"/>
      <w:bookmarkEnd w:id="1023"/>
      <w:bookmarkStart w:id="1024" w:name="_Toc351203650"/>
      <w:r>
        <w:rPr>
          <w:rFonts w:ascii="宋体" w:hAnsi="宋体"/>
          <w:b/>
          <w:bCs/>
          <w:color w:val="auto"/>
          <w:highlight w:val="none"/>
          <w:lang w:val="zh-CN"/>
        </w:rPr>
        <w:t xml:space="preserve">18. </w:t>
      </w:r>
      <w:bookmarkEnd w:id="1024"/>
      <w:r>
        <w:rPr>
          <w:rFonts w:hint="eastAsia" w:ascii="宋体" w:hAnsi="宋体"/>
          <w:b/>
          <w:bCs/>
          <w:color w:val="auto"/>
          <w:highlight w:val="none"/>
          <w:lang w:val="zh-CN"/>
        </w:rPr>
        <w:t>保险</w:t>
      </w:r>
    </w:p>
    <w:p w14:paraId="03FD0122">
      <w:pPr>
        <w:keepNext/>
        <w:keepLines/>
        <w:pageBreakBefore w:val="0"/>
        <w:kinsoku/>
        <w:wordWrap w:val="0"/>
        <w:topLinePunct w:val="0"/>
        <w:spacing w:line="360" w:lineRule="auto"/>
        <w:outlineLvl w:val="2"/>
        <w:rPr>
          <w:rFonts w:ascii="宋体" w:hAnsi="宋体"/>
          <w:b/>
          <w:bCs/>
          <w:color w:val="auto"/>
          <w:highlight w:val="none"/>
          <w:lang w:val="zh-CN"/>
        </w:rPr>
      </w:pPr>
      <w:bookmarkStart w:id="1025" w:name="_Toc373227773"/>
      <w:bookmarkEnd w:id="1025"/>
      <w:bookmarkStart w:id="1026" w:name="_Toc389065338"/>
      <w:bookmarkEnd w:id="1026"/>
      <w:bookmarkStart w:id="1027" w:name="_Toc373478420"/>
      <w:bookmarkEnd w:id="1027"/>
      <w:bookmarkStart w:id="1028" w:name="_Toc17107"/>
      <w:bookmarkEnd w:id="1028"/>
      <w:bookmarkStart w:id="1029" w:name="_Toc407135276"/>
      <w:r>
        <w:rPr>
          <w:rFonts w:ascii="宋体" w:hAnsi="宋体"/>
          <w:b/>
          <w:bCs/>
          <w:color w:val="auto"/>
          <w:highlight w:val="none"/>
          <w:lang w:val="zh-CN"/>
        </w:rPr>
        <w:t xml:space="preserve">18.1 </w:t>
      </w:r>
      <w:bookmarkEnd w:id="1029"/>
      <w:r>
        <w:rPr>
          <w:rFonts w:hint="eastAsia" w:ascii="宋体" w:hAnsi="宋体"/>
          <w:b/>
          <w:bCs/>
          <w:color w:val="auto"/>
          <w:highlight w:val="none"/>
          <w:lang w:val="zh-CN"/>
        </w:rPr>
        <w:t>工程保险</w:t>
      </w:r>
    </w:p>
    <w:p w14:paraId="7259B515">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关于工程保险的特别约定：</w:t>
      </w:r>
      <w:r>
        <w:rPr>
          <w:rFonts w:hint="eastAsia" w:ascii="宋体" w:hAnsi="宋体"/>
          <w:color w:val="auto"/>
          <w:kern w:val="0"/>
          <w:highlight w:val="none"/>
          <w:u w:val="single"/>
        </w:rPr>
        <w:t>由承包人投保建筑工程一切险或安装工程一切险并承担相应费用</w:t>
      </w:r>
      <w:r>
        <w:rPr>
          <w:rFonts w:hint="eastAsia" w:ascii="宋体" w:hAnsi="宋体"/>
          <w:color w:val="auto"/>
          <w:kern w:val="0"/>
          <w:highlight w:val="none"/>
        </w:rPr>
        <w:t>。</w:t>
      </w:r>
    </w:p>
    <w:p w14:paraId="157F8240">
      <w:pPr>
        <w:keepNext/>
        <w:keepLines/>
        <w:pageBreakBefore w:val="0"/>
        <w:kinsoku/>
        <w:wordWrap w:val="0"/>
        <w:topLinePunct w:val="0"/>
        <w:spacing w:line="360" w:lineRule="auto"/>
        <w:outlineLvl w:val="2"/>
        <w:rPr>
          <w:rFonts w:ascii="宋体" w:hAnsi="宋体"/>
          <w:b/>
          <w:bCs/>
          <w:color w:val="auto"/>
          <w:highlight w:val="none"/>
          <w:lang w:val="zh-CN"/>
        </w:rPr>
      </w:pPr>
      <w:bookmarkStart w:id="1030" w:name="_Toc373227774"/>
      <w:bookmarkEnd w:id="1030"/>
      <w:bookmarkStart w:id="1031" w:name="_Toc389065339"/>
      <w:bookmarkEnd w:id="1031"/>
      <w:bookmarkStart w:id="1032" w:name="_Toc15864"/>
      <w:bookmarkEnd w:id="1032"/>
      <w:bookmarkStart w:id="1033" w:name="_Toc373478421"/>
      <w:bookmarkEnd w:id="1033"/>
      <w:bookmarkStart w:id="1034" w:name="_Toc407135277"/>
      <w:r>
        <w:rPr>
          <w:rFonts w:ascii="宋体" w:hAnsi="宋体"/>
          <w:b/>
          <w:bCs/>
          <w:color w:val="auto"/>
          <w:highlight w:val="none"/>
          <w:lang w:val="zh-CN"/>
        </w:rPr>
        <w:t xml:space="preserve">18.3 </w:t>
      </w:r>
      <w:bookmarkEnd w:id="1034"/>
      <w:r>
        <w:rPr>
          <w:rFonts w:hint="eastAsia" w:ascii="宋体" w:hAnsi="宋体"/>
          <w:b/>
          <w:bCs/>
          <w:color w:val="auto"/>
          <w:highlight w:val="none"/>
          <w:lang w:val="zh-CN"/>
        </w:rPr>
        <w:t>其他保险</w:t>
      </w:r>
    </w:p>
    <w:p w14:paraId="1B46C558">
      <w:pPr>
        <w:pageBreakBefore w:val="0"/>
        <w:kinsoku/>
        <w:wordWrap w:val="0"/>
        <w:topLinePunct w:val="0"/>
        <w:spacing w:line="360" w:lineRule="auto"/>
        <w:ind w:firstLine="420" w:firstLineChars="200"/>
        <w:jc w:val="left"/>
        <w:rPr>
          <w:rFonts w:ascii="宋体" w:hAnsi="宋体"/>
          <w:color w:val="auto"/>
          <w:kern w:val="0"/>
          <w:highlight w:val="none"/>
        </w:rPr>
      </w:pPr>
      <w:r>
        <w:rPr>
          <w:rFonts w:hint="eastAsia" w:ascii="宋体" w:hAnsi="宋体"/>
          <w:color w:val="auto"/>
          <w:highlight w:val="none"/>
        </w:rPr>
        <w:t>关于其他保险的约定：</w:t>
      </w:r>
      <w:r>
        <w:rPr>
          <w:rFonts w:hint="eastAsia" w:ascii="宋体" w:hAnsi="宋体"/>
          <w:color w:val="auto"/>
          <w:kern w:val="0"/>
          <w:highlight w:val="none"/>
          <w:u w:val="single"/>
        </w:rPr>
        <w:t>承包人为其施工现场的全部人员办理意外伤害保险并支付保险费，包括其员工及为履行合同聘请的第三方的人员</w:t>
      </w:r>
      <w:r>
        <w:rPr>
          <w:rFonts w:hint="eastAsia" w:ascii="宋体" w:hAnsi="宋体"/>
          <w:color w:val="auto"/>
          <w:highlight w:val="none"/>
        </w:rPr>
        <w:t>。</w:t>
      </w:r>
    </w:p>
    <w:p w14:paraId="26EC0B24">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承包人是否应为其施工设备等办理财产保险：</w:t>
      </w:r>
      <w:r>
        <w:rPr>
          <w:rFonts w:hint="eastAsia" w:ascii="宋体" w:hAnsi="宋体"/>
          <w:color w:val="auto"/>
          <w:highlight w:val="none"/>
          <w:u w:val="single"/>
        </w:rPr>
        <w:t>是</w:t>
      </w:r>
      <w:r>
        <w:rPr>
          <w:rFonts w:hint="eastAsia" w:ascii="宋体" w:hAnsi="宋体"/>
          <w:color w:val="auto"/>
          <w:highlight w:val="none"/>
        </w:rPr>
        <w:t>。</w:t>
      </w:r>
    </w:p>
    <w:p w14:paraId="37BAEC39">
      <w:pPr>
        <w:keepNext/>
        <w:keepLines/>
        <w:pageBreakBefore w:val="0"/>
        <w:kinsoku/>
        <w:wordWrap w:val="0"/>
        <w:topLinePunct w:val="0"/>
        <w:spacing w:line="360" w:lineRule="auto"/>
        <w:outlineLvl w:val="2"/>
        <w:rPr>
          <w:rFonts w:ascii="宋体" w:hAnsi="宋体"/>
          <w:b/>
          <w:bCs/>
          <w:color w:val="auto"/>
          <w:highlight w:val="none"/>
          <w:lang w:val="zh-CN"/>
        </w:rPr>
      </w:pPr>
      <w:bookmarkStart w:id="1035" w:name="_Toc373478422"/>
      <w:bookmarkEnd w:id="1035"/>
      <w:bookmarkStart w:id="1036" w:name="_Toc9836"/>
      <w:bookmarkEnd w:id="1036"/>
      <w:bookmarkStart w:id="1037" w:name="_Toc407135278"/>
      <w:bookmarkEnd w:id="1037"/>
      <w:bookmarkStart w:id="1038" w:name="_Toc373227775"/>
      <w:bookmarkEnd w:id="1038"/>
      <w:bookmarkStart w:id="1039" w:name="_Toc389065340"/>
      <w:r>
        <w:rPr>
          <w:rFonts w:ascii="宋体" w:hAnsi="宋体"/>
          <w:b/>
          <w:bCs/>
          <w:color w:val="auto"/>
          <w:highlight w:val="none"/>
          <w:lang w:val="zh-CN"/>
        </w:rPr>
        <w:t xml:space="preserve">18.7 </w:t>
      </w:r>
      <w:bookmarkEnd w:id="1039"/>
      <w:r>
        <w:rPr>
          <w:rFonts w:hint="eastAsia" w:ascii="宋体" w:hAnsi="宋体"/>
          <w:b/>
          <w:bCs/>
          <w:color w:val="auto"/>
          <w:highlight w:val="none"/>
          <w:lang w:val="zh-CN"/>
        </w:rPr>
        <w:t>通知义务</w:t>
      </w:r>
    </w:p>
    <w:p w14:paraId="6A620244">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kern w:val="0"/>
          <w:highlight w:val="none"/>
        </w:rPr>
        <w:t>关于变更保险合同时的通知义务的约定：</w:t>
      </w:r>
      <w:r>
        <w:rPr>
          <w:rFonts w:hint="eastAsia" w:ascii="宋体" w:hAnsi="宋体"/>
          <w:color w:val="auto"/>
          <w:highlight w:val="none"/>
          <w:u w:val="single"/>
        </w:rPr>
        <w:t>由承包人书面通知发包人和监理人</w:t>
      </w:r>
      <w:r>
        <w:rPr>
          <w:rFonts w:hint="eastAsia" w:ascii="宋体" w:hAnsi="宋体"/>
          <w:color w:val="auto"/>
          <w:highlight w:val="none"/>
        </w:rPr>
        <w:t>。</w:t>
      </w:r>
    </w:p>
    <w:p w14:paraId="1FB9F4E6">
      <w:pPr>
        <w:keepNext/>
        <w:keepLines/>
        <w:pageBreakBefore w:val="0"/>
        <w:kinsoku/>
        <w:wordWrap w:val="0"/>
        <w:topLinePunct w:val="0"/>
        <w:spacing w:before="60" w:after="60" w:line="413" w:lineRule="auto"/>
        <w:outlineLvl w:val="1"/>
        <w:rPr>
          <w:rFonts w:ascii="宋体" w:hAnsi="宋体"/>
          <w:b/>
          <w:bCs/>
          <w:color w:val="auto"/>
          <w:highlight w:val="none"/>
          <w:lang w:val="zh-CN"/>
        </w:rPr>
      </w:pPr>
      <w:bookmarkStart w:id="1040" w:name="_Toc373227776"/>
      <w:bookmarkEnd w:id="1040"/>
      <w:bookmarkStart w:id="1041" w:name="_Toc30490"/>
      <w:bookmarkEnd w:id="1041"/>
      <w:bookmarkStart w:id="1042" w:name="_Toc407135279"/>
      <w:bookmarkEnd w:id="1042"/>
      <w:bookmarkStart w:id="1043" w:name="_Toc373478423"/>
      <w:bookmarkEnd w:id="1043"/>
      <w:bookmarkStart w:id="1044" w:name="_Toc351203651"/>
      <w:bookmarkEnd w:id="1044"/>
      <w:bookmarkStart w:id="1045" w:name="_Toc389065341"/>
      <w:bookmarkEnd w:id="1045"/>
      <w:r>
        <w:rPr>
          <w:rFonts w:ascii="宋体" w:hAnsi="宋体"/>
          <w:b/>
          <w:bCs/>
          <w:color w:val="auto"/>
          <w:highlight w:val="none"/>
          <w:lang w:val="zh-CN"/>
        </w:rPr>
        <w:t xml:space="preserve">20. </w:t>
      </w:r>
      <w:r>
        <w:rPr>
          <w:rFonts w:hint="eastAsia" w:ascii="宋体" w:hAnsi="宋体"/>
          <w:b/>
          <w:bCs/>
          <w:color w:val="auto"/>
          <w:highlight w:val="none"/>
          <w:lang w:val="zh-CN"/>
        </w:rPr>
        <w:t>争议解决</w:t>
      </w:r>
    </w:p>
    <w:p w14:paraId="4BF0F70B">
      <w:pPr>
        <w:keepNext/>
        <w:keepLines/>
        <w:pageBreakBefore w:val="0"/>
        <w:kinsoku/>
        <w:wordWrap w:val="0"/>
        <w:topLinePunct w:val="0"/>
        <w:spacing w:line="360" w:lineRule="auto"/>
        <w:outlineLvl w:val="2"/>
        <w:rPr>
          <w:rFonts w:ascii="宋体" w:hAnsi="宋体"/>
          <w:b/>
          <w:bCs/>
          <w:color w:val="auto"/>
          <w:highlight w:val="none"/>
          <w:lang w:val="zh-CN"/>
        </w:rPr>
      </w:pPr>
      <w:bookmarkStart w:id="1046" w:name="_Toc389065342"/>
      <w:bookmarkEnd w:id="1046"/>
      <w:bookmarkStart w:id="1047" w:name="_Toc24546"/>
      <w:bookmarkEnd w:id="1047"/>
      <w:bookmarkStart w:id="1048" w:name="_Toc373478424"/>
      <w:bookmarkEnd w:id="1048"/>
      <w:bookmarkStart w:id="1049" w:name="_Toc373227777"/>
      <w:bookmarkEnd w:id="1049"/>
      <w:bookmarkStart w:id="1050" w:name="_Toc407135280"/>
      <w:r>
        <w:rPr>
          <w:rFonts w:ascii="宋体" w:hAnsi="宋体"/>
          <w:b/>
          <w:bCs/>
          <w:color w:val="auto"/>
          <w:highlight w:val="none"/>
          <w:lang w:val="zh-CN"/>
        </w:rPr>
        <w:t xml:space="preserve">20.3 </w:t>
      </w:r>
      <w:bookmarkEnd w:id="1050"/>
      <w:r>
        <w:rPr>
          <w:rFonts w:hint="eastAsia" w:ascii="宋体" w:hAnsi="宋体"/>
          <w:b/>
          <w:bCs/>
          <w:color w:val="auto"/>
          <w:highlight w:val="none"/>
          <w:lang w:val="zh-CN"/>
        </w:rPr>
        <w:t>争议评审</w:t>
      </w:r>
    </w:p>
    <w:p w14:paraId="3A05B182">
      <w:pPr>
        <w:pageBreakBefore w:val="0"/>
        <w:kinsoku/>
        <w:wordWrap w:val="0"/>
        <w:topLinePunct w:val="0"/>
        <w:spacing w:line="360" w:lineRule="auto"/>
        <w:ind w:left="149" w:leftChars="71" w:firstLine="315" w:firstLineChars="150"/>
        <w:jc w:val="left"/>
        <w:rPr>
          <w:rFonts w:ascii="宋体" w:hAnsi="宋体"/>
          <w:color w:val="auto"/>
          <w:highlight w:val="none"/>
          <w:u w:val="single"/>
        </w:rPr>
      </w:pPr>
      <w:r>
        <w:rPr>
          <w:rFonts w:hint="eastAsia" w:ascii="宋体" w:hAnsi="宋体"/>
          <w:color w:val="auto"/>
          <w:highlight w:val="none"/>
        </w:rPr>
        <w:t>合同当事人是否同意将工程争议提交争议评审小组决定：</w:t>
      </w:r>
      <w:r>
        <w:rPr>
          <w:rFonts w:hint="eastAsia" w:ascii="宋体" w:hAnsi="宋体"/>
          <w:color w:val="auto"/>
          <w:highlight w:val="none"/>
          <w:u w:val="single"/>
        </w:rPr>
        <w:t>不同意</w:t>
      </w:r>
      <w:r>
        <w:rPr>
          <w:rFonts w:hint="eastAsia" w:ascii="宋体" w:hAnsi="宋体"/>
          <w:color w:val="auto"/>
          <w:highlight w:val="none"/>
        </w:rPr>
        <w:t>。</w:t>
      </w:r>
    </w:p>
    <w:p w14:paraId="18DE7B35">
      <w:pPr>
        <w:pageBreakBefore w:val="0"/>
        <w:kinsoku/>
        <w:wordWrap w:val="0"/>
        <w:topLinePunct w:val="0"/>
        <w:spacing w:line="360" w:lineRule="auto"/>
        <w:ind w:firstLine="420" w:firstLineChars="200"/>
        <w:jc w:val="left"/>
        <w:outlineLvl w:val="0"/>
        <w:rPr>
          <w:rFonts w:ascii="宋体" w:hAnsi="宋体"/>
          <w:color w:val="auto"/>
          <w:highlight w:val="none"/>
        </w:rPr>
      </w:pPr>
      <w:bookmarkStart w:id="1051" w:name="_Toc17388"/>
      <w:bookmarkStart w:id="1052" w:name="_Toc1671"/>
      <w:bookmarkStart w:id="1053" w:name="_Toc19774"/>
      <w:bookmarkStart w:id="1054" w:name="_Toc5652"/>
      <w:bookmarkStart w:id="1055" w:name="_Toc15032"/>
      <w:r>
        <w:rPr>
          <w:rFonts w:ascii="宋体" w:hAnsi="宋体"/>
          <w:color w:val="auto"/>
          <w:highlight w:val="none"/>
        </w:rPr>
        <w:t xml:space="preserve">20.3.1 </w:t>
      </w:r>
      <w:r>
        <w:rPr>
          <w:rFonts w:hint="eastAsia" w:ascii="宋体" w:hAnsi="宋体"/>
          <w:color w:val="auto"/>
          <w:highlight w:val="none"/>
        </w:rPr>
        <w:t>争议评审小组的确定</w:t>
      </w:r>
      <w:bookmarkEnd w:id="1051"/>
      <w:bookmarkEnd w:id="1052"/>
      <w:bookmarkEnd w:id="1053"/>
      <w:bookmarkEnd w:id="1054"/>
      <w:bookmarkEnd w:id="1055"/>
    </w:p>
    <w:p w14:paraId="7170B424">
      <w:pPr>
        <w:pageBreakBefore w:val="0"/>
        <w:kinsoku/>
        <w:wordWrap w:val="0"/>
        <w:topLinePunct w:val="0"/>
        <w:spacing w:line="360" w:lineRule="auto"/>
        <w:ind w:firstLine="420" w:firstLineChars="200"/>
        <w:jc w:val="left"/>
        <w:rPr>
          <w:rFonts w:ascii="宋体" w:hAnsi="宋体"/>
          <w:color w:val="auto"/>
          <w:highlight w:val="none"/>
          <w:u w:val="single"/>
        </w:rPr>
      </w:pPr>
      <w:r>
        <w:rPr>
          <w:rFonts w:hint="eastAsia" w:ascii="宋体" w:hAnsi="宋体"/>
          <w:color w:val="auto"/>
          <w:highlight w:val="none"/>
        </w:rPr>
        <w:t>争议评审小组成员的确定：</w:t>
      </w:r>
      <w:r>
        <w:rPr>
          <w:rFonts w:ascii="宋体" w:hAnsi="宋体"/>
          <w:color w:val="auto"/>
          <w:highlight w:val="none"/>
          <w:u w:val="single"/>
        </w:rPr>
        <w:t xml:space="preserve">    /  </w:t>
      </w:r>
      <w:r>
        <w:rPr>
          <w:rFonts w:hint="eastAsia" w:ascii="宋体" w:hAnsi="宋体"/>
          <w:color w:val="auto"/>
          <w:highlight w:val="none"/>
        </w:rPr>
        <w:t>。</w:t>
      </w:r>
    </w:p>
    <w:p w14:paraId="4AA1D9EC">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选定争议评审员的期限：</w:t>
      </w:r>
      <w:r>
        <w:rPr>
          <w:rFonts w:ascii="宋体" w:hAnsi="宋体"/>
          <w:color w:val="auto"/>
          <w:highlight w:val="none"/>
          <w:u w:val="single"/>
        </w:rPr>
        <w:t xml:space="preserve">      /  </w:t>
      </w:r>
      <w:r>
        <w:rPr>
          <w:rFonts w:hint="eastAsia" w:ascii="宋体" w:hAnsi="宋体"/>
          <w:color w:val="auto"/>
          <w:highlight w:val="none"/>
        </w:rPr>
        <w:t>。</w:t>
      </w:r>
    </w:p>
    <w:p w14:paraId="594CD23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争议评审小组成员的报酬承担方式：</w:t>
      </w:r>
      <w:r>
        <w:rPr>
          <w:rFonts w:ascii="宋体" w:hAnsi="宋体"/>
          <w:color w:val="auto"/>
          <w:highlight w:val="none"/>
          <w:u w:val="single"/>
        </w:rPr>
        <w:t xml:space="preserve">      /        </w:t>
      </w:r>
      <w:r>
        <w:rPr>
          <w:rFonts w:hint="eastAsia" w:ascii="宋体" w:hAnsi="宋体"/>
          <w:color w:val="auto"/>
          <w:highlight w:val="none"/>
        </w:rPr>
        <w:t>。</w:t>
      </w:r>
    </w:p>
    <w:p w14:paraId="5A03E6F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其他事项的约定：</w:t>
      </w:r>
      <w:r>
        <w:rPr>
          <w:rFonts w:ascii="宋体" w:hAnsi="宋体"/>
          <w:color w:val="auto"/>
          <w:highlight w:val="none"/>
          <w:u w:val="single"/>
        </w:rPr>
        <w:t xml:space="preserve">          /         </w:t>
      </w:r>
      <w:r>
        <w:rPr>
          <w:rFonts w:hint="eastAsia" w:ascii="宋体" w:hAnsi="宋体"/>
          <w:color w:val="auto"/>
          <w:highlight w:val="none"/>
        </w:rPr>
        <w:t>。</w:t>
      </w:r>
    </w:p>
    <w:p w14:paraId="65CC2237">
      <w:pPr>
        <w:pageBreakBefore w:val="0"/>
        <w:kinsoku/>
        <w:wordWrap w:val="0"/>
        <w:topLinePunct w:val="0"/>
        <w:autoSpaceDE w:val="0"/>
        <w:autoSpaceDN w:val="0"/>
        <w:adjustRightInd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 xml:space="preserve">20.3.2 </w:t>
      </w:r>
      <w:r>
        <w:rPr>
          <w:rFonts w:hint="eastAsia" w:ascii="宋体" w:hAnsi="宋体"/>
          <w:color w:val="auto"/>
          <w:kern w:val="0"/>
          <w:highlight w:val="none"/>
        </w:rPr>
        <w:t>争议评审小组的决定</w:t>
      </w:r>
    </w:p>
    <w:p w14:paraId="64D8DA0F">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合同当事人关于本项的约定：</w:t>
      </w:r>
      <w:r>
        <w:rPr>
          <w:rFonts w:ascii="宋体" w:hAnsi="宋体"/>
          <w:color w:val="auto"/>
          <w:highlight w:val="none"/>
          <w:u w:val="single"/>
        </w:rPr>
        <w:t xml:space="preserve">    /      </w:t>
      </w:r>
      <w:r>
        <w:rPr>
          <w:rFonts w:hint="eastAsia" w:ascii="宋体" w:hAnsi="宋体"/>
          <w:color w:val="auto"/>
          <w:highlight w:val="none"/>
        </w:rPr>
        <w:t>。</w:t>
      </w:r>
    </w:p>
    <w:p w14:paraId="192F3E24">
      <w:pPr>
        <w:keepNext/>
        <w:keepLines/>
        <w:pageBreakBefore w:val="0"/>
        <w:kinsoku/>
        <w:wordWrap w:val="0"/>
        <w:topLinePunct w:val="0"/>
        <w:spacing w:line="360" w:lineRule="auto"/>
        <w:outlineLvl w:val="2"/>
        <w:rPr>
          <w:rFonts w:ascii="宋体" w:hAnsi="宋体"/>
          <w:b/>
          <w:bCs/>
          <w:color w:val="auto"/>
          <w:highlight w:val="none"/>
          <w:lang w:val="zh-CN"/>
        </w:rPr>
      </w:pPr>
      <w:bookmarkStart w:id="1056" w:name="_Toc373227778"/>
      <w:bookmarkEnd w:id="1056"/>
      <w:bookmarkStart w:id="1057" w:name="_Toc389065343"/>
      <w:bookmarkEnd w:id="1057"/>
      <w:bookmarkStart w:id="1058" w:name="_Toc407135281"/>
      <w:bookmarkEnd w:id="1058"/>
      <w:bookmarkStart w:id="1059" w:name="_Toc373478425"/>
      <w:bookmarkEnd w:id="1059"/>
      <w:bookmarkStart w:id="1060" w:name="_Toc27200"/>
      <w:r>
        <w:rPr>
          <w:rFonts w:ascii="宋体" w:hAnsi="宋体"/>
          <w:b/>
          <w:bCs/>
          <w:color w:val="auto"/>
          <w:highlight w:val="none"/>
          <w:lang w:val="zh-CN"/>
        </w:rPr>
        <w:t xml:space="preserve">20.4 </w:t>
      </w:r>
      <w:bookmarkEnd w:id="1060"/>
      <w:r>
        <w:rPr>
          <w:rFonts w:hint="eastAsia" w:ascii="宋体" w:hAnsi="宋体"/>
          <w:b/>
          <w:bCs/>
          <w:color w:val="auto"/>
          <w:highlight w:val="none"/>
          <w:lang w:val="zh-CN"/>
        </w:rPr>
        <w:t>仲裁或诉讼</w:t>
      </w:r>
    </w:p>
    <w:p w14:paraId="1D986908">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因合同及合同有关事项发生的争议，按下列第</w:t>
      </w:r>
      <w:r>
        <w:rPr>
          <w:rFonts w:ascii="宋体" w:hAnsi="宋体"/>
          <w:color w:val="auto"/>
          <w:highlight w:val="none"/>
          <w:u w:val="single"/>
        </w:rPr>
        <w:t xml:space="preserve">  2   </w:t>
      </w:r>
      <w:r>
        <w:rPr>
          <w:rFonts w:hint="eastAsia" w:ascii="宋体" w:hAnsi="宋体"/>
          <w:color w:val="auto"/>
          <w:highlight w:val="none"/>
        </w:rPr>
        <w:t>种方式解决：</w:t>
      </w:r>
    </w:p>
    <w:p w14:paraId="1C4DEA53">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）提请仲裁委员会按照该会仲裁规则进行仲裁，仲裁裁决是终局的，对合同双方均有约束力。</w:t>
      </w:r>
    </w:p>
    <w:p w14:paraId="606E3093">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）向</w:t>
      </w:r>
      <w:r>
        <w:rPr>
          <w:rFonts w:hint="eastAsia" w:ascii="宋体" w:hAnsi="宋体"/>
          <w:color w:val="auto"/>
          <w:highlight w:val="none"/>
          <w:u w:val="single"/>
        </w:rPr>
        <w:t>工程所在地</w:t>
      </w:r>
      <w:r>
        <w:rPr>
          <w:rFonts w:hint="eastAsia" w:ascii="宋体" w:hAnsi="宋体"/>
          <w:color w:val="auto"/>
          <w:highlight w:val="none"/>
        </w:rPr>
        <w:t>人民法院起诉。</w:t>
      </w:r>
    </w:p>
    <w:p w14:paraId="5C3999D4">
      <w:pPr>
        <w:keepNext/>
        <w:keepLines/>
        <w:pageBreakBefore w:val="0"/>
        <w:kinsoku/>
        <w:wordWrap w:val="0"/>
        <w:topLinePunct w:val="0"/>
        <w:spacing w:line="360" w:lineRule="auto"/>
        <w:outlineLvl w:val="2"/>
        <w:rPr>
          <w:rFonts w:ascii="宋体" w:hAnsi="宋体"/>
          <w:b/>
          <w:bCs/>
          <w:color w:val="auto"/>
          <w:highlight w:val="none"/>
          <w:lang w:val="zh-CN"/>
        </w:rPr>
      </w:pPr>
      <w:r>
        <w:rPr>
          <w:rFonts w:ascii="宋体" w:hAnsi="宋体"/>
          <w:b/>
          <w:bCs/>
          <w:color w:val="auto"/>
          <w:highlight w:val="none"/>
          <w:lang w:val="zh-CN"/>
        </w:rPr>
        <w:t xml:space="preserve">21 </w:t>
      </w:r>
      <w:r>
        <w:rPr>
          <w:rFonts w:hint="eastAsia" w:ascii="宋体" w:hAnsi="宋体" w:cs="黑体"/>
          <w:b/>
          <w:bCs/>
          <w:color w:val="auto"/>
          <w:highlight w:val="none"/>
          <w:lang w:val="zh-CN"/>
        </w:rPr>
        <w:t>补充协议</w:t>
      </w:r>
    </w:p>
    <w:p w14:paraId="7FB7BA3A">
      <w:pPr>
        <w:pageBreakBefore w:val="0"/>
        <w:kinsoku/>
        <w:wordWrap w:val="0"/>
        <w:topLinePunct w:val="0"/>
        <w:spacing w:line="360" w:lineRule="auto"/>
        <w:ind w:firstLine="315" w:firstLineChars="150"/>
        <w:jc w:val="left"/>
        <w:rPr>
          <w:rFonts w:asciiTheme="minorEastAsia" w:hAnsiTheme="minorEastAsia" w:eastAsiaTheme="minorEastAsia"/>
          <w:color w:val="auto"/>
          <w:highlight w:val="none"/>
        </w:rPr>
      </w:pPr>
      <w:bookmarkStart w:id="1061" w:name="_Toc16067021"/>
      <w:bookmarkEnd w:id="1061"/>
      <w:bookmarkStart w:id="1062" w:name="_Toc351203652"/>
      <w:r>
        <w:rPr>
          <w:rFonts w:ascii="宋体" w:hAnsi="宋体"/>
          <w:color w:val="auto"/>
          <w:highlight w:val="none"/>
        </w:rPr>
        <w:t xml:space="preserve">21.1 </w:t>
      </w:r>
      <w:r>
        <w:rPr>
          <w:rFonts w:hint="eastAsia" w:ascii="宋体" w:hAnsi="宋体"/>
          <w:color w:val="auto"/>
          <w:highlight w:val="none"/>
        </w:rPr>
        <w:t>凡进入本工程禁止使用童工。</w:t>
      </w:r>
      <w:bookmarkEnd w:id="1062"/>
      <w:r>
        <w:rPr>
          <w:rFonts w:hint="eastAsia" w:cs="Arial" w:asciiTheme="minorEastAsia" w:hAnsiTheme="minorEastAsia" w:eastAsiaTheme="minorEastAsia"/>
          <w:color w:val="auto"/>
          <w:highlight w:val="none"/>
        </w:rPr>
        <w:t>禁止施工人员将施工现场作为生活场所用电、火炉烧水、煮饭。</w:t>
      </w:r>
    </w:p>
    <w:p w14:paraId="29ED882D">
      <w:pPr>
        <w:pageBreakBefore w:val="0"/>
        <w:kinsoku/>
        <w:wordWrap w:val="0"/>
        <w:topLinePunct w:val="0"/>
        <w:spacing w:line="360" w:lineRule="auto"/>
        <w:ind w:firstLine="315" w:firstLineChars="150"/>
        <w:jc w:val="left"/>
        <w:rPr>
          <w:rFonts w:ascii="宋体" w:hAnsi="宋体"/>
          <w:color w:val="auto"/>
          <w:highlight w:val="none"/>
        </w:rPr>
      </w:pPr>
      <w:r>
        <w:rPr>
          <w:rFonts w:ascii="宋体" w:hAnsi="宋体"/>
          <w:color w:val="auto"/>
          <w:highlight w:val="none"/>
        </w:rPr>
        <w:t xml:space="preserve">21.2 </w:t>
      </w:r>
      <w:bookmarkStart w:id="1063" w:name="_Toc16067022"/>
      <w:bookmarkEnd w:id="1063"/>
      <w:r>
        <w:rPr>
          <w:rFonts w:hint="eastAsia" w:ascii="宋体" w:hAnsi="宋体"/>
          <w:color w:val="auto"/>
          <w:highlight w:val="none"/>
        </w:rPr>
        <w:t>建筑材料管理</w:t>
      </w:r>
      <w:r>
        <w:rPr>
          <w:rFonts w:ascii="宋体" w:hAnsi="宋体" w:cs="Calibri"/>
          <w:color w:val="auto"/>
          <w:highlight w:val="none"/>
        </w:rPr>
        <w:t>:</w:t>
      </w:r>
    </w:p>
    <w:p w14:paraId="27B7D799">
      <w:pPr>
        <w:pageBreakBefore w:val="0"/>
        <w:kinsoku/>
        <w:wordWrap w:val="0"/>
        <w:topLinePunct w:val="0"/>
        <w:spacing w:line="360" w:lineRule="auto"/>
        <w:ind w:firstLine="420" w:firstLineChars="200"/>
        <w:jc w:val="left"/>
        <w:rPr>
          <w:rFonts w:asciiTheme="minorEastAsia" w:hAnsiTheme="minorEastAsia" w:eastAsiaTheme="minorEastAsia"/>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）建筑材料采购制度：</w:t>
      </w:r>
      <w:r>
        <w:rPr>
          <w:rFonts w:hint="eastAsia" w:asciiTheme="minorEastAsia" w:hAnsiTheme="minorEastAsia" w:eastAsiaTheme="minorEastAsia"/>
          <w:color w:val="auto"/>
          <w:highlight w:val="none"/>
        </w:rPr>
        <w:t>本工程材料和设备的采购制度:主要的材料和设备采购由施工单位筛选三家以上满足合同约定的合格产品，如在验收中发现存在与本合同约定不符的，材料发包</w:t>
      </w:r>
      <w:r>
        <w:rPr>
          <w:rFonts w:hint="eastAsia" w:ascii="宋体" w:hAnsi="宋体"/>
          <w:color w:val="auto"/>
          <w:highlight w:val="none"/>
        </w:rPr>
        <w:t>人</w:t>
      </w:r>
      <w:r>
        <w:rPr>
          <w:rFonts w:hint="eastAsia" w:asciiTheme="minorEastAsia" w:hAnsiTheme="minorEastAsia" w:eastAsiaTheme="minorEastAsia"/>
          <w:color w:val="auto"/>
          <w:highlight w:val="none"/>
        </w:rPr>
        <w:t>有权要求退货或调换。由此给发包</w:t>
      </w:r>
      <w:r>
        <w:rPr>
          <w:rFonts w:hint="eastAsia" w:ascii="宋体" w:hAnsi="宋体"/>
          <w:color w:val="auto"/>
          <w:highlight w:val="none"/>
        </w:rPr>
        <w:t>人</w:t>
      </w:r>
      <w:r>
        <w:rPr>
          <w:rFonts w:hint="eastAsia" w:asciiTheme="minorEastAsia" w:hAnsiTheme="minorEastAsia" w:eastAsiaTheme="minorEastAsia"/>
          <w:color w:val="auto"/>
          <w:highlight w:val="none"/>
        </w:rPr>
        <w:t>造成的损失(包括工期延误、返工返修及相关方的索赔),由</w:t>
      </w:r>
      <w:r>
        <w:rPr>
          <w:rFonts w:hint="eastAsia" w:ascii="宋体" w:hAnsi="宋体"/>
          <w:color w:val="auto"/>
          <w:highlight w:val="none"/>
        </w:rPr>
        <w:t>承包人</w:t>
      </w:r>
      <w:r>
        <w:rPr>
          <w:rFonts w:hint="eastAsia" w:asciiTheme="minorEastAsia" w:hAnsiTheme="minorEastAsia" w:eastAsiaTheme="minorEastAsia"/>
          <w:color w:val="auto"/>
          <w:highlight w:val="none"/>
        </w:rPr>
        <w:t>按实际发生的损失金额赔偿。。</w:t>
      </w:r>
    </w:p>
    <w:p w14:paraId="231E92CC">
      <w:pPr>
        <w:pageBreakBefore w:val="0"/>
        <w:kinsoku/>
        <w:wordWrap w:val="0"/>
        <w:topLinePunct w:val="0"/>
        <w:spacing w:line="360" w:lineRule="auto"/>
        <w:ind w:firstLine="420" w:firstLineChars="200"/>
        <w:jc w:val="left"/>
        <w:rPr>
          <w:rFonts w:asciiTheme="minorEastAsia" w:hAnsiTheme="minorEastAsia" w:eastAsiaTheme="minorEastAsia"/>
          <w:color w:val="auto"/>
          <w:highlight w:val="none"/>
        </w:rPr>
      </w:pPr>
      <w:bookmarkStart w:id="1064" w:name="_Toc16060029"/>
      <w:bookmarkEnd w:id="1064"/>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）回访制度：对于部分施工现场无法辨别真伪的建筑材料如</w:t>
      </w:r>
      <w:r>
        <w:rPr>
          <w:rFonts w:ascii="宋体" w:hAnsi="宋体" w:cs="Calibri"/>
          <w:color w:val="auto"/>
          <w:highlight w:val="none"/>
        </w:rPr>
        <w:t>:</w:t>
      </w:r>
      <w:r>
        <w:rPr>
          <w:rFonts w:hint="eastAsia" w:ascii="宋体" w:hAnsi="宋体"/>
          <w:color w:val="auto"/>
          <w:highlight w:val="none"/>
        </w:rPr>
        <w:t>防水卷材、门窗、玻璃、腻子、外墙涂料等（详见附件一《房屋建筑及市政工程主要材料设备清单》中的材料名称），要求厂家实行采购后回访制</w:t>
      </w:r>
      <w:r>
        <w:rPr>
          <w:rFonts w:hint="eastAsia" w:asciiTheme="minorEastAsia" w:hAnsiTheme="minorEastAsia" w:eastAsiaTheme="minorEastAsia"/>
          <w:color w:val="auto"/>
          <w:highlight w:val="none"/>
        </w:rPr>
        <w:t>度</w:t>
      </w:r>
      <w:r>
        <w:rPr>
          <w:rFonts w:cs="Calibri" w:asciiTheme="minorEastAsia" w:hAnsiTheme="minorEastAsia" w:eastAsiaTheme="minorEastAsia"/>
          <w:color w:val="auto"/>
          <w:highlight w:val="none"/>
        </w:rPr>
        <w:t>,</w:t>
      </w:r>
      <w:r>
        <w:rPr>
          <w:rFonts w:hint="eastAsia" w:asciiTheme="minorEastAsia" w:hAnsiTheme="minorEastAsia" w:eastAsiaTheme="minorEastAsia"/>
          <w:color w:val="auto"/>
          <w:highlight w:val="none"/>
        </w:rPr>
        <w:t>由厂家派员对本项目使用的材料做书面评定，提交建设单位作为结算依据。</w:t>
      </w:r>
    </w:p>
    <w:p w14:paraId="5ECF883A">
      <w:pPr>
        <w:pageBreakBefore w:val="0"/>
        <w:kinsoku/>
        <w:wordWrap w:val="0"/>
        <w:topLinePunct w:val="0"/>
        <w:ind w:firstLine="420" w:firstLineChars="200"/>
        <w:jc w:val="left"/>
        <w:rPr>
          <w:rFonts w:asciiTheme="minorEastAsia" w:hAnsiTheme="minorEastAsia" w:eastAsiaTheme="minorEastAsia"/>
          <w:color w:val="auto"/>
          <w:highlight w:val="none"/>
        </w:rPr>
      </w:pPr>
      <w:r>
        <w:rPr>
          <w:rFonts w:asciiTheme="minorEastAsia" w:hAnsiTheme="minorEastAsia" w:eastAsiaTheme="minorEastAsia"/>
          <w:color w:val="auto"/>
          <w:highlight w:val="none"/>
        </w:rPr>
        <w:t>21.3</w:t>
      </w:r>
      <w:r>
        <w:rPr>
          <w:rFonts w:hint="eastAsia" w:asciiTheme="minorEastAsia" w:hAnsiTheme="minorEastAsia" w:eastAsiaTheme="minorEastAsia"/>
          <w:color w:val="auto"/>
          <w:highlight w:val="none"/>
        </w:rPr>
        <w:t>承包人须无条作配合和协助专业人员将不列入承包范围内的空调、LED拼接屏、监控设备采购等的安装和试调工作。</w:t>
      </w:r>
    </w:p>
    <w:p w14:paraId="06EDC71B">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21.</w:t>
      </w:r>
      <w:r>
        <w:rPr>
          <w:rFonts w:hint="eastAsia" w:ascii="宋体" w:hAnsi="宋体"/>
          <w:color w:val="auto"/>
          <w:highlight w:val="none"/>
        </w:rPr>
        <w:t>4</w:t>
      </w:r>
      <w:r>
        <w:rPr>
          <w:rFonts w:hint="eastAsia" w:cs="Arial" w:asciiTheme="minorEastAsia" w:hAnsiTheme="minorEastAsia" w:eastAsiaTheme="minorEastAsia"/>
          <w:color w:val="auto"/>
          <w:highlight w:val="none"/>
        </w:rPr>
        <w:t>原</w:t>
      </w:r>
      <w:r>
        <w:rPr>
          <w:rFonts w:cs="Arial" w:asciiTheme="minorEastAsia" w:hAnsiTheme="minorEastAsia" w:eastAsiaTheme="minorEastAsia"/>
          <w:color w:val="auto"/>
          <w:highlight w:val="none"/>
        </w:rPr>
        <w:t>建（构）筑物内设置的火灾自动报警系统、自动喷水灭火系统、消火栓系统</w:t>
      </w:r>
      <w:r>
        <w:rPr>
          <w:rFonts w:hint="eastAsia" w:cs="Arial" w:asciiTheme="minorEastAsia" w:hAnsiTheme="minorEastAsia" w:eastAsiaTheme="minorEastAsia"/>
          <w:color w:val="auto"/>
          <w:highlight w:val="none"/>
        </w:rPr>
        <w:t>、</w:t>
      </w:r>
      <w:r>
        <w:rPr>
          <w:rFonts w:cs="Arial" w:asciiTheme="minorEastAsia" w:hAnsiTheme="minorEastAsia" w:eastAsiaTheme="minorEastAsia"/>
          <w:color w:val="auto"/>
          <w:highlight w:val="none"/>
        </w:rPr>
        <w:t>防火门及防火卷帘等</w:t>
      </w:r>
      <w:r>
        <w:rPr>
          <w:rFonts w:hint="eastAsia" w:cs="Arial" w:asciiTheme="minorEastAsia" w:hAnsiTheme="minorEastAsia" w:eastAsiaTheme="minorEastAsia"/>
          <w:color w:val="auto"/>
          <w:highlight w:val="none"/>
        </w:rPr>
        <w:t>安全消</w:t>
      </w:r>
      <w:r>
        <w:rPr>
          <w:rFonts w:cs="Arial" w:asciiTheme="minorEastAsia" w:hAnsiTheme="minorEastAsia" w:eastAsiaTheme="minorEastAsia"/>
          <w:color w:val="auto"/>
          <w:highlight w:val="none"/>
        </w:rPr>
        <w:t>防的设施</w:t>
      </w:r>
      <w:r>
        <w:rPr>
          <w:rFonts w:hint="eastAsia" w:cs="Arial" w:asciiTheme="minorEastAsia" w:hAnsiTheme="minorEastAsia" w:eastAsiaTheme="minorEastAsia"/>
          <w:color w:val="auto"/>
          <w:highlight w:val="none"/>
        </w:rPr>
        <w:t>,</w:t>
      </w:r>
      <w:r>
        <w:rPr>
          <w:rFonts w:hint="eastAsia" w:asciiTheme="minorEastAsia" w:hAnsiTheme="minorEastAsia" w:eastAsiaTheme="minorEastAsia"/>
          <w:color w:val="auto"/>
          <w:highlight w:val="none"/>
        </w:rPr>
        <w:t xml:space="preserve"> 承包人在施工中不得</w:t>
      </w:r>
      <w:r>
        <w:rPr>
          <w:rFonts w:hint="eastAsia" w:ascii="宋体" w:hAnsi="宋体"/>
          <w:color w:val="auto"/>
          <w:highlight w:val="none"/>
        </w:rPr>
        <w:t>损坏和移动。如有损坏，</w:t>
      </w:r>
      <w:r>
        <w:rPr>
          <w:rFonts w:hint="eastAsia" w:asciiTheme="minorEastAsia" w:hAnsiTheme="minorEastAsia" w:eastAsiaTheme="minorEastAsia"/>
          <w:color w:val="auto"/>
          <w:highlight w:val="none"/>
        </w:rPr>
        <w:t>承包人要</w:t>
      </w:r>
      <w:r>
        <w:rPr>
          <w:rFonts w:hint="eastAsia" w:ascii="宋体" w:hAnsi="宋体"/>
          <w:color w:val="auto"/>
          <w:highlight w:val="none"/>
        </w:rPr>
        <w:t>照价赔偿。</w:t>
      </w:r>
    </w:p>
    <w:p w14:paraId="4F3A571C">
      <w:pPr>
        <w:pageBreakBefore w:val="0"/>
        <w:kinsoku/>
        <w:wordWrap w:val="0"/>
        <w:topLinePunct w:val="0"/>
        <w:spacing w:line="360" w:lineRule="auto"/>
        <w:ind w:firstLine="420" w:firstLineChars="200"/>
        <w:jc w:val="left"/>
        <w:rPr>
          <w:rFonts w:asciiTheme="minorEastAsia" w:hAnsiTheme="minorEastAsia" w:eastAsiaTheme="minorEastAsia"/>
          <w:color w:val="auto"/>
          <w:highlight w:val="none"/>
        </w:rPr>
      </w:pPr>
      <w:r>
        <w:rPr>
          <w:rFonts w:ascii="宋体" w:hAnsi="宋体"/>
          <w:color w:val="auto"/>
          <w:highlight w:val="none"/>
        </w:rPr>
        <w:t>21.</w:t>
      </w:r>
      <w:r>
        <w:rPr>
          <w:rFonts w:hint="eastAsia" w:ascii="宋体" w:hAnsi="宋体"/>
          <w:color w:val="auto"/>
          <w:highlight w:val="none"/>
        </w:rPr>
        <w:t>5本项目的书架及桌椅为定制采购产品，在向厂家预定</w:t>
      </w:r>
      <w:r>
        <w:rPr>
          <w:color w:val="auto"/>
          <w:sz w:val="19"/>
          <w:szCs w:val="19"/>
          <w:highlight w:val="none"/>
        </w:rPr>
        <w:t>招标的范围并达到规定标准的</w:t>
      </w:r>
      <w:r>
        <w:rPr>
          <w:rFonts w:hint="eastAsia" w:ascii="宋体" w:hAnsi="宋体"/>
          <w:color w:val="auto"/>
          <w:highlight w:val="none"/>
        </w:rPr>
        <w:t>书架及桌椅产品时，当承包人出现资金上困难，可发包人提出书面申请，发包人应当提前预付给承包人定制此类产品的部分货款。</w:t>
      </w:r>
    </w:p>
    <w:p w14:paraId="7B84CB0A">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21.</w:t>
      </w:r>
      <w:r>
        <w:rPr>
          <w:rFonts w:hint="eastAsia" w:ascii="宋体" w:hAnsi="宋体"/>
          <w:color w:val="auto"/>
          <w:highlight w:val="none"/>
        </w:rPr>
        <w:t>6承包人在发包人要求撤离时间未能完成撤离的，经向发包人催告后仍未完成撤离的，发包人有权申请有管辖权的人民法院进行强制撤离。</w:t>
      </w:r>
    </w:p>
    <w:p w14:paraId="0EA2A8A6">
      <w:pPr>
        <w:pageBreakBefore w:val="0"/>
        <w:kinsoku/>
        <w:wordWrap w:val="0"/>
        <w:topLinePunct w:val="0"/>
        <w:spacing w:line="360" w:lineRule="auto"/>
        <w:jc w:val="left"/>
        <w:rPr>
          <w:rFonts w:ascii="宋体" w:hAnsi="宋体"/>
          <w:b/>
          <w:bCs/>
          <w:color w:val="auto"/>
          <w:highlight w:val="none"/>
        </w:rPr>
      </w:pPr>
      <w:r>
        <w:rPr>
          <w:rFonts w:hint="eastAsia" w:ascii="宋体" w:hAnsi="宋体"/>
          <w:b/>
          <w:bCs/>
          <w:color w:val="auto"/>
          <w:highlight w:val="none"/>
        </w:rPr>
        <w:t>附件</w:t>
      </w:r>
    </w:p>
    <w:p w14:paraId="6A956F3D">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1</w:t>
      </w:r>
      <w:r>
        <w:rPr>
          <w:rFonts w:hint="eastAsia" w:ascii="宋体" w:hAnsi="宋体"/>
          <w:color w:val="auto"/>
          <w:highlight w:val="none"/>
        </w:rPr>
        <w:t>：承包人承揽工程项目一览表</w:t>
      </w:r>
    </w:p>
    <w:p w14:paraId="199CB8FB">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2</w:t>
      </w:r>
      <w:r>
        <w:rPr>
          <w:rFonts w:hint="eastAsia" w:ascii="宋体" w:hAnsi="宋体"/>
          <w:color w:val="auto"/>
          <w:highlight w:val="none"/>
        </w:rPr>
        <w:t>：工程质量保修书</w:t>
      </w:r>
    </w:p>
    <w:p w14:paraId="14B0B8D3">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3</w:t>
      </w:r>
      <w:r>
        <w:rPr>
          <w:rFonts w:hint="eastAsia" w:ascii="宋体" w:hAnsi="宋体"/>
          <w:color w:val="auto"/>
          <w:highlight w:val="none"/>
        </w:rPr>
        <w:t>：主要建设工程文件目录</w:t>
      </w:r>
    </w:p>
    <w:p w14:paraId="1DF213BF">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4</w:t>
      </w:r>
      <w:r>
        <w:rPr>
          <w:rFonts w:hint="eastAsia" w:ascii="宋体" w:hAnsi="宋体"/>
          <w:color w:val="auto"/>
          <w:highlight w:val="none"/>
        </w:rPr>
        <w:t>：承包人用于本工程施工的机械设备表</w:t>
      </w:r>
    </w:p>
    <w:p w14:paraId="00A2DF47">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5</w:t>
      </w:r>
      <w:r>
        <w:rPr>
          <w:rFonts w:hint="eastAsia" w:ascii="宋体" w:hAnsi="宋体"/>
          <w:color w:val="auto"/>
          <w:highlight w:val="none"/>
        </w:rPr>
        <w:t>：承包人主要施工管理人员表</w:t>
      </w:r>
    </w:p>
    <w:p w14:paraId="459D3D07">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6</w:t>
      </w:r>
      <w:r>
        <w:rPr>
          <w:rFonts w:hint="eastAsia" w:ascii="宋体" w:hAnsi="宋体"/>
          <w:color w:val="auto"/>
          <w:highlight w:val="none"/>
        </w:rPr>
        <w:t>：分包人主要施工管理人员表</w:t>
      </w:r>
    </w:p>
    <w:p w14:paraId="55D76A76">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7</w:t>
      </w:r>
      <w:r>
        <w:rPr>
          <w:rFonts w:hint="eastAsia" w:ascii="宋体" w:hAnsi="宋体"/>
          <w:color w:val="auto"/>
          <w:highlight w:val="none"/>
        </w:rPr>
        <w:t>：履约担保格式</w:t>
      </w:r>
    </w:p>
    <w:p w14:paraId="1FD30C6B">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8</w:t>
      </w:r>
      <w:r>
        <w:rPr>
          <w:rFonts w:hint="eastAsia" w:ascii="宋体" w:hAnsi="宋体"/>
          <w:color w:val="auto"/>
          <w:highlight w:val="none"/>
        </w:rPr>
        <w:t>：预付款担保格式</w:t>
      </w:r>
    </w:p>
    <w:p w14:paraId="304E7B2D">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9</w:t>
      </w:r>
      <w:r>
        <w:rPr>
          <w:rFonts w:hint="eastAsia" w:ascii="宋体" w:hAnsi="宋体"/>
          <w:color w:val="auto"/>
          <w:highlight w:val="none"/>
        </w:rPr>
        <w:t>：支付担保格式</w:t>
      </w:r>
    </w:p>
    <w:p w14:paraId="3159F93C">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10</w:t>
      </w:r>
      <w:r>
        <w:rPr>
          <w:rFonts w:hint="eastAsia" w:ascii="宋体" w:hAnsi="宋体"/>
          <w:color w:val="auto"/>
          <w:highlight w:val="none"/>
        </w:rPr>
        <w:t>：预付款支付申请（核准）表</w:t>
      </w:r>
    </w:p>
    <w:p w14:paraId="3C1E62F0">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11</w:t>
      </w:r>
      <w:r>
        <w:rPr>
          <w:rFonts w:hint="eastAsia" w:ascii="宋体" w:hAnsi="宋体"/>
          <w:color w:val="auto"/>
          <w:highlight w:val="none"/>
        </w:rPr>
        <w:t>：进度款支付申请（核准）表</w:t>
      </w:r>
    </w:p>
    <w:p w14:paraId="5CB5DCEF">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12</w:t>
      </w:r>
      <w:r>
        <w:rPr>
          <w:rFonts w:hint="eastAsia" w:ascii="宋体" w:hAnsi="宋体"/>
          <w:color w:val="auto"/>
          <w:highlight w:val="none"/>
        </w:rPr>
        <w:t>：竣工结算款支付申请（核准）表</w:t>
      </w:r>
    </w:p>
    <w:p w14:paraId="269F4C4F">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13</w:t>
      </w:r>
      <w:r>
        <w:rPr>
          <w:rFonts w:hint="eastAsia" w:ascii="宋体" w:hAnsi="宋体"/>
          <w:color w:val="auto"/>
          <w:highlight w:val="none"/>
        </w:rPr>
        <w:t>：最终结算款支付申请（核准）表</w:t>
      </w:r>
    </w:p>
    <w:p w14:paraId="1D3CE1F4">
      <w:pPr>
        <w:pageBreakBefore w:val="0"/>
        <w:kinsoku/>
        <w:wordWrap w:val="0"/>
        <w:topLinePunct w:val="0"/>
        <w:spacing w:line="380" w:lineRule="exact"/>
        <w:jc w:val="left"/>
        <w:rPr>
          <w:rFonts w:ascii="宋体" w:hAnsi="宋体"/>
          <w:color w:val="auto"/>
          <w:highlight w:val="none"/>
        </w:rPr>
      </w:pPr>
      <w:r>
        <w:rPr>
          <w:rFonts w:hint="eastAsia" w:ascii="宋体" w:hAnsi="宋体"/>
          <w:color w:val="auto"/>
          <w:highlight w:val="none"/>
        </w:rPr>
        <w:t>附件</w:t>
      </w:r>
      <w:r>
        <w:rPr>
          <w:rFonts w:ascii="宋体" w:hAnsi="宋体"/>
          <w:color w:val="auto"/>
          <w:highlight w:val="none"/>
        </w:rPr>
        <w:t>14</w:t>
      </w:r>
      <w:r>
        <w:rPr>
          <w:rFonts w:hint="eastAsia" w:ascii="宋体" w:hAnsi="宋体"/>
          <w:color w:val="auto"/>
          <w:highlight w:val="none"/>
        </w:rPr>
        <w:t>：总价合同进度款支付分解表</w:t>
      </w:r>
    </w:p>
    <w:p w14:paraId="407F0C00">
      <w:pPr>
        <w:pStyle w:val="187"/>
        <w:pageBreakBefore w:val="0"/>
        <w:kinsoku/>
        <w:wordWrap w:val="0"/>
        <w:topLinePunct w:val="0"/>
        <w:rPr>
          <w:rFonts w:asciiTheme="minorEastAsia" w:hAnsiTheme="minorEastAsia" w:eastAsiaTheme="minorEastAsia"/>
          <w:color w:val="auto"/>
          <w:szCs w:val="21"/>
          <w:highlight w:val="none"/>
        </w:rPr>
      </w:pPr>
      <w:r>
        <w:rPr>
          <w:rFonts w:hint="eastAsia" w:ascii="宋体" w:hAnsi="宋体"/>
          <w:color w:val="auto"/>
          <w:highlight w:val="none"/>
        </w:rPr>
        <w:t>附件</w:t>
      </w:r>
      <w:r>
        <w:rPr>
          <w:rFonts w:ascii="宋体" w:hAnsi="宋体"/>
          <w:color w:val="auto"/>
          <w:highlight w:val="none"/>
        </w:rPr>
        <w:t>1</w:t>
      </w:r>
      <w:r>
        <w:rPr>
          <w:rFonts w:hint="eastAsia" w:ascii="宋体" w:hAnsi="宋体"/>
          <w:color w:val="auto"/>
          <w:highlight w:val="none"/>
        </w:rPr>
        <w:t>5：</w:t>
      </w:r>
      <w:r>
        <w:rPr>
          <w:rFonts w:hint="eastAsia" w:asciiTheme="minorEastAsia" w:hAnsiTheme="minorEastAsia" w:eastAsiaTheme="minorEastAsia"/>
          <w:color w:val="auto"/>
          <w:szCs w:val="21"/>
          <w:highlight w:val="none"/>
        </w:rPr>
        <w:t>施工安全责任协议书</w:t>
      </w:r>
    </w:p>
    <w:p w14:paraId="6D82BD79">
      <w:pPr>
        <w:pageBreakBefore w:val="0"/>
        <w:kinsoku/>
        <w:wordWrap w:val="0"/>
        <w:topLinePunct w:val="0"/>
        <w:rPr>
          <w:rFonts w:ascii="宋体" w:hAnsi="宋体"/>
          <w:color w:val="auto"/>
          <w:sz w:val="30"/>
          <w:szCs w:val="30"/>
          <w:highlight w:val="none"/>
        </w:rPr>
      </w:pPr>
    </w:p>
    <w:p w14:paraId="46121F92">
      <w:pPr>
        <w:pageBreakBefore w:val="0"/>
        <w:kinsoku/>
        <w:wordWrap w:val="0"/>
        <w:topLinePunct w:val="0"/>
        <w:rPr>
          <w:rFonts w:ascii="宋体" w:hAnsi="宋体"/>
          <w:color w:val="auto"/>
          <w:sz w:val="30"/>
          <w:szCs w:val="30"/>
          <w:highlight w:val="none"/>
        </w:rPr>
      </w:pPr>
    </w:p>
    <w:p w14:paraId="3C5FF74F">
      <w:pPr>
        <w:pageBreakBefore w:val="0"/>
        <w:kinsoku/>
        <w:wordWrap w:val="0"/>
        <w:topLinePunct w:val="0"/>
        <w:rPr>
          <w:rFonts w:ascii="宋体" w:hAnsi="宋体"/>
          <w:color w:val="auto"/>
          <w:sz w:val="30"/>
          <w:szCs w:val="30"/>
          <w:highlight w:val="none"/>
        </w:rPr>
      </w:pPr>
    </w:p>
    <w:p w14:paraId="24EE3580">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47539EE8">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1</w:t>
      </w:r>
      <w:r>
        <w:rPr>
          <w:rFonts w:hint="eastAsia" w:ascii="宋体" w:hAnsi="宋体"/>
          <w:color w:val="auto"/>
          <w:sz w:val="30"/>
          <w:szCs w:val="30"/>
          <w:highlight w:val="none"/>
        </w:rPr>
        <w:t>：承包人承揽工程项目一览表</w:t>
      </w:r>
    </w:p>
    <w:tbl>
      <w:tblPr>
        <w:tblStyle w:val="48"/>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63"/>
        <w:gridCol w:w="1063"/>
        <w:gridCol w:w="1193"/>
        <w:gridCol w:w="1223"/>
        <w:gridCol w:w="636"/>
        <w:gridCol w:w="1150"/>
        <w:gridCol w:w="1559"/>
        <w:gridCol w:w="1046"/>
        <w:gridCol w:w="637"/>
        <w:gridCol w:w="636"/>
      </w:tblGrid>
      <w:tr w14:paraId="70AB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3CA4526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单位工程名称</w:t>
            </w:r>
          </w:p>
        </w:tc>
        <w:tc>
          <w:tcPr>
            <w:tcW w:w="1063" w:type="dxa"/>
            <w:tcBorders>
              <w:left w:val="nil"/>
            </w:tcBorders>
            <w:vAlign w:val="center"/>
          </w:tcPr>
          <w:p w14:paraId="46DD72D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建设规模</w:t>
            </w:r>
          </w:p>
        </w:tc>
        <w:tc>
          <w:tcPr>
            <w:tcW w:w="1193" w:type="dxa"/>
            <w:tcBorders>
              <w:left w:val="nil"/>
            </w:tcBorders>
            <w:vAlign w:val="center"/>
          </w:tcPr>
          <w:p w14:paraId="443974A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建筑面积</w:t>
            </w:r>
            <w:r>
              <w:rPr>
                <w:rFonts w:ascii="宋体" w:hAnsi="宋体"/>
                <w:color w:val="auto"/>
                <w:sz w:val="28"/>
                <w:szCs w:val="28"/>
                <w:highlight w:val="none"/>
              </w:rPr>
              <w:t>(</w:t>
            </w:r>
            <w:r>
              <w:rPr>
                <w:rFonts w:hint="eastAsia" w:ascii="宋体" w:hAnsi="宋体"/>
                <w:color w:val="auto"/>
                <w:sz w:val="28"/>
                <w:szCs w:val="28"/>
                <w:highlight w:val="none"/>
              </w:rPr>
              <w:t>平方米</w:t>
            </w:r>
            <w:r>
              <w:rPr>
                <w:rFonts w:ascii="宋体" w:hAnsi="宋体"/>
                <w:color w:val="auto"/>
                <w:sz w:val="28"/>
                <w:szCs w:val="28"/>
                <w:highlight w:val="none"/>
              </w:rPr>
              <w:t>)</w:t>
            </w:r>
          </w:p>
        </w:tc>
        <w:tc>
          <w:tcPr>
            <w:tcW w:w="1223" w:type="dxa"/>
            <w:tcBorders>
              <w:left w:val="nil"/>
            </w:tcBorders>
            <w:vAlign w:val="center"/>
          </w:tcPr>
          <w:p w14:paraId="17D3ADB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结构形式</w:t>
            </w:r>
          </w:p>
        </w:tc>
        <w:tc>
          <w:tcPr>
            <w:tcW w:w="636" w:type="dxa"/>
            <w:tcBorders>
              <w:left w:val="nil"/>
            </w:tcBorders>
            <w:vAlign w:val="center"/>
          </w:tcPr>
          <w:p w14:paraId="7A950D2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层数</w:t>
            </w:r>
          </w:p>
        </w:tc>
        <w:tc>
          <w:tcPr>
            <w:tcW w:w="1150" w:type="dxa"/>
            <w:tcBorders>
              <w:left w:val="nil"/>
            </w:tcBorders>
            <w:vAlign w:val="center"/>
          </w:tcPr>
          <w:p w14:paraId="19C86ED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生产能力</w:t>
            </w:r>
          </w:p>
        </w:tc>
        <w:tc>
          <w:tcPr>
            <w:tcW w:w="1559" w:type="dxa"/>
            <w:tcBorders>
              <w:left w:val="nil"/>
            </w:tcBorders>
            <w:vAlign w:val="center"/>
          </w:tcPr>
          <w:p w14:paraId="1315819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设备安装内容</w:t>
            </w:r>
          </w:p>
        </w:tc>
        <w:tc>
          <w:tcPr>
            <w:tcW w:w="1046" w:type="dxa"/>
            <w:tcBorders>
              <w:left w:val="nil"/>
            </w:tcBorders>
            <w:vAlign w:val="center"/>
          </w:tcPr>
          <w:p w14:paraId="51AF092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合同价格（元）</w:t>
            </w:r>
          </w:p>
        </w:tc>
        <w:tc>
          <w:tcPr>
            <w:tcW w:w="637" w:type="dxa"/>
            <w:tcBorders>
              <w:left w:val="nil"/>
            </w:tcBorders>
            <w:vAlign w:val="center"/>
          </w:tcPr>
          <w:p w14:paraId="544E19A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开工日期</w:t>
            </w:r>
          </w:p>
        </w:tc>
        <w:tc>
          <w:tcPr>
            <w:tcW w:w="636" w:type="dxa"/>
            <w:tcBorders>
              <w:left w:val="nil"/>
            </w:tcBorders>
            <w:vAlign w:val="center"/>
          </w:tcPr>
          <w:p w14:paraId="697BAFD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竣工日期</w:t>
            </w:r>
          </w:p>
        </w:tc>
      </w:tr>
      <w:tr w14:paraId="20BE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2C210AC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738CB01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4DC7BEE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1D861BD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22C44F4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2547A82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4416113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696293F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3158B0E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00A34E5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7660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05E07AB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121CD87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627625B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1001037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1B3D573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2738B7C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3591761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4B950E7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49A247D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0910A92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0F3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2EB820B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0EC67FD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1A65A5A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52040EE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4796D19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1A0916F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19C05B6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0434134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19784E8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2222E8F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7828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36A4AF3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4FEEF7F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1D2D92E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55976A3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26EEF0E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4E04782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7A29F78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4AD0BC5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4C7C0B3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4B59361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2121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1DB4576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6B066F4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1A1B81B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3E19C16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3FACBC5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52F9FDE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08DA3B8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18908AF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43B0219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3ACE0C7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786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2E7C1C1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4CF9B0A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14CD542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5F3B979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3A7CA3C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30ECE59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490CBE5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7BAB8A7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77CCE6A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6D8661C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805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179FDA4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126C599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466662A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376EA3D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7D70A1C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71A6327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14DE100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47EFB8C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05A927D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3A0629D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34B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0503959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227CC24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6A8A9F2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56A4385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31E1279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629223F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088EAF6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1C0E3A1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6247F0A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25B8A2A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E2F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7DE0BFF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6BCC40A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16E31A8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3488181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334F532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2A33255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3C8A9A5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3A9C517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39978B8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3AB6E42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1E4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1063" w:type="dxa"/>
            <w:vAlign w:val="center"/>
          </w:tcPr>
          <w:p w14:paraId="3FA2E0A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63" w:type="dxa"/>
            <w:tcBorders>
              <w:left w:val="nil"/>
            </w:tcBorders>
            <w:vAlign w:val="center"/>
          </w:tcPr>
          <w:p w14:paraId="7EA94FA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93" w:type="dxa"/>
            <w:tcBorders>
              <w:left w:val="nil"/>
            </w:tcBorders>
            <w:vAlign w:val="center"/>
          </w:tcPr>
          <w:p w14:paraId="65B183B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23" w:type="dxa"/>
            <w:tcBorders>
              <w:left w:val="nil"/>
            </w:tcBorders>
            <w:vAlign w:val="center"/>
          </w:tcPr>
          <w:p w14:paraId="2C5F5D3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6BCB628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50" w:type="dxa"/>
            <w:tcBorders>
              <w:left w:val="nil"/>
            </w:tcBorders>
            <w:vAlign w:val="center"/>
          </w:tcPr>
          <w:p w14:paraId="16990A9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559" w:type="dxa"/>
            <w:tcBorders>
              <w:left w:val="nil"/>
            </w:tcBorders>
            <w:vAlign w:val="center"/>
          </w:tcPr>
          <w:p w14:paraId="2447EA1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46" w:type="dxa"/>
            <w:tcBorders>
              <w:left w:val="nil"/>
            </w:tcBorders>
            <w:vAlign w:val="center"/>
          </w:tcPr>
          <w:p w14:paraId="14AB0E7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7" w:type="dxa"/>
            <w:tcBorders>
              <w:left w:val="nil"/>
            </w:tcBorders>
            <w:vAlign w:val="center"/>
          </w:tcPr>
          <w:p w14:paraId="7F9CD7C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636" w:type="dxa"/>
            <w:tcBorders>
              <w:left w:val="nil"/>
            </w:tcBorders>
            <w:vAlign w:val="center"/>
          </w:tcPr>
          <w:p w14:paraId="1AA9C1A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bl>
    <w:p w14:paraId="72762A48">
      <w:pPr>
        <w:pageBreakBefore w:val="0"/>
        <w:kinsoku/>
        <w:wordWrap w:val="0"/>
        <w:topLinePunct w:val="0"/>
        <w:spacing w:line="460" w:lineRule="exact"/>
        <w:ind w:firstLine="420" w:firstLineChars="200"/>
        <w:jc w:val="center"/>
        <w:rPr>
          <w:rFonts w:ascii="宋体" w:hAnsi="宋体"/>
          <w:color w:val="auto"/>
          <w:highlight w:val="none"/>
        </w:rPr>
      </w:pPr>
    </w:p>
    <w:p w14:paraId="51A3CC70">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1</w:t>
      </w:r>
      <w:r>
        <w:rPr>
          <w:rFonts w:hint="eastAsia" w:ascii="宋体" w:hAnsi="宋体"/>
          <w:color w:val="auto"/>
          <w:highlight w:val="none"/>
          <w:u w:val="single"/>
        </w:rPr>
        <w:t>）承包人应根据施工进度计划，在签订暂估价项目的采购合同、分包合同前</w:t>
      </w:r>
      <w:r>
        <w:rPr>
          <w:rFonts w:ascii="宋体" w:hAnsi="宋体"/>
          <w:color w:val="auto"/>
          <w:highlight w:val="none"/>
          <w:u w:val="single"/>
        </w:rPr>
        <w:t>28</w:t>
      </w:r>
      <w:r>
        <w:rPr>
          <w:rFonts w:hint="eastAsia" w:ascii="宋体" w:hAnsi="宋体"/>
          <w:color w:val="auto"/>
          <w:highlight w:val="none"/>
          <w:u w:val="single"/>
        </w:rPr>
        <w:t>天向监理人提出书面申请。监理人应当在收到申请后</w:t>
      </w:r>
      <w:r>
        <w:rPr>
          <w:rFonts w:ascii="宋体" w:hAnsi="宋体"/>
          <w:color w:val="auto"/>
          <w:highlight w:val="none"/>
          <w:u w:val="single"/>
        </w:rPr>
        <w:t>3</w:t>
      </w:r>
      <w:r>
        <w:rPr>
          <w:rFonts w:hint="eastAsia" w:ascii="宋体" w:hAnsi="宋体"/>
          <w:color w:val="auto"/>
          <w:highlight w:val="none"/>
          <w:u w:val="single"/>
        </w:rPr>
        <w:t>天内报送发包人，发包人应当在收到申请后</w:t>
      </w:r>
      <w:r>
        <w:rPr>
          <w:rFonts w:ascii="宋体" w:hAnsi="宋体"/>
          <w:color w:val="auto"/>
          <w:highlight w:val="none"/>
          <w:u w:val="single"/>
        </w:rPr>
        <w:t>14</w:t>
      </w:r>
      <w:r>
        <w:rPr>
          <w:rFonts w:hint="eastAsia" w:ascii="宋体" w:hAnsi="宋体"/>
          <w:color w:val="auto"/>
          <w:highlight w:val="none"/>
          <w:u w:val="single"/>
        </w:rPr>
        <w:t>天内给予批准或提出修改意见，发包人逾期未予批准或提出修改意见的，视为该书面申请已获得同意；</w:t>
      </w:r>
    </w:p>
    <w:p w14:paraId="44A63BFC">
      <w:pPr>
        <w:pageBreakBefore w:val="0"/>
        <w:kinsoku/>
        <w:wordWrap w:val="0"/>
        <w:topLinePunct w:val="0"/>
        <w:spacing w:line="360" w:lineRule="auto"/>
        <w:ind w:firstLine="420"/>
        <w:jc w:val="left"/>
        <w:rPr>
          <w:rFonts w:ascii="宋体" w:hAnsi="宋体"/>
          <w:color w:val="auto"/>
          <w:highlight w:val="none"/>
          <w:u w:val="single"/>
        </w:rPr>
      </w:pPr>
      <w:r>
        <w:rPr>
          <w:rFonts w:hint="eastAsia" w:ascii="宋体" w:hAnsi="宋体"/>
          <w:color w:val="auto"/>
          <w:highlight w:val="none"/>
          <w:u w:val="single"/>
        </w:rPr>
        <w:t>（</w:t>
      </w:r>
      <w:r>
        <w:rPr>
          <w:rFonts w:ascii="宋体" w:hAnsi="宋体"/>
          <w:color w:val="auto"/>
          <w:highlight w:val="none"/>
          <w:u w:val="single"/>
        </w:rPr>
        <w:t>2</w:t>
      </w:r>
      <w:r>
        <w:rPr>
          <w:rFonts w:hint="eastAsia" w:ascii="宋体" w:hAnsi="宋体"/>
          <w:color w:val="auto"/>
          <w:highlight w:val="none"/>
          <w:u w:val="single"/>
        </w:rPr>
        <w:t>）发包人认为承包人确定的供应商、分包人无法满足工程质量或合同要求的，发包人可以要求承包人重新确定暂估价项目的供应商、分包人；</w:t>
      </w:r>
    </w:p>
    <w:p w14:paraId="617134CA">
      <w:pPr>
        <w:pageBreakBefore w:val="0"/>
        <w:kinsoku/>
        <w:wordWrap w:val="0"/>
        <w:topLinePunct w:val="0"/>
        <w:spacing w:line="460" w:lineRule="exact"/>
        <w:ind w:firstLine="420" w:firstLineChars="200"/>
        <w:rPr>
          <w:rFonts w:ascii="宋体" w:hAnsi="宋体"/>
          <w:color w:val="auto"/>
          <w:highlight w:val="none"/>
        </w:rPr>
      </w:pPr>
    </w:p>
    <w:p w14:paraId="04A4C6C0">
      <w:pPr>
        <w:pageBreakBefore w:val="0"/>
        <w:kinsoku/>
        <w:wordWrap w:val="0"/>
        <w:topLinePunct w:val="0"/>
        <w:spacing w:line="460" w:lineRule="exact"/>
        <w:ind w:firstLine="420" w:firstLineChars="200"/>
        <w:rPr>
          <w:rFonts w:ascii="宋体" w:hAnsi="宋体"/>
          <w:color w:val="auto"/>
          <w:highlight w:val="none"/>
        </w:rPr>
      </w:pPr>
    </w:p>
    <w:p w14:paraId="5201D09F">
      <w:pPr>
        <w:pageBreakBefore w:val="0"/>
        <w:kinsoku/>
        <w:wordWrap w:val="0"/>
        <w:topLinePunct w:val="0"/>
        <w:spacing w:line="440" w:lineRule="exact"/>
        <w:rPr>
          <w:b/>
          <w:color w:val="auto"/>
          <w:kern w:val="0"/>
          <w:sz w:val="28"/>
          <w:szCs w:val="20"/>
          <w:highlight w:val="none"/>
        </w:rPr>
      </w:pPr>
    </w:p>
    <w:p w14:paraId="45A10B3C">
      <w:pPr>
        <w:pageBreakBefore w:val="0"/>
        <w:kinsoku/>
        <w:wordWrap w:val="0"/>
        <w:topLinePunct w:val="0"/>
        <w:spacing w:line="440" w:lineRule="exact"/>
        <w:rPr>
          <w:rFonts w:ascii="宋体" w:hAnsi="宋体"/>
          <w:color w:val="auto"/>
          <w:sz w:val="30"/>
          <w:szCs w:val="30"/>
          <w:highlight w:val="none"/>
        </w:rPr>
      </w:pPr>
    </w:p>
    <w:p w14:paraId="062FBEEB">
      <w:pPr>
        <w:pageBreakBefore w:val="0"/>
        <w:kinsoku/>
        <w:wordWrap w:val="0"/>
        <w:topLinePunct w:val="0"/>
        <w:spacing w:line="440" w:lineRule="exact"/>
        <w:rPr>
          <w:rFonts w:ascii="宋体" w:hAnsi="宋体"/>
          <w:color w:val="auto"/>
          <w:sz w:val="30"/>
          <w:szCs w:val="30"/>
          <w:highlight w:val="none"/>
        </w:rPr>
      </w:pPr>
    </w:p>
    <w:p w14:paraId="7B87EF9B">
      <w:pPr>
        <w:pageBreakBefore w:val="0"/>
        <w:kinsoku/>
        <w:wordWrap w:val="0"/>
        <w:topLinePunct w:val="0"/>
        <w:spacing w:line="440" w:lineRule="exact"/>
        <w:rPr>
          <w:rFonts w:ascii="宋体" w:hAnsi="宋体"/>
          <w:color w:val="auto"/>
          <w:sz w:val="30"/>
          <w:szCs w:val="30"/>
          <w:highlight w:val="none"/>
        </w:rPr>
      </w:pPr>
    </w:p>
    <w:p w14:paraId="11803C35">
      <w:pPr>
        <w:pageBreakBefore w:val="0"/>
        <w:kinsoku/>
        <w:wordWrap w:val="0"/>
        <w:topLinePunct w:val="0"/>
        <w:spacing w:line="440" w:lineRule="exact"/>
        <w:rPr>
          <w:rFonts w:ascii="宋体" w:hAnsi="宋体"/>
          <w:color w:val="auto"/>
          <w:sz w:val="30"/>
          <w:szCs w:val="30"/>
          <w:highlight w:val="none"/>
        </w:rPr>
      </w:pPr>
    </w:p>
    <w:p w14:paraId="7BC6C53F">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771F4472">
      <w:pPr>
        <w:pageBreakBefore w:val="0"/>
        <w:kinsoku/>
        <w:wordWrap w:val="0"/>
        <w:topLinePunct w:val="0"/>
        <w:spacing w:line="440" w:lineRule="exac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2</w:t>
      </w:r>
      <w:r>
        <w:rPr>
          <w:rFonts w:hint="eastAsia" w:ascii="宋体" w:hAnsi="宋体"/>
          <w:color w:val="auto"/>
          <w:sz w:val="30"/>
          <w:szCs w:val="30"/>
          <w:highlight w:val="none"/>
        </w:rPr>
        <w:t>：</w:t>
      </w:r>
    </w:p>
    <w:p w14:paraId="454BB7E9">
      <w:pPr>
        <w:pageBreakBefore w:val="0"/>
        <w:kinsoku/>
        <w:wordWrap w:val="0"/>
        <w:topLinePunct w:val="0"/>
        <w:spacing w:beforeLines="50" w:afterLines="50" w:line="440" w:lineRule="exact"/>
        <w:jc w:val="center"/>
        <w:rPr>
          <w:rFonts w:ascii="黑体" w:eastAsia="黑体"/>
          <w:color w:val="auto"/>
          <w:sz w:val="32"/>
          <w:szCs w:val="32"/>
          <w:highlight w:val="none"/>
        </w:rPr>
      </w:pPr>
      <w:r>
        <w:rPr>
          <w:rFonts w:hint="eastAsia" w:ascii="黑体" w:hAnsi="黑体" w:eastAsia="黑体"/>
          <w:color w:val="auto"/>
          <w:sz w:val="32"/>
          <w:szCs w:val="32"/>
          <w:highlight w:val="none"/>
        </w:rPr>
        <w:t>工程质量保修书</w:t>
      </w:r>
    </w:p>
    <w:p w14:paraId="3D145384">
      <w:pPr>
        <w:pageBreakBefore w:val="0"/>
        <w:kinsoku/>
        <w:wordWrap w:val="0"/>
        <w:topLinePunct w:val="0"/>
        <w:spacing w:line="440" w:lineRule="exact"/>
        <w:ind w:firstLine="420" w:firstLineChars="200"/>
        <w:rPr>
          <w:color w:val="auto"/>
          <w:highlight w:val="none"/>
        </w:rPr>
      </w:pPr>
      <w:r>
        <w:rPr>
          <w:rFonts w:hint="eastAsia" w:ascii="宋体" w:hAnsi="宋体"/>
          <w:color w:val="auto"/>
          <w:highlight w:val="none"/>
        </w:rPr>
        <w:t>发包人（全称）：</w:t>
      </w:r>
    </w:p>
    <w:p w14:paraId="304F11CD">
      <w:pPr>
        <w:pageBreakBefore w:val="0"/>
        <w:kinsoku/>
        <w:wordWrap w:val="0"/>
        <w:topLinePunct w:val="0"/>
        <w:spacing w:line="440" w:lineRule="exact"/>
        <w:ind w:firstLine="420" w:firstLineChars="200"/>
        <w:rPr>
          <w:color w:val="auto"/>
          <w:highlight w:val="none"/>
        </w:rPr>
      </w:pPr>
      <w:r>
        <w:rPr>
          <w:rFonts w:hint="eastAsia" w:ascii="宋体" w:hAnsi="宋体"/>
          <w:color w:val="auto"/>
          <w:highlight w:val="none"/>
        </w:rPr>
        <w:t>承包人（全称）：</w:t>
      </w:r>
    </w:p>
    <w:p w14:paraId="673651C5">
      <w:pPr>
        <w:pageBreakBefore w:val="0"/>
        <w:kinsoku/>
        <w:wordWrap w:val="0"/>
        <w:topLinePunct w:val="0"/>
        <w:spacing w:line="360" w:lineRule="auto"/>
        <w:ind w:firstLine="420" w:firstLineChars="200"/>
        <w:rPr>
          <w:rFonts w:hAnsi="宋体"/>
          <w:color w:val="auto"/>
          <w:highlight w:val="none"/>
        </w:rPr>
      </w:pPr>
      <w:r>
        <w:rPr>
          <w:rFonts w:hint="eastAsia" w:ascii="宋体" w:hAnsi="宋体"/>
          <w:color w:val="auto"/>
          <w:highlight w:val="none"/>
        </w:rPr>
        <w:t>发包人和承包人根据《中华人民共和国建筑法》和《建设工程质量管理条例》，经协商一致就（工程全称）签订工程质量保修书。</w:t>
      </w:r>
    </w:p>
    <w:p w14:paraId="5A9C5AEF">
      <w:pPr>
        <w:pageBreakBefore w:val="0"/>
        <w:kinsoku/>
        <w:wordWrap w:val="0"/>
        <w:topLinePunct w:val="0"/>
        <w:spacing w:line="360" w:lineRule="auto"/>
        <w:ind w:firstLine="420" w:firstLineChars="200"/>
        <w:rPr>
          <w:rFonts w:ascii="黑体" w:hAnsi="宋体" w:eastAsia="黑体"/>
          <w:color w:val="auto"/>
          <w:highlight w:val="none"/>
        </w:rPr>
      </w:pPr>
      <w:r>
        <w:rPr>
          <w:rFonts w:hint="eastAsia" w:ascii="黑体" w:hAnsi="黑体" w:eastAsia="黑体"/>
          <w:color w:val="auto"/>
          <w:highlight w:val="none"/>
        </w:rPr>
        <w:t>一、工程质量保修范围和内容</w:t>
      </w:r>
    </w:p>
    <w:p w14:paraId="5EC9E40E">
      <w:pPr>
        <w:pageBreakBefore w:val="0"/>
        <w:kinsoku/>
        <w:wordWrap w:val="0"/>
        <w:topLinePunct w:val="0"/>
        <w:spacing w:line="360" w:lineRule="auto"/>
        <w:ind w:firstLine="420" w:firstLineChars="200"/>
        <w:rPr>
          <w:color w:val="auto"/>
          <w:highlight w:val="none"/>
        </w:rPr>
      </w:pPr>
      <w:r>
        <w:rPr>
          <w:rFonts w:hint="eastAsia" w:ascii="宋体" w:hAnsi="宋体"/>
          <w:color w:val="auto"/>
          <w:highlight w:val="none"/>
        </w:rPr>
        <w:t>承包人在质量保修期内，按照有关法律规定和合同约定，承担工程质量保修责任。</w:t>
      </w:r>
    </w:p>
    <w:p w14:paraId="16A8CD25">
      <w:pPr>
        <w:pageBreakBefore w:val="0"/>
        <w:kinsoku/>
        <w:wordWrap w:val="0"/>
        <w:topLinePunct w:val="0"/>
        <w:spacing w:line="360" w:lineRule="auto"/>
        <w:ind w:firstLine="420"/>
        <w:rPr>
          <w:rFonts w:hAnsi="宋体"/>
          <w:color w:val="auto"/>
          <w:highlight w:val="none"/>
        </w:rPr>
      </w:pPr>
      <w:r>
        <w:rPr>
          <w:rFonts w:hint="eastAsia" w:ascii="宋体" w:hAnsi="宋体"/>
          <w:color w:val="auto"/>
          <w:highlight w:val="none"/>
        </w:rPr>
        <w:t>质量保修范围包括：书架</w:t>
      </w:r>
      <w:r>
        <w:rPr>
          <w:rFonts w:hint="eastAsia" w:cs="宋体" w:asciiTheme="minorEastAsia" w:hAnsiTheme="minorEastAsia" w:eastAsiaTheme="minorEastAsia"/>
          <w:color w:val="auto"/>
          <w:kern w:val="0"/>
          <w:highlight w:val="none"/>
        </w:rPr>
        <w:t>桌椅</w:t>
      </w:r>
      <w:r>
        <w:rPr>
          <w:rFonts w:hint="eastAsia" w:asciiTheme="minorEastAsia" w:hAnsiTheme="minorEastAsia"/>
          <w:color w:val="auto"/>
          <w:highlight w:val="none"/>
        </w:rPr>
        <w:t>、</w:t>
      </w:r>
      <w:r>
        <w:rPr>
          <w:rFonts w:hint="eastAsia" w:asciiTheme="minorEastAsia" w:hAnsiTheme="minorEastAsia" w:eastAsiaTheme="minorEastAsia"/>
          <w:color w:val="auto"/>
          <w:highlight w:val="none"/>
        </w:rPr>
        <w:t>吊顶、墙面基层、石膏板隔墙</w:t>
      </w:r>
      <w:r>
        <w:rPr>
          <w:rFonts w:hint="eastAsia" w:ascii="宋体" w:hAnsi="宋体"/>
          <w:color w:val="auto"/>
          <w:highlight w:val="none"/>
        </w:rPr>
        <w:t>、地面防水工程、有防水要求的卫生间、电气灯具管线、给排水管道、设备安装等</w:t>
      </w:r>
      <w:r>
        <w:rPr>
          <w:rFonts w:hint="eastAsia" w:asciiTheme="minorEastAsia" w:hAnsiTheme="minorEastAsia" w:eastAsiaTheme="minorEastAsia"/>
          <w:color w:val="auto"/>
          <w:highlight w:val="none"/>
        </w:rPr>
        <w:t>施工图范围内所有项目</w:t>
      </w:r>
      <w:r>
        <w:rPr>
          <w:rFonts w:hint="eastAsia" w:ascii="宋体" w:hAnsi="宋体"/>
          <w:color w:val="auto"/>
          <w:highlight w:val="none"/>
        </w:rPr>
        <w:t>，以及双方约定的其他项目。具体保修的内容，双方约定如下：</w:t>
      </w:r>
    </w:p>
    <w:p w14:paraId="7AACE307">
      <w:pPr>
        <w:pageBreakBefore w:val="0"/>
        <w:kinsoku/>
        <w:wordWrap w:val="0"/>
        <w:topLinePunct w:val="0"/>
        <w:spacing w:line="360" w:lineRule="auto"/>
        <w:ind w:firstLine="420"/>
        <w:rPr>
          <w:rFonts w:ascii="黑体" w:hAnsi="宋体" w:eastAsia="黑体"/>
          <w:color w:val="auto"/>
          <w:highlight w:val="none"/>
        </w:rPr>
      </w:pPr>
      <w:r>
        <w:rPr>
          <w:rFonts w:hint="eastAsia" w:ascii="黑体" w:hAnsi="黑体" w:eastAsia="黑体"/>
          <w:color w:val="auto"/>
          <w:highlight w:val="none"/>
        </w:rPr>
        <w:t>二、质量保修期</w:t>
      </w:r>
    </w:p>
    <w:p w14:paraId="06DD9FF5">
      <w:pPr>
        <w:pageBreakBefore w:val="0"/>
        <w:kinsoku/>
        <w:wordWrap w:val="0"/>
        <w:topLinePunct w:val="0"/>
        <w:spacing w:line="360" w:lineRule="auto"/>
        <w:ind w:firstLine="420"/>
        <w:rPr>
          <w:rFonts w:asciiTheme="minorEastAsia" w:hAnsiTheme="minorEastAsia"/>
          <w:color w:val="auto"/>
          <w:highlight w:val="none"/>
        </w:rPr>
      </w:pPr>
      <w:r>
        <w:rPr>
          <w:rFonts w:hint="eastAsia" w:asciiTheme="minorEastAsia" w:hAnsiTheme="minorEastAsia" w:eastAsiaTheme="minorEastAsia"/>
          <w:color w:val="auto"/>
          <w:highlight w:val="none"/>
        </w:rPr>
        <w:t>保修期为工程实际竣工日期后的12个月质量保修责任</w:t>
      </w:r>
    </w:p>
    <w:p w14:paraId="5892BDDE">
      <w:pPr>
        <w:pageBreakBefore w:val="0"/>
        <w:kinsoku/>
        <w:wordWrap w:val="0"/>
        <w:topLinePunct w:val="0"/>
        <w:spacing w:line="360" w:lineRule="auto"/>
        <w:ind w:firstLine="420"/>
        <w:rPr>
          <w:rFonts w:ascii="黑体" w:hAnsi="宋体" w:eastAsia="黑体"/>
          <w:color w:val="auto"/>
          <w:highlight w:val="none"/>
        </w:rPr>
      </w:pPr>
      <w:r>
        <w:rPr>
          <w:rFonts w:hint="eastAsia" w:ascii="黑体" w:hAnsi="黑体" w:eastAsia="黑体"/>
          <w:color w:val="auto"/>
          <w:highlight w:val="none"/>
        </w:rPr>
        <w:t>三、缺陷责任期</w:t>
      </w:r>
    </w:p>
    <w:p w14:paraId="2FCA0017">
      <w:pPr>
        <w:pageBreakBefore w:val="0"/>
        <w:kinsoku/>
        <w:wordWrap w:val="0"/>
        <w:topLinePunct w:val="0"/>
        <w:spacing w:line="360" w:lineRule="auto"/>
        <w:ind w:firstLine="420"/>
        <w:rPr>
          <w:rFonts w:hAnsi="宋体"/>
          <w:color w:val="auto"/>
          <w:highlight w:val="none"/>
        </w:rPr>
      </w:pPr>
      <w:r>
        <w:rPr>
          <w:rFonts w:hint="eastAsia" w:ascii="宋体" w:hAnsi="宋体"/>
          <w:color w:val="auto"/>
          <w:highlight w:val="none"/>
        </w:rPr>
        <w:t>工程缺陷责任期为</w:t>
      </w:r>
      <w:r>
        <w:rPr>
          <w:color w:val="auto"/>
          <w:highlight w:val="none"/>
          <w:u w:val="single"/>
        </w:rPr>
        <w:t xml:space="preserve">  </w:t>
      </w:r>
      <w:r>
        <w:rPr>
          <w:rFonts w:hint="eastAsia"/>
          <w:color w:val="auto"/>
          <w:highlight w:val="none"/>
          <w:u w:val="single"/>
        </w:rPr>
        <w:t>12</w:t>
      </w:r>
      <w:r>
        <w:rPr>
          <w:color w:val="auto"/>
          <w:highlight w:val="none"/>
          <w:u w:val="single"/>
        </w:rPr>
        <w:t xml:space="preserve">  </w:t>
      </w:r>
      <w:r>
        <w:rPr>
          <w:rFonts w:hint="eastAsia" w:ascii="宋体" w:hAnsi="宋体"/>
          <w:color w:val="auto"/>
          <w:highlight w:val="none"/>
        </w:rPr>
        <w:t>个月（最长不超过</w:t>
      </w:r>
      <w:r>
        <w:rPr>
          <w:rFonts w:hAnsi="宋体"/>
          <w:color w:val="auto"/>
          <w:highlight w:val="none"/>
        </w:rPr>
        <w:t>24</w:t>
      </w:r>
      <w:r>
        <w:rPr>
          <w:rFonts w:hint="eastAsia" w:ascii="宋体" w:hAnsi="宋体"/>
          <w:color w:val="auto"/>
          <w:highlight w:val="none"/>
        </w:rPr>
        <w:t>个月），缺陷责任期自工程竣工验收合格之日起计算。单位工程先于全部工程进行验收，单位工程缺陷责任期自单位工程验收合格之日起算。</w:t>
      </w:r>
    </w:p>
    <w:p w14:paraId="4A210452">
      <w:pPr>
        <w:pageBreakBefore w:val="0"/>
        <w:kinsoku/>
        <w:wordWrap w:val="0"/>
        <w:topLinePunct w:val="0"/>
        <w:spacing w:line="360" w:lineRule="auto"/>
        <w:ind w:firstLine="420"/>
        <w:rPr>
          <w:rFonts w:hAnsi="宋体"/>
          <w:color w:val="auto"/>
          <w:highlight w:val="none"/>
        </w:rPr>
      </w:pPr>
      <w:r>
        <w:rPr>
          <w:rFonts w:hint="eastAsia" w:ascii="宋体" w:hAnsi="宋体"/>
          <w:color w:val="auto"/>
          <w:highlight w:val="none"/>
        </w:rPr>
        <w:t>缺陷责任期</w:t>
      </w:r>
      <w:r>
        <w:rPr>
          <w:rFonts w:hint="eastAsia" w:ascii="宋体" w:hAnsi="宋体"/>
          <w:color w:val="auto"/>
          <w:highlight w:val="none"/>
          <w:u w:val="single"/>
        </w:rPr>
        <w:t>满</w:t>
      </w:r>
      <w:r>
        <w:rPr>
          <w:rFonts w:hint="eastAsia" w:ascii="宋体" w:hAnsi="宋体"/>
          <w:color w:val="auto"/>
          <w:highlight w:val="none"/>
        </w:rPr>
        <w:t>之日起天</w:t>
      </w:r>
      <w:r>
        <w:rPr>
          <w:rFonts w:hint="eastAsia" w:ascii="宋体" w:hAnsi="宋体"/>
          <w:color w:val="auto"/>
          <w:highlight w:val="none"/>
          <w:u w:val="single"/>
        </w:rPr>
        <w:t>（按</w:t>
      </w:r>
      <w:r>
        <w:rPr>
          <w:rFonts w:ascii="宋体" w:hAnsi="宋体" w:cs="宋体"/>
          <w:color w:val="auto"/>
          <w:highlight w:val="none"/>
          <w:u w:val="single"/>
        </w:rPr>
        <w:t>合同约定期限）</w:t>
      </w:r>
      <w:r>
        <w:rPr>
          <w:rFonts w:hint="eastAsia" w:ascii="宋体" w:hAnsi="宋体"/>
          <w:color w:val="auto"/>
          <w:highlight w:val="none"/>
          <w:u w:val="single"/>
        </w:rPr>
        <w:t>，</w:t>
      </w:r>
      <w:r>
        <w:rPr>
          <w:rFonts w:hint="eastAsia" w:ascii="宋体" w:hAnsi="宋体"/>
          <w:color w:val="auto"/>
          <w:highlight w:val="none"/>
        </w:rPr>
        <w:t>发包人应退还剩余的质量保证金。</w:t>
      </w:r>
    </w:p>
    <w:p w14:paraId="1327867B">
      <w:pPr>
        <w:pageBreakBefore w:val="0"/>
        <w:kinsoku/>
        <w:wordWrap w:val="0"/>
        <w:topLinePunct w:val="0"/>
        <w:spacing w:line="360" w:lineRule="auto"/>
        <w:ind w:firstLine="420"/>
        <w:rPr>
          <w:rFonts w:ascii="黑体" w:hAnsi="宋体" w:eastAsia="黑体"/>
          <w:color w:val="auto"/>
          <w:highlight w:val="none"/>
        </w:rPr>
      </w:pPr>
      <w:r>
        <w:rPr>
          <w:rFonts w:hint="eastAsia" w:ascii="黑体" w:hAnsi="黑体" w:eastAsia="黑体"/>
          <w:color w:val="auto"/>
          <w:highlight w:val="none"/>
        </w:rPr>
        <w:t>四、质量保修责任</w:t>
      </w:r>
    </w:p>
    <w:p w14:paraId="0C2D4E8B">
      <w:pPr>
        <w:pageBreakBefore w:val="0"/>
        <w:kinsoku/>
        <w:wordWrap w:val="0"/>
        <w:topLinePunct w:val="0"/>
        <w:spacing w:line="360" w:lineRule="auto"/>
        <w:ind w:left="105" w:leftChars="50" w:firstLine="430" w:firstLineChars="205"/>
        <w:rPr>
          <w:rFonts w:hAnsi="宋体"/>
          <w:color w:val="auto"/>
          <w:highlight w:val="none"/>
        </w:rPr>
      </w:pPr>
      <w:r>
        <w:rPr>
          <w:color w:val="auto"/>
          <w:highlight w:val="none"/>
        </w:rPr>
        <w:t>1</w:t>
      </w:r>
      <w:r>
        <w:rPr>
          <w:rFonts w:hint="eastAsia" w:ascii="宋体" w:hAnsi="宋体"/>
          <w:color w:val="auto"/>
          <w:highlight w:val="none"/>
        </w:rPr>
        <w:t>．属于保修范围、内容的项目，承包人应当在接到保修通知之日起天内派人保修。承包人不在约定期限内派人保修的，发包人可以委托他人修理，修理费用从质量保证金内扣除。</w:t>
      </w:r>
    </w:p>
    <w:p w14:paraId="0CFD1919">
      <w:pPr>
        <w:pageBreakBefore w:val="0"/>
        <w:kinsoku/>
        <w:wordWrap w:val="0"/>
        <w:topLinePunct w:val="0"/>
        <w:spacing w:line="360" w:lineRule="auto"/>
        <w:ind w:firstLine="420"/>
        <w:rPr>
          <w:rFonts w:hAnsi="宋体"/>
          <w:color w:val="auto"/>
          <w:highlight w:val="none"/>
        </w:rPr>
      </w:pPr>
      <w:r>
        <w:rPr>
          <w:color w:val="auto"/>
          <w:highlight w:val="none"/>
        </w:rPr>
        <w:t>2</w:t>
      </w:r>
      <w:r>
        <w:rPr>
          <w:rFonts w:hint="eastAsia" w:ascii="宋体" w:hAnsi="宋体"/>
          <w:color w:val="auto"/>
          <w:highlight w:val="none"/>
        </w:rPr>
        <w:t>．发生紧急事故需抢修的，承包人在接到事故通知后，应当立即到达事故现场抢修。</w:t>
      </w:r>
    </w:p>
    <w:p w14:paraId="7D3ADC1B">
      <w:pPr>
        <w:pageBreakBefore w:val="0"/>
        <w:kinsoku/>
        <w:wordWrap w:val="0"/>
        <w:topLinePunct w:val="0"/>
        <w:spacing w:line="360" w:lineRule="auto"/>
        <w:ind w:firstLine="420"/>
        <w:rPr>
          <w:rFonts w:hAnsi="宋体"/>
          <w:color w:val="auto"/>
          <w:highlight w:val="none"/>
        </w:rPr>
      </w:pPr>
      <w:r>
        <w:rPr>
          <w:color w:val="auto"/>
          <w:highlight w:val="none"/>
        </w:rPr>
        <w:t>3</w:t>
      </w:r>
      <w:r>
        <w:rPr>
          <w:rFonts w:hint="eastAsia" w:ascii="宋体" w:hAnsi="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AB78FA1">
      <w:pPr>
        <w:pageBreakBefore w:val="0"/>
        <w:kinsoku/>
        <w:wordWrap w:val="0"/>
        <w:topLinePunct w:val="0"/>
        <w:spacing w:line="360" w:lineRule="auto"/>
        <w:ind w:firstLine="420"/>
        <w:rPr>
          <w:rFonts w:hAnsi="宋体"/>
          <w:color w:val="auto"/>
          <w:highlight w:val="none"/>
        </w:rPr>
      </w:pPr>
      <w:r>
        <w:rPr>
          <w:color w:val="auto"/>
          <w:highlight w:val="none"/>
        </w:rPr>
        <w:t>4</w:t>
      </w:r>
      <w:r>
        <w:rPr>
          <w:rFonts w:hint="eastAsia" w:ascii="宋体" w:hAnsi="宋体"/>
          <w:color w:val="auto"/>
          <w:highlight w:val="none"/>
        </w:rPr>
        <w:t>．质量保修完成后，由发包人组织验收。</w:t>
      </w:r>
    </w:p>
    <w:p w14:paraId="3C49579F">
      <w:pPr>
        <w:pageBreakBefore w:val="0"/>
        <w:kinsoku/>
        <w:wordWrap w:val="0"/>
        <w:topLinePunct w:val="0"/>
        <w:spacing w:line="360" w:lineRule="auto"/>
        <w:ind w:firstLine="420"/>
        <w:rPr>
          <w:rFonts w:ascii="黑体" w:hAnsi="宋体" w:eastAsia="黑体"/>
          <w:color w:val="auto"/>
          <w:highlight w:val="none"/>
        </w:rPr>
      </w:pPr>
      <w:r>
        <w:rPr>
          <w:rFonts w:hint="eastAsia" w:ascii="黑体" w:hAnsi="黑体" w:eastAsia="黑体"/>
          <w:color w:val="auto"/>
          <w:highlight w:val="none"/>
        </w:rPr>
        <w:t>五、保修费用</w:t>
      </w:r>
    </w:p>
    <w:p w14:paraId="2A0950E6">
      <w:pPr>
        <w:pageBreakBefore w:val="0"/>
        <w:kinsoku/>
        <w:wordWrap w:val="0"/>
        <w:topLinePunct w:val="0"/>
        <w:spacing w:line="360" w:lineRule="auto"/>
        <w:ind w:firstLine="420"/>
        <w:rPr>
          <w:rFonts w:hAnsi="宋体"/>
          <w:color w:val="auto"/>
          <w:highlight w:val="none"/>
        </w:rPr>
      </w:pPr>
      <w:r>
        <w:rPr>
          <w:rFonts w:hint="eastAsia" w:ascii="宋体" w:hAnsi="宋体"/>
          <w:color w:val="auto"/>
          <w:highlight w:val="none"/>
        </w:rPr>
        <w:t>保修费用由造成质量缺陷的责任方承担。</w:t>
      </w:r>
    </w:p>
    <w:p w14:paraId="619272AF">
      <w:pPr>
        <w:pageBreakBefore w:val="0"/>
        <w:kinsoku/>
        <w:wordWrap w:val="0"/>
        <w:topLinePunct w:val="0"/>
        <w:spacing w:line="360" w:lineRule="auto"/>
        <w:ind w:firstLine="420"/>
        <w:rPr>
          <w:rFonts w:ascii="黑体" w:hAnsi="宋体" w:eastAsia="黑体"/>
          <w:color w:val="auto"/>
          <w:highlight w:val="none"/>
        </w:rPr>
      </w:pPr>
      <w:r>
        <w:rPr>
          <w:rFonts w:hint="eastAsia" w:ascii="黑体" w:hAnsi="黑体" w:eastAsia="黑体"/>
          <w:color w:val="auto"/>
          <w:highlight w:val="none"/>
        </w:rPr>
        <w:t>六、双方约定的其他工程质量保修事项：</w:t>
      </w:r>
    </w:p>
    <w:p w14:paraId="3FC97BD7">
      <w:pPr>
        <w:pageBreakBefore w:val="0"/>
        <w:kinsoku/>
        <w:wordWrap w:val="0"/>
        <w:topLinePunct w:val="0"/>
        <w:spacing w:line="360" w:lineRule="auto"/>
        <w:ind w:firstLine="420" w:firstLineChars="200"/>
        <w:jc w:val="left"/>
        <w:rPr>
          <w:color w:val="auto"/>
          <w:highlight w:val="none"/>
        </w:rPr>
      </w:pPr>
      <w:r>
        <w:rPr>
          <w:rFonts w:hint="eastAsia" w:ascii="宋体" w:hAnsi="宋体"/>
          <w:color w:val="auto"/>
          <w:highlight w:val="none"/>
        </w:rPr>
        <w:t>。</w:t>
      </w:r>
    </w:p>
    <w:p w14:paraId="6BA38E9F">
      <w:pPr>
        <w:pageBreakBefore w:val="0"/>
        <w:kinsoku/>
        <w:wordWrap w:val="0"/>
        <w:topLinePunct w:val="0"/>
        <w:spacing w:line="360" w:lineRule="auto"/>
        <w:ind w:firstLine="399" w:firstLineChars="190"/>
        <w:rPr>
          <w:color w:val="auto"/>
          <w:highlight w:val="none"/>
        </w:rPr>
      </w:pPr>
      <w:r>
        <w:rPr>
          <w:rFonts w:hint="eastAsia" w:ascii="宋体" w:hAnsi="宋体"/>
          <w:color w:val="auto"/>
          <w:highlight w:val="none"/>
        </w:rPr>
        <w:t>工程质量保修书由发包人、承包人在工程竣工验收前共同签署，作为施工合同附件，其有效期限至保修期满。</w:t>
      </w:r>
    </w:p>
    <w:p w14:paraId="67E74988">
      <w:pPr>
        <w:pageBreakBefore w:val="0"/>
        <w:kinsoku/>
        <w:wordWrap w:val="0"/>
        <w:topLinePunct w:val="0"/>
        <w:spacing w:line="360" w:lineRule="auto"/>
        <w:ind w:firstLine="420"/>
        <w:rPr>
          <w:color w:val="auto"/>
          <w:highlight w:val="none"/>
        </w:rPr>
      </w:pPr>
    </w:p>
    <w:p w14:paraId="0D41D568">
      <w:pPr>
        <w:pageBreakBefore w:val="0"/>
        <w:kinsoku/>
        <w:wordWrap w:val="0"/>
        <w:topLinePunct w:val="0"/>
        <w:spacing w:line="360" w:lineRule="auto"/>
        <w:rPr>
          <w:color w:val="auto"/>
          <w:highlight w:val="none"/>
        </w:rPr>
      </w:pPr>
      <w:r>
        <w:rPr>
          <w:rFonts w:ascii="宋体" w:hAnsi="宋体"/>
          <w:color w:val="auto"/>
          <w:highlight w:val="none"/>
        </w:rPr>
        <w:t>发包人</w:t>
      </w:r>
      <w:r>
        <w:rPr>
          <w:rFonts w:hint="eastAsia" w:ascii="宋体" w:hAnsi="宋体"/>
          <w:color w:val="auto"/>
          <w:highlight w:val="none"/>
        </w:rPr>
        <w:t>（</w:t>
      </w:r>
      <w:r>
        <w:rPr>
          <w:rFonts w:ascii="宋体" w:hAnsi="宋体"/>
          <w:color w:val="auto"/>
          <w:highlight w:val="none"/>
        </w:rPr>
        <w:t>公章</w:t>
      </w:r>
      <w:r>
        <w:rPr>
          <w:rFonts w:hint="eastAsia" w:ascii="宋体" w:hAnsi="宋体"/>
          <w:color w:val="auto"/>
          <w:highlight w:val="none"/>
        </w:rPr>
        <w:t>）</w:t>
      </w:r>
      <w:r>
        <w:rPr>
          <w:rFonts w:ascii="宋体" w:hAnsi="宋体"/>
          <w:color w:val="auto"/>
          <w:highlight w:val="none"/>
        </w:rPr>
        <w:t>：承包人</w:t>
      </w:r>
      <w:r>
        <w:rPr>
          <w:rFonts w:hint="eastAsia" w:ascii="宋体" w:hAnsi="宋体"/>
          <w:color w:val="auto"/>
          <w:highlight w:val="none"/>
        </w:rPr>
        <w:t>（</w:t>
      </w:r>
      <w:r>
        <w:rPr>
          <w:rFonts w:ascii="宋体" w:hAnsi="宋体"/>
          <w:color w:val="auto"/>
          <w:highlight w:val="none"/>
        </w:rPr>
        <w:t>公章</w:t>
      </w:r>
      <w:r>
        <w:rPr>
          <w:rFonts w:hint="eastAsia" w:ascii="宋体" w:hAnsi="宋体"/>
          <w:color w:val="auto"/>
          <w:highlight w:val="none"/>
        </w:rPr>
        <w:t>）</w:t>
      </w:r>
      <w:r>
        <w:rPr>
          <w:rFonts w:ascii="宋体" w:hAnsi="宋体"/>
          <w:color w:val="auto"/>
          <w:highlight w:val="none"/>
        </w:rPr>
        <w:t>：</w:t>
      </w:r>
      <w:r>
        <w:rPr>
          <w:rFonts w:hint="eastAsia" w:ascii="宋体" w:hAnsi="宋体"/>
          <w:color w:val="auto"/>
          <w:highlight w:val="none"/>
          <w:u w:val="single"/>
        </w:rPr>
        <w:t xml:space="preserve">                         </w:t>
      </w:r>
    </w:p>
    <w:p w14:paraId="481BBFD5">
      <w:pPr>
        <w:pageBreakBefore w:val="0"/>
        <w:kinsoku/>
        <w:wordWrap w:val="0"/>
        <w:topLinePunct w:val="0"/>
        <w:spacing w:line="360" w:lineRule="auto"/>
        <w:rPr>
          <w:color w:val="auto"/>
          <w:highlight w:val="none"/>
        </w:rPr>
      </w:pPr>
      <w:r>
        <w:rPr>
          <w:rFonts w:ascii="宋体" w:hAnsi="宋体"/>
          <w:color w:val="auto"/>
          <w:highlight w:val="none"/>
        </w:rPr>
        <w:t>地址：地址：</w:t>
      </w:r>
      <w:r>
        <w:rPr>
          <w:rFonts w:hint="eastAsia" w:ascii="宋体" w:hAnsi="宋体"/>
          <w:color w:val="auto"/>
          <w:highlight w:val="none"/>
          <w:u w:val="single"/>
        </w:rPr>
        <w:t xml:space="preserve">                                   </w:t>
      </w:r>
    </w:p>
    <w:p w14:paraId="0A3C8B76">
      <w:pPr>
        <w:pageBreakBefore w:val="0"/>
        <w:kinsoku/>
        <w:wordWrap w:val="0"/>
        <w:topLinePunct w:val="0"/>
        <w:spacing w:line="360" w:lineRule="auto"/>
        <w:rPr>
          <w:color w:val="auto"/>
          <w:highlight w:val="none"/>
        </w:rPr>
      </w:pPr>
      <w:r>
        <w:rPr>
          <w:rFonts w:ascii="宋体" w:hAnsi="宋体"/>
          <w:color w:val="auto"/>
          <w:highlight w:val="none"/>
        </w:rPr>
        <w:t>法定代表人</w:t>
      </w:r>
      <w:r>
        <w:rPr>
          <w:rFonts w:hint="eastAsia" w:ascii="宋体" w:hAnsi="宋体"/>
          <w:color w:val="auto"/>
          <w:highlight w:val="none"/>
        </w:rPr>
        <w:t>（</w:t>
      </w:r>
      <w:r>
        <w:rPr>
          <w:rFonts w:ascii="宋体" w:hAnsi="宋体"/>
          <w:color w:val="auto"/>
          <w:highlight w:val="none"/>
        </w:rPr>
        <w:t>签字</w:t>
      </w:r>
      <w:r>
        <w:rPr>
          <w:rFonts w:hint="eastAsia" w:ascii="宋体" w:hAnsi="宋体"/>
          <w:color w:val="auto"/>
          <w:highlight w:val="none"/>
        </w:rPr>
        <w:t>）</w:t>
      </w:r>
      <w:r>
        <w:rPr>
          <w:rFonts w:ascii="宋体" w:hAnsi="宋体"/>
          <w:color w:val="auto"/>
          <w:highlight w:val="none"/>
        </w:rPr>
        <w:t>：</w:t>
      </w:r>
      <w:r>
        <w:rPr>
          <w:rFonts w:hint="eastAsia" w:ascii="宋体" w:hAnsi="宋体"/>
          <w:color w:val="auto"/>
          <w:highlight w:val="none"/>
          <w:u w:val="single"/>
        </w:rPr>
        <w:t xml:space="preserve">               </w:t>
      </w:r>
      <w:r>
        <w:rPr>
          <w:rFonts w:ascii="宋体" w:hAnsi="宋体"/>
          <w:color w:val="auto"/>
          <w:highlight w:val="none"/>
        </w:rPr>
        <w:t>法定代表人</w:t>
      </w:r>
      <w:r>
        <w:rPr>
          <w:rFonts w:hint="eastAsia" w:ascii="宋体" w:hAnsi="宋体"/>
          <w:color w:val="auto"/>
          <w:highlight w:val="none"/>
        </w:rPr>
        <w:t>（</w:t>
      </w:r>
      <w:r>
        <w:rPr>
          <w:rFonts w:ascii="宋体" w:hAnsi="宋体"/>
          <w:color w:val="auto"/>
          <w:highlight w:val="none"/>
        </w:rPr>
        <w:t>签字</w:t>
      </w:r>
      <w:r>
        <w:rPr>
          <w:rFonts w:hint="eastAsia" w:ascii="宋体" w:hAnsi="宋体"/>
          <w:color w:val="auto"/>
          <w:highlight w:val="none"/>
        </w:rPr>
        <w:t>）</w:t>
      </w:r>
      <w:r>
        <w:rPr>
          <w:rFonts w:ascii="宋体" w:hAnsi="宋体"/>
          <w:color w:val="auto"/>
          <w:highlight w:val="none"/>
        </w:rPr>
        <w:t>：</w:t>
      </w:r>
      <w:r>
        <w:rPr>
          <w:rFonts w:hint="eastAsia" w:ascii="宋体" w:hAnsi="宋体"/>
          <w:color w:val="auto"/>
          <w:highlight w:val="none"/>
          <w:u w:val="single"/>
        </w:rPr>
        <w:t xml:space="preserve">                        </w:t>
      </w:r>
    </w:p>
    <w:p w14:paraId="72CE5D2D">
      <w:pPr>
        <w:pageBreakBefore w:val="0"/>
        <w:kinsoku/>
        <w:wordWrap w:val="0"/>
        <w:topLinePunct w:val="0"/>
        <w:spacing w:line="360" w:lineRule="auto"/>
        <w:rPr>
          <w:color w:val="auto"/>
          <w:highlight w:val="none"/>
        </w:rPr>
      </w:pPr>
      <w:r>
        <w:rPr>
          <w:rFonts w:ascii="宋体" w:hAnsi="宋体"/>
          <w:color w:val="auto"/>
          <w:highlight w:val="none"/>
        </w:rPr>
        <w:t>委托代理人</w:t>
      </w:r>
      <w:r>
        <w:rPr>
          <w:rFonts w:hint="eastAsia" w:ascii="宋体" w:hAnsi="宋体"/>
          <w:color w:val="auto"/>
          <w:highlight w:val="none"/>
        </w:rPr>
        <w:t>（</w:t>
      </w:r>
      <w:r>
        <w:rPr>
          <w:rFonts w:ascii="宋体" w:hAnsi="宋体"/>
          <w:color w:val="auto"/>
          <w:highlight w:val="none"/>
        </w:rPr>
        <w:t>签字</w:t>
      </w:r>
      <w:r>
        <w:rPr>
          <w:rFonts w:hint="eastAsia" w:ascii="宋体" w:hAnsi="宋体"/>
          <w:color w:val="auto"/>
          <w:highlight w:val="none"/>
        </w:rPr>
        <w:t>）</w:t>
      </w:r>
      <w:r>
        <w:rPr>
          <w:rFonts w:ascii="宋体" w:hAnsi="宋体"/>
          <w:color w:val="auto"/>
          <w:highlight w:val="none"/>
        </w:rPr>
        <w:t>：</w:t>
      </w:r>
      <w:r>
        <w:rPr>
          <w:rFonts w:hint="eastAsia" w:ascii="宋体" w:hAnsi="宋体"/>
          <w:color w:val="auto"/>
          <w:highlight w:val="none"/>
          <w:u w:val="single"/>
        </w:rPr>
        <w:t xml:space="preserve">               </w:t>
      </w:r>
      <w:r>
        <w:rPr>
          <w:rFonts w:ascii="宋体" w:hAnsi="宋体"/>
          <w:color w:val="auto"/>
          <w:highlight w:val="none"/>
        </w:rPr>
        <w:t>委托代理人</w:t>
      </w:r>
      <w:r>
        <w:rPr>
          <w:rFonts w:hint="eastAsia" w:ascii="宋体" w:hAnsi="宋体"/>
          <w:color w:val="auto"/>
          <w:highlight w:val="none"/>
        </w:rPr>
        <w:t>（</w:t>
      </w:r>
      <w:r>
        <w:rPr>
          <w:rFonts w:ascii="宋体" w:hAnsi="宋体"/>
          <w:color w:val="auto"/>
          <w:highlight w:val="none"/>
        </w:rPr>
        <w:t>签字</w:t>
      </w:r>
      <w:r>
        <w:rPr>
          <w:rFonts w:hint="eastAsia" w:ascii="宋体" w:hAnsi="宋体"/>
          <w:color w:val="auto"/>
          <w:highlight w:val="none"/>
        </w:rPr>
        <w:t>）</w:t>
      </w:r>
      <w:r>
        <w:rPr>
          <w:rFonts w:ascii="宋体" w:hAnsi="宋体"/>
          <w:color w:val="auto"/>
          <w:highlight w:val="none"/>
        </w:rPr>
        <w:t>：</w:t>
      </w:r>
      <w:r>
        <w:rPr>
          <w:rFonts w:hint="eastAsia" w:ascii="宋体" w:hAnsi="宋体"/>
          <w:color w:val="auto"/>
          <w:highlight w:val="none"/>
          <w:u w:val="single"/>
        </w:rPr>
        <w:t xml:space="preserve">                         </w:t>
      </w:r>
    </w:p>
    <w:p w14:paraId="03BC48A3">
      <w:pPr>
        <w:pageBreakBefore w:val="0"/>
        <w:kinsoku/>
        <w:wordWrap w:val="0"/>
        <w:topLinePunct w:val="0"/>
        <w:spacing w:line="360" w:lineRule="auto"/>
        <w:rPr>
          <w:color w:val="auto"/>
          <w:highlight w:val="none"/>
        </w:rPr>
      </w:pPr>
      <w:r>
        <w:rPr>
          <w:rFonts w:ascii="宋体" w:hAnsi="宋体"/>
          <w:color w:val="auto"/>
          <w:highlight w:val="none"/>
        </w:rPr>
        <w:t>电话：</w:t>
      </w:r>
      <w:r>
        <w:rPr>
          <w:rFonts w:hint="eastAsia" w:ascii="宋体" w:hAnsi="宋体"/>
          <w:color w:val="auto"/>
          <w:highlight w:val="none"/>
          <w:u w:val="single"/>
        </w:rPr>
        <w:t xml:space="preserve">                             </w:t>
      </w:r>
      <w:r>
        <w:rPr>
          <w:rFonts w:ascii="宋体" w:hAnsi="宋体"/>
          <w:color w:val="auto"/>
          <w:highlight w:val="none"/>
        </w:rPr>
        <w:t>电话：</w:t>
      </w:r>
      <w:r>
        <w:rPr>
          <w:rFonts w:hint="eastAsia" w:ascii="宋体" w:hAnsi="宋体"/>
          <w:color w:val="auto"/>
          <w:highlight w:val="none"/>
          <w:u w:val="single"/>
        </w:rPr>
        <w:t xml:space="preserve">                                      </w:t>
      </w:r>
    </w:p>
    <w:p w14:paraId="17EC75DD">
      <w:pPr>
        <w:pageBreakBefore w:val="0"/>
        <w:kinsoku/>
        <w:wordWrap w:val="0"/>
        <w:topLinePunct w:val="0"/>
        <w:spacing w:line="360" w:lineRule="auto"/>
        <w:rPr>
          <w:color w:val="auto"/>
          <w:highlight w:val="none"/>
        </w:rPr>
      </w:pPr>
      <w:r>
        <w:rPr>
          <w:rFonts w:ascii="宋体" w:hAnsi="宋体"/>
          <w:color w:val="auto"/>
          <w:highlight w:val="none"/>
        </w:rPr>
        <w:t>传真：</w:t>
      </w:r>
      <w:r>
        <w:rPr>
          <w:rFonts w:hint="eastAsia" w:ascii="宋体" w:hAnsi="宋体"/>
          <w:color w:val="auto"/>
          <w:highlight w:val="none"/>
          <w:u w:val="single"/>
        </w:rPr>
        <w:t xml:space="preserve">                             </w:t>
      </w:r>
      <w:r>
        <w:rPr>
          <w:rFonts w:ascii="宋体" w:hAnsi="宋体"/>
          <w:color w:val="auto"/>
          <w:highlight w:val="none"/>
        </w:rPr>
        <w:t>传真：</w:t>
      </w:r>
      <w:r>
        <w:rPr>
          <w:rFonts w:hint="eastAsia" w:ascii="宋体" w:hAnsi="宋体"/>
          <w:color w:val="auto"/>
          <w:highlight w:val="none"/>
          <w:u w:val="single"/>
        </w:rPr>
        <w:t xml:space="preserve">                                        </w:t>
      </w:r>
    </w:p>
    <w:p w14:paraId="42DD1591">
      <w:pPr>
        <w:pageBreakBefore w:val="0"/>
        <w:kinsoku/>
        <w:wordWrap w:val="0"/>
        <w:topLinePunct w:val="0"/>
        <w:spacing w:line="360" w:lineRule="auto"/>
        <w:rPr>
          <w:color w:val="auto"/>
          <w:highlight w:val="none"/>
        </w:rPr>
      </w:pPr>
      <w:r>
        <w:rPr>
          <w:rFonts w:ascii="宋体" w:hAnsi="宋体"/>
          <w:color w:val="auto"/>
          <w:highlight w:val="none"/>
        </w:rPr>
        <w:t>开户银行：</w:t>
      </w:r>
      <w:r>
        <w:rPr>
          <w:rFonts w:hint="eastAsia" w:ascii="宋体" w:hAnsi="宋体"/>
          <w:color w:val="auto"/>
          <w:highlight w:val="none"/>
          <w:u w:val="single"/>
        </w:rPr>
        <w:t xml:space="preserve">                        </w:t>
      </w:r>
      <w:r>
        <w:rPr>
          <w:rFonts w:ascii="宋体" w:hAnsi="宋体"/>
          <w:color w:val="auto"/>
          <w:highlight w:val="none"/>
        </w:rPr>
        <w:t>开户银行：</w:t>
      </w:r>
      <w:r>
        <w:rPr>
          <w:rFonts w:hint="eastAsia" w:ascii="宋体" w:hAnsi="宋体"/>
          <w:color w:val="auto"/>
          <w:highlight w:val="none"/>
          <w:u w:val="single"/>
        </w:rPr>
        <w:t xml:space="preserve">                                     </w:t>
      </w:r>
    </w:p>
    <w:p w14:paraId="1612A82D">
      <w:pPr>
        <w:pageBreakBefore w:val="0"/>
        <w:kinsoku/>
        <w:wordWrap w:val="0"/>
        <w:topLinePunct w:val="0"/>
        <w:spacing w:line="360" w:lineRule="auto"/>
        <w:rPr>
          <w:color w:val="auto"/>
          <w:highlight w:val="none"/>
        </w:rPr>
      </w:pPr>
      <w:r>
        <w:rPr>
          <w:rFonts w:ascii="宋体" w:hAnsi="宋体"/>
          <w:color w:val="auto"/>
          <w:highlight w:val="none"/>
        </w:rPr>
        <w:t>账号：</w:t>
      </w:r>
      <w:r>
        <w:rPr>
          <w:rFonts w:hint="eastAsia" w:ascii="宋体" w:hAnsi="宋体"/>
          <w:color w:val="auto"/>
          <w:highlight w:val="none"/>
          <w:u w:val="single"/>
        </w:rPr>
        <w:t xml:space="preserve">                            </w:t>
      </w:r>
      <w:r>
        <w:rPr>
          <w:rFonts w:ascii="宋体" w:hAnsi="宋体"/>
          <w:color w:val="auto"/>
          <w:highlight w:val="none"/>
        </w:rPr>
        <w:t>账号：</w:t>
      </w:r>
      <w:r>
        <w:rPr>
          <w:rFonts w:hint="eastAsia" w:ascii="宋体" w:hAnsi="宋体"/>
          <w:color w:val="auto"/>
          <w:highlight w:val="none"/>
          <w:u w:val="single"/>
        </w:rPr>
        <w:t xml:space="preserve">                                         </w:t>
      </w:r>
    </w:p>
    <w:p w14:paraId="1C5AB990">
      <w:pPr>
        <w:pageBreakBefore w:val="0"/>
        <w:kinsoku/>
        <w:wordWrap w:val="0"/>
        <w:topLinePunct w:val="0"/>
        <w:spacing w:line="360" w:lineRule="auto"/>
        <w:rPr>
          <w:rFonts w:ascii="宋体" w:hAnsi="宋体"/>
          <w:color w:val="auto"/>
          <w:highlight w:val="none"/>
          <w:u w:val="single"/>
        </w:rPr>
      </w:pPr>
      <w:r>
        <w:rPr>
          <w:rFonts w:ascii="宋体" w:hAnsi="宋体"/>
          <w:color w:val="auto"/>
          <w:highlight w:val="none"/>
        </w:rPr>
        <w:t>邮政编码：</w:t>
      </w:r>
      <w:r>
        <w:rPr>
          <w:rFonts w:hint="eastAsia" w:ascii="宋体" w:hAnsi="宋体"/>
          <w:color w:val="auto"/>
          <w:highlight w:val="none"/>
          <w:u w:val="single"/>
        </w:rPr>
        <w:t xml:space="preserve">                       </w:t>
      </w:r>
      <w:r>
        <w:rPr>
          <w:rFonts w:ascii="宋体" w:hAnsi="宋体"/>
          <w:color w:val="auto"/>
          <w:highlight w:val="none"/>
        </w:rPr>
        <w:t>邮政编码：</w:t>
      </w:r>
      <w:r>
        <w:rPr>
          <w:rFonts w:hint="eastAsia" w:ascii="宋体" w:hAnsi="宋体"/>
          <w:color w:val="auto"/>
          <w:highlight w:val="none"/>
          <w:u w:val="single"/>
        </w:rPr>
        <w:t xml:space="preserve">                                       </w:t>
      </w:r>
    </w:p>
    <w:p w14:paraId="3A985CD0">
      <w:pPr>
        <w:pageBreakBefore w:val="0"/>
        <w:kinsoku/>
        <w:wordWrap w:val="0"/>
        <w:topLinePunct w:val="0"/>
        <w:spacing w:line="360" w:lineRule="auto"/>
        <w:rPr>
          <w:rFonts w:ascii="宋体" w:hAnsi="宋体"/>
          <w:color w:val="auto"/>
          <w:highlight w:val="none"/>
        </w:rPr>
      </w:pPr>
    </w:p>
    <w:p w14:paraId="1A2B991D">
      <w:pPr>
        <w:pageBreakBefore w:val="0"/>
        <w:kinsoku/>
        <w:wordWrap w:val="0"/>
        <w:topLinePunct w:val="0"/>
        <w:spacing w:line="360" w:lineRule="auto"/>
        <w:rPr>
          <w:rFonts w:ascii="宋体" w:hAnsi="宋体"/>
          <w:color w:val="auto"/>
          <w:highlight w:val="none"/>
        </w:rPr>
      </w:pPr>
    </w:p>
    <w:p w14:paraId="77B16017">
      <w:pPr>
        <w:pageBreakBefore w:val="0"/>
        <w:kinsoku/>
        <w:wordWrap w:val="0"/>
        <w:topLinePunct w:val="0"/>
        <w:spacing w:line="360" w:lineRule="auto"/>
        <w:rPr>
          <w:rFonts w:ascii="宋体" w:hAnsi="宋体"/>
          <w:color w:val="auto"/>
          <w:highlight w:val="none"/>
        </w:rPr>
      </w:pPr>
    </w:p>
    <w:p w14:paraId="49E25027">
      <w:pPr>
        <w:pageBreakBefore w:val="0"/>
        <w:kinsoku/>
        <w:wordWrap w:val="0"/>
        <w:topLinePunct w:val="0"/>
        <w:spacing w:line="360" w:lineRule="auto"/>
        <w:rPr>
          <w:rFonts w:ascii="宋体" w:hAnsi="宋体"/>
          <w:color w:val="auto"/>
          <w:highlight w:val="none"/>
        </w:rPr>
      </w:pPr>
    </w:p>
    <w:p w14:paraId="3E94BF28">
      <w:pPr>
        <w:pageBreakBefore w:val="0"/>
        <w:kinsoku/>
        <w:wordWrap w:val="0"/>
        <w:topLinePunct w:val="0"/>
        <w:spacing w:line="360" w:lineRule="auto"/>
        <w:rPr>
          <w:rFonts w:ascii="宋体" w:hAnsi="宋体"/>
          <w:color w:val="auto"/>
          <w:highlight w:val="none"/>
        </w:rPr>
      </w:pPr>
    </w:p>
    <w:p w14:paraId="4BE945CF">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25DFC9BC">
      <w:pPr>
        <w:pageBreakBefore w:val="0"/>
        <w:kinsoku/>
        <w:wordWrap w:val="0"/>
        <w:topLinePunct w:val="0"/>
        <w:spacing w:line="440" w:lineRule="exac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3</w:t>
      </w:r>
      <w:r>
        <w:rPr>
          <w:rFonts w:hint="eastAsia" w:ascii="宋体" w:hAnsi="宋体"/>
          <w:color w:val="auto"/>
          <w:sz w:val="30"/>
          <w:szCs w:val="30"/>
          <w:highlight w:val="none"/>
        </w:rPr>
        <w:t>：</w:t>
      </w:r>
    </w:p>
    <w:p w14:paraId="3E261F4F">
      <w:pPr>
        <w:pageBreakBefore w:val="0"/>
        <w:kinsoku/>
        <w:wordWrap w:val="0"/>
        <w:topLinePunct w:val="0"/>
        <w:spacing w:beforeLines="50" w:afterLines="50" w:line="440" w:lineRule="exact"/>
        <w:jc w:val="center"/>
        <w:rPr>
          <w:rFonts w:ascii="宋体" w:hAnsi="宋体"/>
          <w:color w:val="auto"/>
          <w:sz w:val="30"/>
          <w:szCs w:val="30"/>
          <w:highlight w:val="none"/>
        </w:rPr>
      </w:pPr>
      <w:r>
        <w:rPr>
          <w:rFonts w:hint="eastAsia" w:ascii="宋体" w:hAnsi="宋体"/>
          <w:color w:val="auto"/>
          <w:sz w:val="30"/>
          <w:szCs w:val="30"/>
          <w:highlight w:val="none"/>
        </w:rPr>
        <w:t>主要建设工程文件目录</w:t>
      </w:r>
    </w:p>
    <w:tbl>
      <w:tblPr>
        <w:tblStyle w:val="4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0EA8D3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2" w:space="0"/>
            </w:tcBorders>
            <w:vAlign w:val="center"/>
          </w:tcPr>
          <w:p w14:paraId="37CEED8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文件名称</w:t>
            </w:r>
          </w:p>
        </w:tc>
        <w:tc>
          <w:tcPr>
            <w:tcW w:w="1276" w:type="dxa"/>
            <w:tcBorders>
              <w:top w:val="single" w:color="auto" w:sz="12" w:space="0"/>
              <w:bottom w:val="double" w:color="auto" w:sz="2" w:space="0"/>
            </w:tcBorders>
            <w:vAlign w:val="center"/>
          </w:tcPr>
          <w:p w14:paraId="42677A2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套数</w:t>
            </w:r>
          </w:p>
        </w:tc>
        <w:tc>
          <w:tcPr>
            <w:tcW w:w="1450" w:type="dxa"/>
            <w:tcBorders>
              <w:top w:val="single" w:color="auto" w:sz="12" w:space="0"/>
              <w:bottom w:val="double" w:color="auto" w:sz="2" w:space="0"/>
            </w:tcBorders>
            <w:vAlign w:val="center"/>
          </w:tcPr>
          <w:p w14:paraId="6FF357F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费用（元）</w:t>
            </w:r>
          </w:p>
        </w:tc>
        <w:tc>
          <w:tcPr>
            <w:tcW w:w="1243" w:type="dxa"/>
            <w:tcBorders>
              <w:top w:val="single" w:color="auto" w:sz="12" w:space="0"/>
              <w:bottom w:val="double" w:color="auto" w:sz="2" w:space="0"/>
            </w:tcBorders>
            <w:vAlign w:val="center"/>
          </w:tcPr>
          <w:p w14:paraId="641BA86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质量</w:t>
            </w:r>
          </w:p>
        </w:tc>
        <w:tc>
          <w:tcPr>
            <w:tcW w:w="1450" w:type="dxa"/>
            <w:tcBorders>
              <w:top w:val="single" w:color="auto" w:sz="12" w:space="0"/>
              <w:bottom w:val="double" w:color="auto" w:sz="2" w:space="0"/>
            </w:tcBorders>
          </w:tcPr>
          <w:p w14:paraId="74844A81">
            <w:pPr>
              <w:pageBreakBefore w:val="0"/>
              <w:kinsoku/>
              <w:wordWrap w:val="0"/>
              <w:topLinePunct w:val="0"/>
              <w:spacing w:line="440" w:lineRule="exact"/>
              <w:jc w:val="center"/>
              <w:rPr>
                <w:rFonts w:ascii="宋体" w:hAnsi="宋体"/>
                <w:color w:val="auto"/>
                <w:sz w:val="28"/>
                <w:szCs w:val="28"/>
                <w:highlight w:val="none"/>
              </w:rPr>
            </w:pPr>
            <w:r>
              <w:rPr>
                <w:rFonts w:hint="eastAsia" w:ascii="宋体" w:hAnsi="宋体"/>
                <w:color w:val="auto"/>
                <w:sz w:val="28"/>
                <w:szCs w:val="28"/>
                <w:highlight w:val="none"/>
              </w:rPr>
              <w:t>移交时间</w:t>
            </w:r>
          </w:p>
        </w:tc>
        <w:tc>
          <w:tcPr>
            <w:tcW w:w="1667" w:type="dxa"/>
            <w:tcBorders>
              <w:top w:val="single" w:color="auto" w:sz="12" w:space="0"/>
              <w:bottom w:val="double" w:color="auto" w:sz="2" w:space="0"/>
            </w:tcBorders>
          </w:tcPr>
          <w:p w14:paraId="0148F539">
            <w:pPr>
              <w:pageBreakBefore w:val="0"/>
              <w:kinsoku/>
              <w:wordWrap w:val="0"/>
              <w:topLinePunct w:val="0"/>
              <w:spacing w:line="440" w:lineRule="exact"/>
              <w:jc w:val="center"/>
              <w:rPr>
                <w:rFonts w:ascii="宋体" w:hAnsi="宋体"/>
                <w:color w:val="auto"/>
                <w:sz w:val="28"/>
                <w:szCs w:val="28"/>
                <w:highlight w:val="none"/>
              </w:rPr>
            </w:pPr>
            <w:r>
              <w:rPr>
                <w:rFonts w:hint="eastAsia" w:ascii="宋体" w:hAnsi="宋体"/>
                <w:color w:val="auto"/>
                <w:sz w:val="28"/>
                <w:szCs w:val="28"/>
                <w:highlight w:val="none"/>
              </w:rPr>
              <w:t>责任人</w:t>
            </w:r>
          </w:p>
        </w:tc>
      </w:tr>
      <w:tr w14:paraId="40D14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2" w:space="0"/>
            </w:tcBorders>
            <w:vAlign w:val="center"/>
          </w:tcPr>
          <w:p w14:paraId="671711D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tcBorders>
              <w:top w:val="double" w:color="auto" w:sz="2" w:space="0"/>
            </w:tcBorders>
            <w:vAlign w:val="center"/>
          </w:tcPr>
          <w:p w14:paraId="1BFDC22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tcBorders>
              <w:top w:val="double" w:color="auto" w:sz="2" w:space="0"/>
            </w:tcBorders>
            <w:vAlign w:val="center"/>
          </w:tcPr>
          <w:p w14:paraId="79D4357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tcBorders>
              <w:top w:val="double" w:color="auto" w:sz="2" w:space="0"/>
            </w:tcBorders>
            <w:vAlign w:val="center"/>
          </w:tcPr>
          <w:p w14:paraId="2638FE9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tcBorders>
              <w:top w:val="double" w:color="auto" w:sz="2" w:space="0"/>
            </w:tcBorders>
            <w:vAlign w:val="center"/>
          </w:tcPr>
          <w:p w14:paraId="1CD53A1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tcBorders>
              <w:top w:val="double" w:color="auto" w:sz="2" w:space="0"/>
            </w:tcBorders>
            <w:vAlign w:val="center"/>
          </w:tcPr>
          <w:p w14:paraId="6613D3A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CCEA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303ADCB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tcBorders>
              <w:top w:val="nil"/>
            </w:tcBorders>
            <w:vAlign w:val="center"/>
          </w:tcPr>
          <w:p w14:paraId="6F8BA3F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tcBorders>
              <w:top w:val="nil"/>
            </w:tcBorders>
            <w:vAlign w:val="center"/>
          </w:tcPr>
          <w:p w14:paraId="68E169B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tcBorders>
              <w:top w:val="nil"/>
            </w:tcBorders>
            <w:vAlign w:val="center"/>
          </w:tcPr>
          <w:p w14:paraId="618A1DD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tcBorders>
              <w:top w:val="nil"/>
            </w:tcBorders>
            <w:vAlign w:val="center"/>
          </w:tcPr>
          <w:p w14:paraId="538609D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tcBorders>
              <w:top w:val="nil"/>
            </w:tcBorders>
            <w:vAlign w:val="center"/>
          </w:tcPr>
          <w:p w14:paraId="2878483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5BDC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052A3B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vAlign w:val="center"/>
          </w:tcPr>
          <w:p w14:paraId="715ABBA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426F384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vAlign w:val="center"/>
          </w:tcPr>
          <w:p w14:paraId="0C6517C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331E6BB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vAlign w:val="center"/>
          </w:tcPr>
          <w:p w14:paraId="058007A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2EB9D1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0E9E4C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vAlign w:val="center"/>
          </w:tcPr>
          <w:p w14:paraId="17BE03E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1E85E5E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vAlign w:val="center"/>
          </w:tcPr>
          <w:p w14:paraId="0A6E853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56C4D64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vAlign w:val="center"/>
          </w:tcPr>
          <w:p w14:paraId="6D541B0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B217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A455A5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vAlign w:val="center"/>
          </w:tcPr>
          <w:p w14:paraId="3B29B77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4D90424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vAlign w:val="center"/>
          </w:tcPr>
          <w:p w14:paraId="5143555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14D38AB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vAlign w:val="center"/>
          </w:tcPr>
          <w:p w14:paraId="43AC5F2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BD2D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8672A0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vAlign w:val="center"/>
          </w:tcPr>
          <w:p w14:paraId="66A272E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42ED88A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vAlign w:val="center"/>
          </w:tcPr>
          <w:p w14:paraId="095EC3A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14DF256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vAlign w:val="center"/>
          </w:tcPr>
          <w:p w14:paraId="450639B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5A1834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ED575F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vAlign w:val="center"/>
          </w:tcPr>
          <w:p w14:paraId="40FACD8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09D3BB8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vAlign w:val="center"/>
          </w:tcPr>
          <w:p w14:paraId="365026B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0A3B548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vAlign w:val="center"/>
          </w:tcPr>
          <w:p w14:paraId="60C3D25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21D7D2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337270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vAlign w:val="center"/>
          </w:tcPr>
          <w:p w14:paraId="7887553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3E7421E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vAlign w:val="center"/>
          </w:tcPr>
          <w:p w14:paraId="22116B7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4E9B781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vAlign w:val="center"/>
          </w:tcPr>
          <w:p w14:paraId="00A95B6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7F2DE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B275D6C">
            <w:pPr>
              <w:pageBreakBefore w:val="0"/>
              <w:kinsoku/>
              <w:wordWrap w:val="0"/>
              <w:topLinePunct w:val="0"/>
              <w:rPr>
                <w:rFonts w:ascii="宋体" w:hAnsi="宋体"/>
                <w:color w:val="auto"/>
                <w:sz w:val="30"/>
                <w:szCs w:val="30"/>
                <w:highlight w:val="none"/>
              </w:rPr>
            </w:pPr>
          </w:p>
        </w:tc>
        <w:tc>
          <w:tcPr>
            <w:tcW w:w="1276" w:type="dxa"/>
          </w:tcPr>
          <w:p w14:paraId="24F3C43C">
            <w:pPr>
              <w:pageBreakBefore w:val="0"/>
              <w:kinsoku/>
              <w:wordWrap w:val="0"/>
              <w:topLinePunct w:val="0"/>
              <w:rPr>
                <w:rFonts w:ascii="宋体" w:hAnsi="宋体"/>
                <w:color w:val="auto"/>
                <w:sz w:val="30"/>
                <w:szCs w:val="30"/>
                <w:highlight w:val="none"/>
              </w:rPr>
            </w:pPr>
          </w:p>
        </w:tc>
        <w:tc>
          <w:tcPr>
            <w:tcW w:w="1450" w:type="dxa"/>
          </w:tcPr>
          <w:p w14:paraId="5A6FEB0C">
            <w:pPr>
              <w:pageBreakBefore w:val="0"/>
              <w:kinsoku/>
              <w:wordWrap w:val="0"/>
              <w:topLinePunct w:val="0"/>
              <w:rPr>
                <w:rFonts w:ascii="宋体" w:hAnsi="宋体"/>
                <w:color w:val="auto"/>
                <w:sz w:val="30"/>
                <w:szCs w:val="30"/>
                <w:highlight w:val="none"/>
              </w:rPr>
            </w:pPr>
          </w:p>
        </w:tc>
        <w:tc>
          <w:tcPr>
            <w:tcW w:w="1243" w:type="dxa"/>
          </w:tcPr>
          <w:p w14:paraId="1323B701">
            <w:pPr>
              <w:pageBreakBefore w:val="0"/>
              <w:kinsoku/>
              <w:wordWrap w:val="0"/>
              <w:topLinePunct w:val="0"/>
              <w:rPr>
                <w:rFonts w:ascii="宋体" w:hAnsi="宋体"/>
                <w:color w:val="auto"/>
                <w:sz w:val="30"/>
                <w:szCs w:val="30"/>
                <w:highlight w:val="none"/>
              </w:rPr>
            </w:pPr>
          </w:p>
        </w:tc>
        <w:tc>
          <w:tcPr>
            <w:tcW w:w="1450" w:type="dxa"/>
          </w:tcPr>
          <w:p w14:paraId="21148F4D">
            <w:pPr>
              <w:pageBreakBefore w:val="0"/>
              <w:kinsoku/>
              <w:wordWrap w:val="0"/>
              <w:topLinePunct w:val="0"/>
              <w:rPr>
                <w:rFonts w:ascii="宋体" w:hAnsi="宋体"/>
                <w:color w:val="auto"/>
                <w:sz w:val="30"/>
                <w:szCs w:val="30"/>
                <w:highlight w:val="none"/>
              </w:rPr>
            </w:pPr>
          </w:p>
        </w:tc>
        <w:tc>
          <w:tcPr>
            <w:tcW w:w="1667" w:type="dxa"/>
          </w:tcPr>
          <w:p w14:paraId="020A63E0">
            <w:pPr>
              <w:pageBreakBefore w:val="0"/>
              <w:kinsoku/>
              <w:wordWrap w:val="0"/>
              <w:topLinePunct w:val="0"/>
              <w:rPr>
                <w:rFonts w:ascii="宋体" w:hAnsi="宋体"/>
                <w:color w:val="auto"/>
                <w:sz w:val="30"/>
                <w:szCs w:val="30"/>
                <w:highlight w:val="none"/>
              </w:rPr>
            </w:pPr>
          </w:p>
        </w:tc>
      </w:tr>
      <w:tr w14:paraId="64120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01BD0A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76" w:type="dxa"/>
            <w:vAlign w:val="center"/>
          </w:tcPr>
          <w:p w14:paraId="3628863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576B0CC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243" w:type="dxa"/>
            <w:vAlign w:val="center"/>
          </w:tcPr>
          <w:p w14:paraId="7AA2D71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50" w:type="dxa"/>
            <w:vAlign w:val="center"/>
          </w:tcPr>
          <w:p w14:paraId="57A4CE8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667" w:type="dxa"/>
            <w:vAlign w:val="center"/>
          </w:tcPr>
          <w:p w14:paraId="5906F21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99AD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62D031">
            <w:pPr>
              <w:pageBreakBefore w:val="0"/>
              <w:kinsoku/>
              <w:wordWrap w:val="0"/>
              <w:topLinePunct w:val="0"/>
              <w:rPr>
                <w:rFonts w:ascii="宋体" w:hAnsi="宋体"/>
                <w:color w:val="auto"/>
                <w:sz w:val="30"/>
                <w:szCs w:val="30"/>
                <w:highlight w:val="none"/>
              </w:rPr>
            </w:pPr>
          </w:p>
        </w:tc>
        <w:tc>
          <w:tcPr>
            <w:tcW w:w="1276" w:type="dxa"/>
          </w:tcPr>
          <w:p w14:paraId="23C8A660">
            <w:pPr>
              <w:pageBreakBefore w:val="0"/>
              <w:kinsoku/>
              <w:wordWrap w:val="0"/>
              <w:topLinePunct w:val="0"/>
              <w:rPr>
                <w:rFonts w:ascii="宋体" w:hAnsi="宋体"/>
                <w:color w:val="auto"/>
                <w:sz w:val="30"/>
                <w:szCs w:val="30"/>
                <w:highlight w:val="none"/>
              </w:rPr>
            </w:pPr>
          </w:p>
        </w:tc>
        <w:tc>
          <w:tcPr>
            <w:tcW w:w="1450" w:type="dxa"/>
          </w:tcPr>
          <w:p w14:paraId="7CFF0C7A">
            <w:pPr>
              <w:pageBreakBefore w:val="0"/>
              <w:kinsoku/>
              <w:wordWrap w:val="0"/>
              <w:topLinePunct w:val="0"/>
              <w:rPr>
                <w:rFonts w:ascii="宋体" w:hAnsi="宋体"/>
                <w:color w:val="auto"/>
                <w:sz w:val="30"/>
                <w:szCs w:val="30"/>
                <w:highlight w:val="none"/>
              </w:rPr>
            </w:pPr>
          </w:p>
        </w:tc>
        <w:tc>
          <w:tcPr>
            <w:tcW w:w="1243" w:type="dxa"/>
          </w:tcPr>
          <w:p w14:paraId="05DB6480">
            <w:pPr>
              <w:pageBreakBefore w:val="0"/>
              <w:kinsoku/>
              <w:wordWrap w:val="0"/>
              <w:topLinePunct w:val="0"/>
              <w:rPr>
                <w:rFonts w:ascii="宋体" w:hAnsi="宋体"/>
                <w:color w:val="auto"/>
                <w:sz w:val="30"/>
                <w:szCs w:val="30"/>
                <w:highlight w:val="none"/>
              </w:rPr>
            </w:pPr>
          </w:p>
        </w:tc>
        <w:tc>
          <w:tcPr>
            <w:tcW w:w="1450" w:type="dxa"/>
          </w:tcPr>
          <w:p w14:paraId="5EEFB4E8">
            <w:pPr>
              <w:pageBreakBefore w:val="0"/>
              <w:kinsoku/>
              <w:wordWrap w:val="0"/>
              <w:topLinePunct w:val="0"/>
              <w:rPr>
                <w:rFonts w:ascii="宋体" w:hAnsi="宋体"/>
                <w:color w:val="auto"/>
                <w:sz w:val="30"/>
                <w:szCs w:val="30"/>
                <w:highlight w:val="none"/>
              </w:rPr>
            </w:pPr>
          </w:p>
        </w:tc>
        <w:tc>
          <w:tcPr>
            <w:tcW w:w="1667" w:type="dxa"/>
          </w:tcPr>
          <w:p w14:paraId="455C8834">
            <w:pPr>
              <w:pageBreakBefore w:val="0"/>
              <w:kinsoku/>
              <w:wordWrap w:val="0"/>
              <w:topLinePunct w:val="0"/>
              <w:rPr>
                <w:rFonts w:ascii="宋体" w:hAnsi="宋体"/>
                <w:color w:val="auto"/>
                <w:sz w:val="30"/>
                <w:szCs w:val="30"/>
                <w:highlight w:val="none"/>
              </w:rPr>
            </w:pPr>
          </w:p>
        </w:tc>
      </w:tr>
      <w:tr w14:paraId="7BC385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9E2A6BC">
            <w:pPr>
              <w:pageBreakBefore w:val="0"/>
              <w:kinsoku/>
              <w:wordWrap w:val="0"/>
              <w:topLinePunct w:val="0"/>
              <w:rPr>
                <w:rFonts w:ascii="宋体" w:hAnsi="宋体"/>
                <w:color w:val="auto"/>
                <w:sz w:val="30"/>
                <w:szCs w:val="30"/>
                <w:highlight w:val="none"/>
              </w:rPr>
            </w:pPr>
          </w:p>
        </w:tc>
        <w:tc>
          <w:tcPr>
            <w:tcW w:w="1276" w:type="dxa"/>
          </w:tcPr>
          <w:p w14:paraId="6F303994">
            <w:pPr>
              <w:pageBreakBefore w:val="0"/>
              <w:kinsoku/>
              <w:wordWrap w:val="0"/>
              <w:topLinePunct w:val="0"/>
              <w:rPr>
                <w:rFonts w:ascii="宋体" w:hAnsi="宋体"/>
                <w:color w:val="auto"/>
                <w:sz w:val="30"/>
                <w:szCs w:val="30"/>
                <w:highlight w:val="none"/>
              </w:rPr>
            </w:pPr>
          </w:p>
        </w:tc>
        <w:tc>
          <w:tcPr>
            <w:tcW w:w="1450" w:type="dxa"/>
          </w:tcPr>
          <w:p w14:paraId="43C20B9A">
            <w:pPr>
              <w:pageBreakBefore w:val="0"/>
              <w:kinsoku/>
              <w:wordWrap w:val="0"/>
              <w:topLinePunct w:val="0"/>
              <w:rPr>
                <w:rFonts w:ascii="宋体" w:hAnsi="宋体"/>
                <w:color w:val="auto"/>
                <w:sz w:val="30"/>
                <w:szCs w:val="30"/>
                <w:highlight w:val="none"/>
              </w:rPr>
            </w:pPr>
          </w:p>
        </w:tc>
        <w:tc>
          <w:tcPr>
            <w:tcW w:w="1243" w:type="dxa"/>
          </w:tcPr>
          <w:p w14:paraId="47DD5F21">
            <w:pPr>
              <w:pageBreakBefore w:val="0"/>
              <w:kinsoku/>
              <w:wordWrap w:val="0"/>
              <w:topLinePunct w:val="0"/>
              <w:rPr>
                <w:rFonts w:ascii="宋体" w:hAnsi="宋体"/>
                <w:color w:val="auto"/>
                <w:sz w:val="30"/>
                <w:szCs w:val="30"/>
                <w:highlight w:val="none"/>
              </w:rPr>
            </w:pPr>
          </w:p>
        </w:tc>
        <w:tc>
          <w:tcPr>
            <w:tcW w:w="1450" w:type="dxa"/>
          </w:tcPr>
          <w:p w14:paraId="15CBADDF">
            <w:pPr>
              <w:pageBreakBefore w:val="0"/>
              <w:kinsoku/>
              <w:wordWrap w:val="0"/>
              <w:topLinePunct w:val="0"/>
              <w:rPr>
                <w:rFonts w:ascii="宋体" w:hAnsi="宋体"/>
                <w:color w:val="auto"/>
                <w:sz w:val="30"/>
                <w:szCs w:val="30"/>
                <w:highlight w:val="none"/>
              </w:rPr>
            </w:pPr>
          </w:p>
        </w:tc>
        <w:tc>
          <w:tcPr>
            <w:tcW w:w="1667" w:type="dxa"/>
          </w:tcPr>
          <w:p w14:paraId="6DE94CF5">
            <w:pPr>
              <w:pageBreakBefore w:val="0"/>
              <w:kinsoku/>
              <w:wordWrap w:val="0"/>
              <w:topLinePunct w:val="0"/>
              <w:rPr>
                <w:rFonts w:ascii="宋体" w:hAnsi="宋体"/>
                <w:color w:val="auto"/>
                <w:sz w:val="30"/>
                <w:szCs w:val="30"/>
                <w:highlight w:val="none"/>
              </w:rPr>
            </w:pPr>
          </w:p>
        </w:tc>
      </w:tr>
      <w:tr w14:paraId="499B3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49FF138">
            <w:pPr>
              <w:pageBreakBefore w:val="0"/>
              <w:kinsoku/>
              <w:wordWrap w:val="0"/>
              <w:topLinePunct w:val="0"/>
              <w:rPr>
                <w:rFonts w:ascii="宋体" w:hAnsi="宋体"/>
                <w:color w:val="auto"/>
                <w:sz w:val="30"/>
                <w:szCs w:val="30"/>
                <w:highlight w:val="none"/>
              </w:rPr>
            </w:pPr>
          </w:p>
        </w:tc>
        <w:tc>
          <w:tcPr>
            <w:tcW w:w="1276" w:type="dxa"/>
          </w:tcPr>
          <w:p w14:paraId="79C25350">
            <w:pPr>
              <w:pageBreakBefore w:val="0"/>
              <w:kinsoku/>
              <w:wordWrap w:val="0"/>
              <w:topLinePunct w:val="0"/>
              <w:rPr>
                <w:rFonts w:ascii="宋体" w:hAnsi="宋体"/>
                <w:color w:val="auto"/>
                <w:sz w:val="30"/>
                <w:szCs w:val="30"/>
                <w:highlight w:val="none"/>
              </w:rPr>
            </w:pPr>
          </w:p>
        </w:tc>
        <w:tc>
          <w:tcPr>
            <w:tcW w:w="1450" w:type="dxa"/>
          </w:tcPr>
          <w:p w14:paraId="69363BEA">
            <w:pPr>
              <w:pageBreakBefore w:val="0"/>
              <w:kinsoku/>
              <w:wordWrap w:val="0"/>
              <w:topLinePunct w:val="0"/>
              <w:rPr>
                <w:rFonts w:ascii="宋体" w:hAnsi="宋体"/>
                <w:color w:val="auto"/>
                <w:sz w:val="30"/>
                <w:szCs w:val="30"/>
                <w:highlight w:val="none"/>
              </w:rPr>
            </w:pPr>
          </w:p>
        </w:tc>
        <w:tc>
          <w:tcPr>
            <w:tcW w:w="1243" w:type="dxa"/>
          </w:tcPr>
          <w:p w14:paraId="24C558E8">
            <w:pPr>
              <w:pageBreakBefore w:val="0"/>
              <w:kinsoku/>
              <w:wordWrap w:val="0"/>
              <w:topLinePunct w:val="0"/>
              <w:rPr>
                <w:rFonts w:ascii="宋体" w:hAnsi="宋体"/>
                <w:color w:val="auto"/>
                <w:sz w:val="30"/>
                <w:szCs w:val="30"/>
                <w:highlight w:val="none"/>
              </w:rPr>
            </w:pPr>
          </w:p>
        </w:tc>
        <w:tc>
          <w:tcPr>
            <w:tcW w:w="1450" w:type="dxa"/>
          </w:tcPr>
          <w:p w14:paraId="660BEC34">
            <w:pPr>
              <w:pageBreakBefore w:val="0"/>
              <w:kinsoku/>
              <w:wordWrap w:val="0"/>
              <w:topLinePunct w:val="0"/>
              <w:rPr>
                <w:rFonts w:ascii="宋体" w:hAnsi="宋体"/>
                <w:color w:val="auto"/>
                <w:sz w:val="30"/>
                <w:szCs w:val="30"/>
                <w:highlight w:val="none"/>
              </w:rPr>
            </w:pPr>
          </w:p>
        </w:tc>
        <w:tc>
          <w:tcPr>
            <w:tcW w:w="1667" w:type="dxa"/>
          </w:tcPr>
          <w:p w14:paraId="42104E49">
            <w:pPr>
              <w:pageBreakBefore w:val="0"/>
              <w:kinsoku/>
              <w:wordWrap w:val="0"/>
              <w:topLinePunct w:val="0"/>
              <w:rPr>
                <w:rFonts w:ascii="宋体" w:hAnsi="宋体"/>
                <w:color w:val="auto"/>
                <w:sz w:val="30"/>
                <w:szCs w:val="30"/>
                <w:highlight w:val="none"/>
              </w:rPr>
            </w:pPr>
          </w:p>
        </w:tc>
      </w:tr>
      <w:tr w14:paraId="562BB5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358A210">
            <w:pPr>
              <w:pageBreakBefore w:val="0"/>
              <w:kinsoku/>
              <w:wordWrap w:val="0"/>
              <w:topLinePunct w:val="0"/>
              <w:rPr>
                <w:rFonts w:ascii="宋体" w:hAnsi="宋体"/>
                <w:color w:val="auto"/>
                <w:sz w:val="30"/>
                <w:szCs w:val="30"/>
                <w:highlight w:val="none"/>
              </w:rPr>
            </w:pPr>
          </w:p>
        </w:tc>
        <w:tc>
          <w:tcPr>
            <w:tcW w:w="1276" w:type="dxa"/>
          </w:tcPr>
          <w:p w14:paraId="7CA64789">
            <w:pPr>
              <w:pageBreakBefore w:val="0"/>
              <w:kinsoku/>
              <w:wordWrap w:val="0"/>
              <w:topLinePunct w:val="0"/>
              <w:rPr>
                <w:rFonts w:ascii="宋体" w:hAnsi="宋体"/>
                <w:color w:val="auto"/>
                <w:sz w:val="30"/>
                <w:szCs w:val="30"/>
                <w:highlight w:val="none"/>
              </w:rPr>
            </w:pPr>
          </w:p>
        </w:tc>
        <w:tc>
          <w:tcPr>
            <w:tcW w:w="1450" w:type="dxa"/>
          </w:tcPr>
          <w:p w14:paraId="2AFBE588">
            <w:pPr>
              <w:pageBreakBefore w:val="0"/>
              <w:kinsoku/>
              <w:wordWrap w:val="0"/>
              <w:topLinePunct w:val="0"/>
              <w:rPr>
                <w:rFonts w:ascii="宋体" w:hAnsi="宋体"/>
                <w:color w:val="auto"/>
                <w:sz w:val="30"/>
                <w:szCs w:val="30"/>
                <w:highlight w:val="none"/>
              </w:rPr>
            </w:pPr>
          </w:p>
        </w:tc>
        <w:tc>
          <w:tcPr>
            <w:tcW w:w="1243" w:type="dxa"/>
          </w:tcPr>
          <w:p w14:paraId="1BF40095">
            <w:pPr>
              <w:pageBreakBefore w:val="0"/>
              <w:kinsoku/>
              <w:wordWrap w:val="0"/>
              <w:topLinePunct w:val="0"/>
              <w:rPr>
                <w:rFonts w:ascii="宋体" w:hAnsi="宋体"/>
                <w:color w:val="auto"/>
                <w:sz w:val="30"/>
                <w:szCs w:val="30"/>
                <w:highlight w:val="none"/>
              </w:rPr>
            </w:pPr>
          </w:p>
        </w:tc>
        <w:tc>
          <w:tcPr>
            <w:tcW w:w="1450" w:type="dxa"/>
          </w:tcPr>
          <w:p w14:paraId="51EC7C6B">
            <w:pPr>
              <w:pageBreakBefore w:val="0"/>
              <w:kinsoku/>
              <w:wordWrap w:val="0"/>
              <w:topLinePunct w:val="0"/>
              <w:rPr>
                <w:rFonts w:ascii="宋体" w:hAnsi="宋体"/>
                <w:color w:val="auto"/>
                <w:sz w:val="30"/>
                <w:szCs w:val="30"/>
                <w:highlight w:val="none"/>
              </w:rPr>
            </w:pPr>
          </w:p>
        </w:tc>
        <w:tc>
          <w:tcPr>
            <w:tcW w:w="1667" w:type="dxa"/>
          </w:tcPr>
          <w:p w14:paraId="48AE1523">
            <w:pPr>
              <w:pageBreakBefore w:val="0"/>
              <w:kinsoku/>
              <w:wordWrap w:val="0"/>
              <w:topLinePunct w:val="0"/>
              <w:rPr>
                <w:rFonts w:ascii="宋体" w:hAnsi="宋体"/>
                <w:color w:val="auto"/>
                <w:sz w:val="30"/>
                <w:szCs w:val="30"/>
                <w:highlight w:val="none"/>
              </w:rPr>
            </w:pPr>
          </w:p>
        </w:tc>
      </w:tr>
      <w:tr w14:paraId="5E8BC6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7ECFA4D">
            <w:pPr>
              <w:pageBreakBefore w:val="0"/>
              <w:kinsoku/>
              <w:wordWrap w:val="0"/>
              <w:topLinePunct w:val="0"/>
              <w:rPr>
                <w:rFonts w:ascii="宋体" w:hAnsi="宋体"/>
                <w:color w:val="auto"/>
                <w:sz w:val="30"/>
                <w:szCs w:val="30"/>
                <w:highlight w:val="none"/>
              </w:rPr>
            </w:pPr>
          </w:p>
        </w:tc>
        <w:tc>
          <w:tcPr>
            <w:tcW w:w="1276" w:type="dxa"/>
          </w:tcPr>
          <w:p w14:paraId="1BAFC19D">
            <w:pPr>
              <w:pageBreakBefore w:val="0"/>
              <w:kinsoku/>
              <w:wordWrap w:val="0"/>
              <w:topLinePunct w:val="0"/>
              <w:rPr>
                <w:rFonts w:ascii="宋体" w:hAnsi="宋体"/>
                <w:color w:val="auto"/>
                <w:sz w:val="30"/>
                <w:szCs w:val="30"/>
                <w:highlight w:val="none"/>
              </w:rPr>
            </w:pPr>
          </w:p>
        </w:tc>
        <w:tc>
          <w:tcPr>
            <w:tcW w:w="1450" w:type="dxa"/>
          </w:tcPr>
          <w:p w14:paraId="135D0632">
            <w:pPr>
              <w:pageBreakBefore w:val="0"/>
              <w:kinsoku/>
              <w:wordWrap w:val="0"/>
              <w:topLinePunct w:val="0"/>
              <w:rPr>
                <w:rFonts w:ascii="宋体" w:hAnsi="宋体"/>
                <w:color w:val="auto"/>
                <w:sz w:val="30"/>
                <w:szCs w:val="30"/>
                <w:highlight w:val="none"/>
              </w:rPr>
            </w:pPr>
          </w:p>
        </w:tc>
        <w:tc>
          <w:tcPr>
            <w:tcW w:w="1243" w:type="dxa"/>
          </w:tcPr>
          <w:p w14:paraId="4CC54407">
            <w:pPr>
              <w:pageBreakBefore w:val="0"/>
              <w:kinsoku/>
              <w:wordWrap w:val="0"/>
              <w:topLinePunct w:val="0"/>
              <w:rPr>
                <w:rFonts w:ascii="宋体" w:hAnsi="宋体"/>
                <w:color w:val="auto"/>
                <w:sz w:val="30"/>
                <w:szCs w:val="30"/>
                <w:highlight w:val="none"/>
              </w:rPr>
            </w:pPr>
          </w:p>
        </w:tc>
        <w:tc>
          <w:tcPr>
            <w:tcW w:w="1450" w:type="dxa"/>
          </w:tcPr>
          <w:p w14:paraId="5B15780E">
            <w:pPr>
              <w:pageBreakBefore w:val="0"/>
              <w:kinsoku/>
              <w:wordWrap w:val="0"/>
              <w:topLinePunct w:val="0"/>
              <w:rPr>
                <w:rFonts w:ascii="宋体" w:hAnsi="宋体"/>
                <w:color w:val="auto"/>
                <w:sz w:val="30"/>
                <w:szCs w:val="30"/>
                <w:highlight w:val="none"/>
              </w:rPr>
            </w:pPr>
          </w:p>
        </w:tc>
        <w:tc>
          <w:tcPr>
            <w:tcW w:w="1667" w:type="dxa"/>
          </w:tcPr>
          <w:p w14:paraId="240780B2">
            <w:pPr>
              <w:pageBreakBefore w:val="0"/>
              <w:kinsoku/>
              <w:wordWrap w:val="0"/>
              <w:topLinePunct w:val="0"/>
              <w:rPr>
                <w:rFonts w:ascii="宋体" w:hAnsi="宋体"/>
                <w:color w:val="auto"/>
                <w:sz w:val="30"/>
                <w:szCs w:val="30"/>
                <w:highlight w:val="none"/>
              </w:rPr>
            </w:pPr>
          </w:p>
        </w:tc>
      </w:tr>
      <w:tr w14:paraId="5AE10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4CDA8F3">
            <w:pPr>
              <w:pageBreakBefore w:val="0"/>
              <w:kinsoku/>
              <w:wordWrap w:val="0"/>
              <w:topLinePunct w:val="0"/>
              <w:rPr>
                <w:rFonts w:ascii="宋体" w:hAnsi="宋体"/>
                <w:color w:val="auto"/>
                <w:sz w:val="30"/>
                <w:szCs w:val="30"/>
                <w:highlight w:val="none"/>
              </w:rPr>
            </w:pPr>
          </w:p>
        </w:tc>
        <w:tc>
          <w:tcPr>
            <w:tcW w:w="1276" w:type="dxa"/>
          </w:tcPr>
          <w:p w14:paraId="556A41A6">
            <w:pPr>
              <w:pageBreakBefore w:val="0"/>
              <w:kinsoku/>
              <w:wordWrap w:val="0"/>
              <w:topLinePunct w:val="0"/>
              <w:rPr>
                <w:rFonts w:ascii="宋体" w:hAnsi="宋体"/>
                <w:color w:val="auto"/>
                <w:sz w:val="30"/>
                <w:szCs w:val="30"/>
                <w:highlight w:val="none"/>
              </w:rPr>
            </w:pPr>
          </w:p>
        </w:tc>
        <w:tc>
          <w:tcPr>
            <w:tcW w:w="1450" w:type="dxa"/>
          </w:tcPr>
          <w:p w14:paraId="5E567E47">
            <w:pPr>
              <w:pageBreakBefore w:val="0"/>
              <w:kinsoku/>
              <w:wordWrap w:val="0"/>
              <w:topLinePunct w:val="0"/>
              <w:rPr>
                <w:rFonts w:ascii="宋体" w:hAnsi="宋体"/>
                <w:color w:val="auto"/>
                <w:sz w:val="30"/>
                <w:szCs w:val="30"/>
                <w:highlight w:val="none"/>
              </w:rPr>
            </w:pPr>
          </w:p>
        </w:tc>
        <w:tc>
          <w:tcPr>
            <w:tcW w:w="1243" w:type="dxa"/>
          </w:tcPr>
          <w:p w14:paraId="4E790423">
            <w:pPr>
              <w:pageBreakBefore w:val="0"/>
              <w:kinsoku/>
              <w:wordWrap w:val="0"/>
              <w:topLinePunct w:val="0"/>
              <w:rPr>
                <w:rFonts w:ascii="宋体" w:hAnsi="宋体"/>
                <w:color w:val="auto"/>
                <w:sz w:val="30"/>
                <w:szCs w:val="30"/>
                <w:highlight w:val="none"/>
              </w:rPr>
            </w:pPr>
          </w:p>
        </w:tc>
        <w:tc>
          <w:tcPr>
            <w:tcW w:w="1450" w:type="dxa"/>
          </w:tcPr>
          <w:p w14:paraId="73BDBB79">
            <w:pPr>
              <w:pageBreakBefore w:val="0"/>
              <w:kinsoku/>
              <w:wordWrap w:val="0"/>
              <w:topLinePunct w:val="0"/>
              <w:rPr>
                <w:rFonts w:ascii="宋体" w:hAnsi="宋体"/>
                <w:color w:val="auto"/>
                <w:sz w:val="30"/>
                <w:szCs w:val="30"/>
                <w:highlight w:val="none"/>
              </w:rPr>
            </w:pPr>
          </w:p>
        </w:tc>
        <w:tc>
          <w:tcPr>
            <w:tcW w:w="1667" w:type="dxa"/>
          </w:tcPr>
          <w:p w14:paraId="503886AF">
            <w:pPr>
              <w:pageBreakBefore w:val="0"/>
              <w:kinsoku/>
              <w:wordWrap w:val="0"/>
              <w:topLinePunct w:val="0"/>
              <w:rPr>
                <w:rFonts w:ascii="宋体" w:hAnsi="宋体"/>
                <w:color w:val="auto"/>
                <w:sz w:val="30"/>
                <w:szCs w:val="30"/>
                <w:highlight w:val="none"/>
              </w:rPr>
            </w:pPr>
          </w:p>
        </w:tc>
      </w:tr>
      <w:tr w14:paraId="0F2B30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C3310C8">
            <w:pPr>
              <w:pageBreakBefore w:val="0"/>
              <w:kinsoku/>
              <w:wordWrap w:val="0"/>
              <w:topLinePunct w:val="0"/>
              <w:rPr>
                <w:rFonts w:ascii="宋体" w:hAnsi="宋体"/>
                <w:color w:val="auto"/>
                <w:sz w:val="30"/>
                <w:szCs w:val="30"/>
                <w:highlight w:val="none"/>
              </w:rPr>
            </w:pPr>
          </w:p>
        </w:tc>
        <w:tc>
          <w:tcPr>
            <w:tcW w:w="1276" w:type="dxa"/>
          </w:tcPr>
          <w:p w14:paraId="4DA71D82">
            <w:pPr>
              <w:pageBreakBefore w:val="0"/>
              <w:kinsoku/>
              <w:wordWrap w:val="0"/>
              <w:topLinePunct w:val="0"/>
              <w:rPr>
                <w:rFonts w:ascii="宋体" w:hAnsi="宋体"/>
                <w:color w:val="auto"/>
                <w:sz w:val="30"/>
                <w:szCs w:val="30"/>
                <w:highlight w:val="none"/>
              </w:rPr>
            </w:pPr>
          </w:p>
        </w:tc>
        <w:tc>
          <w:tcPr>
            <w:tcW w:w="1450" w:type="dxa"/>
          </w:tcPr>
          <w:p w14:paraId="7F2CB07F">
            <w:pPr>
              <w:pageBreakBefore w:val="0"/>
              <w:kinsoku/>
              <w:wordWrap w:val="0"/>
              <w:topLinePunct w:val="0"/>
              <w:rPr>
                <w:rFonts w:ascii="宋体" w:hAnsi="宋体"/>
                <w:color w:val="auto"/>
                <w:sz w:val="30"/>
                <w:szCs w:val="30"/>
                <w:highlight w:val="none"/>
              </w:rPr>
            </w:pPr>
          </w:p>
        </w:tc>
        <w:tc>
          <w:tcPr>
            <w:tcW w:w="1243" w:type="dxa"/>
          </w:tcPr>
          <w:p w14:paraId="28FEA977">
            <w:pPr>
              <w:pageBreakBefore w:val="0"/>
              <w:kinsoku/>
              <w:wordWrap w:val="0"/>
              <w:topLinePunct w:val="0"/>
              <w:rPr>
                <w:rFonts w:ascii="宋体" w:hAnsi="宋体"/>
                <w:color w:val="auto"/>
                <w:sz w:val="30"/>
                <w:szCs w:val="30"/>
                <w:highlight w:val="none"/>
              </w:rPr>
            </w:pPr>
          </w:p>
        </w:tc>
        <w:tc>
          <w:tcPr>
            <w:tcW w:w="1450" w:type="dxa"/>
          </w:tcPr>
          <w:p w14:paraId="06F94179">
            <w:pPr>
              <w:pageBreakBefore w:val="0"/>
              <w:kinsoku/>
              <w:wordWrap w:val="0"/>
              <w:topLinePunct w:val="0"/>
              <w:rPr>
                <w:rFonts w:ascii="宋体" w:hAnsi="宋体"/>
                <w:color w:val="auto"/>
                <w:sz w:val="30"/>
                <w:szCs w:val="30"/>
                <w:highlight w:val="none"/>
              </w:rPr>
            </w:pPr>
          </w:p>
        </w:tc>
        <w:tc>
          <w:tcPr>
            <w:tcW w:w="1667" w:type="dxa"/>
          </w:tcPr>
          <w:p w14:paraId="771A86A9">
            <w:pPr>
              <w:pageBreakBefore w:val="0"/>
              <w:kinsoku/>
              <w:wordWrap w:val="0"/>
              <w:topLinePunct w:val="0"/>
              <w:rPr>
                <w:rFonts w:ascii="宋体" w:hAnsi="宋体"/>
                <w:color w:val="auto"/>
                <w:sz w:val="30"/>
                <w:szCs w:val="30"/>
                <w:highlight w:val="none"/>
              </w:rPr>
            </w:pPr>
          </w:p>
        </w:tc>
      </w:tr>
      <w:tr w14:paraId="05E3D7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E112F3B">
            <w:pPr>
              <w:pageBreakBefore w:val="0"/>
              <w:kinsoku/>
              <w:wordWrap w:val="0"/>
              <w:topLinePunct w:val="0"/>
              <w:rPr>
                <w:rFonts w:ascii="宋体" w:hAnsi="宋体"/>
                <w:color w:val="auto"/>
                <w:sz w:val="30"/>
                <w:szCs w:val="30"/>
                <w:highlight w:val="none"/>
              </w:rPr>
            </w:pPr>
          </w:p>
        </w:tc>
        <w:tc>
          <w:tcPr>
            <w:tcW w:w="1276" w:type="dxa"/>
          </w:tcPr>
          <w:p w14:paraId="64BAA119">
            <w:pPr>
              <w:pageBreakBefore w:val="0"/>
              <w:kinsoku/>
              <w:wordWrap w:val="0"/>
              <w:topLinePunct w:val="0"/>
              <w:rPr>
                <w:rFonts w:ascii="宋体" w:hAnsi="宋体"/>
                <w:color w:val="auto"/>
                <w:sz w:val="30"/>
                <w:szCs w:val="30"/>
                <w:highlight w:val="none"/>
              </w:rPr>
            </w:pPr>
          </w:p>
        </w:tc>
        <w:tc>
          <w:tcPr>
            <w:tcW w:w="1450" w:type="dxa"/>
          </w:tcPr>
          <w:p w14:paraId="25C63BB8">
            <w:pPr>
              <w:pageBreakBefore w:val="0"/>
              <w:kinsoku/>
              <w:wordWrap w:val="0"/>
              <w:topLinePunct w:val="0"/>
              <w:rPr>
                <w:rFonts w:ascii="宋体" w:hAnsi="宋体"/>
                <w:color w:val="auto"/>
                <w:sz w:val="30"/>
                <w:szCs w:val="30"/>
                <w:highlight w:val="none"/>
              </w:rPr>
            </w:pPr>
          </w:p>
        </w:tc>
        <w:tc>
          <w:tcPr>
            <w:tcW w:w="1243" w:type="dxa"/>
          </w:tcPr>
          <w:p w14:paraId="735E77A4">
            <w:pPr>
              <w:pageBreakBefore w:val="0"/>
              <w:kinsoku/>
              <w:wordWrap w:val="0"/>
              <w:topLinePunct w:val="0"/>
              <w:rPr>
                <w:rFonts w:ascii="宋体" w:hAnsi="宋体"/>
                <w:color w:val="auto"/>
                <w:sz w:val="30"/>
                <w:szCs w:val="30"/>
                <w:highlight w:val="none"/>
              </w:rPr>
            </w:pPr>
          </w:p>
        </w:tc>
        <w:tc>
          <w:tcPr>
            <w:tcW w:w="1450" w:type="dxa"/>
          </w:tcPr>
          <w:p w14:paraId="7C4274CD">
            <w:pPr>
              <w:pageBreakBefore w:val="0"/>
              <w:kinsoku/>
              <w:wordWrap w:val="0"/>
              <w:topLinePunct w:val="0"/>
              <w:rPr>
                <w:rFonts w:ascii="宋体" w:hAnsi="宋体"/>
                <w:color w:val="auto"/>
                <w:sz w:val="30"/>
                <w:szCs w:val="30"/>
                <w:highlight w:val="none"/>
              </w:rPr>
            </w:pPr>
          </w:p>
        </w:tc>
        <w:tc>
          <w:tcPr>
            <w:tcW w:w="1667" w:type="dxa"/>
          </w:tcPr>
          <w:p w14:paraId="78978D44">
            <w:pPr>
              <w:pageBreakBefore w:val="0"/>
              <w:kinsoku/>
              <w:wordWrap w:val="0"/>
              <w:topLinePunct w:val="0"/>
              <w:rPr>
                <w:rFonts w:ascii="宋体" w:hAnsi="宋体"/>
                <w:color w:val="auto"/>
                <w:sz w:val="30"/>
                <w:szCs w:val="30"/>
                <w:highlight w:val="none"/>
              </w:rPr>
            </w:pPr>
          </w:p>
        </w:tc>
      </w:tr>
      <w:tr w14:paraId="128E2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bottom w:val="single" w:color="auto" w:sz="12" w:space="0"/>
            </w:tcBorders>
          </w:tcPr>
          <w:p w14:paraId="535F9007">
            <w:pPr>
              <w:pageBreakBefore w:val="0"/>
              <w:kinsoku/>
              <w:wordWrap w:val="0"/>
              <w:topLinePunct w:val="0"/>
              <w:rPr>
                <w:rFonts w:ascii="宋体" w:hAnsi="宋体"/>
                <w:color w:val="auto"/>
                <w:sz w:val="30"/>
                <w:szCs w:val="30"/>
                <w:highlight w:val="none"/>
              </w:rPr>
            </w:pPr>
          </w:p>
        </w:tc>
        <w:tc>
          <w:tcPr>
            <w:tcW w:w="1276" w:type="dxa"/>
            <w:tcBorders>
              <w:bottom w:val="single" w:color="auto" w:sz="12" w:space="0"/>
            </w:tcBorders>
          </w:tcPr>
          <w:p w14:paraId="568101A4">
            <w:pPr>
              <w:pageBreakBefore w:val="0"/>
              <w:kinsoku/>
              <w:wordWrap w:val="0"/>
              <w:topLinePunct w:val="0"/>
              <w:rPr>
                <w:rFonts w:ascii="宋体" w:hAnsi="宋体"/>
                <w:color w:val="auto"/>
                <w:sz w:val="30"/>
                <w:szCs w:val="30"/>
                <w:highlight w:val="none"/>
              </w:rPr>
            </w:pPr>
          </w:p>
        </w:tc>
        <w:tc>
          <w:tcPr>
            <w:tcW w:w="1450" w:type="dxa"/>
            <w:tcBorders>
              <w:bottom w:val="single" w:color="auto" w:sz="12" w:space="0"/>
            </w:tcBorders>
          </w:tcPr>
          <w:p w14:paraId="1658EA1C">
            <w:pPr>
              <w:pageBreakBefore w:val="0"/>
              <w:kinsoku/>
              <w:wordWrap w:val="0"/>
              <w:topLinePunct w:val="0"/>
              <w:rPr>
                <w:rFonts w:ascii="宋体" w:hAnsi="宋体"/>
                <w:color w:val="auto"/>
                <w:sz w:val="30"/>
                <w:szCs w:val="30"/>
                <w:highlight w:val="none"/>
              </w:rPr>
            </w:pPr>
          </w:p>
        </w:tc>
        <w:tc>
          <w:tcPr>
            <w:tcW w:w="1243" w:type="dxa"/>
            <w:tcBorders>
              <w:bottom w:val="single" w:color="auto" w:sz="12" w:space="0"/>
            </w:tcBorders>
          </w:tcPr>
          <w:p w14:paraId="50608FA0">
            <w:pPr>
              <w:pageBreakBefore w:val="0"/>
              <w:kinsoku/>
              <w:wordWrap w:val="0"/>
              <w:topLinePunct w:val="0"/>
              <w:rPr>
                <w:rFonts w:ascii="宋体" w:hAnsi="宋体"/>
                <w:color w:val="auto"/>
                <w:sz w:val="30"/>
                <w:szCs w:val="30"/>
                <w:highlight w:val="none"/>
              </w:rPr>
            </w:pPr>
          </w:p>
        </w:tc>
        <w:tc>
          <w:tcPr>
            <w:tcW w:w="1450" w:type="dxa"/>
            <w:tcBorders>
              <w:bottom w:val="single" w:color="auto" w:sz="12" w:space="0"/>
            </w:tcBorders>
          </w:tcPr>
          <w:p w14:paraId="2F98F875">
            <w:pPr>
              <w:pageBreakBefore w:val="0"/>
              <w:kinsoku/>
              <w:wordWrap w:val="0"/>
              <w:topLinePunct w:val="0"/>
              <w:rPr>
                <w:rFonts w:ascii="宋体" w:hAnsi="宋体"/>
                <w:color w:val="auto"/>
                <w:sz w:val="30"/>
                <w:szCs w:val="30"/>
                <w:highlight w:val="none"/>
              </w:rPr>
            </w:pPr>
          </w:p>
        </w:tc>
        <w:tc>
          <w:tcPr>
            <w:tcW w:w="1667" w:type="dxa"/>
            <w:tcBorders>
              <w:bottom w:val="single" w:color="auto" w:sz="12" w:space="0"/>
            </w:tcBorders>
          </w:tcPr>
          <w:p w14:paraId="5C609620">
            <w:pPr>
              <w:pageBreakBefore w:val="0"/>
              <w:kinsoku/>
              <w:wordWrap w:val="0"/>
              <w:topLinePunct w:val="0"/>
              <w:rPr>
                <w:rFonts w:ascii="宋体" w:hAnsi="宋体"/>
                <w:color w:val="auto"/>
                <w:sz w:val="30"/>
                <w:szCs w:val="30"/>
                <w:highlight w:val="none"/>
              </w:rPr>
            </w:pPr>
          </w:p>
        </w:tc>
      </w:tr>
    </w:tbl>
    <w:p w14:paraId="101EE807">
      <w:pPr>
        <w:pageBreakBefore w:val="0"/>
        <w:kinsoku/>
        <w:wordWrap w:val="0"/>
        <w:topLinePunct w:val="0"/>
        <w:spacing w:line="440" w:lineRule="exact"/>
        <w:rPr>
          <w:rFonts w:ascii="宋体" w:hAnsi="宋体"/>
          <w:color w:val="auto"/>
          <w:sz w:val="30"/>
          <w:szCs w:val="30"/>
          <w:highlight w:val="none"/>
        </w:rPr>
      </w:pPr>
    </w:p>
    <w:p w14:paraId="6998128C">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5D5C7248">
      <w:pPr>
        <w:pageBreakBefore w:val="0"/>
        <w:kinsoku/>
        <w:wordWrap w:val="0"/>
        <w:topLinePunct w:val="0"/>
        <w:spacing w:line="440" w:lineRule="exac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4</w:t>
      </w:r>
      <w:r>
        <w:rPr>
          <w:rFonts w:hint="eastAsia" w:ascii="宋体" w:hAnsi="宋体"/>
          <w:color w:val="auto"/>
          <w:sz w:val="30"/>
          <w:szCs w:val="30"/>
          <w:highlight w:val="none"/>
        </w:rPr>
        <w:t>：</w:t>
      </w:r>
    </w:p>
    <w:p w14:paraId="65AAF327">
      <w:pPr>
        <w:pageBreakBefore w:val="0"/>
        <w:kinsoku/>
        <w:wordWrap w:val="0"/>
        <w:topLinePunct w:val="0"/>
        <w:spacing w:beforeLines="50" w:afterLines="50" w:line="440" w:lineRule="exact"/>
        <w:jc w:val="center"/>
        <w:rPr>
          <w:rFonts w:ascii="宋体" w:hAnsi="宋体"/>
          <w:color w:val="auto"/>
          <w:sz w:val="30"/>
          <w:szCs w:val="30"/>
          <w:highlight w:val="none"/>
        </w:rPr>
      </w:pPr>
      <w:r>
        <w:rPr>
          <w:rFonts w:hint="eastAsia" w:ascii="宋体" w:hAnsi="宋体"/>
          <w:color w:val="auto"/>
          <w:sz w:val="30"/>
          <w:szCs w:val="30"/>
          <w:highlight w:val="none"/>
        </w:rPr>
        <w:t>承包人用于本工程施工的机械设备表</w:t>
      </w:r>
    </w:p>
    <w:tbl>
      <w:tblPr>
        <w:tblStyle w:val="4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132"/>
        <w:gridCol w:w="806"/>
        <w:gridCol w:w="1020"/>
        <w:gridCol w:w="1480"/>
        <w:gridCol w:w="1020"/>
        <w:gridCol w:w="921"/>
      </w:tblGrid>
      <w:tr w14:paraId="0A51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59E26DD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序号</w:t>
            </w:r>
          </w:p>
        </w:tc>
        <w:tc>
          <w:tcPr>
            <w:tcW w:w="1418" w:type="dxa"/>
            <w:tcBorders>
              <w:left w:val="nil"/>
            </w:tcBorders>
            <w:vAlign w:val="center"/>
          </w:tcPr>
          <w:p w14:paraId="013824B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机械或设备名称</w:t>
            </w:r>
          </w:p>
        </w:tc>
        <w:tc>
          <w:tcPr>
            <w:tcW w:w="850" w:type="dxa"/>
            <w:tcBorders>
              <w:left w:val="nil"/>
            </w:tcBorders>
            <w:vAlign w:val="center"/>
          </w:tcPr>
          <w:p w14:paraId="01C26B3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规格型号</w:t>
            </w:r>
          </w:p>
        </w:tc>
        <w:tc>
          <w:tcPr>
            <w:tcW w:w="1132" w:type="dxa"/>
            <w:tcBorders>
              <w:left w:val="nil"/>
            </w:tcBorders>
            <w:vAlign w:val="center"/>
          </w:tcPr>
          <w:p w14:paraId="4B09482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数量</w:t>
            </w:r>
          </w:p>
        </w:tc>
        <w:tc>
          <w:tcPr>
            <w:tcW w:w="806" w:type="dxa"/>
            <w:tcBorders>
              <w:left w:val="nil"/>
            </w:tcBorders>
            <w:vAlign w:val="center"/>
          </w:tcPr>
          <w:p w14:paraId="701A6D1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产地</w:t>
            </w:r>
          </w:p>
        </w:tc>
        <w:tc>
          <w:tcPr>
            <w:tcW w:w="1020" w:type="dxa"/>
            <w:tcBorders>
              <w:left w:val="nil"/>
            </w:tcBorders>
            <w:vAlign w:val="center"/>
          </w:tcPr>
          <w:p w14:paraId="6A90ACC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制造年份</w:t>
            </w:r>
          </w:p>
        </w:tc>
        <w:tc>
          <w:tcPr>
            <w:tcW w:w="1480" w:type="dxa"/>
            <w:tcBorders>
              <w:left w:val="nil"/>
            </w:tcBorders>
            <w:vAlign w:val="center"/>
          </w:tcPr>
          <w:p w14:paraId="45E6DD6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额定功率（</w:t>
            </w:r>
            <w:r>
              <w:rPr>
                <w:rFonts w:ascii="宋体" w:hAnsi="宋体"/>
                <w:color w:val="auto"/>
                <w:sz w:val="28"/>
                <w:szCs w:val="28"/>
                <w:highlight w:val="none"/>
              </w:rPr>
              <w:t>kW</w:t>
            </w:r>
            <w:r>
              <w:rPr>
                <w:rFonts w:hint="eastAsia" w:ascii="宋体" w:hAnsi="宋体"/>
                <w:color w:val="auto"/>
                <w:sz w:val="28"/>
                <w:szCs w:val="28"/>
                <w:highlight w:val="none"/>
              </w:rPr>
              <w:t>）</w:t>
            </w:r>
          </w:p>
        </w:tc>
        <w:tc>
          <w:tcPr>
            <w:tcW w:w="1020" w:type="dxa"/>
            <w:tcBorders>
              <w:left w:val="nil"/>
            </w:tcBorders>
            <w:vAlign w:val="center"/>
          </w:tcPr>
          <w:p w14:paraId="6353412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生产能力</w:t>
            </w:r>
          </w:p>
        </w:tc>
        <w:tc>
          <w:tcPr>
            <w:tcW w:w="921" w:type="dxa"/>
            <w:tcBorders>
              <w:left w:val="nil"/>
            </w:tcBorders>
            <w:vAlign w:val="center"/>
          </w:tcPr>
          <w:p w14:paraId="2DAF8D6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备注</w:t>
            </w:r>
          </w:p>
        </w:tc>
      </w:tr>
      <w:tr w14:paraId="73DA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3B64B0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28EB492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6629005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79FFD08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5A8F216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695CFC5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28CCF72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3230F9E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4407722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937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F61346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0499233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6AF8702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01AD804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10C1BCB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4B7B53A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30038EE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1A538A2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16EB2B3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683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1EEAE9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2A8A6E8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64D3BA3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39F1A8C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679174F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25B2503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5C89C07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597A485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19C7330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72EA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D57A71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279F102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776BBE3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108695D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04CF99E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283A58D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528DCD8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442EC64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1B3DBB9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457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A23014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192721C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25315D7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21A74F0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1780DC6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02BEBFE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78CD6AA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504D56B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28C664B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CF7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0E38AB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5FFF810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53223FA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3906CEC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79F56A9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54871E2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7CBE32B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60552AB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1F0B494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775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67A1BA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4F10557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27FF719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5310680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5912907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56252AD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79164FE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1477043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123AF0C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C4E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E01D1D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3D53D79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4BE348E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2FA56E9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510144A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1174B34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7D44494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59A0E36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1CC5186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83F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884A004">
            <w:pPr>
              <w:pageBreakBefore w:val="0"/>
              <w:kinsoku/>
              <w:wordWrap w:val="0"/>
              <w:topLinePunct w:val="0"/>
              <w:rPr>
                <w:rFonts w:ascii="宋体" w:hAnsi="宋体"/>
                <w:color w:val="auto"/>
                <w:sz w:val="30"/>
                <w:szCs w:val="30"/>
                <w:highlight w:val="none"/>
              </w:rPr>
            </w:pPr>
          </w:p>
        </w:tc>
        <w:tc>
          <w:tcPr>
            <w:tcW w:w="1418" w:type="dxa"/>
            <w:tcBorders>
              <w:left w:val="nil"/>
            </w:tcBorders>
          </w:tcPr>
          <w:p w14:paraId="08555941">
            <w:pPr>
              <w:pageBreakBefore w:val="0"/>
              <w:kinsoku/>
              <w:wordWrap w:val="0"/>
              <w:topLinePunct w:val="0"/>
              <w:rPr>
                <w:rFonts w:ascii="宋体" w:hAnsi="宋体"/>
                <w:color w:val="auto"/>
                <w:sz w:val="30"/>
                <w:szCs w:val="30"/>
                <w:highlight w:val="none"/>
              </w:rPr>
            </w:pPr>
          </w:p>
        </w:tc>
        <w:tc>
          <w:tcPr>
            <w:tcW w:w="850" w:type="dxa"/>
            <w:tcBorders>
              <w:left w:val="nil"/>
            </w:tcBorders>
          </w:tcPr>
          <w:p w14:paraId="7D3DF298">
            <w:pPr>
              <w:pageBreakBefore w:val="0"/>
              <w:kinsoku/>
              <w:wordWrap w:val="0"/>
              <w:topLinePunct w:val="0"/>
              <w:rPr>
                <w:rFonts w:ascii="宋体" w:hAnsi="宋体"/>
                <w:color w:val="auto"/>
                <w:sz w:val="30"/>
                <w:szCs w:val="30"/>
                <w:highlight w:val="none"/>
              </w:rPr>
            </w:pPr>
          </w:p>
        </w:tc>
        <w:tc>
          <w:tcPr>
            <w:tcW w:w="1132" w:type="dxa"/>
            <w:tcBorders>
              <w:left w:val="nil"/>
            </w:tcBorders>
          </w:tcPr>
          <w:p w14:paraId="2722B509">
            <w:pPr>
              <w:pageBreakBefore w:val="0"/>
              <w:kinsoku/>
              <w:wordWrap w:val="0"/>
              <w:topLinePunct w:val="0"/>
              <w:rPr>
                <w:rFonts w:ascii="宋体" w:hAnsi="宋体"/>
                <w:color w:val="auto"/>
                <w:sz w:val="30"/>
                <w:szCs w:val="30"/>
                <w:highlight w:val="none"/>
              </w:rPr>
            </w:pPr>
          </w:p>
        </w:tc>
        <w:tc>
          <w:tcPr>
            <w:tcW w:w="806" w:type="dxa"/>
            <w:tcBorders>
              <w:left w:val="nil"/>
            </w:tcBorders>
          </w:tcPr>
          <w:p w14:paraId="62D99C5F">
            <w:pPr>
              <w:pageBreakBefore w:val="0"/>
              <w:kinsoku/>
              <w:wordWrap w:val="0"/>
              <w:topLinePunct w:val="0"/>
              <w:rPr>
                <w:rFonts w:ascii="宋体" w:hAnsi="宋体"/>
                <w:color w:val="auto"/>
                <w:sz w:val="30"/>
                <w:szCs w:val="30"/>
                <w:highlight w:val="none"/>
              </w:rPr>
            </w:pPr>
          </w:p>
        </w:tc>
        <w:tc>
          <w:tcPr>
            <w:tcW w:w="1020" w:type="dxa"/>
            <w:tcBorders>
              <w:left w:val="nil"/>
            </w:tcBorders>
          </w:tcPr>
          <w:p w14:paraId="2466D2CA">
            <w:pPr>
              <w:pageBreakBefore w:val="0"/>
              <w:kinsoku/>
              <w:wordWrap w:val="0"/>
              <w:topLinePunct w:val="0"/>
              <w:rPr>
                <w:rFonts w:ascii="宋体" w:hAnsi="宋体"/>
                <w:color w:val="auto"/>
                <w:sz w:val="30"/>
                <w:szCs w:val="30"/>
                <w:highlight w:val="none"/>
              </w:rPr>
            </w:pPr>
          </w:p>
        </w:tc>
        <w:tc>
          <w:tcPr>
            <w:tcW w:w="1480" w:type="dxa"/>
            <w:tcBorders>
              <w:left w:val="nil"/>
            </w:tcBorders>
          </w:tcPr>
          <w:p w14:paraId="0127B39A">
            <w:pPr>
              <w:pageBreakBefore w:val="0"/>
              <w:kinsoku/>
              <w:wordWrap w:val="0"/>
              <w:topLinePunct w:val="0"/>
              <w:rPr>
                <w:rFonts w:ascii="宋体" w:hAnsi="宋体"/>
                <w:color w:val="auto"/>
                <w:sz w:val="30"/>
                <w:szCs w:val="30"/>
                <w:highlight w:val="none"/>
              </w:rPr>
            </w:pPr>
          </w:p>
        </w:tc>
        <w:tc>
          <w:tcPr>
            <w:tcW w:w="1020" w:type="dxa"/>
            <w:tcBorders>
              <w:left w:val="nil"/>
            </w:tcBorders>
          </w:tcPr>
          <w:p w14:paraId="785784E4">
            <w:pPr>
              <w:pageBreakBefore w:val="0"/>
              <w:kinsoku/>
              <w:wordWrap w:val="0"/>
              <w:topLinePunct w:val="0"/>
              <w:rPr>
                <w:rFonts w:ascii="宋体" w:hAnsi="宋体"/>
                <w:color w:val="auto"/>
                <w:sz w:val="30"/>
                <w:szCs w:val="30"/>
                <w:highlight w:val="none"/>
              </w:rPr>
            </w:pPr>
          </w:p>
        </w:tc>
        <w:tc>
          <w:tcPr>
            <w:tcW w:w="921" w:type="dxa"/>
            <w:tcBorders>
              <w:left w:val="nil"/>
            </w:tcBorders>
          </w:tcPr>
          <w:p w14:paraId="4A843370">
            <w:pPr>
              <w:pageBreakBefore w:val="0"/>
              <w:kinsoku/>
              <w:wordWrap w:val="0"/>
              <w:topLinePunct w:val="0"/>
              <w:rPr>
                <w:rFonts w:ascii="宋体" w:hAnsi="宋体"/>
                <w:color w:val="auto"/>
                <w:sz w:val="30"/>
                <w:szCs w:val="30"/>
                <w:highlight w:val="none"/>
              </w:rPr>
            </w:pPr>
          </w:p>
        </w:tc>
      </w:tr>
      <w:tr w14:paraId="09D1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C55DBC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18" w:type="dxa"/>
            <w:tcBorders>
              <w:left w:val="nil"/>
            </w:tcBorders>
            <w:vAlign w:val="center"/>
          </w:tcPr>
          <w:p w14:paraId="62BCEFA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50" w:type="dxa"/>
            <w:tcBorders>
              <w:left w:val="nil"/>
            </w:tcBorders>
            <w:vAlign w:val="center"/>
          </w:tcPr>
          <w:p w14:paraId="65DA0EB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2" w:type="dxa"/>
            <w:tcBorders>
              <w:left w:val="nil"/>
            </w:tcBorders>
            <w:vAlign w:val="center"/>
          </w:tcPr>
          <w:p w14:paraId="2547929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806" w:type="dxa"/>
            <w:tcBorders>
              <w:left w:val="nil"/>
            </w:tcBorders>
            <w:vAlign w:val="center"/>
          </w:tcPr>
          <w:p w14:paraId="723874A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6A11191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480" w:type="dxa"/>
            <w:tcBorders>
              <w:left w:val="nil"/>
            </w:tcBorders>
            <w:vAlign w:val="center"/>
          </w:tcPr>
          <w:p w14:paraId="7CF130B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020" w:type="dxa"/>
            <w:tcBorders>
              <w:left w:val="nil"/>
            </w:tcBorders>
            <w:vAlign w:val="center"/>
          </w:tcPr>
          <w:p w14:paraId="33C5D75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921" w:type="dxa"/>
            <w:tcBorders>
              <w:left w:val="nil"/>
            </w:tcBorders>
            <w:vAlign w:val="center"/>
          </w:tcPr>
          <w:p w14:paraId="228253D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5C1D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8A72276">
            <w:pPr>
              <w:pageBreakBefore w:val="0"/>
              <w:kinsoku/>
              <w:wordWrap w:val="0"/>
              <w:topLinePunct w:val="0"/>
              <w:rPr>
                <w:rFonts w:ascii="宋体" w:hAnsi="宋体"/>
                <w:color w:val="auto"/>
                <w:sz w:val="30"/>
                <w:szCs w:val="30"/>
                <w:highlight w:val="none"/>
              </w:rPr>
            </w:pPr>
          </w:p>
        </w:tc>
        <w:tc>
          <w:tcPr>
            <w:tcW w:w="1418" w:type="dxa"/>
            <w:tcBorders>
              <w:left w:val="nil"/>
            </w:tcBorders>
          </w:tcPr>
          <w:p w14:paraId="263C60FA">
            <w:pPr>
              <w:pageBreakBefore w:val="0"/>
              <w:kinsoku/>
              <w:wordWrap w:val="0"/>
              <w:topLinePunct w:val="0"/>
              <w:rPr>
                <w:rFonts w:ascii="宋体" w:hAnsi="宋体"/>
                <w:color w:val="auto"/>
                <w:sz w:val="30"/>
                <w:szCs w:val="30"/>
                <w:highlight w:val="none"/>
              </w:rPr>
            </w:pPr>
          </w:p>
        </w:tc>
        <w:tc>
          <w:tcPr>
            <w:tcW w:w="850" w:type="dxa"/>
            <w:tcBorders>
              <w:left w:val="nil"/>
            </w:tcBorders>
          </w:tcPr>
          <w:p w14:paraId="438839FB">
            <w:pPr>
              <w:pageBreakBefore w:val="0"/>
              <w:kinsoku/>
              <w:wordWrap w:val="0"/>
              <w:topLinePunct w:val="0"/>
              <w:rPr>
                <w:rFonts w:ascii="宋体" w:hAnsi="宋体"/>
                <w:color w:val="auto"/>
                <w:sz w:val="30"/>
                <w:szCs w:val="30"/>
                <w:highlight w:val="none"/>
              </w:rPr>
            </w:pPr>
          </w:p>
        </w:tc>
        <w:tc>
          <w:tcPr>
            <w:tcW w:w="1132" w:type="dxa"/>
            <w:tcBorders>
              <w:left w:val="nil"/>
            </w:tcBorders>
          </w:tcPr>
          <w:p w14:paraId="0D5FFF42">
            <w:pPr>
              <w:pageBreakBefore w:val="0"/>
              <w:kinsoku/>
              <w:wordWrap w:val="0"/>
              <w:topLinePunct w:val="0"/>
              <w:rPr>
                <w:rFonts w:ascii="宋体" w:hAnsi="宋体"/>
                <w:color w:val="auto"/>
                <w:sz w:val="30"/>
                <w:szCs w:val="30"/>
                <w:highlight w:val="none"/>
              </w:rPr>
            </w:pPr>
          </w:p>
        </w:tc>
        <w:tc>
          <w:tcPr>
            <w:tcW w:w="806" w:type="dxa"/>
            <w:tcBorders>
              <w:left w:val="nil"/>
            </w:tcBorders>
          </w:tcPr>
          <w:p w14:paraId="581C8723">
            <w:pPr>
              <w:pageBreakBefore w:val="0"/>
              <w:kinsoku/>
              <w:wordWrap w:val="0"/>
              <w:topLinePunct w:val="0"/>
              <w:rPr>
                <w:rFonts w:ascii="宋体" w:hAnsi="宋体"/>
                <w:color w:val="auto"/>
                <w:sz w:val="30"/>
                <w:szCs w:val="30"/>
                <w:highlight w:val="none"/>
              </w:rPr>
            </w:pPr>
          </w:p>
        </w:tc>
        <w:tc>
          <w:tcPr>
            <w:tcW w:w="1020" w:type="dxa"/>
            <w:tcBorders>
              <w:left w:val="nil"/>
            </w:tcBorders>
          </w:tcPr>
          <w:p w14:paraId="782782F2">
            <w:pPr>
              <w:pageBreakBefore w:val="0"/>
              <w:kinsoku/>
              <w:wordWrap w:val="0"/>
              <w:topLinePunct w:val="0"/>
              <w:rPr>
                <w:rFonts w:ascii="宋体" w:hAnsi="宋体"/>
                <w:color w:val="auto"/>
                <w:sz w:val="30"/>
                <w:szCs w:val="30"/>
                <w:highlight w:val="none"/>
              </w:rPr>
            </w:pPr>
          </w:p>
        </w:tc>
        <w:tc>
          <w:tcPr>
            <w:tcW w:w="1480" w:type="dxa"/>
            <w:tcBorders>
              <w:left w:val="nil"/>
            </w:tcBorders>
          </w:tcPr>
          <w:p w14:paraId="7FB7D5D0">
            <w:pPr>
              <w:pageBreakBefore w:val="0"/>
              <w:kinsoku/>
              <w:wordWrap w:val="0"/>
              <w:topLinePunct w:val="0"/>
              <w:rPr>
                <w:rFonts w:ascii="宋体" w:hAnsi="宋体"/>
                <w:color w:val="auto"/>
                <w:sz w:val="30"/>
                <w:szCs w:val="30"/>
                <w:highlight w:val="none"/>
              </w:rPr>
            </w:pPr>
          </w:p>
        </w:tc>
        <w:tc>
          <w:tcPr>
            <w:tcW w:w="1020" w:type="dxa"/>
            <w:tcBorders>
              <w:left w:val="nil"/>
            </w:tcBorders>
          </w:tcPr>
          <w:p w14:paraId="4808F226">
            <w:pPr>
              <w:pageBreakBefore w:val="0"/>
              <w:kinsoku/>
              <w:wordWrap w:val="0"/>
              <w:topLinePunct w:val="0"/>
              <w:rPr>
                <w:rFonts w:ascii="宋体" w:hAnsi="宋体"/>
                <w:color w:val="auto"/>
                <w:sz w:val="30"/>
                <w:szCs w:val="30"/>
                <w:highlight w:val="none"/>
              </w:rPr>
            </w:pPr>
          </w:p>
        </w:tc>
        <w:tc>
          <w:tcPr>
            <w:tcW w:w="921" w:type="dxa"/>
            <w:tcBorders>
              <w:left w:val="nil"/>
            </w:tcBorders>
          </w:tcPr>
          <w:p w14:paraId="455CC2D3">
            <w:pPr>
              <w:pageBreakBefore w:val="0"/>
              <w:kinsoku/>
              <w:wordWrap w:val="0"/>
              <w:topLinePunct w:val="0"/>
              <w:rPr>
                <w:rFonts w:ascii="宋体" w:hAnsi="宋体"/>
                <w:color w:val="auto"/>
                <w:sz w:val="30"/>
                <w:szCs w:val="30"/>
                <w:highlight w:val="none"/>
              </w:rPr>
            </w:pPr>
          </w:p>
        </w:tc>
      </w:tr>
      <w:tr w14:paraId="77D1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7435A76">
            <w:pPr>
              <w:pageBreakBefore w:val="0"/>
              <w:kinsoku/>
              <w:wordWrap w:val="0"/>
              <w:topLinePunct w:val="0"/>
              <w:rPr>
                <w:rFonts w:ascii="宋体" w:hAnsi="宋体"/>
                <w:color w:val="auto"/>
                <w:sz w:val="30"/>
                <w:szCs w:val="30"/>
                <w:highlight w:val="none"/>
              </w:rPr>
            </w:pPr>
          </w:p>
        </w:tc>
        <w:tc>
          <w:tcPr>
            <w:tcW w:w="1418" w:type="dxa"/>
            <w:tcBorders>
              <w:left w:val="nil"/>
            </w:tcBorders>
          </w:tcPr>
          <w:p w14:paraId="3AA03EA3">
            <w:pPr>
              <w:pageBreakBefore w:val="0"/>
              <w:kinsoku/>
              <w:wordWrap w:val="0"/>
              <w:topLinePunct w:val="0"/>
              <w:rPr>
                <w:rFonts w:ascii="宋体" w:hAnsi="宋体"/>
                <w:color w:val="auto"/>
                <w:sz w:val="30"/>
                <w:szCs w:val="30"/>
                <w:highlight w:val="none"/>
              </w:rPr>
            </w:pPr>
          </w:p>
        </w:tc>
        <w:tc>
          <w:tcPr>
            <w:tcW w:w="850" w:type="dxa"/>
            <w:tcBorders>
              <w:left w:val="nil"/>
            </w:tcBorders>
          </w:tcPr>
          <w:p w14:paraId="50EF30BC">
            <w:pPr>
              <w:pageBreakBefore w:val="0"/>
              <w:kinsoku/>
              <w:wordWrap w:val="0"/>
              <w:topLinePunct w:val="0"/>
              <w:rPr>
                <w:rFonts w:ascii="宋体" w:hAnsi="宋体"/>
                <w:color w:val="auto"/>
                <w:sz w:val="30"/>
                <w:szCs w:val="30"/>
                <w:highlight w:val="none"/>
              </w:rPr>
            </w:pPr>
          </w:p>
        </w:tc>
        <w:tc>
          <w:tcPr>
            <w:tcW w:w="1132" w:type="dxa"/>
            <w:tcBorders>
              <w:left w:val="nil"/>
            </w:tcBorders>
          </w:tcPr>
          <w:p w14:paraId="04B83EC3">
            <w:pPr>
              <w:pageBreakBefore w:val="0"/>
              <w:kinsoku/>
              <w:wordWrap w:val="0"/>
              <w:topLinePunct w:val="0"/>
              <w:rPr>
                <w:rFonts w:ascii="宋体" w:hAnsi="宋体"/>
                <w:color w:val="auto"/>
                <w:sz w:val="30"/>
                <w:szCs w:val="30"/>
                <w:highlight w:val="none"/>
              </w:rPr>
            </w:pPr>
          </w:p>
        </w:tc>
        <w:tc>
          <w:tcPr>
            <w:tcW w:w="806" w:type="dxa"/>
            <w:tcBorders>
              <w:left w:val="nil"/>
            </w:tcBorders>
          </w:tcPr>
          <w:p w14:paraId="0C588613">
            <w:pPr>
              <w:pageBreakBefore w:val="0"/>
              <w:kinsoku/>
              <w:wordWrap w:val="0"/>
              <w:topLinePunct w:val="0"/>
              <w:rPr>
                <w:rFonts w:ascii="宋体" w:hAnsi="宋体"/>
                <w:color w:val="auto"/>
                <w:sz w:val="30"/>
                <w:szCs w:val="30"/>
                <w:highlight w:val="none"/>
              </w:rPr>
            </w:pPr>
          </w:p>
        </w:tc>
        <w:tc>
          <w:tcPr>
            <w:tcW w:w="1020" w:type="dxa"/>
            <w:tcBorders>
              <w:left w:val="nil"/>
            </w:tcBorders>
          </w:tcPr>
          <w:p w14:paraId="43A1DA73">
            <w:pPr>
              <w:pageBreakBefore w:val="0"/>
              <w:kinsoku/>
              <w:wordWrap w:val="0"/>
              <w:topLinePunct w:val="0"/>
              <w:rPr>
                <w:rFonts w:ascii="宋体" w:hAnsi="宋体"/>
                <w:color w:val="auto"/>
                <w:sz w:val="30"/>
                <w:szCs w:val="30"/>
                <w:highlight w:val="none"/>
              </w:rPr>
            </w:pPr>
          </w:p>
        </w:tc>
        <w:tc>
          <w:tcPr>
            <w:tcW w:w="1480" w:type="dxa"/>
            <w:tcBorders>
              <w:left w:val="nil"/>
            </w:tcBorders>
          </w:tcPr>
          <w:p w14:paraId="294B16B7">
            <w:pPr>
              <w:pageBreakBefore w:val="0"/>
              <w:kinsoku/>
              <w:wordWrap w:val="0"/>
              <w:topLinePunct w:val="0"/>
              <w:rPr>
                <w:rFonts w:ascii="宋体" w:hAnsi="宋体"/>
                <w:color w:val="auto"/>
                <w:sz w:val="30"/>
                <w:szCs w:val="30"/>
                <w:highlight w:val="none"/>
              </w:rPr>
            </w:pPr>
          </w:p>
        </w:tc>
        <w:tc>
          <w:tcPr>
            <w:tcW w:w="1020" w:type="dxa"/>
            <w:tcBorders>
              <w:left w:val="nil"/>
            </w:tcBorders>
          </w:tcPr>
          <w:p w14:paraId="087709CF">
            <w:pPr>
              <w:pageBreakBefore w:val="0"/>
              <w:kinsoku/>
              <w:wordWrap w:val="0"/>
              <w:topLinePunct w:val="0"/>
              <w:rPr>
                <w:rFonts w:ascii="宋体" w:hAnsi="宋体"/>
                <w:color w:val="auto"/>
                <w:sz w:val="30"/>
                <w:szCs w:val="30"/>
                <w:highlight w:val="none"/>
              </w:rPr>
            </w:pPr>
          </w:p>
        </w:tc>
        <w:tc>
          <w:tcPr>
            <w:tcW w:w="921" w:type="dxa"/>
            <w:tcBorders>
              <w:left w:val="nil"/>
            </w:tcBorders>
          </w:tcPr>
          <w:p w14:paraId="3BA670F6">
            <w:pPr>
              <w:pageBreakBefore w:val="0"/>
              <w:kinsoku/>
              <w:wordWrap w:val="0"/>
              <w:topLinePunct w:val="0"/>
              <w:rPr>
                <w:rFonts w:ascii="宋体" w:hAnsi="宋体"/>
                <w:color w:val="auto"/>
                <w:sz w:val="30"/>
                <w:szCs w:val="30"/>
                <w:highlight w:val="none"/>
              </w:rPr>
            </w:pPr>
          </w:p>
        </w:tc>
      </w:tr>
      <w:tr w14:paraId="61FF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5A0DB2A">
            <w:pPr>
              <w:pageBreakBefore w:val="0"/>
              <w:kinsoku/>
              <w:wordWrap w:val="0"/>
              <w:topLinePunct w:val="0"/>
              <w:rPr>
                <w:rFonts w:ascii="宋体" w:hAnsi="宋体"/>
                <w:color w:val="auto"/>
                <w:sz w:val="30"/>
                <w:szCs w:val="30"/>
                <w:highlight w:val="none"/>
              </w:rPr>
            </w:pPr>
          </w:p>
        </w:tc>
        <w:tc>
          <w:tcPr>
            <w:tcW w:w="1418" w:type="dxa"/>
            <w:tcBorders>
              <w:left w:val="nil"/>
            </w:tcBorders>
          </w:tcPr>
          <w:p w14:paraId="23D73729">
            <w:pPr>
              <w:pageBreakBefore w:val="0"/>
              <w:kinsoku/>
              <w:wordWrap w:val="0"/>
              <w:topLinePunct w:val="0"/>
              <w:rPr>
                <w:rFonts w:ascii="宋体" w:hAnsi="宋体"/>
                <w:color w:val="auto"/>
                <w:sz w:val="30"/>
                <w:szCs w:val="30"/>
                <w:highlight w:val="none"/>
              </w:rPr>
            </w:pPr>
          </w:p>
        </w:tc>
        <w:tc>
          <w:tcPr>
            <w:tcW w:w="850" w:type="dxa"/>
            <w:tcBorders>
              <w:left w:val="nil"/>
            </w:tcBorders>
          </w:tcPr>
          <w:p w14:paraId="77656D50">
            <w:pPr>
              <w:pageBreakBefore w:val="0"/>
              <w:kinsoku/>
              <w:wordWrap w:val="0"/>
              <w:topLinePunct w:val="0"/>
              <w:rPr>
                <w:rFonts w:ascii="宋体" w:hAnsi="宋体"/>
                <w:color w:val="auto"/>
                <w:sz w:val="30"/>
                <w:szCs w:val="30"/>
                <w:highlight w:val="none"/>
              </w:rPr>
            </w:pPr>
          </w:p>
        </w:tc>
        <w:tc>
          <w:tcPr>
            <w:tcW w:w="1132" w:type="dxa"/>
            <w:tcBorders>
              <w:left w:val="nil"/>
            </w:tcBorders>
          </w:tcPr>
          <w:p w14:paraId="287E1F38">
            <w:pPr>
              <w:pageBreakBefore w:val="0"/>
              <w:kinsoku/>
              <w:wordWrap w:val="0"/>
              <w:topLinePunct w:val="0"/>
              <w:rPr>
                <w:rFonts w:ascii="宋体" w:hAnsi="宋体"/>
                <w:color w:val="auto"/>
                <w:sz w:val="30"/>
                <w:szCs w:val="30"/>
                <w:highlight w:val="none"/>
              </w:rPr>
            </w:pPr>
          </w:p>
        </w:tc>
        <w:tc>
          <w:tcPr>
            <w:tcW w:w="806" w:type="dxa"/>
            <w:tcBorders>
              <w:left w:val="nil"/>
            </w:tcBorders>
          </w:tcPr>
          <w:p w14:paraId="34F32829">
            <w:pPr>
              <w:pageBreakBefore w:val="0"/>
              <w:kinsoku/>
              <w:wordWrap w:val="0"/>
              <w:topLinePunct w:val="0"/>
              <w:rPr>
                <w:rFonts w:ascii="宋体" w:hAnsi="宋体"/>
                <w:color w:val="auto"/>
                <w:sz w:val="30"/>
                <w:szCs w:val="30"/>
                <w:highlight w:val="none"/>
              </w:rPr>
            </w:pPr>
          </w:p>
        </w:tc>
        <w:tc>
          <w:tcPr>
            <w:tcW w:w="1020" w:type="dxa"/>
            <w:tcBorders>
              <w:left w:val="nil"/>
            </w:tcBorders>
          </w:tcPr>
          <w:p w14:paraId="65DC12F7">
            <w:pPr>
              <w:pageBreakBefore w:val="0"/>
              <w:kinsoku/>
              <w:wordWrap w:val="0"/>
              <w:topLinePunct w:val="0"/>
              <w:rPr>
                <w:rFonts w:ascii="宋体" w:hAnsi="宋体"/>
                <w:color w:val="auto"/>
                <w:sz w:val="30"/>
                <w:szCs w:val="30"/>
                <w:highlight w:val="none"/>
              </w:rPr>
            </w:pPr>
          </w:p>
        </w:tc>
        <w:tc>
          <w:tcPr>
            <w:tcW w:w="1480" w:type="dxa"/>
            <w:tcBorders>
              <w:left w:val="nil"/>
            </w:tcBorders>
          </w:tcPr>
          <w:p w14:paraId="633FA92B">
            <w:pPr>
              <w:pageBreakBefore w:val="0"/>
              <w:kinsoku/>
              <w:wordWrap w:val="0"/>
              <w:topLinePunct w:val="0"/>
              <w:rPr>
                <w:rFonts w:ascii="宋体" w:hAnsi="宋体"/>
                <w:color w:val="auto"/>
                <w:sz w:val="30"/>
                <w:szCs w:val="30"/>
                <w:highlight w:val="none"/>
              </w:rPr>
            </w:pPr>
          </w:p>
        </w:tc>
        <w:tc>
          <w:tcPr>
            <w:tcW w:w="1020" w:type="dxa"/>
            <w:tcBorders>
              <w:left w:val="nil"/>
            </w:tcBorders>
          </w:tcPr>
          <w:p w14:paraId="249CD6EF">
            <w:pPr>
              <w:pageBreakBefore w:val="0"/>
              <w:kinsoku/>
              <w:wordWrap w:val="0"/>
              <w:topLinePunct w:val="0"/>
              <w:rPr>
                <w:rFonts w:ascii="宋体" w:hAnsi="宋体"/>
                <w:color w:val="auto"/>
                <w:sz w:val="30"/>
                <w:szCs w:val="30"/>
                <w:highlight w:val="none"/>
              </w:rPr>
            </w:pPr>
          </w:p>
        </w:tc>
        <w:tc>
          <w:tcPr>
            <w:tcW w:w="921" w:type="dxa"/>
            <w:tcBorders>
              <w:left w:val="nil"/>
            </w:tcBorders>
          </w:tcPr>
          <w:p w14:paraId="726EBF15">
            <w:pPr>
              <w:pageBreakBefore w:val="0"/>
              <w:kinsoku/>
              <w:wordWrap w:val="0"/>
              <w:topLinePunct w:val="0"/>
              <w:rPr>
                <w:rFonts w:ascii="宋体" w:hAnsi="宋体"/>
                <w:color w:val="auto"/>
                <w:sz w:val="30"/>
                <w:szCs w:val="30"/>
                <w:highlight w:val="none"/>
              </w:rPr>
            </w:pPr>
          </w:p>
        </w:tc>
      </w:tr>
      <w:tr w14:paraId="5473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846030D">
            <w:pPr>
              <w:pageBreakBefore w:val="0"/>
              <w:kinsoku/>
              <w:wordWrap w:val="0"/>
              <w:topLinePunct w:val="0"/>
              <w:rPr>
                <w:rFonts w:ascii="宋体" w:hAnsi="宋体"/>
                <w:color w:val="auto"/>
                <w:sz w:val="30"/>
                <w:szCs w:val="30"/>
                <w:highlight w:val="none"/>
              </w:rPr>
            </w:pPr>
          </w:p>
        </w:tc>
        <w:tc>
          <w:tcPr>
            <w:tcW w:w="1418" w:type="dxa"/>
            <w:tcBorders>
              <w:left w:val="nil"/>
            </w:tcBorders>
          </w:tcPr>
          <w:p w14:paraId="4348DB3E">
            <w:pPr>
              <w:pageBreakBefore w:val="0"/>
              <w:kinsoku/>
              <w:wordWrap w:val="0"/>
              <w:topLinePunct w:val="0"/>
              <w:rPr>
                <w:rFonts w:ascii="宋体" w:hAnsi="宋体"/>
                <w:color w:val="auto"/>
                <w:sz w:val="30"/>
                <w:szCs w:val="30"/>
                <w:highlight w:val="none"/>
              </w:rPr>
            </w:pPr>
          </w:p>
        </w:tc>
        <w:tc>
          <w:tcPr>
            <w:tcW w:w="850" w:type="dxa"/>
            <w:tcBorders>
              <w:left w:val="nil"/>
            </w:tcBorders>
          </w:tcPr>
          <w:p w14:paraId="1FB56FED">
            <w:pPr>
              <w:pageBreakBefore w:val="0"/>
              <w:kinsoku/>
              <w:wordWrap w:val="0"/>
              <w:topLinePunct w:val="0"/>
              <w:rPr>
                <w:rFonts w:ascii="宋体" w:hAnsi="宋体"/>
                <w:color w:val="auto"/>
                <w:sz w:val="30"/>
                <w:szCs w:val="30"/>
                <w:highlight w:val="none"/>
              </w:rPr>
            </w:pPr>
          </w:p>
        </w:tc>
        <w:tc>
          <w:tcPr>
            <w:tcW w:w="1132" w:type="dxa"/>
            <w:tcBorders>
              <w:left w:val="nil"/>
            </w:tcBorders>
          </w:tcPr>
          <w:p w14:paraId="7F084EFE">
            <w:pPr>
              <w:pageBreakBefore w:val="0"/>
              <w:kinsoku/>
              <w:wordWrap w:val="0"/>
              <w:topLinePunct w:val="0"/>
              <w:rPr>
                <w:rFonts w:ascii="宋体" w:hAnsi="宋体"/>
                <w:color w:val="auto"/>
                <w:sz w:val="30"/>
                <w:szCs w:val="30"/>
                <w:highlight w:val="none"/>
              </w:rPr>
            </w:pPr>
          </w:p>
        </w:tc>
        <w:tc>
          <w:tcPr>
            <w:tcW w:w="806" w:type="dxa"/>
            <w:tcBorders>
              <w:left w:val="nil"/>
            </w:tcBorders>
          </w:tcPr>
          <w:p w14:paraId="26172F41">
            <w:pPr>
              <w:pageBreakBefore w:val="0"/>
              <w:kinsoku/>
              <w:wordWrap w:val="0"/>
              <w:topLinePunct w:val="0"/>
              <w:rPr>
                <w:rFonts w:ascii="宋体" w:hAnsi="宋体"/>
                <w:color w:val="auto"/>
                <w:sz w:val="30"/>
                <w:szCs w:val="30"/>
                <w:highlight w:val="none"/>
              </w:rPr>
            </w:pPr>
          </w:p>
        </w:tc>
        <w:tc>
          <w:tcPr>
            <w:tcW w:w="1020" w:type="dxa"/>
            <w:tcBorders>
              <w:left w:val="nil"/>
            </w:tcBorders>
          </w:tcPr>
          <w:p w14:paraId="15A58C08">
            <w:pPr>
              <w:pageBreakBefore w:val="0"/>
              <w:kinsoku/>
              <w:wordWrap w:val="0"/>
              <w:topLinePunct w:val="0"/>
              <w:rPr>
                <w:rFonts w:ascii="宋体" w:hAnsi="宋体"/>
                <w:color w:val="auto"/>
                <w:sz w:val="30"/>
                <w:szCs w:val="30"/>
                <w:highlight w:val="none"/>
              </w:rPr>
            </w:pPr>
          </w:p>
        </w:tc>
        <w:tc>
          <w:tcPr>
            <w:tcW w:w="1480" w:type="dxa"/>
            <w:tcBorders>
              <w:left w:val="nil"/>
            </w:tcBorders>
          </w:tcPr>
          <w:p w14:paraId="1AEA7BA6">
            <w:pPr>
              <w:pageBreakBefore w:val="0"/>
              <w:kinsoku/>
              <w:wordWrap w:val="0"/>
              <w:topLinePunct w:val="0"/>
              <w:rPr>
                <w:rFonts w:ascii="宋体" w:hAnsi="宋体"/>
                <w:color w:val="auto"/>
                <w:sz w:val="30"/>
                <w:szCs w:val="30"/>
                <w:highlight w:val="none"/>
              </w:rPr>
            </w:pPr>
          </w:p>
        </w:tc>
        <w:tc>
          <w:tcPr>
            <w:tcW w:w="1020" w:type="dxa"/>
            <w:tcBorders>
              <w:left w:val="nil"/>
            </w:tcBorders>
          </w:tcPr>
          <w:p w14:paraId="4D6D150B">
            <w:pPr>
              <w:pageBreakBefore w:val="0"/>
              <w:kinsoku/>
              <w:wordWrap w:val="0"/>
              <w:topLinePunct w:val="0"/>
              <w:rPr>
                <w:rFonts w:ascii="宋体" w:hAnsi="宋体"/>
                <w:color w:val="auto"/>
                <w:sz w:val="30"/>
                <w:szCs w:val="30"/>
                <w:highlight w:val="none"/>
              </w:rPr>
            </w:pPr>
          </w:p>
        </w:tc>
        <w:tc>
          <w:tcPr>
            <w:tcW w:w="921" w:type="dxa"/>
            <w:tcBorders>
              <w:left w:val="nil"/>
            </w:tcBorders>
          </w:tcPr>
          <w:p w14:paraId="072BB7EC">
            <w:pPr>
              <w:pageBreakBefore w:val="0"/>
              <w:kinsoku/>
              <w:wordWrap w:val="0"/>
              <w:topLinePunct w:val="0"/>
              <w:rPr>
                <w:rFonts w:ascii="宋体" w:hAnsi="宋体"/>
                <w:color w:val="auto"/>
                <w:sz w:val="30"/>
                <w:szCs w:val="30"/>
                <w:highlight w:val="none"/>
              </w:rPr>
            </w:pPr>
          </w:p>
        </w:tc>
      </w:tr>
      <w:tr w14:paraId="1CB8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CB883B3">
            <w:pPr>
              <w:pageBreakBefore w:val="0"/>
              <w:kinsoku/>
              <w:wordWrap w:val="0"/>
              <w:topLinePunct w:val="0"/>
              <w:rPr>
                <w:rFonts w:ascii="宋体" w:hAnsi="宋体"/>
                <w:color w:val="auto"/>
                <w:sz w:val="30"/>
                <w:szCs w:val="30"/>
                <w:highlight w:val="none"/>
              </w:rPr>
            </w:pPr>
          </w:p>
        </w:tc>
        <w:tc>
          <w:tcPr>
            <w:tcW w:w="1418" w:type="dxa"/>
            <w:tcBorders>
              <w:left w:val="nil"/>
            </w:tcBorders>
          </w:tcPr>
          <w:p w14:paraId="514AED93">
            <w:pPr>
              <w:pageBreakBefore w:val="0"/>
              <w:kinsoku/>
              <w:wordWrap w:val="0"/>
              <w:topLinePunct w:val="0"/>
              <w:rPr>
                <w:rFonts w:ascii="宋体" w:hAnsi="宋体"/>
                <w:color w:val="auto"/>
                <w:sz w:val="30"/>
                <w:szCs w:val="30"/>
                <w:highlight w:val="none"/>
              </w:rPr>
            </w:pPr>
          </w:p>
        </w:tc>
        <w:tc>
          <w:tcPr>
            <w:tcW w:w="850" w:type="dxa"/>
            <w:tcBorders>
              <w:left w:val="nil"/>
            </w:tcBorders>
          </w:tcPr>
          <w:p w14:paraId="2BAD01FD">
            <w:pPr>
              <w:pageBreakBefore w:val="0"/>
              <w:kinsoku/>
              <w:wordWrap w:val="0"/>
              <w:topLinePunct w:val="0"/>
              <w:rPr>
                <w:rFonts w:ascii="宋体" w:hAnsi="宋体"/>
                <w:color w:val="auto"/>
                <w:sz w:val="30"/>
                <w:szCs w:val="30"/>
                <w:highlight w:val="none"/>
              </w:rPr>
            </w:pPr>
          </w:p>
        </w:tc>
        <w:tc>
          <w:tcPr>
            <w:tcW w:w="1132" w:type="dxa"/>
            <w:tcBorders>
              <w:left w:val="nil"/>
            </w:tcBorders>
          </w:tcPr>
          <w:p w14:paraId="1C532DB2">
            <w:pPr>
              <w:pageBreakBefore w:val="0"/>
              <w:kinsoku/>
              <w:wordWrap w:val="0"/>
              <w:topLinePunct w:val="0"/>
              <w:rPr>
                <w:rFonts w:ascii="宋体" w:hAnsi="宋体"/>
                <w:color w:val="auto"/>
                <w:sz w:val="30"/>
                <w:szCs w:val="30"/>
                <w:highlight w:val="none"/>
              </w:rPr>
            </w:pPr>
          </w:p>
        </w:tc>
        <w:tc>
          <w:tcPr>
            <w:tcW w:w="806" w:type="dxa"/>
            <w:tcBorders>
              <w:left w:val="nil"/>
            </w:tcBorders>
          </w:tcPr>
          <w:p w14:paraId="678BDF33">
            <w:pPr>
              <w:pageBreakBefore w:val="0"/>
              <w:kinsoku/>
              <w:wordWrap w:val="0"/>
              <w:topLinePunct w:val="0"/>
              <w:rPr>
                <w:rFonts w:ascii="宋体" w:hAnsi="宋体"/>
                <w:color w:val="auto"/>
                <w:sz w:val="30"/>
                <w:szCs w:val="30"/>
                <w:highlight w:val="none"/>
              </w:rPr>
            </w:pPr>
          </w:p>
        </w:tc>
        <w:tc>
          <w:tcPr>
            <w:tcW w:w="1020" w:type="dxa"/>
            <w:tcBorders>
              <w:left w:val="nil"/>
            </w:tcBorders>
          </w:tcPr>
          <w:p w14:paraId="04D81FCB">
            <w:pPr>
              <w:pageBreakBefore w:val="0"/>
              <w:kinsoku/>
              <w:wordWrap w:val="0"/>
              <w:topLinePunct w:val="0"/>
              <w:rPr>
                <w:rFonts w:ascii="宋体" w:hAnsi="宋体"/>
                <w:color w:val="auto"/>
                <w:sz w:val="30"/>
                <w:szCs w:val="30"/>
                <w:highlight w:val="none"/>
              </w:rPr>
            </w:pPr>
          </w:p>
        </w:tc>
        <w:tc>
          <w:tcPr>
            <w:tcW w:w="1480" w:type="dxa"/>
            <w:tcBorders>
              <w:left w:val="nil"/>
            </w:tcBorders>
          </w:tcPr>
          <w:p w14:paraId="2C882F87">
            <w:pPr>
              <w:pageBreakBefore w:val="0"/>
              <w:kinsoku/>
              <w:wordWrap w:val="0"/>
              <w:topLinePunct w:val="0"/>
              <w:rPr>
                <w:rFonts w:ascii="宋体" w:hAnsi="宋体"/>
                <w:color w:val="auto"/>
                <w:sz w:val="30"/>
                <w:szCs w:val="30"/>
                <w:highlight w:val="none"/>
              </w:rPr>
            </w:pPr>
          </w:p>
        </w:tc>
        <w:tc>
          <w:tcPr>
            <w:tcW w:w="1020" w:type="dxa"/>
            <w:tcBorders>
              <w:left w:val="nil"/>
            </w:tcBorders>
          </w:tcPr>
          <w:p w14:paraId="5B0DB9AE">
            <w:pPr>
              <w:pageBreakBefore w:val="0"/>
              <w:kinsoku/>
              <w:wordWrap w:val="0"/>
              <w:topLinePunct w:val="0"/>
              <w:rPr>
                <w:rFonts w:ascii="宋体" w:hAnsi="宋体"/>
                <w:color w:val="auto"/>
                <w:sz w:val="30"/>
                <w:szCs w:val="30"/>
                <w:highlight w:val="none"/>
              </w:rPr>
            </w:pPr>
          </w:p>
        </w:tc>
        <w:tc>
          <w:tcPr>
            <w:tcW w:w="921" w:type="dxa"/>
            <w:tcBorders>
              <w:left w:val="nil"/>
            </w:tcBorders>
          </w:tcPr>
          <w:p w14:paraId="726077C3">
            <w:pPr>
              <w:pageBreakBefore w:val="0"/>
              <w:kinsoku/>
              <w:wordWrap w:val="0"/>
              <w:topLinePunct w:val="0"/>
              <w:rPr>
                <w:rFonts w:ascii="宋体" w:hAnsi="宋体"/>
                <w:color w:val="auto"/>
                <w:sz w:val="30"/>
                <w:szCs w:val="30"/>
                <w:highlight w:val="none"/>
              </w:rPr>
            </w:pPr>
          </w:p>
        </w:tc>
      </w:tr>
      <w:tr w14:paraId="4BFE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330CB86">
            <w:pPr>
              <w:pageBreakBefore w:val="0"/>
              <w:kinsoku/>
              <w:wordWrap w:val="0"/>
              <w:topLinePunct w:val="0"/>
              <w:rPr>
                <w:rFonts w:ascii="宋体" w:hAnsi="宋体"/>
                <w:color w:val="auto"/>
                <w:sz w:val="30"/>
                <w:szCs w:val="30"/>
                <w:highlight w:val="none"/>
              </w:rPr>
            </w:pPr>
          </w:p>
        </w:tc>
        <w:tc>
          <w:tcPr>
            <w:tcW w:w="1418" w:type="dxa"/>
            <w:tcBorders>
              <w:left w:val="nil"/>
            </w:tcBorders>
          </w:tcPr>
          <w:p w14:paraId="5A8C11B8">
            <w:pPr>
              <w:pageBreakBefore w:val="0"/>
              <w:kinsoku/>
              <w:wordWrap w:val="0"/>
              <w:topLinePunct w:val="0"/>
              <w:rPr>
                <w:rFonts w:ascii="宋体" w:hAnsi="宋体"/>
                <w:color w:val="auto"/>
                <w:sz w:val="30"/>
                <w:szCs w:val="30"/>
                <w:highlight w:val="none"/>
              </w:rPr>
            </w:pPr>
          </w:p>
        </w:tc>
        <w:tc>
          <w:tcPr>
            <w:tcW w:w="850" w:type="dxa"/>
            <w:tcBorders>
              <w:left w:val="nil"/>
            </w:tcBorders>
          </w:tcPr>
          <w:p w14:paraId="0A513979">
            <w:pPr>
              <w:pageBreakBefore w:val="0"/>
              <w:kinsoku/>
              <w:wordWrap w:val="0"/>
              <w:topLinePunct w:val="0"/>
              <w:rPr>
                <w:rFonts w:ascii="宋体" w:hAnsi="宋体"/>
                <w:color w:val="auto"/>
                <w:sz w:val="30"/>
                <w:szCs w:val="30"/>
                <w:highlight w:val="none"/>
              </w:rPr>
            </w:pPr>
          </w:p>
        </w:tc>
        <w:tc>
          <w:tcPr>
            <w:tcW w:w="1132" w:type="dxa"/>
            <w:tcBorders>
              <w:left w:val="nil"/>
            </w:tcBorders>
          </w:tcPr>
          <w:p w14:paraId="3679EB53">
            <w:pPr>
              <w:pageBreakBefore w:val="0"/>
              <w:kinsoku/>
              <w:wordWrap w:val="0"/>
              <w:topLinePunct w:val="0"/>
              <w:rPr>
                <w:rFonts w:ascii="宋体" w:hAnsi="宋体"/>
                <w:color w:val="auto"/>
                <w:sz w:val="30"/>
                <w:szCs w:val="30"/>
                <w:highlight w:val="none"/>
              </w:rPr>
            </w:pPr>
          </w:p>
        </w:tc>
        <w:tc>
          <w:tcPr>
            <w:tcW w:w="806" w:type="dxa"/>
            <w:tcBorders>
              <w:left w:val="nil"/>
            </w:tcBorders>
          </w:tcPr>
          <w:p w14:paraId="211FA9A8">
            <w:pPr>
              <w:pageBreakBefore w:val="0"/>
              <w:kinsoku/>
              <w:wordWrap w:val="0"/>
              <w:topLinePunct w:val="0"/>
              <w:rPr>
                <w:rFonts w:ascii="宋体" w:hAnsi="宋体"/>
                <w:color w:val="auto"/>
                <w:sz w:val="30"/>
                <w:szCs w:val="30"/>
                <w:highlight w:val="none"/>
              </w:rPr>
            </w:pPr>
          </w:p>
        </w:tc>
        <w:tc>
          <w:tcPr>
            <w:tcW w:w="1020" w:type="dxa"/>
            <w:tcBorders>
              <w:left w:val="nil"/>
            </w:tcBorders>
          </w:tcPr>
          <w:p w14:paraId="1C584B38">
            <w:pPr>
              <w:pageBreakBefore w:val="0"/>
              <w:kinsoku/>
              <w:wordWrap w:val="0"/>
              <w:topLinePunct w:val="0"/>
              <w:rPr>
                <w:rFonts w:ascii="宋体" w:hAnsi="宋体"/>
                <w:color w:val="auto"/>
                <w:sz w:val="30"/>
                <w:szCs w:val="30"/>
                <w:highlight w:val="none"/>
              </w:rPr>
            </w:pPr>
          </w:p>
        </w:tc>
        <w:tc>
          <w:tcPr>
            <w:tcW w:w="1480" w:type="dxa"/>
            <w:tcBorders>
              <w:left w:val="nil"/>
            </w:tcBorders>
          </w:tcPr>
          <w:p w14:paraId="4484D518">
            <w:pPr>
              <w:pageBreakBefore w:val="0"/>
              <w:kinsoku/>
              <w:wordWrap w:val="0"/>
              <w:topLinePunct w:val="0"/>
              <w:rPr>
                <w:rFonts w:ascii="宋体" w:hAnsi="宋体"/>
                <w:color w:val="auto"/>
                <w:sz w:val="30"/>
                <w:szCs w:val="30"/>
                <w:highlight w:val="none"/>
              </w:rPr>
            </w:pPr>
          </w:p>
        </w:tc>
        <w:tc>
          <w:tcPr>
            <w:tcW w:w="1020" w:type="dxa"/>
            <w:tcBorders>
              <w:left w:val="nil"/>
            </w:tcBorders>
          </w:tcPr>
          <w:p w14:paraId="1E6DA5DA">
            <w:pPr>
              <w:pageBreakBefore w:val="0"/>
              <w:kinsoku/>
              <w:wordWrap w:val="0"/>
              <w:topLinePunct w:val="0"/>
              <w:rPr>
                <w:rFonts w:ascii="宋体" w:hAnsi="宋体"/>
                <w:color w:val="auto"/>
                <w:sz w:val="30"/>
                <w:szCs w:val="30"/>
                <w:highlight w:val="none"/>
              </w:rPr>
            </w:pPr>
          </w:p>
        </w:tc>
        <w:tc>
          <w:tcPr>
            <w:tcW w:w="921" w:type="dxa"/>
            <w:tcBorders>
              <w:left w:val="nil"/>
            </w:tcBorders>
          </w:tcPr>
          <w:p w14:paraId="155A5AF2">
            <w:pPr>
              <w:pageBreakBefore w:val="0"/>
              <w:kinsoku/>
              <w:wordWrap w:val="0"/>
              <w:topLinePunct w:val="0"/>
              <w:rPr>
                <w:rFonts w:ascii="宋体" w:hAnsi="宋体"/>
                <w:color w:val="auto"/>
                <w:sz w:val="30"/>
                <w:szCs w:val="30"/>
                <w:highlight w:val="none"/>
              </w:rPr>
            </w:pPr>
          </w:p>
        </w:tc>
      </w:tr>
      <w:tr w14:paraId="6A87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B767A67">
            <w:pPr>
              <w:pageBreakBefore w:val="0"/>
              <w:kinsoku/>
              <w:wordWrap w:val="0"/>
              <w:topLinePunct w:val="0"/>
              <w:rPr>
                <w:rFonts w:ascii="宋体" w:hAnsi="宋体"/>
                <w:color w:val="auto"/>
                <w:sz w:val="30"/>
                <w:szCs w:val="30"/>
                <w:highlight w:val="none"/>
              </w:rPr>
            </w:pPr>
          </w:p>
        </w:tc>
        <w:tc>
          <w:tcPr>
            <w:tcW w:w="1418" w:type="dxa"/>
            <w:tcBorders>
              <w:left w:val="nil"/>
            </w:tcBorders>
          </w:tcPr>
          <w:p w14:paraId="3308B44A">
            <w:pPr>
              <w:pageBreakBefore w:val="0"/>
              <w:kinsoku/>
              <w:wordWrap w:val="0"/>
              <w:topLinePunct w:val="0"/>
              <w:rPr>
                <w:rFonts w:ascii="宋体" w:hAnsi="宋体"/>
                <w:color w:val="auto"/>
                <w:sz w:val="30"/>
                <w:szCs w:val="30"/>
                <w:highlight w:val="none"/>
              </w:rPr>
            </w:pPr>
          </w:p>
        </w:tc>
        <w:tc>
          <w:tcPr>
            <w:tcW w:w="850" w:type="dxa"/>
            <w:tcBorders>
              <w:left w:val="nil"/>
            </w:tcBorders>
          </w:tcPr>
          <w:p w14:paraId="20C4462E">
            <w:pPr>
              <w:pageBreakBefore w:val="0"/>
              <w:kinsoku/>
              <w:wordWrap w:val="0"/>
              <w:topLinePunct w:val="0"/>
              <w:rPr>
                <w:rFonts w:ascii="宋体" w:hAnsi="宋体"/>
                <w:color w:val="auto"/>
                <w:sz w:val="30"/>
                <w:szCs w:val="30"/>
                <w:highlight w:val="none"/>
              </w:rPr>
            </w:pPr>
          </w:p>
        </w:tc>
        <w:tc>
          <w:tcPr>
            <w:tcW w:w="1132" w:type="dxa"/>
            <w:tcBorders>
              <w:left w:val="nil"/>
            </w:tcBorders>
          </w:tcPr>
          <w:p w14:paraId="1C18A863">
            <w:pPr>
              <w:pageBreakBefore w:val="0"/>
              <w:kinsoku/>
              <w:wordWrap w:val="0"/>
              <w:topLinePunct w:val="0"/>
              <w:rPr>
                <w:rFonts w:ascii="宋体" w:hAnsi="宋体"/>
                <w:color w:val="auto"/>
                <w:sz w:val="30"/>
                <w:szCs w:val="30"/>
                <w:highlight w:val="none"/>
              </w:rPr>
            </w:pPr>
          </w:p>
        </w:tc>
        <w:tc>
          <w:tcPr>
            <w:tcW w:w="806" w:type="dxa"/>
            <w:tcBorders>
              <w:left w:val="nil"/>
            </w:tcBorders>
          </w:tcPr>
          <w:p w14:paraId="6830867D">
            <w:pPr>
              <w:pageBreakBefore w:val="0"/>
              <w:kinsoku/>
              <w:wordWrap w:val="0"/>
              <w:topLinePunct w:val="0"/>
              <w:rPr>
                <w:rFonts w:ascii="宋体" w:hAnsi="宋体"/>
                <w:color w:val="auto"/>
                <w:sz w:val="30"/>
                <w:szCs w:val="30"/>
                <w:highlight w:val="none"/>
              </w:rPr>
            </w:pPr>
          </w:p>
        </w:tc>
        <w:tc>
          <w:tcPr>
            <w:tcW w:w="1020" w:type="dxa"/>
            <w:tcBorders>
              <w:left w:val="nil"/>
            </w:tcBorders>
          </w:tcPr>
          <w:p w14:paraId="605140DE">
            <w:pPr>
              <w:pageBreakBefore w:val="0"/>
              <w:kinsoku/>
              <w:wordWrap w:val="0"/>
              <w:topLinePunct w:val="0"/>
              <w:rPr>
                <w:rFonts w:ascii="宋体" w:hAnsi="宋体"/>
                <w:color w:val="auto"/>
                <w:sz w:val="30"/>
                <w:szCs w:val="30"/>
                <w:highlight w:val="none"/>
              </w:rPr>
            </w:pPr>
          </w:p>
        </w:tc>
        <w:tc>
          <w:tcPr>
            <w:tcW w:w="1480" w:type="dxa"/>
            <w:tcBorders>
              <w:left w:val="nil"/>
            </w:tcBorders>
          </w:tcPr>
          <w:p w14:paraId="3A7C9E72">
            <w:pPr>
              <w:pageBreakBefore w:val="0"/>
              <w:kinsoku/>
              <w:wordWrap w:val="0"/>
              <w:topLinePunct w:val="0"/>
              <w:rPr>
                <w:rFonts w:ascii="宋体" w:hAnsi="宋体"/>
                <w:color w:val="auto"/>
                <w:sz w:val="30"/>
                <w:szCs w:val="30"/>
                <w:highlight w:val="none"/>
              </w:rPr>
            </w:pPr>
          </w:p>
        </w:tc>
        <w:tc>
          <w:tcPr>
            <w:tcW w:w="1020" w:type="dxa"/>
            <w:tcBorders>
              <w:left w:val="nil"/>
            </w:tcBorders>
          </w:tcPr>
          <w:p w14:paraId="1F33C2AC">
            <w:pPr>
              <w:pageBreakBefore w:val="0"/>
              <w:kinsoku/>
              <w:wordWrap w:val="0"/>
              <w:topLinePunct w:val="0"/>
              <w:rPr>
                <w:rFonts w:ascii="宋体" w:hAnsi="宋体"/>
                <w:color w:val="auto"/>
                <w:sz w:val="30"/>
                <w:szCs w:val="30"/>
                <w:highlight w:val="none"/>
              </w:rPr>
            </w:pPr>
          </w:p>
        </w:tc>
        <w:tc>
          <w:tcPr>
            <w:tcW w:w="921" w:type="dxa"/>
            <w:tcBorders>
              <w:left w:val="nil"/>
            </w:tcBorders>
          </w:tcPr>
          <w:p w14:paraId="283460A9">
            <w:pPr>
              <w:pageBreakBefore w:val="0"/>
              <w:kinsoku/>
              <w:wordWrap w:val="0"/>
              <w:topLinePunct w:val="0"/>
              <w:rPr>
                <w:rFonts w:ascii="宋体" w:hAnsi="宋体"/>
                <w:color w:val="auto"/>
                <w:sz w:val="30"/>
                <w:szCs w:val="30"/>
                <w:highlight w:val="none"/>
              </w:rPr>
            </w:pPr>
          </w:p>
        </w:tc>
      </w:tr>
      <w:tr w14:paraId="1A84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34970A1">
            <w:pPr>
              <w:pageBreakBefore w:val="0"/>
              <w:kinsoku/>
              <w:wordWrap w:val="0"/>
              <w:topLinePunct w:val="0"/>
              <w:rPr>
                <w:rFonts w:ascii="宋体" w:hAnsi="宋体"/>
                <w:color w:val="auto"/>
                <w:sz w:val="30"/>
                <w:szCs w:val="30"/>
                <w:highlight w:val="none"/>
              </w:rPr>
            </w:pPr>
          </w:p>
        </w:tc>
        <w:tc>
          <w:tcPr>
            <w:tcW w:w="1418" w:type="dxa"/>
            <w:tcBorders>
              <w:left w:val="nil"/>
            </w:tcBorders>
          </w:tcPr>
          <w:p w14:paraId="670D8B1E">
            <w:pPr>
              <w:pageBreakBefore w:val="0"/>
              <w:kinsoku/>
              <w:wordWrap w:val="0"/>
              <w:topLinePunct w:val="0"/>
              <w:rPr>
                <w:rFonts w:ascii="宋体" w:hAnsi="宋体"/>
                <w:color w:val="auto"/>
                <w:sz w:val="30"/>
                <w:szCs w:val="30"/>
                <w:highlight w:val="none"/>
              </w:rPr>
            </w:pPr>
          </w:p>
        </w:tc>
        <w:tc>
          <w:tcPr>
            <w:tcW w:w="850" w:type="dxa"/>
            <w:tcBorders>
              <w:left w:val="nil"/>
            </w:tcBorders>
          </w:tcPr>
          <w:p w14:paraId="38D5A65E">
            <w:pPr>
              <w:pageBreakBefore w:val="0"/>
              <w:kinsoku/>
              <w:wordWrap w:val="0"/>
              <w:topLinePunct w:val="0"/>
              <w:rPr>
                <w:rFonts w:ascii="宋体" w:hAnsi="宋体"/>
                <w:color w:val="auto"/>
                <w:sz w:val="30"/>
                <w:szCs w:val="30"/>
                <w:highlight w:val="none"/>
              </w:rPr>
            </w:pPr>
          </w:p>
        </w:tc>
        <w:tc>
          <w:tcPr>
            <w:tcW w:w="1132" w:type="dxa"/>
            <w:tcBorders>
              <w:left w:val="nil"/>
            </w:tcBorders>
          </w:tcPr>
          <w:p w14:paraId="1F5BD8A6">
            <w:pPr>
              <w:pageBreakBefore w:val="0"/>
              <w:kinsoku/>
              <w:wordWrap w:val="0"/>
              <w:topLinePunct w:val="0"/>
              <w:rPr>
                <w:rFonts w:ascii="宋体" w:hAnsi="宋体"/>
                <w:color w:val="auto"/>
                <w:sz w:val="30"/>
                <w:szCs w:val="30"/>
                <w:highlight w:val="none"/>
              </w:rPr>
            </w:pPr>
          </w:p>
        </w:tc>
        <w:tc>
          <w:tcPr>
            <w:tcW w:w="806" w:type="dxa"/>
            <w:tcBorders>
              <w:left w:val="nil"/>
            </w:tcBorders>
          </w:tcPr>
          <w:p w14:paraId="492F0871">
            <w:pPr>
              <w:pageBreakBefore w:val="0"/>
              <w:kinsoku/>
              <w:wordWrap w:val="0"/>
              <w:topLinePunct w:val="0"/>
              <w:rPr>
                <w:rFonts w:ascii="宋体" w:hAnsi="宋体"/>
                <w:color w:val="auto"/>
                <w:sz w:val="30"/>
                <w:szCs w:val="30"/>
                <w:highlight w:val="none"/>
              </w:rPr>
            </w:pPr>
          </w:p>
        </w:tc>
        <w:tc>
          <w:tcPr>
            <w:tcW w:w="1020" w:type="dxa"/>
            <w:tcBorders>
              <w:left w:val="nil"/>
            </w:tcBorders>
          </w:tcPr>
          <w:p w14:paraId="0F988ED7">
            <w:pPr>
              <w:pageBreakBefore w:val="0"/>
              <w:kinsoku/>
              <w:wordWrap w:val="0"/>
              <w:topLinePunct w:val="0"/>
              <w:rPr>
                <w:rFonts w:ascii="宋体" w:hAnsi="宋体"/>
                <w:color w:val="auto"/>
                <w:sz w:val="30"/>
                <w:szCs w:val="30"/>
                <w:highlight w:val="none"/>
              </w:rPr>
            </w:pPr>
          </w:p>
        </w:tc>
        <w:tc>
          <w:tcPr>
            <w:tcW w:w="1480" w:type="dxa"/>
            <w:tcBorders>
              <w:left w:val="nil"/>
            </w:tcBorders>
          </w:tcPr>
          <w:p w14:paraId="09779545">
            <w:pPr>
              <w:pageBreakBefore w:val="0"/>
              <w:kinsoku/>
              <w:wordWrap w:val="0"/>
              <w:topLinePunct w:val="0"/>
              <w:rPr>
                <w:rFonts w:ascii="宋体" w:hAnsi="宋体"/>
                <w:color w:val="auto"/>
                <w:sz w:val="30"/>
                <w:szCs w:val="30"/>
                <w:highlight w:val="none"/>
              </w:rPr>
            </w:pPr>
          </w:p>
        </w:tc>
        <w:tc>
          <w:tcPr>
            <w:tcW w:w="1020" w:type="dxa"/>
            <w:tcBorders>
              <w:left w:val="nil"/>
            </w:tcBorders>
          </w:tcPr>
          <w:p w14:paraId="374B3FE0">
            <w:pPr>
              <w:pageBreakBefore w:val="0"/>
              <w:kinsoku/>
              <w:wordWrap w:val="0"/>
              <w:topLinePunct w:val="0"/>
              <w:rPr>
                <w:rFonts w:ascii="宋体" w:hAnsi="宋体"/>
                <w:color w:val="auto"/>
                <w:sz w:val="30"/>
                <w:szCs w:val="30"/>
                <w:highlight w:val="none"/>
              </w:rPr>
            </w:pPr>
          </w:p>
        </w:tc>
        <w:tc>
          <w:tcPr>
            <w:tcW w:w="921" w:type="dxa"/>
            <w:tcBorders>
              <w:left w:val="nil"/>
            </w:tcBorders>
          </w:tcPr>
          <w:p w14:paraId="0C0EB6C7">
            <w:pPr>
              <w:pageBreakBefore w:val="0"/>
              <w:kinsoku/>
              <w:wordWrap w:val="0"/>
              <w:topLinePunct w:val="0"/>
              <w:rPr>
                <w:rFonts w:ascii="宋体" w:hAnsi="宋体"/>
                <w:color w:val="auto"/>
                <w:sz w:val="30"/>
                <w:szCs w:val="30"/>
                <w:highlight w:val="none"/>
              </w:rPr>
            </w:pPr>
          </w:p>
        </w:tc>
      </w:tr>
      <w:tr w14:paraId="7417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D5A654A">
            <w:pPr>
              <w:pageBreakBefore w:val="0"/>
              <w:kinsoku/>
              <w:wordWrap w:val="0"/>
              <w:topLinePunct w:val="0"/>
              <w:rPr>
                <w:rFonts w:ascii="宋体" w:hAnsi="宋体"/>
                <w:color w:val="auto"/>
                <w:sz w:val="30"/>
                <w:szCs w:val="30"/>
                <w:highlight w:val="none"/>
              </w:rPr>
            </w:pPr>
          </w:p>
        </w:tc>
        <w:tc>
          <w:tcPr>
            <w:tcW w:w="1418" w:type="dxa"/>
            <w:tcBorders>
              <w:left w:val="nil"/>
            </w:tcBorders>
          </w:tcPr>
          <w:p w14:paraId="31F917DE">
            <w:pPr>
              <w:pageBreakBefore w:val="0"/>
              <w:kinsoku/>
              <w:wordWrap w:val="0"/>
              <w:topLinePunct w:val="0"/>
              <w:rPr>
                <w:rFonts w:ascii="宋体" w:hAnsi="宋体"/>
                <w:color w:val="auto"/>
                <w:sz w:val="30"/>
                <w:szCs w:val="30"/>
                <w:highlight w:val="none"/>
              </w:rPr>
            </w:pPr>
          </w:p>
        </w:tc>
        <w:tc>
          <w:tcPr>
            <w:tcW w:w="850" w:type="dxa"/>
            <w:tcBorders>
              <w:left w:val="nil"/>
            </w:tcBorders>
          </w:tcPr>
          <w:p w14:paraId="2D097FC8">
            <w:pPr>
              <w:pageBreakBefore w:val="0"/>
              <w:kinsoku/>
              <w:wordWrap w:val="0"/>
              <w:topLinePunct w:val="0"/>
              <w:rPr>
                <w:rFonts w:ascii="宋体" w:hAnsi="宋体"/>
                <w:color w:val="auto"/>
                <w:sz w:val="30"/>
                <w:szCs w:val="30"/>
                <w:highlight w:val="none"/>
              </w:rPr>
            </w:pPr>
          </w:p>
        </w:tc>
        <w:tc>
          <w:tcPr>
            <w:tcW w:w="1132" w:type="dxa"/>
            <w:tcBorders>
              <w:left w:val="nil"/>
            </w:tcBorders>
          </w:tcPr>
          <w:p w14:paraId="6F551DB7">
            <w:pPr>
              <w:pageBreakBefore w:val="0"/>
              <w:kinsoku/>
              <w:wordWrap w:val="0"/>
              <w:topLinePunct w:val="0"/>
              <w:rPr>
                <w:rFonts w:ascii="宋体" w:hAnsi="宋体"/>
                <w:color w:val="auto"/>
                <w:sz w:val="30"/>
                <w:szCs w:val="30"/>
                <w:highlight w:val="none"/>
              </w:rPr>
            </w:pPr>
          </w:p>
        </w:tc>
        <w:tc>
          <w:tcPr>
            <w:tcW w:w="806" w:type="dxa"/>
            <w:tcBorders>
              <w:left w:val="nil"/>
            </w:tcBorders>
          </w:tcPr>
          <w:p w14:paraId="0114E339">
            <w:pPr>
              <w:pageBreakBefore w:val="0"/>
              <w:kinsoku/>
              <w:wordWrap w:val="0"/>
              <w:topLinePunct w:val="0"/>
              <w:rPr>
                <w:rFonts w:ascii="宋体" w:hAnsi="宋体"/>
                <w:color w:val="auto"/>
                <w:sz w:val="30"/>
                <w:szCs w:val="30"/>
                <w:highlight w:val="none"/>
              </w:rPr>
            </w:pPr>
          </w:p>
        </w:tc>
        <w:tc>
          <w:tcPr>
            <w:tcW w:w="1020" w:type="dxa"/>
            <w:tcBorders>
              <w:left w:val="nil"/>
            </w:tcBorders>
          </w:tcPr>
          <w:p w14:paraId="5D92013A">
            <w:pPr>
              <w:pageBreakBefore w:val="0"/>
              <w:kinsoku/>
              <w:wordWrap w:val="0"/>
              <w:topLinePunct w:val="0"/>
              <w:rPr>
                <w:rFonts w:ascii="宋体" w:hAnsi="宋体"/>
                <w:color w:val="auto"/>
                <w:sz w:val="30"/>
                <w:szCs w:val="30"/>
                <w:highlight w:val="none"/>
              </w:rPr>
            </w:pPr>
          </w:p>
        </w:tc>
        <w:tc>
          <w:tcPr>
            <w:tcW w:w="1480" w:type="dxa"/>
            <w:tcBorders>
              <w:left w:val="nil"/>
            </w:tcBorders>
          </w:tcPr>
          <w:p w14:paraId="784B73BD">
            <w:pPr>
              <w:pageBreakBefore w:val="0"/>
              <w:kinsoku/>
              <w:wordWrap w:val="0"/>
              <w:topLinePunct w:val="0"/>
              <w:rPr>
                <w:rFonts w:ascii="宋体" w:hAnsi="宋体"/>
                <w:color w:val="auto"/>
                <w:sz w:val="30"/>
                <w:szCs w:val="30"/>
                <w:highlight w:val="none"/>
              </w:rPr>
            </w:pPr>
          </w:p>
        </w:tc>
        <w:tc>
          <w:tcPr>
            <w:tcW w:w="1020" w:type="dxa"/>
            <w:tcBorders>
              <w:left w:val="nil"/>
            </w:tcBorders>
          </w:tcPr>
          <w:p w14:paraId="7AB74D07">
            <w:pPr>
              <w:pageBreakBefore w:val="0"/>
              <w:kinsoku/>
              <w:wordWrap w:val="0"/>
              <w:topLinePunct w:val="0"/>
              <w:rPr>
                <w:rFonts w:ascii="宋体" w:hAnsi="宋体"/>
                <w:color w:val="auto"/>
                <w:sz w:val="30"/>
                <w:szCs w:val="30"/>
                <w:highlight w:val="none"/>
              </w:rPr>
            </w:pPr>
          </w:p>
        </w:tc>
        <w:tc>
          <w:tcPr>
            <w:tcW w:w="921" w:type="dxa"/>
            <w:tcBorders>
              <w:left w:val="nil"/>
            </w:tcBorders>
          </w:tcPr>
          <w:p w14:paraId="47F3FC8D">
            <w:pPr>
              <w:pageBreakBefore w:val="0"/>
              <w:kinsoku/>
              <w:wordWrap w:val="0"/>
              <w:topLinePunct w:val="0"/>
              <w:rPr>
                <w:rFonts w:ascii="宋体" w:hAnsi="宋体"/>
                <w:color w:val="auto"/>
                <w:sz w:val="30"/>
                <w:szCs w:val="30"/>
                <w:highlight w:val="none"/>
              </w:rPr>
            </w:pPr>
          </w:p>
        </w:tc>
      </w:tr>
    </w:tbl>
    <w:p w14:paraId="0ABE4669">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7A569C16">
      <w:pPr>
        <w:pageBreakBefore w:val="0"/>
        <w:kinsoku/>
        <w:wordWrap w:val="0"/>
        <w:topLinePunct w:val="0"/>
        <w:spacing w:line="440" w:lineRule="exact"/>
        <w:jc w:val="lef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5</w:t>
      </w:r>
      <w:r>
        <w:rPr>
          <w:rFonts w:hint="eastAsia" w:ascii="宋体" w:hAnsi="宋体"/>
          <w:color w:val="auto"/>
          <w:sz w:val="30"/>
          <w:szCs w:val="30"/>
          <w:highlight w:val="none"/>
        </w:rPr>
        <w:t>：</w:t>
      </w:r>
    </w:p>
    <w:p w14:paraId="12671D35">
      <w:pPr>
        <w:pageBreakBefore w:val="0"/>
        <w:kinsoku/>
        <w:wordWrap w:val="0"/>
        <w:topLinePunct w:val="0"/>
        <w:spacing w:beforeLines="50" w:afterLines="50" w:line="440" w:lineRule="exact"/>
        <w:jc w:val="center"/>
        <w:rPr>
          <w:rFonts w:ascii="宋体" w:hAnsi="宋体"/>
          <w:color w:val="auto"/>
          <w:sz w:val="30"/>
          <w:szCs w:val="30"/>
          <w:highlight w:val="none"/>
        </w:rPr>
      </w:pPr>
      <w:r>
        <w:rPr>
          <w:rFonts w:hint="eastAsia" w:ascii="宋体" w:hAnsi="宋体"/>
          <w:color w:val="auto"/>
          <w:sz w:val="30"/>
          <w:szCs w:val="30"/>
          <w:highlight w:val="none"/>
        </w:rPr>
        <w:t>承包人主要施工管理人员表</w:t>
      </w:r>
    </w:p>
    <w:tbl>
      <w:tblPr>
        <w:tblStyle w:val="4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92F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DA219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名称</w:t>
            </w:r>
          </w:p>
        </w:tc>
        <w:tc>
          <w:tcPr>
            <w:tcW w:w="1418" w:type="dxa"/>
            <w:tcBorders>
              <w:left w:val="nil"/>
            </w:tcBorders>
            <w:vAlign w:val="center"/>
          </w:tcPr>
          <w:p w14:paraId="7B7F80C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姓名</w:t>
            </w:r>
          </w:p>
        </w:tc>
        <w:tc>
          <w:tcPr>
            <w:tcW w:w="1134" w:type="dxa"/>
            <w:tcBorders>
              <w:left w:val="nil"/>
            </w:tcBorders>
            <w:vAlign w:val="center"/>
          </w:tcPr>
          <w:p w14:paraId="718D2A0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r>
              <w:rPr>
                <w:rFonts w:hint="eastAsia" w:ascii="宋体" w:hAnsi="宋体"/>
                <w:color w:val="auto"/>
                <w:sz w:val="30"/>
                <w:szCs w:val="30"/>
                <w:highlight w:val="none"/>
              </w:rPr>
              <w:t>职务</w:t>
            </w:r>
          </w:p>
        </w:tc>
        <w:tc>
          <w:tcPr>
            <w:tcW w:w="1134" w:type="dxa"/>
            <w:tcBorders>
              <w:left w:val="nil"/>
            </w:tcBorders>
            <w:vAlign w:val="center"/>
          </w:tcPr>
          <w:p w14:paraId="2B5BCCB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r>
              <w:rPr>
                <w:rFonts w:hint="eastAsia" w:ascii="宋体" w:hAnsi="宋体"/>
                <w:color w:val="auto"/>
                <w:sz w:val="30"/>
                <w:szCs w:val="30"/>
                <w:highlight w:val="none"/>
              </w:rPr>
              <w:t>职称</w:t>
            </w:r>
          </w:p>
        </w:tc>
        <w:tc>
          <w:tcPr>
            <w:tcW w:w="4252" w:type="dxa"/>
            <w:tcBorders>
              <w:left w:val="nil"/>
            </w:tcBorders>
            <w:vAlign w:val="center"/>
          </w:tcPr>
          <w:p w14:paraId="4195B79C">
            <w:pPr>
              <w:keepNext/>
              <w:pageBreakBefore w:val="0"/>
              <w:kinsoku/>
              <w:wordWrap w:val="0"/>
              <w:topLinePunct w:val="0"/>
              <w:adjustRightInd w:val="0"/>
              <w:spacing w:line="440" w:lineRule="exact"/>
              <w:ind w:right="63" w:rightChars="30"/>
              <w:jc w:val="center"/>
              <w:textAlignment w:val="baseline"/>
              <w:rPr>
                <w:rFonts w:ascii="宋体" w:hAnsi="宋体"/>
                <w:color w:val="auto"/>
                <w:sz w:val="30"/>
                <w:szCs w:val="30"/>
                <w:highlight w:val="none"/>
              </w:rPr>
            </w:pPr>
            <w:r>
              <w:rPr>
                <w:rFonts w:hint="eastAsia" w:ascii="宋体" w:hAnsi="宋体"/>
                <w:color w:val="auto"/>
                <w:sz w:val="30"/>
                <w:szCs w:val="30"/>
                <w:highlight w:val="none"/>
              </w:rPr>
              <w:t>计划进场时间</w:t>
            </w:r>
          </w:p>
        </w:tc>
      </w:tr>
      <w:tr w14:paraId="7AA4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15BE5B1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一、总部人员</w:t>
            </w:r>
          </w:p>
        </w:tc>
      </w:tr>
      <w:tr w14:paraId="5438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A344EB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项目主管</w:t>
            </w:r>
          </w:p>
        </w:tc>
        <w:tc>
          <w:tcPr>
            <w:tcW w:w="1418" w:type="dxa"/>
            <w:tcBorders>
              <w:left w:val="nil"/>
            </w:tcBorders>
            <w:vAlign w:val="center"/>
          </w:tcPr>
          <w:p w14:paraId="5EE50C8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FC5F76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2FE1B02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23F066A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A9B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tcBorders>
            <w:vAlign w:val="center"/>
          </w:tcPr>
          <w:p w14:paraId="7136584A">
            <w:pPr>
              <w:keepNext/>
              <w:pageBreakBefore w:val="0"/>
              <w:kinsoku/>
              <w:wordWrap w:val="0"/>
              <w:topLinePunct w:val="0"/>
              <w:adjustRightInd w:val="0"/>
              <w:spacing w:after="60"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其他人员</w:t>
            </w:r>
          </w:p>
        </w:tc>
        <w:tc>
          <w:tcPr>
            <w:tcW w:w="1418" w:type="dxa"/>
            <w:tcBorders>
              <w:left w:val="nil"/>
            </w:tcBorders>
            <w:vAlign w:val="center"/>
          </w:tcPr>
          <w:p w14:paraId="33EA50F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390905E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0D4789F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56C7E0B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5B1B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70C9EA4E">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21DB4B1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EBC015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20AD00B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3851659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5B2F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70E2D043">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699829A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57130CE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D1A71A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2662804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7262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19BEA7D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二、现场人员</w:t>
            </w:r>
          </w:p>
        </w:tc>
      </w:tr>
      <w:tr w14:paraId="69FA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D5B33A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项目经理</w:t>
            </w:r>
          </w:p>
        </w:tc>
        <w:tc>
          <w:tcPr>
            <w:tcW w:w="1418" w:type="dxa"/>
            <w:tcBorders>
              <w:left w:val="nil"/>
            </w:tcBorders>
            <w:vAlign w:val="center"/>
          </w:tcPr>
          <w:p w14:paraId="6F81FF6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3A84622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F73B4A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1F8F7CE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9B6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4EE166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项目副经理</w:t>
            </w:r>
          </w:p>
        </w:tc>
        <w:tc>
          <w:tcPr>
            <w:tcW w:w="1418" w:type="dxa"/>
            <w:tcBorders>
              <w:left w:val="nil"/>
            </w:tcBorders>
            <w:vAlign w:val="center"/>
          </w:tcPr>
          <w:p w14:paraId="390952A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211B168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769BC5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40B6C7D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547C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3AC5B9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技术负责人</w:t>
            </w:r>
          </w:p>
        </w:tc>
        <w:tc>
          <w:tcPr>
            <w:tcW w:w="1418" w:type="dxa"/>
            <w:tcBorders>
              <w:left w:val="nil"/>
            </w:tcBorders>
            <w:vAlign w:val="center"/>
          </w:tcPr>
          <w:p w14:paraId="3ABF22A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5AADB0F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03BE599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719AAC6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7A12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044327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造价管理</w:t>
            </w:r>
          </w:p>
        </w:tc>
        <w:tc>
          <w:tcPr>
            <w:tcW w:w="1418" w:type="dxa"/>
            <w:tcBorders>
              <w:left w:val="nil"/>
            </w:tcBorders>
            <w:vAlign w:val="center"/>
          </w:tcPr>
          <w:p w14:paraId="5264E3A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3E5D406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63A7FE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218EE52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DEB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tcBorders>
            <w:vAlign w:val="center"/>
          </w:tcPr>
          <w:p w14:paraId="6D21F932">
            <w:pPr>
              <w:keepNext/>
              <w:pageBreakBefore w:val="0"/>
              <w:kinsoku/>
              <w:wordWrap w:val="0"/>
              <w:topLinePunct w:val="0"/>
              <w:adjustRightInd w:val="0"/>
              <w:spacing w:after="60"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质量管理</w:t>
            </w:r>
          </w:p>
        </w:tc>
        <w:tc>
          <w:tcPr>
            <w:tcW w:w="1418" w:type="dxa"/>
            <w:tcBorders>
              <w:left w:val="nil"/>
            </w:tcBorders>
            <w:vAlign w:val="center"/>
          </w:tcPr>
          <w:p w14:paraId="5D58D4B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540684E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285A8B0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5FCE637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601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161C618E">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73DBFB1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0F02B25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DF017E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27FBF0A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9B9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70DB52F6">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73B0F40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FB8287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4585639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3B5D082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F02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7A5785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材料管理</w:t>
            </w:r>
          </w:p>
        </w:tc>
        <w:tc>
          <w:tcPr>
            <w:tcW w:w="1418" w:type="dxa"/>
            <w:tcBorders>
              <w:left w:val="nil"/>
            </w:tcBorders>
            <w:vAlign w:val="center"/>
          </w:tcPr>
          <w:p w14:paraId="7473C7A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6CDA1F5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53F6E5E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3752606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8A8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072B1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计划管理</w:t>
            </w:r>
          </w:p>
        </w:tc>
        <w:tc>
          <w:tcPr>
            <w:tcW w:w="1418" w:type="dxa"/>
            <w:tcBorders>
              <w:left w:val="nil"/>
            </w:tcBorders>
            <w:vAlign w:val="center"/>
          </w:tcPr>
          <w:p w14:paraId="152DDC9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73977CF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0AF74C3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6BEBDFB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408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tcBorders>
            <w:vAlign w:val="center"/>
          </w:tcPr>
          <w:p w14:paraId="7ECCB0BE">
            <w:pPr>
              <w:keepNext/>
              <w:pageBreakBefore w:val="0"/>
              <w:kinsoku/>
              <w:wordWrap w:val="0"/>
              <w:topLinePunct w:val="0"/>
              <w:adjustRightInd w:val="0"/>
              <w:spacing w:after="60"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安全管理</w:t>
            </w:r>
          </w:p>
        </w:tc>
        <w:tc>
          <w:tcPr>
            <w:tcW w:w="1418" w:type="dxa"/>
            <w:tcBorders>
              <w:left w:val="nil"/>
            </w:tcBorders>
            <w:vAlign w:val="center"/>
          </w:tcPr>
          <w:p w14:paraId="35C14E2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BC05A1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A903EA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0145FBF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DF0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3286D7CE">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597ECF8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6C2647C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63207DA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4BF8C35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7B03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0FA5DBC9">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357A43D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1E83401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7762A6B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1EA3019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2545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tcBorders>
            <w:vAlign w:val="center"/>
          </w:tcPr>
          <w:p w14:paraId="2762CA3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其他人员</w:t>
            </w:r>
          </w:p>
        </w:tc>
        <w:tc>
          <w:tcPr>
            <w:tcW w:w="1418" w:type="dxa"/>
            <w:tcBorders>
              <w:left w:val="nil"/>
            </w:tcBorders>
            <w:vAlign w:val="center"/>
          </w:tcPr>
          <w:p w14:paraId="29B6342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3688823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31A4053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0ED077E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736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340EF950">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6E7C358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765163E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22FBB1E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5B60F88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744B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0167BF9C">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114D46A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73618DD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4668381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22E8C2D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557B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0A236C34">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129398E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6CE2689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62CC8C7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35774A8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CC0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39A33E63">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5F27435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2E09B1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6D31514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597A3C3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4A3F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17BD0B1D">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2CB463A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3D1F890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2D823C1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5C40FB5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bl>
    <w:p w14:paraId="253BB200">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497293D7">
      <w:pPr>
        <w:pageBreakBefore w:val="0"/>
        <w:kinsoku/>
        <w:wordWrap w:val="0"/>
        <w:topLinePunct w:val="0"/>
        <w:spacing w:line="440" w:lineRule="exac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6</w:t>
      </w:r>
      <w:r>
        <w:rPr>
          <w:rFonts w:hint="eastAsia" w:ascii="宋体" w:hAnsi="宋体"/>
          <w:color w:val="auto"/>
          <w:sz w:val="30"/>
          <w:szCs w:val="30"/>
          <w:highlight w:val="none"/>
        </w:rPr>
        <w:t>：</w:t>
      </w:r>
    </w:p>
    <w:p w14:paraId="1F2750A9">
      <w:pPr>
        <w:pageBreakBefore w:val="0"/>
        <w:kinsoku/>
        <w:wordWrap w:val="0"/>
        <w:topLinePunct w:val="0"/>
        <w:spacing w:beforeLines="50" w:afterLines="50" w:line="440" w:lineRule="exact"/>
        <w:jc w:val="center"/>
        <w:rPr>
          <w:rFonts w:ascii="宋体" w:hAnsi="宋体"/>
          <w:color w:val="auto"/>
          <w:sz w:val="30"/>
          <w:szCs w:val="30"/>
          <w:highlight w:val="none"/>
        </w:rPr>
      </w:pPr>
      <w:r>
        <w:rPr>
          <w:rFonts w:hint="eastAsia" w:ascii="宋体" w:hAnsi="宋体"/>
          <w:color w:val="auto"/>
          <w:sz w:val="30"/>
          <w:szCs w:val="30"/>
          <w:highlight w:val="none"/>
        </w:rPr>
        <w:t>分包人主要施工管理人员表</w:t>
      </w:r>
    </w:p>
    <w:tbl>
      <w:tblPr>
        <w:tblStyle w:val="4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BA1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AF84E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名称</w:t>
            </w:r>
          </w:p>
        </w:tc>
        <w:tc>
          <w:tcPr>
            <w:tcW w:w="1418" w:type="dxa"/>
            <w:tcBorders>
              <w:left w:val="nil"/>
            </w:tcBorders>
            <w:vAlign w:val="center"/>
          </w:tcPr>
          <w:p w14:paraId="0D5A7A4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姓名</w:t>
            </w:r>
          </w:p>
        </w:tc>
        <w:tc>
          <w:tcPr>
            <w:tcW w:w="1134" w:type="dxa"/>
            <w:tcBorders>
              <w:left w:val="nil"/>
            </w:tcBorders>
            <w:vAlign w:val="center"/>
          </w:tcPr>
          <w:p w14:paraId="62EB653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r>
              <w:rPr>
                <w:rFonts w:hint="eastAsia" w:ascii="宋体" w:hAnsi="宋体"/>
                <w:color w:val="auto"/>
                <w:sz w:val="30"/>
                <w:szCs w:val="30"/>
                <w:highlight w:val="none"/>
              </w:rPr>
              <w:t>职务</w:t>
            </w:r>
          </w:p>
        </w:tc>
        <w:tc>
          <w:tcPr>
            <w:tcW w:w="1134" w:type="dxa"/>
            <w:tcBorders>
              <w:left w:val="nil"/>
            </w:tcBorders>
            <w:vAlign w:val="center"/>
          </w:tcPr>
          <w:p w14:paraId="1A58A4C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r>
              <w:rPr>
                <w:rFonts w:hint="eastAsia" w:ascii="宋体" w:hAnsi="宋体"/>
                <w:color w:val="auto"/>
                <w:sz w:val="30"/>
                <w:szCs w:val="30"/>
                <w:highlight w:val="none"/>
              </w:rPr>
              <w:t>职称</w:t>
            </w:r>
          </w:p>
        </w:tc>
        <w:tc>
          <w:tcPr>
            <w:tcW w:w="4252" w:type="dxa"/>
            <w:tcBorders>
              <w:left w:val="nil"/>
            </w:tcBorders>
            <w:vAlign w:val="center"/>
          </w:tcPr>
          <w:p w14:paraId="3226C75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r>
              <w:rPr>
                <w:rFonts w:hint="eastAsia" w:ascii="宋体" w:hAnsi="宋体"/>
                <w:color w:val="auto"/>
                <w:sz w:val="30"/>
                <w:szCs w:val="30"/>
                <w:highlight w:val="none"/>
              </w:rPr>
              <w:t>主要资历、经验及承担过的项目</w:t>
            </w:r>
          </w:p>
        </w:tc>
      </w:tr>
      <w:tr w14:paraId="1C52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586C95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一、总部人员</w:t>
            </w:r>
          </w:p>
        </w:tc>
      </w:tr>
      <w:tr w14:paraId="1A72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391C35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项目主管</w:t>
            </w:r>
          </w:p>
        </w:tc>
        <w:tc>
          <w:tcPr>
            <w:tcW w:w="1418" w:type="dxa"/>
            <w:tcBorders>
              <w:left w:val="nil"/>
            </w:tcBorders>
            <w:vAlign w:val="center"/>
          </w:tcPr>
          <w:p w14:paraId="678946E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0717D79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39F14FD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0418FAC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347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tcBorders>
            <w:vAlign w:val="center"/>
          </w:tcPr>
          <w:p w14:paraId="0D3ECFB6">
            <w:pPr>
              <w:keepNext/>
              <w:pageBreakBefore w:val="0"/>
              <w:kinsoku/>
              <w:wordWrap w:val="0"/>
              <w:topLinePunct w:val="0"/>
              <w:adjustRightInd w:val="0"/>
              <w:spacing w:after="60"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其他人员</w:t>
            </w:r>
          </w:p>
        </w:tc>
        <w:tc>
          <w:tcPr>
            <w:tcW w:w="1418" w:type="dxa"/>
            <w:tcBorders>
              <w:left w:val="nil"/>
            </w:tcBorders>
            <w:vAlign w:val="center"/>
          </w:tcPr>
          <w:p w14:paraId="192C688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2206C8E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57D27EC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0CA85E6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15F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3A86B45F">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54A8030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7F63A7A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7684C7C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168D8BF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0C1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500AF1EB">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1961893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4B3900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67C0AEA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436EB3B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627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56B0433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二、现场人员</w:t>
            </w:r>
          </w:p>
        </w:tc>
      </w:tr>
      <w:tr w14:paraId="7490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4218E0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项目经理</w:t>
            </w:r>
          </w:p>
        </w:tc>
        <w:tc>
          <w:tcPr>
            <w:tcW w:w="1418" w:type="dxa"/>
            <w:tcBorders>
              <w:left w:val="nil"/>
            </w:tcBorders>
            <w:vAlign w:val="center"/>
          </w:tcPr>
          <w:p w14:paraId="2E1ACC6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23E928F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2CCBB10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0E38449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2487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4EC840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项目副经理</w:t>
            </w:r>
          </w:p>
        </w:tc>
        <w:tc>
          <w:tcPr>
            <w:tcW w:w="1418" w:type="dxa"/>
            <w:tcBorders>
              <w:left w:val="nil"/>
            </w:tcBorders>
            <w:vAlign w:val="center"/>
          </w:tcPr>
          <w:p w14:paraId="290E5E5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1001768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6304549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6F22B4A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1AA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276A88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技术负责人</w:t>
            </w:r>
          </w:p>
        </w:tc>
        <w:tc>
          <w:tcPr>
            <w:tcW w:w="1418" w:type="dxa"/>
            <w:tcBorders>
              <w:left w:val="nil"/>
            </w:tcBorders>
            <w:vAlign w:val="center"/>
          </w:tcPr>
          <w:p w14:paraId="207B794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079D844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05846EE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1F94386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0931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7228FA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造价管理</w:t>
            </w:r>
          </w:p>
        </w:tc>
        <w:tc>
          <w:tcPr>
            <w:tcW w:w="1418" w:type="dxa"/>
            <w:tcBorders>
              <w:left w:val="nil"/>
            </w:tcBorders>
            <w:vAlign w:val="center"/>
          </w:tcPr>
          <w:p w14:paraId="18EF86D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76953A22">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F72721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6C5BE59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914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BD2776">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质量管理</w:t>
            </w:r>
          </w:p>
        </w:tc>
        <w:tc>
          <w:tcPr>
            <w:tcW w:w="1418" w:type="dxa"/>
            <w:tcBorders>
              <w:left w:val="nil"/>
            </w:tcBorders>
            <w:vAlign w:val="center"/>
          </w:tcPr>
          <w:p w14:paraId="32D7773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0442AAC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619755A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6746B3E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89B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2D1D39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材料管理</w:t>
            </w:r>
          </w:p>
        </w:tc>
        <w:tc>
          <w:tcPr>
            <w:tcW w:w="1418" w:type="dxa"/>
            <w:tcBorders>
              <w:left w:val="nil"/>
            </w:tcBorders>
            <w:vAlign w:val="center"/>
          </w:tcPr>
          <w:p w14:paraId="6312A734">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5B4C385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4515850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1CA4F8E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577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8A4F49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计划管理</w:t>
            </w:r>
          </w:p>
        </w:tc>
        <w:tc>
          <w:tcPr>
            <w:tcW w:w="1418" w:type="dxa"/>
            <w:tcBorders>
              <w:left w:val="nil"/>
            </w:tcBorders>
            <w:vAlign w:val="center"/>
          </w:tcPr>
          <w:p w14:paraId="4EE8ADE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2F8C8A6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733ED49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7CDC86C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BD8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0018FB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安全管理</w:t>
            </w:r>
          </w:p>
        </w:tc>
        <w:tc>
          <w:tcPr>
            <w:tcW w:w="1418" w:type="dxa"/>
            <w:tcBorders>
              <w:left w:val="nil"/>
            </w:tcBorders>
            <w:vAlign w:val="center"/>
          </w:tcPr>
          <w:p w14:paraId="391AF71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3337E8A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342AA027">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4DCBEDF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3BE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nil"/>
            </w:tcBorders>
            <w:vAlign w:val="center"/>
          </w:tcPr>
          <w:p w14:paraId="2DA04539">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r>
              <w:rPr>
                <w:rFonts w:hint="eastAsia" w:ascii="宋体" w:hAnsi="宋体"/>
                <w:color w:val="auto"/>
                <w:sz w:val="28"/>
                <w:szCs w:val="28"/>
                <w:highlight w:val="none"/>
              </w:rPr>
              <w:t>其他人员</w:t>
            </w:r>
          </w:p>
        </w:tc>
        <w:tc>
          <w:tcPr>
            <w:tcW w:w="1418" w:type="dxa"/>
            <w:tcBorders>
              <w:left w:val="nil"/>
            </w:tcBorders>
            <w:vAlign w:val="center"/>
          </w:tcPr>
          <w:p w14:paraId="6EF7189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57B1483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20C8225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42A6B72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3779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4855E029">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58E3E19C">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DBA36C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3DDF6E5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742BFE85">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90E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3B98C5B5">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2A0C5FAA">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59C20AE8">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16459FA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217C845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60D1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611CD495">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16CD5E6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37E0E76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313FC3FD">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76FB626E">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1FD7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64545E08">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6C37FFD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7E971330">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3AAA0CCF">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7D9DA7F3">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r w14:paraId="2F57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nil"/>
            </w:tcBorders>
            <w:vAlign w:val="center"/>
          </w:tcPr>
          <w:p w14:paraId="1184B3EE">
            <w:pPr>
              <w:pageBreakBefore w:val="0"/>
              <w:widowControl/>
              <w:kinsoku/>
              <w:wordWrap w:val="0"/>
              <w:topLinePunct w:val="0"/>
              <w:jc w:val="left"/>
              <w:rPr>
                <w:rFonts w:ascii="宋体" w:hAnsi="宋体"/>
                <w:color w:val="auto"/>
                <w:sz w:val="28"/>
                <w:szCs w:val="28"/>
                <w:highlight w:val="none"/>
              </w:rPr>
            </w:pPr>
          </w:p>
        </w:tc>
        <w:tc>
          <w:tcPr>
            <w:tcW w:w="1418" w:type="dxa"/>
            <w:tcBorders>
              <w:left w:val="nil"/>
            </w:tcBorders>
            <w:vAlign w:val="center"/>
          </w:tcPr>
          <w:p w14:paraId="1418C5C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28"/>
                <w:szCs w:val="28"/>
                <w:highlight w:val="none"/>
              </w:rPr>
            </w:pPr>
          </w:p>
        </w:tc>
        <w:tc>
          <w:tcPr>
            <w:tcW w:w="1134" w:type="dxa"/>
            <w:tcBorders>
              <w:left w:val="nil"/>
            </w:tcBorders>
            <w:vAlign w:val="center"/>
          </w:tcPr>
          <w:p w14:paraId="4DC9809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1134" w:type="dxa"/>
            <w:tcBorders>
              <w:left w:val="nil"/>
            </w:tcBorders>
            <w:vAlign w:val="center"/>
          </w:tcPr>
          <w:p w14:paraId="0DFF5B3B">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c>
          <w:tcPr>
            <w:tcW w:w="4252" w:type="dxa"/>
            <w:tcBorders>
              <w:left w:val="nil"/>
            </w:tcBorders>
            <w:vAlign w:val="center"/>
          </w:tcPr>
          <w:p w14:paraId="5A4D58E1">
            <w:pPr>
              <w:keepNext/>
              <w:pageBreakBefore w:val="0"/>
              <w:kinsoku/>
              <w:wordWrap w:val="0"/>
              <w:topLinePunct w:val="0"/>
              <w:adjustRightInd w:val="0"/>
              <w:spacing w:line="440" w:lineRule="exact"/>
              <w:ind w:left="63" w:leftChars="30" w:right="63" w:rightChars="30"/>
              <w:jc w:val="center"/>
              <w:textAlignment w:val="baseline"/>
              <w:rPr>
                <w:rFonts w:ascii="宋体" w:hAnsi="宋体"/>
                <w:color w:val="auto"/>
                <w:sz w:val="30"/>
                <w:szCs w:val="30"/>
                <w:highlight w:val="none"/>
              </w:rPr>
            </w:pPr>
          </w:p>
        </w:tc>
      </w:tr>
    </w:tbl>
    <w:p w14:paraId="52AAB86C">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42CD521C">
      <w:pPr>
        <w:pageBreakBefore w:val="0"/>
        <w:kinsoku/>
        <w:wordWrap w:val="0"/>
        <w:topLinePunct w:val="0"/>
        <w:spacing w:line="440" w:lineRule="exac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7</w:t>
      </w:r>
      <w:r>
        <w:rPr>
          <w:rFonts w:hint="eastAsia" w:ascii="宋体" w:hAnsi="宋体"/>
          <w:color w:val="auto"/>
          <w:sz w:val="30"/>
          <w:szCs w:val="30"/>
          <w:highlight w:val="none"/>
        </w:rPr>
        <w:t>：</w:t>
      </w:r>
    </w:p>
    <w:p w14:paraId="7BD54BA7">
      <w:pPr>
        <w:pageBreakBefore w:val="0"/>
        <w:kinsoku/>
        <w:wordWrap w:val="0"/>
        <w:topLinePunct w:val="0"/>
        <w:spacing w:beforeLines="50" w:afterLines="50" w:line="440" w:lineRule="exact"/>
        <w:jc w:val="center"/>
        <w:rPr>
          <w:rFonts w:ascii="宋体" w:hAnsi="宋体"/>
          <w:color w:val="auto"/>
          <w:sz w:val="30"/>
          <w:szCs w:val="30"/>
          <w:highlight w:val="none"/>
        </w:rPr>
      </w:pPr>
      <w:r>
        <w:rPr>
          <w:rFonts w:hint="eastAsia" w:ascii="宋体" w:hAnsi="宋体"/>
          <w:color w:val="auto"/>
          <w:sz w:val="30"/>
          <w:szCs w:val="30"/>
          <w:highlight w:val="none"/>
        </w:rPr>
        <w:t>履约担保</w:t>
      </w:r>
    </w:p>
    <w:p w14:paraId="5C7D7DEF">
      <w:pPr>
        <w:pageBreakBefore w:val="0"/>
        <w:kinsoku/>
        <w:wordWrap w:val="0"/>
        <w:topLinePunct w:val="0"/>
        <w:spacing w:line="360" w:lineRule="auto"/>
        <w:rPr>
          <w:rFonts w:ascii="宋体" w:hAnsi="宋体"/>
          <w:color w:val="auto"/>
          <w:highlight w:val="none"/>
          <w:u w:val="single"/>
        </w:rPr>
      </w:pPr>
    </w:p>
    <w:p w14:paraId="0DC242AE">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（发包人名称）：</w:t>
      </w:r>
    </w:p>
    <w:p w14:paraId="2E543222">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鉴于（发包人名称，以下简称“发包人”）已于年月日发放成交通知书，明确（承包人名称）（以下称“承包人”）于年月日为（工程名称）的成交人。我方愿意无条件地、不可撤销地就承包人履行与你方签订的合同，向你方提供连带责任担保。</w:t>
      </w:r>
    </w:p>
    <w:p w14:paraId="0D304DF9">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担保金额人民币（大写）元（</w:t>
      </w:r>
      <w:r>
        <w:rPr>
          <w:rFonts w:ascii="宋体" w:hAnsi="宋体"/>
          <w:color w:val="auto"/>
          <w:highlight w:val="none"/>
        </w:rPr>
        <w:t>¥</w:t>
      </w:r>
      <w:r>
        <w:rPr>
          <w:rFonts w:hint="eastAsia" w:ascii="宋体" w:hAnsi="宋体"/>
          <w:color w:val="auto"/>
          <w:highlight w:val="none"/>
        </w:rPr>
        <w:t>）。</w:t>
      </w:r>
    </w:p>
    <w:p w14:paraId="72F2D55C">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2. </w:t>
      </w:r>
      <w:r>
        <w:rPr>
          <w:rFonts w:hint="eastAsia" w:ascii="宋体" w:hAnsi="宋体"/>
          <w:color w:val="auto"/>
          <w:highlight w:val="none"/>
        </w:rPr>
        <w:t>担保有效期自你方与承包人签订的合同生效之日起至你方签发或应签发工程接收证书之日止。</w:t>
      </w:r>
    </w:p>
    <w:p w14:paraId="13FA0876">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3. </w:t>
      </w:r>
      <w:r>
        <w:rPr>
          <w:rFonts w:hint="eastAsia" w:ascii="宋体" w:hAnsi="宋体"/>
          <w:color w:val="auto"/>
          <w:highlight w:val="none"/>
        </w:rPr>
        <w:t>在本担保有效期内，因承包人违反合同约定的义务给你方造成经济损失时，我方在收到你方以书面形式提出的在担保金额内的赔偿要求后，在</w:t>
      </w:r>
      <w:r>
        <w:rPr>
          <w:rFonts w:ascii="宋体" w:hAnsi="宋体"/>
          <w:color w:val="auto"/>
          <w:highlight w:val="none"/>
        </w:rPr>
        <w:t>7</w:t>
      </w:r>
      <w:r>
        <w:rPr>
          <w:rFonts w:hint="eastAsia" w:ascii="宋体" w:hAnsi="宋体"/>
          <w:color w:val="auto"/>
          <w:highlight w:val="none"/>
        </w:rPr>
        <w:t>天内无条件支付。</w:t>
      </w:r>
    </w:p>
    <w:p w14:paraId="2814328D">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4. </w:t>
      </w:r>
      <w:r>
        <w:rPr>
          <w:rFonts w:hint="eastAsia" w:ascii="宋体" w:hAnsi="宋体"/>
          <w:color w:val="auto"/>
          <w:highlight w:val="none"/>
        </w:rPr>
        <w:t>你方和承包人按合同约定变更合同时，我方承担本担保规定的义务不变。</w:t>
      </w:r>
    </w:p>
    <w:p w14:paraId="0F1A680E">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5. </w:t>
      </w:r>
      <w:r>
        <w:rPr>
          <w:rFonts w:hint="eastAsia" w:ascii="宋体" w:hAnsi="宋体"/>
          <w:color w:val="auto"/>
          <w:highlight w:val="none"/>
        </w:rPr>
        <w:t>因本保函发生的纠纷，可由双方协商解决，协商不成的，任何一方均可提请仲裁委员会仲裁。</w:t>
      </w:r>
    </w:p>
    <w:p w14:paraId="0F8671BA">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6. </w:t>
      </w:r>
      <w:r>
        <w:rPr>
          <w:rFonts w:hint="eastAsia" w:ascii="宋体" w:hAnsi="宋体"/>
          <w:color w:val="auto"/>
          <w:highlight w:val="none"/>
        </w:rPr>
        <w:t>本保函自我方法定代表人（或其授权代理人）签字并加盖公章之日起生效。</w:t>
      </w:r>
    </w:p>
    <w:p w14:paraId="4C4323AA">
      <w:pPr>
        <w:pageBreakBefore w:val="0"/>
        <w:kinsoku/>
        <w:wordWrap w:val="0"/>
        <w:topLinePunct w:val="0"/>
        <w:spacing w:line="360" w:lineRule="auto"/>
        <w:rPr>
          <w:rFonts w:ascii="宋体" w:hAnsi="宋体"/>
          <w:color w:val="auto"/>
          <w:highlight w:val="none"/>
        </w:rPr>
      </w:pPr>
    </w:p>
    <w:p w14:paraId="618A80AC">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担保人：（盖单位章）</w:t>
      </w:r>
    </w:p>
    <w:p w14:paraId="18CD85CA">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法定代表人或其委托代理人：（签字）</w:t>
      </w:r>
    </w:p>
    <w:p w14:paraId="4AF81CAD">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地址：</w:t>
      </w:r>
    </w:p>
    <w:p w14:paraId="43D3BEB3">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邮政编码：</w:t>
      </w:r>
    </w:p>
    <w:p w14:paraId="7CCF1D51">
      <w:pPr>
        <w:pageBreakBefore w:val="0"/>
        <w:kinsoku/>
        <w:wordWrap w:val="0"/>
        <w:topLinePunct w:val="0"/>
        <w:spacing w:line="360" w:lineRule="auto"/>
        <w:rPr>
          <w:rFonts w:ascii="宋体" w:hAnsi="宋体"/>
          <w:color w:val="auto"/>
          <w:highlight w:val="none"/>
          <w:u w:val="single"/>
        </w:rPr>
      </w:pPr>
      <w:r>
        <w:rPr>
          <w:rFonts w:hint="eastAsia" w:ascii="宋体" w:hAnsi="宋体"/>
          <w:color w:val="auto"/>
          <w:highlight w:val="none"/>
        </w:rPr>
        <w:t>电话：</w:t>
      </w:r>
    </w:p>
    <w:p w14:paraId="3A6AFF36">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传真：</w:t>
      </w:r>
    </w:p>
    <w:p w14:paraId="1FEA5F2C">
      <w:pPr>
        <w:pageBreakBefore w:val="0"/>
        <w:kinsoku/>
        <w:wordWrap w:val="0"/>
        <w:topLinePunct w:val="0"/>
        <w:spacing w:line="360" w:lineRule="auto"/>
        <w:jc w:val="left"/>
        <w:rPr>
          <w:rFonts w:ascii="宋体" w:hAnsi="宋体"/>
          <w:color w:val="auto"/>
          <w:highlight w:val="none"/>
          <w:u w:val="single"/>
        </w:rPr>
      </w:pPr>
    </w:p>
    <w:p w14:paraId="0ED436AF">
      <w:pPr>
        <w:pageBreakBefore w:val="0"/>
        <w:kinsoku/>
        <w:wordWrap w:val="0"/>
        <w:topLinePunct w:val="0"/>
        <w:spacing w:line="360" w:lineRule="auto"/>
        <w:ind w:left="1329" w:hanging="1329" w:hangingChars="633"/>
        <w:rPr>
          <w:rFonts w:ascii="宋体" w:hAnsi="宋体"/>
          <w:color w:val="auto"/>
          <w:highlight w:val="none"/>
        </w:rPr>
      </w:pPr>
      <w:r>
        <w:rPr>
          <w:rFonts w:hint="eastAsia" w:ascii="宋体" w:hAnsi="宋体"/>
          <w:color w:val="auto"/>
          <w:highlight w:val="none"/>
        </w:rPr>
        <w:t>年月日</w:t>
      </w:r>
    </w:p>
    <w:p w14:paraId="414EC221">
      <w:pPr>
        <w:pageBreakBefore w:val="0"/>
        <w:kinsoku/>
        <w:wordWrap w:val="0"/>
        <w:topLinePunct w:val="0"/>
        <w:spacing w:line="360" w:lineRule="auto"/>
        <w:ind w:left="1329" w:hanging="1329" w:hangingChars="633"/>
        <w:rPr>
          <w:rFonts w:ascii="宋体" w:hAnsi="宋体"/>
          <w:color w:val="auto"/>
          <w:highlight w:val="none"/>
        </w:rPr>
      </w:pPr>
    </w:p>
    <w:p w14:paraId="062BB488">
      <w:pPr>
        <w:pageBreakBefore w:val="0"/>
        <w:kinsoku/>
        <w:wordWrap w:val="0"/>
        <w:topLinePunct w:val="0"/>
        <w:spacing w:line="360" w:lineRule="auto"/>
        <w:ind w:right="150" w:firstLine="420" w:firstLineChars="200"/>
        <w:jc w:val="left"/>
        <w:rPr>
          <w:rFonts w:ascii="宋体" w:hAnsi="宋体" w:cs="宋体"/>
          <w:color w:val="auto"/>
          <w:highlight w:val="none"/>
        </w:rPr>
      </w:pPr>
      <w:r>
        <w:rPr>
          <w:rFonts w:hint="eastAsia" w:ascii="宋体" w:hAnsi="宋体"/>
          <w:color w:val="auto"/>
          <w:highlight w:val="none"/>
        </w:rPr>
        <w:t>（备注</w:t>
      </w:r>
      <w:r>
        <w:rPr>
          <w:rFonts w:hint="eastAsia" w:ascii="宋体" w:hAnsi="宋体" w:cs="宋体"/>
          <w:color w:val="auto"/>
          <w:highlight w:val="none"/>
        </w:rPr>
        <w:t>：</w:t>
      </w:r>
      <w:r>
        <w:rPr>
          <w:rFonts w:hint="eastAsia" w:ascii="宋体" w:hAnsi="宋体"/>
          <w:color w:val="auto"/>
          <w:highlight w:val="none"/>
        </w:rPr>
        <w:t>银行、保险公司和担保公司出具的保函格式和文本可</w:t>
      </w:r>
      <w:r>
        <w:rPr>
          <w:rFonts w:hint="eastAsia" w:ascii="宋体" w:hAnsi="宋体" w:cs="宋体"/>
          <w:color w:val="auto"/>
          <w:highlight w:val="none"/>
        </w:rPr>
        <w:t>以自拟，</w:t>
      </w:r>
      <w:r>
        <w:rPr>
          <w:rFonts w:hint="eastAsia" w:ascii="宋体" w:hAnsi="宋体"/>
          <w:color w:val="auto"/>
          <w:highlight w:val="none"/>
        </w:rPr>
        <w:t>但是必须包含以上条款所列全部内容</w:t>
      </w:r>
      <w:r>
        <w:rPr>
          <w:rFonts w:hint="eastAsia" w:ascii="宋体" w:hAnsi="宋体" w:cs="宋体"/>
          <w:color w:val="auto"/>
          <w:highlight w:val="none"/>
        </w:rPr>
        <w:t>）</w:t>
      </w:r>
    </w:p>
    <w:p w14:paraId="24EDFFAE">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5E73A344">
      <w:pPr>
        <w:pageBreakBefore w:val="0"/>
        <w:kinsoku/>
        <w:wordWrap w:val="0"/>
        <w:topLinePunct w:val="0"/>
        <w:spacing w:line="360" w:lineRule="auto"/>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8</w:t>
      </w:r>
      <w:r>
        <w:rPr>
          <w:rFonts w:hint="eastAsia" w:ascii="宋体" w:hAnsi="宋体"/>
          <w:color w:val="auto"/>
          <w:sz w:val="30"/>
          <w:szCs w:val="30"/>
          <w:highlight w:val="none"/>
        </w:rPr>
        <w:t>：</w:t>
      </w:r>
    </w:p>
    <w:p w14:paraId="56868E26">
      <w:pPr>
        <w:pageBreakBefore w:val="0"/>
        <w:kinsoku/>
        <w:wordWrap w:val="0"/>
        <w:topLinePunct w:val="0"/>
        <w:spacing w:beforeLines="50" w:afterLines="50" w:line="440" w:lineRule="exact"/>
        <w:jc w:val="center"/>
        <w:rPr>
          <w:rFonts w:ascii="宋体" w:hAnsi="宋体"/>
          <w:color w:val="auto"/>
          <w:sz w:val="30"/>
          <w:szCs w:val="30"/>
          <w:highlight w:val="none"/>
        </w:rPr>
      </w:pPr>
      <w:r>
        <w:rPr>
          <w:rFonts w:hint="eastAsia" w:ascii="宋体" w:hAnsi="宋体"/>
          <w:color w:val="auto"/>
          <w:sz w:val="30"/>
          <w:szCs w:val="30"/>
          <w:highlight w:val="none"/>
        </w:rPr>
        <w:t>预付款担保</w:t>
      </w:r>
    </w:p>
    <w:p w14:paraId="4DD63E07">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（发包人名称）：</w:t>
      </w:r>
    </w:p>
    <w:p w14:paraId="4A60E185">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根据（承包人名称）（以下称“承包人”）与（发包人名称）（以下简称“发包人”）于年月日签订的（工程名称）《建设工程施工合同》，承包人按约定的金额向你方提交一份预付款担保，即有权得到你方支付相等金额的预付款。我方愿意就你方提供给承包人的预付款为承包人提供连带责任担保。</w:t>
      </w:r>
    </w:p>
    <w:p w14:paraId="2853F50A">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担保金额人民币（大写）元（</w:t>
      </w:r>
      <w:r>
        <w:rPr>
          <w:rFonts w:ascii="宋体" w:hAnsi="宋体"/>
          <w:color w:val="auto"/>
          <w:highlight w:val="none"/>
        </w:rPr>
        <w:t>¥</w:t>
      </w:r>
      <w:r>
        <w:rPr>
          <w:rFonts w:hint="eastAsia" w:ascii="宋体" w:hAnsi="宋体"/>
          <w:color w:val="auto"/>
          <w:highlight w:val="none"/>
        </w:rPr>
        <w:t>）。</w:t>
      </w:r>
    </w:p>
    <w:p w14:paraId="071AF203">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2. </w:t>
      </w:r>
      <w:r>
        <w:rPr>
          <w:rFonts w:hint="eastAsia" w:ascii="宋体" w:hAnsi="宋体"/>
          <w:color w:val="auto"/>
          <w:highlight w:val="none"/>
        </w:rPr>
        <w:t>担保有效期自预付款支付给承包人起生效，至你方签发的进度款支付证书说明已完全扣清止。</w:t>
      </w:r>
    </w:p>
    <w:p w14:paraId="5909A151">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3. </w:t>
      </w:r>
      <w:r>
        <w:rPr>
          <w:rFonts w:hint="eastAsia" w:ascii="宋体" w:hAnsi="宋体"/>
          <w:color w:val="auto"/>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77089231">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4. </w:t>
      </w:r>
      <w:r>
        <w:rPr>
          <w:rFonts w:hint="eastAsia" w:ascii="宋体" w:hAnsi="宋体"/>
          <w:color w:val="auto"/>
          <w:highlight w:val="none"/>
        </w:rPr>
        <w:t>你方和承包人按合同约定变更合同时，我方承担本保函规定的义务不变。</w:t>
      </w:r>
    </w:p>
    <w:p w14:paraId="3FEED77B">
      <w:pPr>
        <w:pageBreakBefore w:val="0"/>
        <w:kinsoku/>
        <w:wordWrap w:val="0"/>
        <w:topLinePunct w:val="0"/>
        <w:spacing w:line="360" w:lineRule="auto"/>
        <w:ind w:firstLine="420" w:firstLineChars="200"/>
        <w:rPr>
          <w:rFonts w:ascii="宋体" w:hAnsi="宋体"/>
          <w:color w:val="auto"/>
          <w:highlight w:val="none"/>
        </w:rPr>
      </w:pPr>
      <w:r>
        <w:rPr>
          <w:rFonts w:ascii="宋体" w:hAnsi="宋体"/>
          <w:color w:val="auto"/>
          <w:highlight w:val="none"/>
        </w:rPr>
        <w:t xml:space="preserve">5. </w:t>
      </w:r>
      <w:r>
        <w:rPr>
          <w:rFonts w:hint="eastAsia" w:ascii="宋体" w:hAnsi="宋体"/>
          <w:color w:val="auto"/>
          <w:highlight w:val="none"/>
        </w:rPr>
        <w:t>因本保函发生的纠纷，可由双方协商解决，协商不成的，任何一方均可提请仲裁委员会仲裁。</w:t>
      </w:r>
    </w:p>
    <w:p w14:paraId="4D110F08">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6. </w:t>
      </w:r>
      <w:r>
        <w:rPr>
          <w:rFonts w:hint="eastAsia" w:ascii="宋体" w:hAnsi="宋体"/>
          <w:color w:val="auto"/>
          <w:highlight w:val="none"/>
        </w:rPr>
        <w:t>本保函自我方法定代表人（或其授权代理人）签字并加盖公章之日起生效。</w:t>
      </w:r>
    </w:p>
    <w:p w14:paraId="343D22DB">
      <w:pPr>
        <w:pageBreakBefore w:val="0"/>
        <w:kinsoku/>
        <w:wordWrap w:val="0"/>
        <w:topLinePunct w:val="0"/>
        <w:spacing w:line="360" w:lineRule="auto"/>
        <w:rPr>
          <w:rFonts w:ascii="宋体" w:hAnsi="宋体"/>
          <w:color w:val="auto"/>
          <w:highlight w:val="none"/>
        </w:rPr>
      </w:pPr>
    </w:p>
    <w:p w14:paraId="2237A604">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担保人：（盖单位章）</w:t>
      </w:r>
    </w:p>
    <w:p w14:paraId="705EE145">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法定代表人或其委托代理人：（签字）</w:t>
      </w:r>
    </w:p>
    <w:p w14:paraId="47D5F827">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地址：</w:t>
      </w:r>
    </w:p>
    <w:p w14:paraId="3191D6A9">
      <w:pPr>
        <w:pageBreakBefore w:val="0"/>
        <w:kinsoku/>
        <w:wordWrap w:val="0"/>
        <w:topLinePunct w:val="0"/>
        <w:spacing w:line="360" w:lineRule="auto"/>
        <w:rPr>
          <w:rFonts w:ascii="宋体" w:hAnsi="宋体"/>
          <w:color w:val="auto"/>
          <w:highlight w:val="none"/>
          <w:u w:val="single"/>
        </w:rPr>
      </w:pPr>
      <w:r>
        <w:rPr>
          <w:rFonts w:hint="eastAsia" w:ascii="宋体" w:hAnsi="宋体"/>
          <w:color w:val="auto"/>
          <w:highlight w:val="none"/>
        </w:rPr>
        <w:t>邮政编码：</w:t>
      </w:r>
    </w:p>
    <w:p w14:paraId="326FE83F">
      <w:pPr>
        <w:pageBreakBefore w:val="0"/>
        <w:kinsoku/>
        <w:wordWrap w:val="0"/>
        <w:topLinePunct w:val="0"/>
        <w:spacing w:line="360" w:lineRule="auto"/>
        <w:rPr>
          <w:rFonts w:ascii="宋体" w:hAnsi="宋体"/>
          <w:color w:val="auto"/>
          <w:highlight w:val="none"/>
          <w:u w:val="single"/>
        </w:rPr>
      </w:pPr>
      <w:r>
        <w:rPr>
          <w:rFonts w:hint="eastAsia" w:ascii="宋体" w:hAnsi="宋体"/>
          <w:color w:val="auto"/>
          <w:highlight w:val="none"/>
        </w:rPr>
        <w:t>电话：</w:t>
      </w:r>
    </w:p>
    <w:p w14:paraId="1E6E8156">
      <w:pPr>
        <w:pageBreakBefore w:val="0"/>
        <w:kinsoku/>
        <w:wordWrap w:val="0"/>
        <w:topLinePunct w:val="0"/>
        <w:spacing w:line="360" w:lineRule="auto"/>
        <w:rPr>
          <w:rFonts w:ascii="宋体" w:hAnsi="宋体"/>
          <w:color w:val="auto"/>
          <w:highlight w:val="none"/>
          <w:u w:val="single"/>
        </w:rPr>
      </w:pPr>
      <w:r>
        <w:rPr>
          <w:rFonts w:hint="eastAsia" w:ascii="宋体" w:hAnsi="宋体"/>
          <w:color w:val="auto"/>
          <w:highlight w:val="none"/>
        </w:rPr>
        <w:t>传真：</w:t>
      </w:r>
    </w:p>
    <w:p w14:paraId="54721C1A">
      <w:pPr>
        <w:pageBreakBefore w:val="0"/>
        <w:kinsoku/>
        <w:wordWrap w:val="0"/>
        <w:topLinePunct w:val="0"/>
        <w:spacing w:line="360" w:lineRule="auto"/>
        <w:rPr>
          <w:rFonts w:ascii="宋体" w:hAnsi="宋体"/>
          <w:color w:val="auto"/>
          <w:highlight w:val="none"/>
          <w:u w:val="single"/>
        </w:rPr>
      </w:pPr>
    </w:p>
    <w:p w14:paraId="43CC0E73">
      <w:pPr>
        <w:pageBreakBefore w:val="0"/>
        <w:kinsoku/>
        <w:wordWrap w:val="0"/>
        <w:topLinePunct w:val="0"/>
        <w:spacing w:line="360" w:lineRule="auto"/>
        <w:rPr>
          <w:rFonts w:ascii="宋体" w:hAnsi="宋体"/>
          <w:color w:val="auto"/>
          <w:highlight w:val="none"/>
        </w:rPr>
      </w:pPr>
      <w:r>
        <w:rPr>
          <w:rFonts w:hint="eastAsia" w:ascii="宋体" w:hAnsi="宋体"/>
          <w:color w:val="auto"/>
          <w:highlight w:val="none"/>
        </w:rPr>
        <w:t>年月日</w:t>
      </w:r>
    </w:p>
    <w:p w14:paraId="1C855FE8">
      <w:pPr>
        <w:pageBreakBefore w:val="0"/>
        <w:kinsoku/>
        <w:wordWrap w:val="0"/>
        <w:topLinePunct w:val="0"/>
        <w:spacing w:line="360" w:lineRule="auto"/>
        <w:ind w:right="150" w:firstLine="420" w:firstLineChars="200"/>
        <w:jc w:val="left"/>
        <w:rPr>
          <w:rFonts w:ascii="宋体" w:hAnsi="宋体" w:cs="宋体"/>
          <w:color w:val="auto"/>
          <w:highlight w:val="none"/>
        </w:rPr>
      </w:pPr>
      <w:r>
        <w:rPr>
          <w:rFonts w:hint="eastAsia" w:ascii="宋体" w:hAnsi="宋体"/>
          <w:color w:val="auto"/>
          <w:highlight w:val="none"/>
        </w:rPr>
        <w:t>（备注</w:t>
      </w:r>
      <w:r>
        <w:rPr>
          <w:rFonts w:hint="eastAsia" w:ascii="宋体" w:hAnsi="宋体" w:cs="宋体"/>
          <w:color w:val="auto"/>
          <w:highlight w:val="none"/>
        </w:rPr>
        <w:t>：</w:t>
      </w:r>
      <w:r>
        <w:rPr>
          <w:rFonts w:hint="eastAsia" w:ascii="宋体" w:hAnsi="宋体"/>
          <w:color w:val="auto"/>
          <w:highlight w:val="none"/>
        </w:rPr>
        <w:t>银行、保险公司和担保公司出具的保函格式和文本可</w:t>
      </w:r>
      <w:r>
        <w:rPr>
          <w:rFonts w:hint="eastAsia" w:ascii="宋体" w:hAnsi="宋体" w:cs="宋体"/>
          <w:color w:val="auto"/>
          <w:highlight w:val="none"/>
        </w:rPr>
        <w:t>以自拟，</w:t>
      </w:r>
      <w:r>
        <w:rPr>
          <w:rFonts w:hint="eastAsia" w:ascii="宋体" w:hAnsi="宋体"/>
          <w:color w:val="auto"/>
          <w:highlight w:val="none"/>
        </w:rPr>
        <w:t>但是必须包含以上条款所列全部内容</w:t>
      </w:r>
      <w:r>
        <w:rPr>
          <w:rFonts w:hint="eastAsia" w:ascii="宋体" w:hAnsi="宋体" w:cs="宋体"/>
          <w:color w:val="auto"/>
          <w:highlight w:val="none"/>
        </w:rPr>
        <w:t>）</w:t>
      </w:r>
    </w:p>
    <w:p w14:paraId="0EA1F074">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3392B71B">
      <w:pPr>
        <w:pageBreakBefore w:val="0"/>
        <w:kinsoku/>
        <w:wordWrap w:val="0"/>
        <w:topLinePunct w:val="0"/>
        <w:spacing w:line="440" w:lineRule="exact"/>
        <w:jc w:val="lef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9</w:t>
      </w:r>
      <w:r>
        <w:rPr>
          <w:rFonts w:hint="eastAsia" w:ascii="宋体" w:hAnsi="宋体"/>
          <w:color w:val="auto"/>
          <w:sz w:val="30"/>
          <w:szCs w:val="30"/>
          <w:highlight w:val="none"/>
        </w:rPr>
        <w:t>：</w:t>
      </w:r>
    </w:p>
    <w:p w14:paraId="68AD3437">
      <w:pPr>
        <w:pageBreakBefore w:val="0"/>
        <w:kinsoku/>
        <w:wordWrap w:val="0"/>
        <w:topLinePunct w:val="0"/>
        <w:spacing w:beforeLines="50" w:afterLines="50" w:line="440" w:lineRule="exact"/>
        <w:jc w:val="center"/>
        <w:rPr>
          <w:rFonts w:ascii="宋体" w:hAnsi="宋体"/>
          <w:color w:val="auto"/>
          <w:sz w:val="30"/>
          <w:szCs w:val="30"/>
          <w:highlight w:val="none"/>
        </w:rPr>
      </w:pPr>
      <w:r>
        <w:rPr>
          <w:rFonts w:hint="eastAsia" w:ascii="宋体" w:hAnsi="宋体"/>
          <w:color w:val="auto"/>
          <w:sz w:val="30"/>
          <w:szCs w:val="30"/>
          <w:highlight w:val="none"/>
        </w:rPr>
        <w:t>支付担保</w:t>
      </w:r>
    </w:p>
    <w:p w14:paraId="4EEADC0E">
      <w:pPr>
        <w:pageBreakBefore w:val="0"/>
        <w:kinsoku/>
        <w:wordWrap w:val="0"/>
        <w:topLinePunct w:val="0"/>
        <w:spacing w:line="360" w:lineRule="auto"/>
        <w:jc w:val="left"/>
        <w:rPr>
          <w:rFonts w:ascii="宋体" w:hAnsi="宋体"/>
          <w:color w:val="auto"/>
          <w:highlight w:val="none"/>
        </w:rPr>
      </w:pPr>
      <w:r>
        <w:rPr>
          <w:rFonts w:hint="eastAsia" w:ascii="宋体" w:hAnsi="宋体"/>
          <w:color w:val="auto"/>
          <w:highlight w:val="none"/>
        </w:rPr>
        <w:t>（承包人）：</w:t>
      </w:r>
    </w:p>
    <w:p w14:paraId="77524F1B">
      <w:pPr>
        <w:pageBreakBefore w:val="0"/>
        <w:kinsoku/>
        <w:wordWrap w:val="0"/>
        <w:topLinePunct w:val="0"/>
        <w:spacing w:line="360" w:lineRule="auto"/>
        <w:jc w:val="left"/>
        <w:rPr>
          <w:rFonts w:ascii="宋体" w:hAnsi="宋体"/>
          <w:color w:val="auto"/>
          <w:highlight w:val="none"/>
        </w:rPr>
      </w:pPr>
    </w:p>
    <w:p w14:paraId="20DF9DA8">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鉴于你方作为承包人已经与（发包人名称）（以下称“发包人”）于年月日签订了（工程名称）《建设工程施工合同》（以下称“主合同”），应发包人的申请，我方愿就发包人履行主合同约定的工程款支付义务以保证的方式向你方提供如下担保：</w:t>
      </w:r>
    </w:p>
    <w:p w14:paraId="66D6DB65">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一、保证的范围及保证金额</w:t>
      </w:r>
    </w:p>
    <w:p w14:paraId="68B521B0">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我方的保证范围是主合同约定的工程款。</w:t>
      </w:r>
    </w:p>
    <w:p w14:paraId="0BA02A2E">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2. </w:t>
      </w:r>
      <w:r>
        <w:rPr>
          <w:rFonts w:hint="eastAsia" w:ascii="宋体" w:hAnsi="宋体"/>
          <w:color w:val="auto"/>
          <w:highlight w:val="none"/>
        </w:rPr>
        <w:t>本保函所称主合同约定的工程款是指主合同约定的除工程质量保证金以外的合同价款。</w:t>
      </w:r>
    </w:p>
    <w:p w14:paraId="6FD41C93">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3. </w:t>
      </w:r>
      <w:r>
        <w:rPr>
          <w:rFonts w:hint="eastAsia" w:ascii="宋体" w:hAnsi="宋体"/>
          <w:color w:val="auto"/>
          <w:highlight w:val="none"/>
        </w:rPr>
        <w:t>我方保证的金额是主合同约定的工程款的</w:t>
      </w:r>
      <w:r>
        <w:rPr>
          <w:rFonts w:ascii="宋体" w:hAnsi="宋体"/>
          <w:color w:val="auto"/>
          <w:highlight w:val="none"/>
        </w:rPr>
        <w:t>%</w:t>
      </w:r>
      <w:r>
        <w:rPr>
          <w:rFonts w:hint="eastAsia" w:ascii="宋体" w:hAnsi="宋体"/>
          <w:color w:val="auto"/>
          <w:highlight w:val="none"/>
        </w:rPr>
        <w:t>，数额最高不超过人民币元（大写：）。</w:t>
      </w:r>
    </w:p>
    <w:p w14:paraId="591A8F24">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二、保证的方式及保证期间</w:t>
      </w:r>
    </w:p>
    <w:p w14:paraId="0C4AC360">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我方保证的方式为：连带责任保证。</w:t>
      </w:r>
    </w:p>
    <w:p w14:paraId="2914EA7A">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2. </w:t>
      </w:r>
      <w:r>
        <w:rPr>
          <w:rFonts w:hint="eastAsia" w:ascii="宋体" w:hAnsi="宋体"/>
          <w:color w:val="auto"/>
          <w:highlight w:val="none"/>
        </w:rPr>
        <w:t>我方保证的期间为：自本合同生效之日起至主合同约定的工程款支付完毕之日后日内。</w:t>
      </w:r>
    </w:p>
    <w:p w14:paraId="3696C059">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3. </w:t>
      </w:r>
      <w:r>
        <w:rPr>
          <w:rFonts w:hint="eastAsia" w:ascii="宋体" w:hAnsi="宋体"/>
          <w:color w:val="auto"/>
          <w:highlight w:val="none"/>
        </w:rPr>
        <w:t>你方与发包人协议变更工程款支付日期的，经我方书面同意后，保证期间按照变更后的支付日期做相应调整。</w:t>
      </w:r>
    </w:p>
    <w:p w14:paraId="11FF7492">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三、承担保证责任的形式</w:t>
      </w:r>
    </w:p>
    <w:p w14:paraId="47B4351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我方承担保证责任的形式是代为支付。发包人未按主合同约定向你方支付工程款的，由我方在保证金额内代为支付。</w:t>
      </w:r>
    </w:p>
    <w:p w14:paraId="02D27671">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四、代偿的安排</w:t>
      </w:r>
    </w:p>
    <w:p w14:paraId="0278E671">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你方要求我方承担保证责任的，应向我方发出书面索赔通知及发包人未支付主合同约定工程款的证明材料。索赔通知应写明要求索赔的金额，支付款项应到达的账号。</w:t>
      </w:r>
    </w:p>
    <w:p w14:paraId="58469337">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2. </w:t>
      </w:r>
      <w:r>
        <w:rPr>
          <w:rFonts w:hint="eastAsia" w:ascii="宋体" w:hAnsi="宋体"/>
          <w:color w:val="auto"/>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3925A476">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3. </w:t>
      </w:r>
      <w:r>
        <w:rPr>
          <w:rFonts w:hint="eastAsia" w:ascii="宋体" w:hAnsi="宋体"/>
          <w:color w:val="auto"/>
          <w:highlight w:val="none"/>
        </w:rPr>
        <w:t>我方收到你方的书面索赔通知及相应的证明材料后７天内无条件支付。</w:t>
      </w:r>
    </w:p>
    <w:p w14:paraId="5E198572">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五、保证责任的解除</w:t>
      </w:r>
    </w:p>
    <w:p w14:paraId="536BD92F">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在本保函承诺的保证期间内，你方未书面向我方主张保证责任的，自保证期间届满次日起，我方保证责任解除。</w:t>
      </w:r>
    </w:p>
    <w:p w14:paraId="3CF78546">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2. </w:t>
      </w:r>
      <w:r>
        <w:rPr>
          <w:rFonts w:hint="eastAsia" w:ascii="宋体" w:hAnsi="宋体"/>
          <w:color w:val="auto"/>
          <w:highlight w:val="none"/>
        </w:rPr>
        <w:t>发包人按主合同约定履行了工程款的全部支付义务的，自本保函承诺的保证期间届满次日起，我方保证责任解除。</w:t>
      </w:r>
    </w:p>
    <w:p w14:paraId="333097CF">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3. </w:t>
      </w:r>
      <w:r>
        <w:rPr>
          <w:rFonts w:hint="eastAsia" w:ascii="宋体" w:hAnsi="宋体"/>
          <w:color w:val="auto"/>
          <w:highlight w:val="none"/>
        </w:rPr>
        <w:t>我方按照本保函向你方履行保证责任所支付金额达到本保函保证金额时，自我方向你方支付（支付款项从我方账户划出）之日起，保证责任即解除。</w:t>
      </w:r>
    </w:p>
    <w:p w14:paraId="6E369EF5">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4. </w:t>
      </w:r>
      <w:r>
        <w:rPr>
          <w:rFonts w:hint="eastAsia" w:ascii="宋体" w:hAnsi="宋体"/>
          <w:color w:val="auto"/>
          <w:highlight w:val="none"/>
        </w:rPr>
        <w:t>按照法律法规的规定或出现应解除我方保证责任的其他情形的，我方在本保函项下的保证责任亦解除。</w:t>
      </w:r>
    </w:p>
    <w:p w14:paraId="4F58D45D">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5. </w:t>
      </w:r>
      <w:r>
        <w:rPr>
          <w:rFonts w:hint="eastAsia" w:ascii="宋体" w:hAnsi="宋体"/>
          <w:color w:val="auto"/>
          <w:highlight w:val="none"/>
        </w:rPr>
        <w:t>我方解除保证责任后，你方应自我方保证责任解除之日起个工作日内，将本保函原件返还我方。</w:t>
      </w:r>
    </w:p>
    <w:p w14:paraId="05AFC902">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六、免责条款</w:t>
      </w:r>
    </w:p>
    <w:p w14:paraId="03810506">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1. </w:t>
      </w:r>
      <w:r>
        <w:rPr>
          <w:rFonts w:hint="eastAsia" w:ascii="宋体" w:hAnsi="宋体"/>
          <w:color w:val="auto"/>
          <w:highlight w:val="none"/>
        </w:rPr>
        <w:t>因你方违约致使发包人不能履行义务的，我方不承担保证责任。</w:t>
      </w:r>
    </w:p>
    <w:p w14:paraId="34C15D9D">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2. </w:t>
      </w:r>
      <w:r>
        <w:rPr>
          <w:rFonts w:hint="eastAsia" w:ascii="宋体" w:hAnsi="宋体"/>
          <w:color w:val="auto"/>
          <w:highlight w:val="none"/>
        </w:rPr>
        <w:t>依照法律法规的规定或你方与发包人的另行约定，免除发包人部分或全部义务的，我方亦免除其相应的保证责任。</w:t>
      </w:r>
    </w:p>
    <w:p w14:paraId="768FFDE0">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3. </w:t>
      </w:r>
      <w:r>
        <w:rPr>
          <w:rFonts w:hint="eastAsia" w:ascii="宋体" w:hAnsi="宋体"/>
          <w:color w:val="auto"/>
          <w:highlight w:val="none"/>
        </w:rPr>
        <w:t>你方与发包人协议变更主合同的，如加重发包人责任致使我方保证责任加重的，需征得我方书面同意，否则我方不再承担因此而加重部分的保证责任，但主合同第</w:t>
      </w:r>
      <w:r>
        <w:rPr>
          <w:rFonts w:ascii="宋体" w:hAnsi="宋体"/>
          <w:color w:val="auto"/>
          <w:highlight w:val="none"/>
        </w:rPr>
        <w:t>10</w:t>
      </w:r>
      <w:r>
        <w:rPr>
          <w:rFonts w:hint="eastAsia" w:ascii="宋体" w:hAnsi="宋体"/>
          <w:color w:val="auto"/>
          <w:highlight w:val="none"/>
        </w:rPr>
        <w:t>条〔变更〕约定的变更不受本款限制。</w:t>
      </w:r>
    </w:p>
    <w:p w14:paraId="09F139B9">
      <w:pPr>
        <w:pageBreakBefore w:val="0"/>
        <w:kinsoku/>
        <w:wordWrap w:val="0"/>
        <w:topLinePunct w:val="0"/>
        <w:spacing w:line="360" w:lineRule="auto"/>
        <w:ind w:firstLine="420" w:firstLineChars="200"/>
        <w:jc w:val="left"/>
        <w:rPr>
          <w:rFonts w:ascii="宋体" w:hAnsi="宋体"/>
          <w:color w:val="auto"/>
          <w:highlight w:val="none"/>
        </w:rPr>
      </w:pPr>
      <w:r>
        <w:rPr>
          <w:rFonts w:ascii="宋体" w:hAnsi="宋体"/>
          <w:color w:val="auto"/>
          <w:highlight w:val="none"/>
        </w:rPr>
        <w:t xml:space="preserve">4. </w:t>
      </w:r>
      <w:r>
        <w:rPr>
          <w:rFonts w:hint="eastAsia" w:ascii="宋体" w:hAnsi="宋体"/>
          <w:color w:val="auto"/>
          <w:highlight w:val="none"/>
        </w:rPr>
        <w:t>因不可抗力造成发包人不能履行义务的，我方不承担保证责任。</w:t>
      </w:r>
    </w:p>
    <w:p w14:paraId="54B12AED">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七、争议解决</w:t>
      </w:r>
    </w:p>
    <w:p w14:paraId="18523A39">
      <w:pPr>
        <w:pageBreakBefore w:val="0"/>
        <w:kinsoku/>
        <w:wordWrap w:val="0"/>
        <w:topLinePunct w:val="0"/>
        <w:spacing w:line="360" w:lineRule="auto"/>
        <w:ind w:firstLine="420" w:firstLineChars="200"/>
        <w:rPr>
          <w:rFonts w:ascii="宋体" w:hAnsi="宋体"/>
          <w:color w:val="auto"/>
          <w:highlight w:val="none"/>
        </w:rPr>
      </w:pPr>
      <w:r>
        <w:rPr>
          <w:rFonts w:hint="eastAsia" w:ascii="宋体" w:hAnsi="宋体"/>
          <w:color w:val="auto"/>
          <w:highlight w:val="none"/>
        </w:rPr>
        <w:t>因本保函或本保函相关事项发生的纠纷，可由双方协商解决，协商不成的，按下列第种方式解决：</w:t>
      </w:r>
    </w:p>
    <w:p w14:paraId="5D57BE05">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）向仲裁委员会申请仲裁；</w:t>
      </w:r>
    </w:p>
    <w:p w14:paraId="1D8EC35A">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）向人民法院起诉。</w:t>
      </w:r>
    </w:p>
    <w:p w14:paraId="1142CE0D">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八、保函的生效</w:t>
      </w:r>
    </w:p>
    <w:p w14:paraId="18D6C754">
      <w:pPr>
        <w:pageBreakBefore w:val="0"/>
        <w:kinsoku/>
        <w:wordWrap w:val="0"/>
        <w:topLinePunct w:val="0"/>
        <w:spacing w:line="360" w:lineRule="auto"/>
        <w:ind w:firstLine="420" w:firstLineChars="200"/>
        <w:jc w:val="left"/>
        <w:rPr>
          <w:rFonts w:ascii="宋体" w:hAnsi="宋体"/>
          <w:color w:val="auto"/>
          <w:highlight w:val="none"/>
        </w:rPr>
      </w:pPr>
      <w:r>
        <w:rPr>
          <w:rFonts w:hint="eastAsia" w:ascii="宋体" w:hAnsi="宋体"/>
          <w:color w:val="auto"/>
          <w:highlight w:val="none"/>
        </w:rPr>
        <w:t>本保函自我方法定代表人（或其授权代理人）签字并加盖公章之日起生效。</w:t>
      </w:r>
    </w:p>
    <w:p w14:paraId="357A0A2F">
      <w:pPr>
        <w:pageBreakBefore w:val="0"/>
        <w:kinsoku/>
        <w:wordWrap w:val="0"/>
        <w:topLinePunct w:val="0"/>
        <w:spacing w:line="360" w:lineRule="auto"/>
        <w:jc w:val="left"/>
        <w:rPr>
          <w:rFonts w:ascii="宋体" w:hAnsi="宋体"/>
          <w:color w:val="auto"/>
          <w:highlight w:val="none"/>
        </w:rPr>
      </w:pPr>
    </w:p>
    <w:p w14:paraId="278F6A2A">
      <w:pPr>
        <w:pageBreakBefore w:val="0"/>
        <w:kinsoku/>
        <w:wordWrap w:val="0"/>
        <w:topLinePunct w:val="0"/>
        <w:spacing w:line="360" w:lineRule="auto"/>
        <w:ind w:right="600"/>
        <w:jc w:val="left"/>
        <w:rPr>
          <w:rFonts w:ascii="宋体" w:hAnsi="宋体"/>
          <w:color w:val="auto"/>
          <w:highlight w:val="none"/>
        </w:rPr>
      </w:pPr>
    </w:p>
    <w:p w14:paraId="2B67803A">
      <w:pPr>
        <w:pageBreakBefore w:val="0"/>
        <w:kinsoku/>
        <w:wordWrap w:val="0"/>
        <w:topLinePunct w:val="0"/>
        <w:spacing w:line="360" w:lineRule="auto"/>
        <w:ind w:right="600"/>
        <w:jc w:val="left"/>
        <w:rPr>
          <w:rFonts w:ascii="宋体" w:hAnsi="宋体"/>
          <w:color w:val="auto"/>
          <w:highlight w:val="none"/>
        </w:rPr>
      </w:pPr>
      <w:r>
        <w:rPr>
          <w:rFonts w:hint="eastAsia" w:ascii="宋体" w:hAnsi="宋体"/>
          <w:color w:val="auto"/>
          <w:highlight w:val="none"/>
        </w:rPr>
        <w:t>担保人：（盖章）</w:t>
      </w:r>
    </w:p>
    <w:p w14:paraId="48207C47">
      <w:pPr>
        <w:pageBreakBefore w:val="0"/>
        <w:kinsoku/>
        <w:wordWrap w:val="0"/>
        <w:topLinePunct w:val="0"/>
        <w:spacing w:line="360" w:lineRule="auto"/>
        <w:ind w:right="1200"/>
        <w:rPr>
          <w:rFonts w:ascii="宋体" w:hAnsi="宋体"/>
          <w:color w:val="auto"/>
          <w:highlight w:val="none"/>
        </w:rPr>
      </w:pPr>
      <w:r>
        <w:rPr>
          <w:rFonts w:hint="eastAsia" w:ascii="宋体" w:hAnsi="宋体"/>
          <w:color w:val="auto"/>
          <w:highlight w:val="none"/>
        </w:rPr>
        <w:t>法定代表人或委托代理人：（签字）</w:t>
      </w:r>
    </w:p>
    <w:p w14:paraId="67E0D1A7">
      <w:pPr>
        <w:pageBreakBefore w:val="0"/>
        <w:kinsoku/>
        <w:wordWrap w:val="0"/>
        <w:topLinePunct w:val="0"/>
        <w:spacing w:line="360" w:lineRule="auto"/>
        <w:jc w:val="left"/>
        <w:rPr>
          <w:rFonts w:ascii="宋体" w:hAnsi="宋体"/>
          <w:color w:val="auto"/>
          <w:highlight w:val="none"/>
        </w:rPr>
      </w:pPr>
      <w:r>
        <w:rPr>
          <w:rFonts w:hint="eastAsia" w:ascii="宋体" w:hAnsi="宋体"/>
          <w:color w:val="auto"/>
          <w:highlight w:val="none"/>
        </w:rPr>
        <w:t>地址：</w:t>
      </w:r>
    </w:p>
    <w:p w14:paraId="2DCBA520">
      <w:pPr>
        <w:pageBreakBefore w:val="0"/>
        <w:kinsoku/>
        <w:wordWrap w:val="0"/>
        <w:topLinePunct w:val="0"/>
        <w:spacing w:line="360" w:lineRule="auto"/>
        <w:jc w:val="left"/>
        <w:rPr>
          <w:rFonts w:ascii="宋体" w:hAnsi="宋体"/>
          <w:color w:val="auto"/>
          <w:highlight w:val="none"/>
        </w:rPr>
      </w:pPr>
      <w:r>
        <w:rPr>
          <w:rFonts w:hint="eastAsia" w:ascii="宋体" w:hAnsi="宋体"/>
          <w:color w:val="auto"/>
          <w:highlight w:val="none"/>
        </w:rPr>
        <w:t>邮政编码：</w:t>
      </w:r>
    </w:p>
    <w:p w14:paraId="1EE48E66">
      <w:pPr>
        <w:pageBreakBefore w:val="0"/>
        <w:kinsoku/>
        <w:wordWrap w:val="0"/>
        <w:topLinePunct w:val="0"/>
        <w:spacing w:line="360" w:lineRule="auto"/>
        <w:jc w:val="left"/>
        <w:rPr>
          <w:rFonts w:ascii="宋体" w:hAnsi="宋体"/>
          <w:color w:val="auto"/>
          <w:highlight w:val="none"/>
        </w:rPr>
      </w:pPr>
      <w:r>
        <w:rPr>
          <w:rFonts w:hint="eastAsia" w:ascii="宋体" w:hAnsi="宋体"/>
          <w:color w:val="auto"/>
          <w:highlight w:val="none"/>
        </w:rPr>
        <w:t>传真：</w:t>
      </w:r>
    </w:p>
    <w:p w14:paraId="045C06E7">
      <w:pPr>
        <w:pageBreakBefore w:val="0"/>
        <w:kinsoku/>
        <w:wordWrap w:val="0"/>
        <w:topLinePunct w:val="0"/>
        <w:spacing w:line="360" w:lineRule="auto"/>
        <w:ind w:right="150" w:firstLine="420" w:firstLineChars="200"/>
        <w:jc w:val="left"/>
        <w:rPr>
          <w:rFonts w:ascii="宋体" w:hAnsi="宋体" w:cs="宋体"/>
          <w:color w:val="auto"/>
          <w:highlight w:val="none"/>
        </w:rPr>
      </w:pPr>
      <w:r>
        <w:rPr>
          <w:rFonts w:hint="eastAsia" w:ascii="宋体" w:hAnsi="宋体"/>
          <w:color w:val="auto"/>
          <w:highlight w:val="none"/>
        </w:rPr>
        <w:t>年月日</w:t>
      </w:r>
    </w:p>
    <w:p w14:paraId="36B8361D">
      <w:pPr>
        <w:pageBreakBefore w:val="0"/>
        <w:kinsoku/>
        <w:wordWrap w:val="0"/>
        <w:topLinePunct w:val="0"/>
        <w:spacing w:line="360" w:lineRule="auto"/>
        <w:ind w:right="150" w:firstLine="420" w:firstLineChars="200"/>
        <w:jc w:val="left"/>
        <w:rPr>
          <w:rFonts w:ascii="宋体" w:hAnsi="宋体" w:cs="宋体"/>
          <w:color w:val="auto"/>
          <w:highlight w:val="none"/>
        </w:rPr>
      </w:pPr>
      <w:r>
        <w:rPr>
          <w:rFonts w:hint="eastAsia" w:ascii="宋体" w:hAnsi="宋体"/>
          <w:color w:val="auto"/>
          <w:highlight w:val="none"/>
        </w:rPr>
        <w:t>（备注</w:t>
      </w:r>
      <w:r>
        <w:rPr>
          <w:rFonts w:hint="eastAsia" w:ascii="宋体" w:hAnsi="宋体" w:cs="宋体"/>
          <w:color w:val="auto"/>
          <w:highlight w:val="none"/>
        </w:rPr>
        <w:t>：</w:t>
      </w:r>
      <w:r>
        <w:rPr>
          <w:rFonts w:hint="eastAsia" w:ascii="宋体" w:hAnsi="宋体"/>
          <w:color w:val="auto"/>
          <w:highlight w:val="none"/>
        </w:rPr>
        <w:t>银行、保险公司和担保公司出具的保函格式和文本可</w:t>
      </w:r>
      <w:r>
        <w:rPr>
          <w:rFonts w:hint="eastAsia" w:ascii="宋体" w:hAnsi="宋体" w:cs="宋体"/>
          <w:color w:val="auto"/>
          <w:highlight w:val="none"/>
        </w:rPr>
        <w:t>以自拟，</w:t>
      </w:r>
      <w:r>
        <w:rPr>
          <w:rFonts w:hint="eastAsia" w:ascii="宋体" w:hAnsi="宋体"/>
          <w:color w:val="auto"/>
          <w:highlight w:val="none"/>
        </w:rPr>
        <w:t>但是必须包含以上条款所列全部内容</w:t>
      </w:r>
      <w:r>
        <w:rPr>
          <w:rFonts w:hint="eastAsia" w:ascii="宋体" w:hAnsi="宋体" w:cs="宋体"/>
          <w:color w:val="auto"/>
          <w:highlight w:val="none"/>
        </w:rPr>
        <w:t>）</w:t>
      </w:r>
    </w:p>
    <w:p w14:paraId="4F2DB777">
      <w:pPr>
        <w:pageBreakBefore w:val="0"/>
        <w:kinsoku/>
        <w:wordWrap w:val="0"/>
        <w:topLinePunct w:val="0"/>
        <w:rPr>
          <w:rFonts w:ascii="宋体" w:hAnsi="宋体" w:cs="宋体"/>
          <w:color w:val="auto"/>
          <w:highlight w:val="none"/>
        </w:rPr>
      </w:pPr>
      <w:r>
        <w:rPr>
          <w:rFonts w:hint="eastAsia" w:ascii="宋体" w:hAnsi="宋体" w:cs="宋体"/>
          <w:color w:val="auto"/>
          <w:highlight w:val="none"/>
        </w:rPr>
        <w:br w:type="page"/>
      </w:r>
    </w:p>
    <w:p w14:paraId="746FD52B">
      <w:pPr>
        <w:pageBreakBefore w:val="0"/>
        <w:kinsoku/>
        <w:wordWrap w:val="0"/>
        <w:topLinePunct w:val="0"/>
        <w:spacing w:line="360" w:lineRule="auto"/>
        <w:ind w:right="150" w:firstLine="600" w:firstLineChars="200"/>
        <w:jc w:val="left"/>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10</w:t>
      </w:r>
      <w:r>
        <w:rPr>
          <w:rFonts w:hint="eastAsia" w:ascii="宋体" w:hAnsi="宋体"/>
          <w:color w:val="auto"/>
          <w:sz w:val="30"/>
          <w:szCs w:val="30"/>
          <w:highlight w:val="none"/>
        </w:rPr>
        <w:t>：</w:t>
      </w:r>
    </w:p>
    <w:p w14:paraId="2BDEED00">
      <w:pPr>
        <w:pageBreakBefore w:val="0"/>
        <w:kinsoku/>
        <w:wordWrap w:val="0"/>
        <w:topLinePunct w:val="0"/>
        <w:jc w:val="center"/>
        <w:rPr>
          <w:rFonts w:ascii="宋体" w:hAnsi="宋体"/>
          <w:b/>
          <w:bCs/>
          <w:color w:val="auto"/>
          <w:sz w:val="36"/>
          <w:szCs w:val="36"/>
          <w:highlight w:val="none"/>
        </w:rPr>
      </w:pPr>
      <w:r>
        <w:rPr>
          <w:rFonts w:hint="eastAsia" w:ascii="宋体" w:hAnsi="宋体"/>
          <w:b/>
          <w:bCs/>
          <w:color w:val="auto"/>
          <w:sz w:val="36"/>
          <w:szCs w:val="36"/>
          <w:highlight w:val="none"/>
        </w:rPr>
        <w:t>预付款支付申请（核准）表</w:t>
      </w:r>
    </w:p>
    <w:p w14:paraId="3BF457BD">
      <w:pPr>
        <w:pageBreakBefore w:val="0"/>
        <w:kinsoku/>
        <w:wordWrap w:val="0"/>
        <w:topLinePunct w:val="0"/>
        <w:rPr>
          <w:rFonts w:ascii="宋体" w:hAnsi="宋体"/>
          <w:color w:val="auto"/>
          <w:sz w:val="24"/>
          <w:szCs w:val="24"/>
          <w:highlight w:val="none"/>
        </w:rPr>
      </w:pPr>
      <w:r>
        <w:rPr>
          <w:rFonts w:hint="eastAsia" w:ascii="宋体" w:hAnsi="宋体"/>
          <w:color w:val="auto"/>
          <w:sz w:val="24"/>
          <w:szCs w:val="24"/>
          <w:highlight w:val="none"/>
        </w:rPr>
        <w:t>工程名称：编号：</w:t>
      </w:r>
    </w:p>
    <w:tbl>
      <w:tblPr>
        <w:tblStyle w:val="48"/>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4C62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Pr>
          <w:p w14:paraId="44FD759C">
            <w:pPr>
              <w:pageBreakBefore w:val="0"/>
              <w:kinsoku/>
              <w:wordWrap w:val="0"/>
              <w:topLinePunct w:val="0"/>
              <w:spacing w:line="480" w:lineRule="exact"/>
              <w:ind w:left="525" w:leftChars="149" w:hanging="212" w:hangingChars="101"/>
              <w:rPr>
                <w:rFonts w:ascii="宋体" w:hAnsi="宋体"/>
                <w:color w:val="auto"/>
                <w:highlight w:val="none"/>
                <w:u w:val="single"/>
              </w:rPr>
            </w:pPr>
            <w:r>
              <w:rPr>
                <w:rFonts w:hint="eastAsia" w:ascii="宋体" w:hAnsi="宋体"/>
                <w:color w:val="auto"/>
                <w:highlight w:val="none"/>
              </w:rPr>
              <w:t>致：</w:t>
            </w:r>
            <w:r>
              <w:rPr>
                <w:rFonts w:hint="eastAsia" w:ascii="宋体" w:hAnsi="宋体"/>
                <w:color w:val="auto"/>
                <w:highlight w:val="none"/>
                <w:u w:val="single"/>
              </w:rPr>
              <w:t>（发包人全称）</w:t>
            </w:r>
          </w:p>
          <w:p w14:paraId="77A652BD">
            <w:pPr>
              <w:pageBreakBefore w:val="0"/>
              <w:kinsoku/>
              <w:wordWrap w:val="0"/>
              <w:topLinePunct w:val="0"/>
              <w:spacing w:line="400" w:lineRule="exact"/>
              <w:ind w:left="-4" w:leftChars="-2" w:firstLine="315" w:firstLineChars="150"/>
              <w:rPr>
                <w:rFonts w:ascii="宋体" w:hAnsi="宋体"/>
                <w:color w:val="auto"/>
                <w:highlight w:val="none"/>
              </w:rPr>
            </w:pPr>
            <w:r>
              <w:rPr>
                <w:rFonts w:hint="eastAsia" w:ascii="宋体" w:hAnsi="宋体"/>
                <w:color w:val="auto"/>
                <w:highlight w:val="none"/>
              </w:rPr>
              <w:t>我方根据施工合同的约定，现申请支付工程预付款额为</w:t>
            </w:r>
            <w:r>
              <w:rPr>
                <w:rFonts w:ascii="宋体" w:hAnsi="宋体"/>
                <w:color w:val="auto"/>
                <w:highlight w:val="none"/>
              </w:rPr>
              <w:t>(</w:t>
            </w:r>
            <w:r>
              <w:rPr>
                <w:rFonts w:hint="eastAsia" w:ascii="宋体" w:hAnsi="宋体"/>
                <w:color w:val="auto"/>
                <w:highlight w:val="none"/>
              </w:rPr>
              <w:t>大写</w:t>
            </w:r>
            <w:r>
              <w:rPr>
                <w:rFonts w:ascii="宋体" w:hAnsi="宋体"/>
                <w:color w:val="auto"/>
                <w:highlight w:val="none"/>
              </w:rPr>
              <w:t>)</w:t>
            </w:r>
            <w:r>
              <w:rPr>
                <w:rFonts w:hint="eastAsia" w:ascii="宋体" w:hAnsi="宋体"/>
                <w:color w:val="auto"/>
                <w:highlight w:val="none"/>
              </w:rPr>
              <w:t>元，</w:t>
            </w:r>
            <w:r>
              <w:rPr>
                <w:rFonts w:ascii="宋体" w:hAnsi="宋体"/>
                <w:color w:val="auto"/>
                <w:highlight w:val="none"/>
              </w:rPr>
              <w:t>(</w:t>
            </w:r>
            <w:r>
              <w:rPr>
                <w:rFonts w:hint="eastAsia" w:ascii="宋体" w:hAnsi="宋体"/>
                <w:color w:val="auto"/>
                <w:highlight w:val="none"/>
              </w:rPr>
              <w:t>小写</w:t>
            </w:r>
            <w:r>
              <w:rPr>
                <w:rFonts w:ascii="宋体" w:hAnsi="宋体"/>
                <w:color w:val="auto"/>
                <w:highlight w:val="none"/>
              </w:rPr>
              <w:t>)</w:t>
            </w:r>
          </w:p>
          <w:p w14:paraId="4BA9CB3B">
            <w:pPr>
              <w:pageBreakBefore w:val="0"/>
              <w:kinsoku/>
              <w:wordWrap w:val="0"/>
              <w:topLinePunct w:val="0"/>
              <w:spacing w:line="400" w:lineRule="exact"/>
              <w:rPr>
                <w:rFonts w:ascii="宋体" w:hAnsi="宋体"/>
                <w:color w:val="auto"/>
                <w:highlight w:val="none"/>
              </w:rPr>
            </w:pPr>
            <w:r>
              <w:rPr>
                <w:rFonts w:hint="eastAsia" w:ascii="宋体" w:hAnsi="宋体"/>
                <w:color w:val="auto"/>
                <w:highlight w:val="none"/>
              </w:rPr>
              <w:t>元，请予核准。</w:t>
            </w:r>
          </w:p>
          <w:tbl>
            <w:tblPr>
              <w:tblStyle w:val="48"/>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0202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30DBC031">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序号</w:t>
                  </w:r>
                </w:p>
              </w:tc>
              <w:tc>
                <w:tcPr>
                  <w:tcW w:w="3340" w:type="dxa"/>
                  <w:tcBorders>
                    <w:top w:val="single" w:color="auto" w:sz="4" w:space="0"/>
                    <w:left w:val="single" w:color="auto" w:sz="4" w:space="0"/>
                    <w:bottom w:val="single" w:color="auto" w:sz="4" w:space="0"/>
                    <w:right w:val="single" w:color="auto" w:sz="4" w:space="0"/>
                  </w:tcBorders>
                  <w:vAlign w:val="center"/>
                </w:tcPr>
                <w:p w14:paraId="5426F19B">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名称</w:t>
                  </w:r>
                </w:p>
              </w:tc>
              <w:tc>
                <w:tcPr>
                  <w:tcW w:w="1764" w:type="dxa"/>
                  <w:tcBorders>
                    <w:top w:val="single" w:color="auto" w:sz="4" w:space="0"/>
                    <w:left w:val="single" w:color="auto" w:sz="4" w:space="0"/>
                    <w:bottom w:val="single" w:color="auto" w:sz="4" w:space="0"/>
                    <w:right w:val="single" w:color="auto" w:sz="4" w:space="0"/>
                  </w:tcBorders>
                  <w:vAlign w:val="center"/>
                </w:tcPr>
                <w:p w14:paraId="1209AC14">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申请金额（元）</w:t>
                  </w:r>
                </w:p>
              </w:tc>
              <w:tc>
                <w:tcPr>
                  <w:tcW w:w="2240" w:type="dxa"/>
                  <w:tcBorders>
                    <w:top w:val="single" w:color="auto" w:sz="4" w:space="0"/>
                    <w:left w:val="single" w:color="auto" w:sz="4" w:space="0"/>
                    <w:bottom w:val="single" w:color="auto" w:sz="4" w:space="0"/>
                    <w:right w:val="single" w:color="auto" w:sz="4" w:space="0"/>
                  </w:tcBorders>
                  <w:vAlign w:val="center"/>
                </w:tcPr>
                <w:p w14:paraId="0EEA0B4F">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复核金额（元）</w:t>
                  </w:r>
                </w:p>
              </w:tc>
              <w:tc>
                <w:tcPr>
                  <w:tcW w:w="1080" w:type="dxa"/>
                  <w:tcBorders>
                    <w:top w:val="single" w:color="auto" w:sz="4" w:space="0"/>
                    <w:left w:val="single" w:color="auto" w:sz="4" w:space="0"/>
                    <w:bottom w:val="single" w:color="auto" w:sz="4" w:space="0"/>
                    <w:right w:val="single" w:color="auto" w:sz="4" w:space="0"/>
                  </w:tcBorders>
                  <w:vAlign w:val="center"/>
                </w:tcPr>
                <w:p w14:paraId="33469B8D">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备注</w:t>
                  </w:r>
                </w:p>
              </w:tc>
            </w:tr>
            <w:tr w14:paraId="6465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05EF7A25">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1</w:t>
                  </w:r>
                </w:p>
              </w:tc>
              <w:tc>
                <w:tcPr>
                  <w:tcW w:w="3340" w:type="dxa"/>
                  <w:tcBorders>
                    <w:top w:val="single" w:color="auto" w:sz="4" w:space="0"/>
                    <w:left w:val="single" w:color="auto" w:sz="4" w:space="0"/>
                    <w:bottom w:val="single" w:color="auto" w:sz="4" w:space="0"/>
                    <w:right w:val="single" w:color="auto" w:sz="4" w:space="0"/>
                  </w:tcBorders>
                </w:tcPr>
                <w:p w14:paraId="46A90D0B">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已签约合同价款金额</w:t>
                  </w:r>
                </w:p>
              </w:tc>
              <w:tc>
                <w:tcPr>
                  <w:tcW w:w="1764" w:type="dxa"/>
                  <w:tcBorders>
                    <w:top w:val="single" w:color="auto" w:sz="4" w:space="0"/>
                    <w:left w:val="single" w:color="auto" w:sz="4" w:space="0"/>
                    <w:bottom w:val="single" w:color="auto" w:sz="4" w:space="0"/>
                    <w:right w:val="single" w:color="auto" w:sz="4" w:space="0"/>
                  </w:tcBorders>
                </w:tcPr>
                <w:p w14:paraId="46D24354">
                  <w:pPr>
                    <w:pageBreakBefore w:val="0"/>
                    <w:kinsoku/>
                    <w:wordWrap w:val="0"/>
                    <w:topLinePunct w:val="0"/>
                    <w:spacing w:line="280" w:lineRule="exact"/>
                    <w:rPr>
                      <w:rFonts w:ascii="宋体" w:hAnsi="宋体"/>
                      <w:color w:val="auto"/>
                      <w:highlight w:val="none"/>
                    </w:rPr>
                  </w:pPr>
                </w:p>
              </w:tc>
              <w:tc>
                <w:tcPr>
                  <w:tcW w:w="2240" w:type="dxa"/>
                  <w:tcBorders>
                    <w:top w:val="single" w:color="auto" w:sz="4" w:space="0"/>
                    <w:left w:val="single" w:color="auto" w:sz="4" w:space="0"/>
                    <w:bottom w:val="single" w:color="auto" w:sz="4" w:space="0"/>
                    <w:right w:val="single" w:color="auto" w:sz="4" w:space="0"/>
                  </w:tcBorders>
                </w:tcPr>
                <w:p w14:paraId="39E91038">
                  <w:pPr>
                    <w:pageBreakBefore w:val="0"/>
                    <w:kinsoku/>
                    <w:wordWrap w:val="0"/>
                    <w:topLinePunct w:val="0"/>
                    <w:spacing w:line="280" w:lineRule="exact"/>
                    <w:rPr>
                      <w:rFonts w:ascii="宋体" w:hAnsi="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7A0DB303">
                  <w:pPr>
                    <w:pageBreakBefore w:val="0"/>
                    <w:kinsoku/>
                    <w:wordWrap w:val="0"/>
                    <w:topLinePunct w:val="0"/>
                    <w:spacing w:line="280" w:lineRule="exact"/>
                    <w:rPr>
                      <w:rFonts w:ascii="宋体" w:hAnsi="宋体"/>
                      <w:color w:val="auto"/>
                      <w:highlight w:val="none"/>
                    </w:rPr>
                  </w:pPr>
                </w:p>
              </w:tc>
            </w:tr>
            <w:tr w14:paraId="785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CD5E845">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2</w:t>
                  </w:r>
                </w:p>
              </w:tc>
              <w:tc>
                <w:tcPr>
                  <w:tcW w:w="3340" w:type="dxa"/>
                  <w:tcBorders>
                    <w:top w:val="single" w:color="auto" w:sz="4" w:space="0"/>
                    <w:left w:val="single" w:color="auto" w:sz="4" w:space="0"/>
                    <w:bottom w:val="single" w:color="auto" w:sz="4" w:space="0"/>
                    <w:right w:val="single" w:color="auto" w:sz="4" w:space="0"/>
                  </w:tcBorders>
                </w:tcPr>
                <w:p w14:paraId="06819C0C">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其中：安全文明施工费</w:t>
                  </w:r>
                </w:p>
              </w:tc>
              <w:tc>
                <w:tcPr>
                  <w:tcW w:w="1764" w:type="dxa"/>
                  <w:tcBorders>
                    <w:top w:val="single" w:color="auto" w:sz="4" w:space="0"/>
                    <w:left w:val="single" w:color="auto" w:sz="4" w:space="0"/>
                    <w:bottom w:val="single" w:color="auto" w:sz="4" w:space="0"/>
                    <w:right w:val="single" w:color="auto" w:sz="4" w:space="0"/>
                  </w:tcBorders>
                </w:tcPr>
                <w:p w14:paraId="42ED549D">
                  <w:pPr>
                    <w:pageBreakBefore w:val="0"/>
                    <w:kinsoku/>
                    <w:wordWrap w:val="0"/>
                    <w:topLinePunct w:val="0"/>
                    <w:spacing w:line="280" w:lineRule="exact"/>
                    <w:rPr>
                      <w:rFonts w:ascii="宋体" w:hAnsi="宋体"/>
                      <w:color w:val="auto"/>
                      <w:highlight w:val="none"/>
                    </w:rPr>
                  </w:pPr>
                </w:p>
              </w:tc>
              <w:tc>
                <w:tcPr>
                  <w:tcW w:w="2240" w:type="dxa"/>
                  <w:tcBorders>
                    <w:top w:val="single" w:color="auto" w:sz="4" w:space="0"/>
                    <w:left w:val="single" w:color="auto" w:sz="4" w:space="0"/>
                    <w:bottom w:val="single" w:color="auto" w:sz="4" w:space="0"/>
                    <w:right w:val="single" w:color="auto" w:sz="4" w:space="0"/>
                  </w:tcBorders>
                </w:tcPr>
                <w:p w14:paraId="23DAE7A1">
                  <w:pPr>
                    <w:pageBreakBefore w:val="0"/>
                    <w:kinsoku/>
                    <w:wordWrap w:val="0"/>
                    <w:topLinePunct w:val="0"/>
                    <w:spacing w:line="280" w:lineRule="exact"/>
                    <w:rPr>
                      <w:rFonts w:ascii="宋体" w:hAnsi="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3F17BEEF">
                  <w:pPr>
                    <w:pageBreakBefore w:val="0"/>
                    <w:kinsoku/>
                    <w:wordWrap w:val="0"/>
                    <w:topLinePunct w:val="0"/>
                    <w:spacing w:line="280" w:lineRule="exact"/>
                    <w:rPr>
                      <w:rFonts w:ascii="宋体" w:hAnsi="宋体"/>
                      <w:color w:val="auto"/>
                      <w:highlight w:val="none"/>
                    </w:rPr>
                  </w:pPr>
                </w:p>
              </w:tc>
            </w:tr>
            <w:tr w14:paraId="68CB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147BDE2">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3</w:t>
                  </w:r>
                </w:p>
              </w:tc>
              <w:tc>
                <w:tcPr>
                  <w:tcW w:w="3340" w:type="dxa"/>
                  <w:tcBorders>
                    <w:top w:val="single" w:color="auto" w:sz="4" w:space="0"/>
                    <w:left w:val="single" w:color="auto" w:sz="4" w:space="0"/>
                    <w:bottom w:val="single" w:color="auto" w:sz="4" w:space="0"/>
                    <w:right w:val="single" w:color="auto" w:sz="4" w:space="0"/>
                  </w:tcBorders>
                </w:tcPr>
                <w:p w14:paraId="41B35B81">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应支付的预付款</w:t>
                  </w:r>
                </w:p>
              </w:tc>
              <w:tc>
                <w:tcPr>
                  <w:tcW w:w="1764" w:type="dxa"/>
                  <w:tcBorders>
                    <w:top w:val="single" w:color="auto" w:sz="4" w:space="0"/>
                    <w:left w:val="single" w:color="auto" w:sz="4" w:space="0"/>
                    <w:bottom w:val="single" w:color="auto" w:sz="4" w:space="0"/>
                    <w:right w:val="single" w:color="auto" w:sz="4" w:space="0"/>
                  </w:tcBorders>
                </w:tcPr>
                <w:p w14:paraId="460B58EA">
                  <w:pPr>
                    <w:pageBreakBefore w:val="0"/>
                    <w:kinsoku/>
                    <w:wordWrap w:val="0"/>
                    <w:topLinePunct w:val="0"/>
                    <w:spacing w:line="280" w:lineRule="exact"/>
                    <w:rPr>
                      <w:rFonts w:ascii="宋体" w:hAnsi="宋体"/>
                      <w:color w:val="auto"/>
                      <w:highlight w:val="none"/>
                    </w:rPr>
                  </w:pPr>
                </w:p>
              </w:tc>
              <w:tc>
                <w:tcPr>
                  <w:tcW w:w="2240" w:type="dxa"/>
                  <w:tcBorders>
                    <w:top w:val="single" w:color="auto" w:sz="4" w:space="0"/>
                    <w:left w:val="single" w:color="auto" w:sz="4" w:space="0"/>
                    <w:bottom w:val="single" w:color="auto" w:sz="4" w:space="0"/>
                    <w:right w:val="single" w:color="auto" w:sz="4" w:space="0"/>
                  </w:tcBorders>
                </w:tcPr>
                <w:p w14:paraId="768B98E0">
                  <w:pPr>
                    <w:pageBreakBefore w:val="0"/>
                    <w:kinsoku/>
                    <w:wordWrap w:val="0"/>
                    <w:topLinePunct w:val="0"/>
                    <w:spacing w:line="280" w:lineRule="exact"/>
                    <w:rPr>
                      <w:rFonts w:ascii="宋体" w:hAnsi="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02BD6230">
                  <w:pPr>
                    <w:pageBreakBefore w:val="0"/>
                    <w:kinsoku/>
                    <w:wordWrap w:val="0"/>
                    <w:topLinePunct w:val="0"/>
                    <w:spacing w:line="280" w:lineRule="exact"/>
                    <w:rPr>
                      <w:rFonts w:ascii="宋体" w:hAnsi="宋体"/>
                      <w:color w:val="auto"/>
                      <w:highlight w:val="none"/>
                    </w:rPr>
                  </w:pPr>
                </w:p>
              </w:tc>
            </w:tr>
            <w:tr w14:paraId="5B1A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68534B7">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4</w:t>
                  </w:r>
                </w:p>
              </w:tc>
              <w:tc>
                <w:tcPr>
                  <w:tcW w:w="3340" w:type="dxa"/>
                  <w:tcBorders>
                    <w:top w:val="single" w:color="auto" w:sz="4" w:space="0"/>
                    <w:left w:val="single" w:color="auto" w:sz="4" w:space="0"/>
                    <w:bottom w:val="single" w:color="auto" w:sz="4" w:space="0"/>
                    <w:right w:val="single" w:color="auto" w:sz="4" w:space="0"/>
                  </w:tcBorders>
                </w:tcPr>
                <w:p w14:paraId="68646D66">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tcPr>
                <w:p w14:paraId="41CE4C23">
                  <w:pPr>
                    <w:pageBreakBefore w:val="0"/>
                    <w:kinsoku/>
                    <w:wordWrap w:val="0"/>
                    <w:topLinePunct w:val="0"/>
                    <w:spacing w:line="280" w:lineRule="exact"/>
                    <w:rPr>
                      <w:rFonts w:ascii="宋体" w:hAnsi="宋体"/>
                      <w:color w:val="auto"/>
                      <w:highlight w:val="none"/>
                    </w:rPr>
                  </w:pPr>
                </w:p>
              </w:tc>
              <w:tc>
                <w:tcPr>
                  <w:tcW w:w="2240" w:type="dxa"/>
                  <w:tcBorders>
                    <w:top w:val="single" w:color="auto" w:sz="4" w:space="0"/>
                    <w:left w:val="single" w:color="auto" w:sz="4" w:space="0"/>
                    <w:bottom w:val="single" w:color="auto" w:sz="4" w:space="0"/>
                    <w:right w:val="single" w:color="auto" w:sz="4" w:space="0"/>
                  </w:tcBorders>
                </w:tcPr>
                <w:p w14:paraId="145FBC14">
                  <w:pPr>
                    <w:pageBreakBefore w:val="0"/>
                    <w:kinsoku/>
                    <w:wordWrap w:val="0"/>
                    <w:topLinePunct w:val="0"/>
                    <w:spacing w:line="280" w:lineRule="exact"/>
                    <w:rPr>
                      <w:rFonts w:ascii="宋体" w:hAnsi="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034B29D8">
                  <w:pPr>
                    <w:pageBreakBefore w:val="0"/>
                    <w:kinsoku/>
                    <w:wordWrap w:val="0"/>
                    <w:topLinePunct w:val="0"/>
                    <w:spacing w:line="280" w:lineRule="exact"/>
                    <w:rPr>
                      <w:rFonts w:ascii="宋体" w:hAnsi="宋体"/>
                      <w:color w:val="auto"/>
                      <w:highlight w:val="none"/>
                    </w:rPr>
                  </w:pPr>
                </w:p>
              </w:tc>
            </w:tr>
            <w:tr w14:paraId="4183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B11129C">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5</w:t>
                  </w:r>
                </w:p>
              </w:tc>
              <w:tc>
                <w:tcPr>
                  <w:tcW w:w="3340" w:type="dxa"/>
                  <w:tcBorders>
                    <w:top w:val="single" w:color="auto" w:sz="4" w:space="0"/>
                    <w:left w:val="single" w:color="auto" w:sz="4" w:space="0"/>
                    <w:bottom w:val="single" w:color="auto" w:sz="4" w:space="0"/>
                    <w:right w:val="single" w:color="auto" w:sz="4" w:space="0"/>
                  </w:tcBorders>
                </w:tcPr>
                <w:p w14:paraId="71772092">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合计应支付的预付款</w:t>
                  </w:r>
                </w:p>
              </w:tc>
              <w:tc>
                <w:tcPr>
                  <w:tcW w:w="1764" w:type="dxa"/>
                  <w:tcBorders>
                    <w:top w:val="single" w:color="auto" w:sz="4" w:space="0"/>
                    <w:left w:val="single" w:color="auto" w:sz="4" w:space="0"/>
                    <w:bottom w:val="single" w:color="auto" w:sz="4" w:space="0"/>
                    <w:right w:val="single" w:color="auto" w:sz="4" w:space="0"/>
                  </w:tcBorders>
                </w:tcPr>
                <w:p w14:paraId="7C6FD5A6">
                  <w:pPr>
                    <w:pageBreakBefore w:val="0"/>
                    <w:kinsoku/>
                    <w:wordWrap w:val="0"/>
                    <w:topLinePunct w:val="0"/>
                    <w:spacing w:line="280" w:lineRule="exact"/>
                    <w:rPr>
                      <w:rFonts w:ascii="宋体" w:hAnsi="宋体"/>
                      <w:color w:val="auto"/>
                      <w:highlight w:val="none"/>
                    </w:rPr>
                  </w:pPr>
                </w:p>
              </w:tc>
              <w:tc>
                <w:tcPr>
                  <w:tcW w:w="2240" w:type="dxa"/>
                  <w:tcBorders>
                    <w:top w:val="single" w:color="auto" w:sz="4" w:space="0"/>
                    <w:left w:val="single" w:color="auto" w:sz="4" w:space="0"/>
                    <w:bottom w:val="single" w:color="auto" w:sz="4" w:space="0"/>
                    <w:right w:val="single" w:color="auto" w:sz="4" w:space="0"/>
                  </w:tcBorders>
                </w:tcPr>
                <w:p w14:paraId="5342D1BA">
                  <w:pPr>
                    <w:pageBreakBefore w:val="0"/>
                    <w:kinsoku/>
                    <w:wordWrap w:val="0"/>
                    <w:topLinePunct w:val="0"/>
                    <w:spacing w:line="280" w:lineRule="exact"/>
                    <w:rPr>
                      <w:rFonts w:ascii="宋体" w:hAnsi="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55FBBFAB">
                  <w:pPr>
                    <w:pageBreakBefore w:val="0"/>
                    <w:kinsoku/>
                    <w:wordWrap w:val="0"/>
                    <w:topLinePunct w:val="0"/>
                    <w:spacing w:line="280" w:lineRule="exact"/>
                    <w:rPr>
                      <w:rFonts w:ascii="宋体" w:hAnsi="宋体"/>
                      <w:color w:val="auto"/>
                      <w:highlight w:val="none"/>
                    </w:rPr>
                  </w:pPr>
                </w:p>
              </w:tc>
            </w:tr>
            <w:tr w14:paraId="6352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0AF1FF8">
                  <w:pPr>
                    <w:pageBreakBefore w:val="0"/>
                    <w:kinsoku/>
                    <w:wordWrap w:val="0"/>
                    <w:topLinePunct w:val="0"/>
                    <w:spacing w:line="280" w:lineRule="exact"/>
                    <w:jc w:val="center"/>
                    <w:rPr>
                      <w:rFonts w:ascii="宋体" w:hAnsi="宋体"/>
                      <w:color w:val="auto"/>
                      <w:highlight w:val="none"/>
                    </w:rPr>
                  </w:pPr>
                </w:p>
              </w:tc>
              <w:tc>
                <w:tcPr>
                  <w:tcW w:w="3340" w:type="dxa"/>
                  <w:tcBorders>
                    <w:top w:val="single" w:color="auto" w:sz="4" w:space="0"/>
                    <w:left w:val="single" w:color="auto" w:sz="4" w:space="0"/>
                    <w:bottom w:val="single" w:color="auto" w:sz="4" w:space="0"/>
                    <w:right w:val="single" w:color="auto" w:sz="4" w:space="0"/>
                  </w:tcBorders>
                </w:tcPr>
                <w:p w14:paraId="4BCC38CC">
                  <w:pPr>
                    <w:pageBreakBefore w:val="0"/>
                    <w:kinsoku/>
                    <w:wordWrap w:val="0"/>
                    <w:topLinePunct w:val="0"/>
                    <w:spacing w:line="280" w:lineRule="exact"/>
                    <w:rPr>
                      <w:rFonts w:ascii="宋体" w:hAnsi="宋体"/>
                      <w:color w:val="auto"/>
                      <w:highlight w:val="none"/>
                    </w:rPr>
                  </w:pPr>
                </w:p>
              </w:tc>
              <w:tc>
                <w:tcPr>
                  <w:tcW w:w="1764" w:type="dxa"/>
                  <w:tcBorders>
                    <w:top w:val="single" w:color="auto" w:sz="4" w:space="0"/>
                    <w:left w:val="single" w:color="auto" w:sz="4" w:space="0"/>
                    <w:bottom w:val="single" w:color="auto" w:sz="4" w:space="0"/>
                    <w:right w:val="single" w:color="auto" w:sz="4" w:space="0"/>
                  </w:tcBorders>
                </w:tcPr>
                <w:p w14:paraId="51C34394">
                  <w:pPr>
                    <w:pageBreakBefore w:val="0"/>
                    <w:kinsoku/>
                    <w:wordWrap w:val="0"/>
                    <w:topLinePunct w:val="0"/>
                    <w:spacing w:line="280" w:lineRule="exact"/>
                    <w:rPr>
                      <w:rFonts w:ascii="宋体" w:hAnsi="宋体"/>
                      <w:color w:val="auto"/>
                      <w:highlight w:val="none"/>
                    </w:rPr>
                  </w:pPr>
                </w:p>
              </w:tc>
              <w:tc>
                <w:tcPr>
                  <w:tcW w:w="2240" w:type="dxa"/>
                  <w:tcBorders>
                    <w:top w:val="single" w:color="auto" w:sz="4" w:space="0"/>
                    <w:left w:val="single" w:color="auto" w:sz="4" w:space="0"/>
                    <w:bottom w:val="single" w:color="auto" w:sz="4" w:space="0"/>
                    <w:right w:val="single" w:color="auto" w:sz="4" w:space="0"/>
                  </w:tcBorders>
                </w:tcPr>
                <w:p w14:paraId="56B12780">
                  <w:pPr>
                    <w:pageBreakBefore w:val="0"/>
                    <w:kinsoku/>
                    <w:wordWrap w:val="0"/>
                    <w:topLinePunct w:val="0"/>
                    <w:spacing w:line="280" w:lineRule="exact"/>
                    <w:rPr>
                      <w:rFonts w:ascii="宋体" w:hAnsi="宋体"/>
                      <w:color w:val="auto"/>
                      <w:highlight w:val="none"/>
                    </w:rPr>
                  </w:pPr>
                </w:p>
              </w:tc>
              <w:tc>
                <w:tcPr>
                  <w:tcW w:w="1080" w:type="dxa"/>
                  <w:tcBorders>
                    <w:top w:val="single" w:color="auto" w:sz="4" w:space="0"/>
                    <w:left w:val="single" w:color="auto" w:sz="4" w:space="0"/>
                    <w:bottom w:val="single" w:color="auto" w:sz="4" w:space="0"/>
                    <w:right w:val="single" w:color="auto" w:sz="4" w:space="0"/>
                  </w:tcBorders>
                </w:tcPr>
                <w:p w14:paraId="61CDD669">
                  <w:pPr>
                    <w:pageBreakBefore w:val="0"/>
                    <w:kinsoku/>
                    <w:wordWrap w:val="0"/>
                    <w:topLinePunct w:val="0"/>
                    <w:spacing w:line="280" w:lineRule="exact"/>
                    <w:rPr>
                      <w:rFonts w:ascii="宋体" w:hAnsi="宋体"/>
                      <w:color w:val="auto"/>
                      <w:highlight w:val="none"/>
                    </w:rPr>
                  </w:pPr>
                </w:p>
              </w:tc>
            </w:tr>
          </w:tbl>
          <w:p w14:paraId="68573D90">
            <w:pPr>
              <w:pageBreakBefore w:val="0"/>
              <w:kinsoku/>
              <w:wordWrap w:val="0"/>
              <w:topLinePunct w:val="0"/>
              <w:spacing w:line="400" w:lineRule="exact"/>
              <w:ind w:right="420"/>
              <w:rPr>
                <w:rFonts w:ascii="宋体" w:hAnsi="宋体"/>
                <w:color w:val="auto"/>
                <w:highlight w:val="none"/>
              </w:rPr>
            </w:pPr>
          </w:p>
          <w:p w14:paraId="6E92944C">
            <w:pPr>
              <w:pageBreakBefore w:val="0"/>
              <w:kinsoku/>
              <w:wordWrap w:val="0"/>
              <w:topLinePunct w:val="0"/>
              <w:spacing w:line="400" w:lineRule="exact"/>
              <w:ind w:right="420"/>
              <w:rPr>
                <w:rFonts w:ascii="宋体" w:hAnsi="宋体"/>
                <w:color w:val="auto"/>
                <w:highlight w:val="none"/>
              </w:rPr>
            </w:pPr>
            <w:r>
              <w:rPr>
                <w:rFonts w:hint="eastAsia" w:ascii="宋体" w:hAnsi="宋体"/>
                <w:color w:val="auto"/>
                <w:highlight w:val="none"/>
              </w:rPr>
              <w:t>承包人（章）</w:t>
            </w:r>
          </w:p>
          <w:p w14:paraId="34D1C9EC">
            <w:pPr>
              <w:pageBreakBefore w:val="0"/>
              <w:kinsoku/>
              <w:wordWrap w:val="0"/>
              <w:topLinePunct w:val="0"/>
              <w:spacing w:line="400" w:lineRule="exact"/>
              <w:ind w:right="420" w:firstLine="435"/>
              <w:rPr>
                <w:rFonts w:ascii="宋体" w:hAnsi="宋体"/>
                <w:color w:val="auto"/>
                <w:highlight w:val="none"/>
              </w:rPr>
            </w:pPr>
            <w:r>
              <w:rPr>
                <w:rFonts w:hint="eastAsia" w:ascii="宋体" w:hAnsi="宋体"/>
                <w:color w:val="auto"/>
                <w:highlight w:val="none"/>
              </w:rPr>
              <w:t>造价人员承包人代表日期</w:t>
            </w:r>
          </w:p>
        </w:tc>
      </w:tr>
      <w:tr w14:paraId="50C0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Pr>
          <w:p w14:paraId="25C4EABB">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13E84904">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□与合同约定不相符，修改意见见附件。</w:t>
            </w:r>
          </w:p>
          <w:p w14:paraId="54419738">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□与合同约定相符，具体金额由造价工程师复核。</w:t>
            </w:r>
          </w:p>
          <w:p w14:paraId="2AA4428B">
            <w:pPr>
              <w:pageBreakBefore w:val="0"/>
              <w:kinsoku/>
              <w:wordWrap w:val="0"/>
              <w:topLinePunct w:val="0"/>
              <w:spacing w:line="360" w:lineRule="exact"/>
              <w:ind w:firstLine="435"/>
              <w:jc w:val="right"/>
              <w:rPr>
                <w:rFonts w:ascii="宋体" w:hAnsi="宋体"/>
                <w:color w:val="auto"/>
                <w:highlight w:val="none"/>
              </w:rPr>
            </w:pPr>
          </w:p>
          <w:p w14:paraId="6DEC8682">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监理工程师</w:t>
            </w:r>
          </w:p>
          <w:p w14:paraId="2C209C5D">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c>
          <w:tcPr>
            <w:tcW w:w="4606" w:type="dxa"/>
            <w:tcBorders>
              <w:left w:val="nil"/>
            </w:tcBorders>
          </w:tcPr>
          <w:p w14:paraId="577355B1">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68CC155F">
            <w:pPr>
              <w:pageBreakBefore w:val="0"/>
              <w:kinsoku/>
              <w:wordWrap w:val="0"/>
              <w:topLinePunct w:val="0"/>
              <w:spacing w:line="360" w:lineRule="exact"/>
              <w:ind w:firstLine="435"/>
              <w:rPr>
                <w:rFonts w:ascii="宋体" w:hAnsi="宋体"/>
                <w:color w:val="auto"/>
                <w:highlight w:val="none"/>
              </w:rPr>
            </w:pPr>
            <w:r>
              <w:rPr>
                <w:rFonts w:hint="eastAsia" w:ascii="宋体" w:hAnsi="宋体"/>
                <w:color w:val="auto"/>
                <w:highlight w:val="none"/>
              </w:rPr>
              <w:t>你方提出的支付申请经复核，应支付预付款金额为</w:t>
            </w:r>
            <w:r>
              <w:rPr>
                <w:rFonts w:ascii="宋体" w:hAnsi="宋体"/>
                <w:color w:val="auto"/>
                <w:highlight w:val="none"/>
              </w:rPr>
              <w:t>(</w:t>
            </w:r>
            <w:r>
              <w:rPr>
                <w:rFonts w:hint="eastAsia" w:ascii="宋体" w:hAnsi="宋体"/>
                <w:color w:val="auto"/>
                <w:highlight w:val="none"/>
              </w:rPr>
              <w:t>大写</w:t>
            </w:r>
            <w:r>
              <w:rPr>
                <w:rFonts w:ascii="宋体" w:hAnsi="宋体"/>
                <w:color w:val="auto"/>
                <w:highlight w:val="none"/>
              </w:rPr>
              <w:t>)</w:t>
            </w:r>
            <w:r>
              <w:rPr>
                <w:rFonts w:hint="eastAsia" w:ascii="宋体" w:hAnsi="宋体"/>
                <w:color w:val="auto"/>
                <w:highlight w:val="none"/>
              </w:rPr>
              <w:t>元，（小写）</w:t>
            </w:r>
          </w:p>
          <w:p w14:paraId="3FA8533C">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元。</w:t>
            </w:r>
          </w:p>
          <w:p w14:paraId="087CA17A">
            <w:pPr>
              <w:pageBreakBefore w:val="0"/>
              <w:kinsoku/>
              <w:wordWrap w:val="0"/>
              <w:topLinePunct w:val="0"/>
              <w:spacing w:line="360" w:lineRule="exact"/>
              <w:rPr>
                <w:rFonts w:ascii="宋体" w:hAnsi="宋体"/>
                <w:color w:val="auto"/>
                <w:highlight w:val="none"/>
                <w:u w:val="single"/>
              </w:rPr>
            </w:pPr>
          </w:p>
          <w:p w14:paraId="78F5D9DC">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造价工程师</w:t>
            </w:r>
          </w:p>
          <w:p w14:paraId="39ADAC3E">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r>
      <w:tr w14:paraId="5EE1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Pr>
          <w:p w14:paraId="532A10CA">
            <w:pPr>
              <w:pageBreakBefore w:val="0"/>
              <w:kinsoku/>
              <w:wordWrap w:val="0"/>
              <w:topLinePunct w:val="0"/>
              <w:spacing w:line="400" w:lineRule="exact"/>
              <w:rPr>
                <w:rFonts w:ascii="宋体" w:hAnsi="宋体"/>
                <w:color w:val="auto"/>
                <w:highlight w:val="none"/>
              </w:rPr>
            </w:pPr>
            <w:r>
              <w:rPr>
                <w:rFonts w:hint="eastAsia" w:ascii="宋体" w:hAnsi="宋体"/>
                <w:color w:val="auto"/>
                <w:highlight w:val="none"/>
              </w:rPr>
              <w:t>审核意见：</w:t>
            </w:r>
          </w:p>
          <w:p w14:paraId="08A0C6D7">
            <w:pPr>
              <w:pageBreakBefore w:val="0"/>
              <w:kinsoku/>
              <w:wordWrap w:val="0"/>
              <w:topLinePunct w:val="0"/>
              <w:spacing w:line="400" w:lineRule="exact"/>
              <w:ind w:firstLine="435"/>
              <w:rPr>
                <w:rFonts w:ascii="宋体" w:hAnsi="宋体"/>
                <w:color w:val="auto"/>
                <w:highlight w:val="none"/>
              </w:rPr>
            </w:pPr>
            <w:r>
              <w:rPr>
                <w:rFonts w:hint="eastAsia" w:ascii="宋体" w:hAnsi="宋体"/>
                <w:color w:val="auto"/>
                <w:highlight w:val="none"/>
              </w:rPr>
              <w:t>□不同意。</w:t>
            </w:r>
          </w:p>
          <w:p w14:paraId="2563DD29">
            <w:pPr>
              <w:pageBreakBefore w:val="0"/>
              <w:kinsoku/>
              <w:wordWrap w:val="0"/>
              <w:topLinePunct w:val="0"/>
              <w:spacing w:line="400" w:lineRule="exact"/>
              <w:ind w:firstLine="420" w:firstLineChars="200"/>
              <w:rPr>
                <w:rFonts w:ascii="宋体" w:hAnsi="宋体"/>
                <w:color w:val="auto"/>
                <w:highlight w:val="none"/>
              </w:rPr>
            </w:pPr>
            <w:r>
              <w:rPr>
                <w:rFonts w:hint="eastAsia" w:ascii="宋体" w:hAnsi="宋体"/>
                <w:color w:val="auto"/>
                <w:highlight w:val="none"/>
              </w:rPr>
              <w:t>□同意，支付时间为本表签发后的</w:t>
            </w:r>
            <w:r>
              <w:rPr>
                <w:rFonts w:ascii="宋体" w:hAnsi="宋体"/>
                <w:color w:val="auto"/>
                <w:highlight w:val="none"/>
              </w:rPr>
              <w:t>15</w:t>
            </w:r>
            <w:r>
              <w:rPr>
                <w:rFonts w:hint="eastAsia" w:ascii="宋体" w:hAnsi="宋体"/>
                <w:color w:val="auto"/>
                <w:highlight w:val="none"/>
              </w:rPr>
              <w:t>天内。</w:t>
            </w:r>
          </w:p>
          <w:p w14:paraId="5BD9D4E3">
            <w:pPr>
              <w:pageBreakBefore w:val="0"/>
              <w:kinsoku/>
              <w:wordWrap w:val="0"/>
              <w:topLinePunct w:val="0"/>
              <w:spacing w:line="400" w:lineRule="exact"/>
              <w:ind w:firstLine="420" w:firstLineChars="200"/>
              <w:jc w:val="right"/>
              <w:rPr>
                <w:rFonts w:ascii="宋体" w:hAnsi="宋体"/>
                <w:color w:val="auto"/>
                <w:highlight w:val="none"/>
              </w:rPr>
            </w:pPr>
            <w:r>
              <w:rPr>
                <w:rFonts w:hint="eastAsia" w:ascii="宋体" w:hAnsi="宋体"/>
                <w:color w:val="auto"/>
                <w:highlight w:val="none"/>
              </w:rPr>
              <w:t>发包人（章）</w:t>
            </w:r>
          </w:p>
          <w:p w14:paraId="77E14E78">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发包人代表</w:t>
            </w:r>
          </w:p>
          <w:p w14:paraId="03CC5F75">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日期</w:t>
            </w:r>
          </w:p>
        </w:tc>
      </w:tr>
    </w:tbl>
    <w:p w14:paraId="7A2BE771">
      <w:pPr>
        <w:pageBreakBefore w:val="0"/>
        <w:kinsoku/>
        <w:wordWrap w:val="0"/>
        <w:topLinePunct w:val="0"/>
        <w:spacing w:beforeLines="50"/>
        <w:ind w:firstLine="360" w:firstLineChars="200"/>
        <w:rPr>
          <w:rFonts w:ascii="宋体" w:hAnsi="宋体"/>
          <w:color w:val="auto"/>
          <w:sz w:val="18"/>
          <w:szCs w:val="18"/>
          <w:highlight w:val="none"/>
        </w:rPr>
      </w:pPr>
      <w:r>
        <w:rPr>
          <w:rFonts w:hint="eastAsia" w:ascii="宋体" w:hAnsi="宋体"/>
          <w:color w:val="auto"/>
          <w:sz w:val="18"/>
          <w:szCs w:val="18"/>
          <w:highlight w:val="none"/>
        </w:rPr>
        <w:t>注：</w:t>
      </w:r>
      <w:r>
        <w:rPr>
          <w:rFonts w:ascii="宋体" w:hAnsi="宋体"/>
          <w:color w:val="auto"/>
          <w:sz w:val="18"/>
          <w:szCs w:val="18"/>
          <w:highlight w:val="none"/>
        </w:rPr>
        <w:t>1.</w:t>
      </w:r>
      <w:r>
        <w:rPr>
          <w:rFonts w:hint="eastAsia" w:ascii="宋体" w:hAnsi="宋体"/>
          <w:color w:val="auto"/>
          <w:sz w:val="18"/>
          <w:szCs w:val="18"/>
          <w:highlight w:val="none"/>
        </w:rPr>
        <w:t>在选择栏中的“□”内作标识“√”。</w:t>
      </w:r>
    </w:p>
    <w:p w14:paraId="6B19F6B4">
      <w:pPr>
        <w:pageBreakBefore w:val="0"/>
        <w:kinsoku/>
        <w:wordWrap w:val="0"/>
        <w:topLinePunct w:val="0"/>
        <w:spacing w:beforeLines="50"/>
        <w:ind w:left="720" w:hanging="720" w:hangingChars="400"/>
        <w:rPr>
          <w:rFonts w:ascii="宋体" w:hAnsi="宋体"/>
          <w:color w:val="auto"/>
          <w:sz w:val="18"/>
          <w:szCs w:val="18"/>
          <w:highlight w:val="none"/>
        </w:rPr>
      </w:pPr>
      <w:r>
        <w:rPr>
          <w:rFonts w:ascii="宋体" w:hAnsi="宋体"/>
          <w:color w:val="auto"/>
          <w:sz w:val="18"/>
          <w:szCs w:val="18"/>
          <w:highlight w:val="none"/>
        </w:rPr>
        <w:t xml:space="preserve">        2.</w:t>
      </w:r>
      <w:r>
        <w:rPr>
          <w:rFonts w:hint="eastAsia" w:ascii="宋体" w:hAnsi="宋体"/>
          <w:color w:val="auto"/>
          <w:sz w:val="18"/>
          <w:szCs w:val="18"/>
          <w:highlight w:val="none"/>
        </w:rPr>
        <w:t>本表一式四份，由承包人填报，发包人、监理人、造价咨询人、承包人各存一份。</w:t>
      </w:r>
    </w:p>
    <w:p w14:paraId="534609DA">
      <w:pPr>
        <w:pageBreakBefore w:val="0"/>
        <w:kinsoku/>
        <w:wordWrap w:val="0"/>
        <w:topLinePunct w:val="0"/>
        <w:rPr>
          <w:rFonts w:ascii="宋体" w:hAnsi="宋体"/>
          <w:color w:val="auto"/>
          <w:sz w:val="18"/>
          <w:szCs w:val="18"/>
          <w:highlight w:val="none"/>
        </w:rPr>
      </w:pPr>
      <w:r>
        <w:rPr>
          <w:rFonts w:hint="eastAsia" w:ascii="宋体" w:hAnsi="宋体"/>
          <w:color w:val="auto"/>
          <w:sz w:val="18"/>
          <w:szCs w:val="18"/>
          <w:highlight w:val="none"/>
        </w:rPr>
        <w:br w:type="page"/>
      </w:r>
    </w:p>
    <w:p w14:paraId="5F24647B">
      <w:pPr>
        <w:pageBreakBefore w:val="0"/>
        <w:kinsoku/>
        <w:wordWrap w:val="0"/>
        <w:topLinePunct w:val="0"/>
        <w:spacing w:beforeLines="50"/>
        <w:ind w:left="1200" w:hanging="1200" w:hangingChars="400"/>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11</w:t>
      </w:r>
      <w:r>
        <w:rPr>
          <w:rFonts w:hint="eastAsia" w:ascii="宋体" w:hAnsi="宋体"/>
          <w:color w:val="auto"/>
          <w:sz w:val="30"/>
          <w:szCs w:val="30"/>
          <w:highlight w:val="none"/>
        </w:rPr>
        <w:t>：</w:t>
      </w:r>
    </w:p>
    <w:p w14:paraId="2BC5AC06">
      <w:pPr>
        <w:pageBreakBefore w:val="0"/>
        <w:kinsoku/>
        <w:wordWrap w:val="0"/>
        <w:topLinePunct w:val="0"/>
        <w:jc w:val="center"/>
        <w:rPr>
          <w:rFonts w:ascii="宋体" w:hAnsi="宋体"/>
          <w:b/>
          <w:bCs/>
          <w:color w:val="auto"/>
          <w:sz w:val="36"/>
          <w:szCs w:val="36"/>
          <w:highlight w:val="none"/>
        </w:rPr>
      </w:pPr>
      <w:r>
        <w:rPr>
          <w:rFonts w:hint="eastAsia" w:ascii="宋体" w:hAnsi="宋体"/>
          <w:b/>
          <w:bCs/>
          <w:color w:val="auto"/>
          <w:sz w:val="36"/>
          <w:szCs w:val="36"/>
          <w:highlight w:val="none"/>
        </w:rPr>
        <w:t>进度款支付申请（核准）表</w:t>
      </w:r>
    </w:p>
    <w:p w14:paraId="617959BC">
      <w:pPr>
        <w:pageBreakBefore w:val="0"/>
        <w:kinsoku/>
        <w:wordWrap w:val="0"/>
        <w:topLinePunct w:val="0"/>
        <w:rPr>
          <w:rFonts w:ascii="宋体" w:hAnsi="宋体"/>
          <w:color w:val="auto"/>
          <w:sz w:val="24"/>
          <w:szCs w:val="24"/>
          <w:highlight w:val="none"/>
        </w:rPr>
      </w:pPr>
      <w:r>
        <w:rPr>
          <w:rFonts w:hint="eastAsia" w:ascii="宋体" w:hAnsi="宋体"/>
          <w:color w:val="auto"/>
          <w:sz w:val="24"/>
          <w:szCs w:val="24"/>
          <w:highlight w:val="none"/>
        </w:rPr>
        <w:t>工程名称：编号：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448B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3665227E">
            <w:pPr>
              <w:pageBreakBefore w:val="0"/>
              <w:kinsoku/>
              <w:wordWrap w:val="0"/>
              <w:topLinePunct w:val="0"/>
              <w:spacing w:line="480" w:lineRule="exact"/>
              <w:ind w:left="525" w:leftChars="149" w:hanging="212" w:hangingChars="101"/>
              <w:rPr>
                <w:rFonts w:ascii="宋体" w:hAnsi="宋体"/>
                <w:color w:val="auto"/>
                <w:highlight w:val="none"/>
                <w:u w:val="single"/>
              </w:rPr>
            </w:pPr>
            <w:r>
              <w:rPr>
                <w:rFonts w:hint="eastAsia" w:ascii="宋体" w:hAnsi="宋体"/>
                <w:color w:val="auto"/>
                <w:highlight w:val="none"/>
              </w:rPr>
              <w:t>致：</w:t>
            </w:r>
            <w:r>
              <w:rPr>
                <w:rFonts w:hint="eastAsia" w:ascii="宋体" w:hAnsi="宋体"/>
                <w:color w:val="auto"/>
                <w:highlight w:val="none"/>
                <w:u w:val="single"/>
              </w:rPr>
              <w:t>（发包人全称）</w:t>
            </w:r>
          </w:p>
          <w:p w14:paraId="5A1829DF">
            <w:pPr>
              <w:pageBreakBefore w:val="0"/>
              <w:kinsoku/>
              <w:wordWrap w:val="0"/>
              <w:topLinePunct w:val="0"/>
              <w:spacing w:line="400" w:lineRule="exact"/>
              <w:ind w:left="-4" w:leftChars="-2" w:firstLine="315" w:firstLineChars="150"/>
              <w:rPr>
                <w:rFonts w:ascii="宋体" w:hAnsi="宋体"/>
                <w:color w:val="auto"/>
                <w:highlight w:val="none"/>
              </w:rPr>
            </w:pPr>
            <w:r>
              <w:rPr>
                <w:rFonts w:hint="eastAsia" w:ascii="宋体" w:hAnsi="宋体"/>
                <w:color w:val="auto"/>
                <w:highlight w:val="none"/>
              </w:rPr>
              <w:t>我方于至期间已完成了工作，根据施工合同的约定，现申请支付本期的合同款额为</w:t>
            </w:r>
            <w:r>
              <w:rPr>
                <w:rFonts w:ascii="宋体" w:hAnsi="宋体"/>
                <w:color w:val="auto"/>
                <w:highlight w:val="none"/>
              </w:rPr>
              <w:t>(</w:t>
            </w:r>
            <w:r>
              <w:rPr>
                <w:rFonts w:hint="eastAsia" w:ascii="宋体" w:hAnsi="宋体"/>
                <w:color w:val="auto"/>
                <w:highlight w:val="none"/>
              </w:rPr>
              <w:t>大写</w:t>
            </w:r>
            <w:r>
              <w:rPr>
                <w:rFonts w:ascii="宋体" w:hAnsi="宋体"/>
                <w:color w:val="auto"/>
                <w:highlight w:val="none"/>
              </w:rPr>
              <w:t>)</w:t>
            </w:r>
            <w:r>
              <w:rPr>
                <w:rFonts w:hint="eastAsia" w:ascii="宋体" w:hAnsi="宋体"/>
                <w:color w:val="auto"/>
                <w:highlight w:val="none"/>
              </w:rPr>
              <w:t>元，</w:t>
            </w:r>
            <w:r>
              <w:rPr>
                <w:rFonts w:ascii="宋体" w:hAnsi="宋体"/>
                <w:color w:val="auto"/>
                <w:highlight w:val="none"/>
              </w:rPr>
              <w:t>(</w:t>
            </w:r>
            <w:r>
              <w:rPr>
                <w:rFonts w:hint="eastAsia" w:ascii="宋体" w:hAnsi="宋体"/>
                <w:color w:val="auto"/>
                <w:highlight w:val="none"/>
              </w:rPr>
              <w:t>小写</w:t>
            </w:r>
            <w:r>
              <w:rPr>
                <w:rFonts w:ascii="宋体" w:hAnsi="宋体"/>
                <w:color w:val="auto"/>
                <w:highlight w:val="none"/>
              </w:rPr>
              <w:t>)</w:t>
            </w:r>
            <w:r>
              <w:rPr>
                <w:rFonts w:hint="eastAsia" w:ascii="宋体" w:hAnsi="宋体"/>
                <w:color w:val="auto"/>
                <w:highlight w:val="none"/>
              </w:rPr>
              <w:t>元，请予核准。</w:t>
            </w:r>
          </w:p>
          <w:tbl>
            <w:tblPr>
              <w:tblStyle w:val="48"/>
              <w:tblW w:w="8846"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69FA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406CAAA9">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序号</w:t>
                  </w:r>
                </w:p>
              </w:tc>
              <w:tc>
                <w:tcPr>
                  <w:tcW w:w="3340" w:type="dxa"/>
                  <w:tcBorders>
                    <w:top w:val="single" w:color="auto" w:sz="4" w:space="0"/>
                    <w:left w:val="single" w:color="auto" w:sz="4" w:space="0"/>
                    <w:bottom w:val="single" w:color="auto" w:sz="4" w:space="0"/>
                    <w:right w:val="single" w:color="auto" w:sz="4" w:space="0"/>
                  </w:tcBorders>
                  <w:vAlign w:val="center"/>
                </w:tcPr>
                <w:p w14:paraId="08369055">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名称</w:t>
                  </w:r>
                </w:p>
              </w:tc>
              <w:tc>
                <w:tcPr>
                  <w:tcW w:w="1340" w:type="dxa"/>
                  <w:tcBorders>
                    <w:top w:val="single" w:color="auto" w:sz="4" w:space="0"/>
                    <w:left w:val="single" w:color="auto" w:sz="4" w:space="0"/>
                    <w:bottom w:val="single" w:color="auto" w:sz="4" w:space="0"/>
                    <w:right w:val="single" w:color="auto" w:sz="4" w:space="0"/>
                  </w:tcBorders>
                  <w:vAlign w:val="center"/>
                </w:tcPr>
                <w:p w14:paraId="6B1FE535">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实际金额（元）</w:t>
                  </w:r>
                </w:p>
              </w:tc>
              <w:tc>
                <w:tcPr>
                  <w:tcW w:w="1440" w:type="dxa"/>
                  <w:tcBorders>
                    <w:top w:val="single" w:color="auto" w:sz="4" w:space="0"/>
                    <w:left w:val="single" w:color="auto" w:sz="4" w:space="0"/>
                    <w:bottom w:val="single" w:color="auto" w:sz="4" w:space="0"/>
                    <w:right w:val="single" w:color="auto" w:sz="4" w:space="0"/>
                  </w:tcBorders>
                  <w:vAlign w:val="center"/>
                </w:tcPr>
                <w:p w14:paraId="6C534724">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申请金额（元）</w:t>
                  </w:r>
                </w:p>
              </w:tc>
              <w:tc>
                <w:tcPr>
                  <w:tcW w:w="1260" w:type="dxa"/>
                  <w:tcBorders>
                    <w:top w:val="single" w:color="auto" w:sz="4" w:space="0"/>
                    <w:left w:val="single" w:color="auto" w:sz="4" w:space="0"/>
                    <w:bottom w:val="single" w:color="auto" w:sz="4" w:space="0"/>
                    <w:right w:val="single" w:color="auto" w:sz="4" w:space="0"/>
                  </w:tcBorders>
                  <w:vAlign w:val="center"/>
                </w:tcPr>
                <w:p w14:paraId="07DA82F6">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复核金额（元）</w:t>
                  </w:r>
                </w:p>
              </w:tc>
              <w:tc>
                <w:tcPr>
                  <w:tcW w:w="931" w:type="dxa"/>
                  <w:tcBorders>
                    <w:top w:val="single" w:color="auto" w:sz="4" w:space="0"/>
                    <w:left w:val="single" w:color="auto" w:sz="4" w:space="0"/>
                    <w:bottom w:val="single" w:color="auto" w:sz="4" w:space="0"/>
                    <w:right w:val="single" w:color="auto" w:sz="4" w:space="0"/>
                  </w:tcBorders>
                  <w:vAlign w:val="center"/>
                </w:tcPr>
                <w:p w14:paraId="2EC9AB2E">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备注</w:t>
                  </w:r>
                </w:p>
              </w:tc>
            </w:tr>
            <w:tr w14:paraId="0239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6C69DF5">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1</w:t>
                  </w:r>
                </w:p>
              </w:tc>
              <w:tc>
                <w:tcPr>
                  <w:tcW w:w="3340" w:type="dxa"/>
                  <w:tcBorders>
                    <w:top w:val="single" w:color="auto" w:sz="4" w:space="0"/>
                    <w:left w:val="single" w:color="auto" w:sz="4" w:space="0"/>
                    <w:bottom w:val="single" w:color="auto" w:sz="4" w:space="0"/>
                    <w:right w:val="single" w:color="auto" w:sz="4" w:space="0"/>
                  </w:tcBorders>
                </w:tcPr>
                <w:p w14:paraId="0B943FEF">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累计已完成的工程价款</w:t>
                  </w:r>
                </w:p>
              </w:tc>
              <w:tc>
                <w:tcPr>
                  <w:tcW w:w="1340" w:type="dxa"/>
                  <w:tcBorders>
                    <w:top w:val="single" w:color="auto" w:sz="4" w:space="0"/>
                    <w:left w:val="single" w:color="auto" w:sz="4" w:space="0"/>
                    <w:bottom w:val="single" w:color="auto" w:sz="4" w:space="0"/>
                    <w:right w:val="single" w:color="auto" w:sz="4" w:space="0"/>
                  </w:tcBorders>
                </w:tcPr>
                <w:p w14:paraId="57C5A274">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5BD6A31B">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517B0E57">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1614A816">
                  <w:pPr>
                    <w:pageBreakBefore w:val="0"/>
                    <w:kinsoku/>
                    <w:wordWrap w:val="0"/>
                    <w:topLinePunct w:val="0"/>
                    <w:spacing w:line="280" w:lineRule="exact"/>
                    <w:rPr>
                      <w:rFonts w:ascii="宋体" w:hAnsi="宋体"/>
                      <w:color w:val="auto"/>
                      <w:highlight w:val="none"/>
                    </w:rPr>
                  </w:pPr>
                </w:p>
              </w:tc>
            </w:tr>
            <w:tr w14:paraId="30FE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DAFEB05">
                  <w:pPr>
                    <w:pageBreakBefore w:val="0"/>
                    <w:kinsoku/>
                    <w:wordWrap w:val="0"/>
                    <w:topLinePunct w:val="0"/>
                    <w:spacing w:line="280" w:lineRule="exact"/>
                    <w:jc w:val="center"/>
                    <w:rPr>
                      <w:rFonts w:ascii="宋体" w:hAnsi="宋体"/>
                      <w:color w:val="auto"/>
                      <w:highlight w:val="none"/>
                    </w:rPr>
                  </w:pPr>
                </w:p>
              </w:tc>
              <w:tc>
                <w:tcPr>
                  <w:tcW w:w="3340" w:type="dxa"/>
                  <w:tcBorders>
                    <w:top w:val="single" w:color="auto" w:sz="4" w:space="0"/>
                    <w:left w:val="single" w:color="auto" w:sz="4" w:space="0"/>
                    <w:bottom w:val="single" w:color="auto" w:sz="4" w:space="0"/>
                    <w:right w:val="single" w:color="auto" w:sz="4" w:space="0"/>
                  </w:tcBorders>
                </w:tcPr>
                <w:p w14:paraId="0E497F44">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其中：人工费</w:t>
                  </w:r>
                </w:p>
              </w:tc>
              <w:tc>
                <w:tcPr>
                  <w:tcW w:w="1340" w:type="dxa"/>
                  <w:tcBorders>
                    <w:top w:val="single" w:color="auto" w:sz="4" w:space="0"/>
                    <w:left w:val="single" w:color="auto" w:sz="4" w:space="0"/>
                    <w:bottom w:val="single" w:color="auto" w:sz="4" w:space="0"/>
                    <w:right w:val="single" w:color="auto" w:sz="4" w:space="0"/>
                  </w:tcBorders>
                </w:tcPr>
                <w:p w14:paraId="4B3C324E">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2A52441E">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0B3C4731">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61749CE4">
                  <w:pPr>
                    <w:pageBreakBefore w:val="0"/>
                    <w:kinsoku/>
                    <w:wordWrap w:val="0"/>
                    <w:topLinePunct w:val="0"/>
                    <w:spacing w:line="280" w:lineRule="exact"/>
                    <w:rPr>
                      <w:rFonts w:ascii="宋体" w:hAnsi="宋体"/>
                      <w:color w:val="auto"/>
                      <w:highlight w:val="none"/>
                    </w:rPr>
                  </w:pPr>
                </w:p>
              </w:tc>
            </w:tr>
            <w:tr w14:paraId="28B8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7D9BEB9">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2</w:t>
                  </w:r>
                </w:p>
              </w:tc>
              <w:tc>
                <w:tcPr>
                  <w:tcW w:w="3340" w:type="dxa"/>
                  <w:tcBorders>
                    <w:top w:val="single" w:color="auto" w:sz="4" w:space="0"/>
                    <w:left w:val="single" w:color="auto" w:sz="4" w:space="0"/>
                    <w:bottom w:val="single" w:color="auto" w:sz="4" w:space="0"/>
                    <w:right w:val="single" w:color="auto" w:sz="4" w:space="0"/>
                  </w:tcBorders>
                </w:tcPr>
                <w:p w14:paraId="08942F45">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累计已实际支付的工程价款</w:t>
                  </w:r>
                </w:p>
              </w:tc>
              <w:tc>
                <w:tcPr>
                  <w:tcW w:w="1340" w:type="dxa"/>
                  <w:tcBorders>
                    <w:top w:val="single" w:color="auto" w:sz="4" w:space="0"/>
                    <w:left w:val="single" w:color="auto" w:sz="4" w:space="0"/>
                    <w:bottom w:val="single" w:color="auto" w:sz="4" w:space="0"/>
                    <w:right w:val="single" w:color="auto" w:sz="4" w:space="0"/>
                  </w:tcBorders>
                </w:tcPr>
                <w:p w14:paraId="1FB81239">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6C065A84">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212FC71C">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42A06569">
                  <w:pPr>
                    <w:pageBreakBefore w:val="0"/>
                    <w:kinsoku/>
                    <w:wordWrap w:val="0"/>
                    <w:topLinePunct w:val="0"/>
                    <w:spacing w:line="280" w:lineRule="exact"/>
                    <w:rPr>
                      <w:rFonts w:ascii="宋体" w:hAnsi="宋体"/>
                      <w:color w:val="auto"/>
                      <w:highlight w:val="none"/>
                    </w:rPr>
                  </w:pPr>
                </w:p>
              </w:tc>
            </w:tr>
            <w:tr w14:paraId="5C1F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91741BF">
                  <w:pPr>
                    <w:pageBreakBefore w:val="0"/>
                    <w:kinsoku/>
                    <w:wordWrap w:val="0"/>
                    <w:topLinePunct w:val="0"/>
                    <w:spacing w:line="280" w:lineRule="exact"/>
                    <w:jc w:val="center"/>
                    <w:rPr>
                      <w:rFonts w:ascii="宋体" w:hAnsi="宋体"/>
                      <w:color w:val="auto"/>
                      <w:highlight w:val="none"/>
                    </w:rPr>
                  </w:pPr>
                </w:p>
              </w:tc>
              <w:tc>
                <w:tcPr>
                  <w:tcW w:w="3340" w:type="dxa"/>
                  <w:tcBorders>
                    <w:top w:val="single" w:color="auto" w:sz="4" w:space="0"/>
                    <w:left w:val="single" w:color="auto" w:sz="4" w:space="0"/>
                    <w:bottom w:val="single" w:color="auto" w:sz="4" w:space="0"/>
                    <w:right w:val="single" w:color="auto" w:sz="4" w:space="0"/>
                  </w:tcBorders>
                </w:tcPr>
                <w:p w14:paraId="127F793E">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其中：人工费</w:t>
                  </w:r>
                </w:p>
              </w:tc>
              <w:tc>
                <w:tcPr>
                  <w:tcW w:w="1340" w:type="dxa"/>
                  <w:tcBorders>
                    <w:top w:val="single" w:color="auto" w:sz="4" w:space="0"/>
                    <w:left w:val="single" w:color="auto" w:sz="4" w:space="0"/>
                    <w:bottom w:val="single" w:color="auto" w:sz="4" w:space="0"/>
                    <w:right w:val="single" w:color="auto" w:sz="4" w:space="0"/>
                  </w:tcBorders>
                </w:tcPr>
                <w:p w14:paraId="7BECF4F7">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1DAC76A5">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58DF6AEF">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579B1499">
                  <w:pPr>
                    <w:pageBreakBefore w:val="0"/>
                    <w:kinsoku/>
                    <w:wordWrap w:val="0"/>
                    <w:topLinePunct w:val="0"/>
                    <w:spacing w:line="280" w:lineRule="exact"/>
                    <w:rPr>
                      <w:rFonts w:ascii="宋体" w:hAnsi="宋体"/>
                      <w:color w:val="auto"/>
                      <w:highlight w:val="none"/>
                    </w:rPr>
                  </w:pPr>
                </w:p>
              </w:tc>
            </w:tr>
            <w:tr w14:paraId="1E66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9906BA2">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3</w:t>
                  </w:r>
                </w:p>
              </w:tc>
              <w:tc>
                <w:tcPr>
                  <w:tcW w:w="3340" w:type="dxa"/>
                  <w:tcBorders>
                    <w:top w:val="single" w:color="auto" w:sz="4" w:space="0"/>
                    <w:left w:val="single" w:color="auto" w:sz="4" w:space="0"/>
                    <w:bottom w:val="single" w:color="auto" w:sz="4" w:space="0"/>
                    <w:right w:val="single" w:color="auto" w:sz="4" w:space="0"/>
                  </w:tcBorders>
                </w:tcPr>
                <w:p w14:paraId="3C757128">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本周期已完成的工程价款</w:t>
                  </w:r>
                </w:p>
              </w:tc>
              <w:tc>
                <w:tcPr>
                  <w:tcW w:w="1340" w:type="dxa"/>
                  <w:tcBorders>
                    <w:top w:val="single" w:color="auto" w:sz="4" w:space="0"/>
                    <w:left w:val="single" w:color="auto" w:sz="4" w:space="0"/>
                    <w:bottom w:val="single" w:color="auto" w:sz="4" w:space="0"/>
                    <w:right w:val="single" w:color="auto" w:sz="4" w:space="0"/>
                  </w:tcBorders>
                </w:tcPr>
                <w:p w14:paraId="13D68EE4">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755433D2">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56CACD01">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403578CB">
                  <w:pPr>
                    <w:pageBreakBefore w:val="0"/>
                    <w:kinsoku/>
                    <w:wordWrap w:val="0"/>
                    <w:topLinePunct w:val="0"/>
                    <w:spacing w:line="280" w:lineRule="exact"/>
                    <w:rPr>
                      <w:rFonts w:ascii="宋体" w:hAnsi="宋体"/>
                      <w:color w:val="auto"/>
                      <w:highlight w:val="none"/>
                    </w:rPr>
                  </w:pPr>
                </w:p>
              </w:tc>
            </w:tr>
            <w:tr w14:paraId="1AB6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9053481">
                  <w:pPr>
                    <w:pageBreakBefore w:val="0"/>
                    <w:kinsoku/>
                    <w:wordWrap w:val="0"/>
                    <w:topLinePunct w:val="0"/>
                    <w:spacing w:line="280" w:lineRule="exact"/>
                    <w:jc w:val="center"/>
                    <w:rPr>
                      <w:rFonts w:ascii="宋体" w:hAnsi="宋体"/>
                      <w:color w:val="auto"/>
                      <w:highlight w:val="none"/>
                    </w:rPr>
                  </w:pPr>
                </w:p>
              </w:tc>
              <w:tc>
                <w:tcPr>
                  <w:tcW w:w="3340" w:type="dxa"/>
                  <w:tcBorders>
                    <w:top w:val="single" w:color="auto" w:sz="4" w:space="0"/>
                    <w:left w:val="single" w:color="auto" w:sz="4" w:space="0"/>
                    <w:bottom w:val="single" w:color="auto" w:sz="4" w:space="0"/>
                    <w:right w:val="single" w:color="auto" w:sz="4" w:space="0"/>
                  </w:tcBorders>
                </w:tcPr>
                <w:p w14:paraId="6DFABB25">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其中：人工费</w:t>
                  </w:r>
                </w:p>
              </w:tc>
              <w:tc>
                <w:tcPr>
                  <w:tcW w:w="1340" w:type="dxa"/>
                  <w:tcBorders>
                    <w:top w:val="single" w:color="auto" w:sz="4" w:space="0"/>
                    <w:left w:val="single" w:color="auto" w:sz="4" w:space="0"/>
                    <w:bottom w:val="single" w:color="auto" w:sz="4" w:space="0"/>
                    <w:right w:val="single" w:color="auto" w:sz="4" w:space="0"/>
                  </w:tcBorders>
                </w:tcPr>
                <w:p w14:paraId="4E1B6E3E">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6CCBFFF6">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4195D161">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7C41FAE1">
                  <w:pPr>
                    <w:pageBreakBefore w:val="0"/>
                    <w:kinsoku/>
                    <w:wordWrap w:val="0"/>
                    <w:topLinePunct w:val="0"/>
                    <w:spacing w:line="280" w:lineRule="exact"/>
                    <w:rPr>
                      <w:rFonts w:ascii="宋体" w:hAnsi="宋体"/>
                      <w:color w:val="auto"/>
                      <w:highlight w:val="none"/>
                    </w:rPr>
                  </w:pPr>
                </w:p>
              </w:tc>
            </w:tr>
            <w:tr w14:paraId="5D1C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AC3CB46">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4</w:t>
                  </w:r>
                </w:p>
              </w:tc>
              <w:tc>
                <w:tcPr>
                  <w:tcW w:w="3340" w:type="dxa"/>
                  <w:tcBorders>
                    <w:top w:val="single" w:color="auto" w:sz="4" w:space="0"/>
                    <w:left w:val="single" w:color="auto" w:sz="4" w:space="0"/>
                    <w:bottom w:val="single" w:color="auto" w:sz="4" w:space="0"/>
                    <w:right w:val="single" w:color="auto" w:sz="4" w:space="0"/>
                  </w:tcBorders>
                </w:tcPr>
                <w:p w14:paraId="3A8247AC">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本周期应扣减的金额</w:t>
                  </w:r>
                </w:p>
              </w:tc>
              <w:tc>
                <w:tcPr>
                  <w:tcW w:w="1340" w:type="dxa"/>
                  <w:tcBorders>
                    <w:top w:val="single" w:color="auto" w:sz="4" w:space="0"/>
                    <w:left w:val="single" w:color="auto" w:sz="4" w:space="0"/>
                    <w:bottom w:val="single" w:color="auto" w:sz="4" w:space="0"/>
                    <w:right w:val="single" w:color="auto" w:sz="4" w:space="0"/>
                  </w:tcBorders>
                </w:tcPr>
                <w:p w14:paraId="01B34FF9">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015FA53B">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2F08821B">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0DBA5123">
                  <w:pPr>
                    <w:pageBreakBefore w:val="0"/>
                    <w:kinsoku/>
                    <w:wordWrap w:val="0"/>
                    <w:topLinePunct w:val="0"/>
                    <w:spacing w:line="280" w:lineRule="exact"/>
                    <w:rPr>
                      <w:rFonts w:ascii="宋体" w:hAnsi="宋体"/>
                      <w:color w:val="auto"/>
                      <w:highlight w:val="none"/>
                    </w:rPr>
                  </w:pPr>
                </w:p>
              </w:tc>
            </w:tr>
            <w:tr w14:paraId="44AF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14A18EE">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4.1</w:t>
                  </w:r>
                </w:p>
              </w:tc>
              <w:tc>
                <w:tcPr>
                  <w:tcW w:w="3340" w:type="dxa"/>
                  <w:tcBorders>
                    <w:top w:val="single" w:color="auto" w:sz="4" w:space="0"/>
                    <w:left w:val="single" w:color="auto" w:sz="4" w:space="0"/>
                    <w:bottom w:val="single" w:color="auto" w:sz="4" w:space="0"/>
                    <w:right w:val="single" w:color="auto" w:sz="4" w:space="0"/>
                  </w:tcBorders>
                </w:tcPr>
                <w:p w14:paraId="6DF7CBC2">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本周期实际应抵扣的预付款</w:t>
                  </w:r>
                </w:p>
              </w:tc>
              <w:tc>
                <w:tcPr>
                  <w:tcW w:w="1340" w:type="dxa"/>
                  <w:tcBorders>
                    <w:top w:val="single" w:color="auto" w:sz="4" w:space="0"/>
                    <w:left w:val="single" w:color="auto" w:sz="4" w:space="0"/>
                    <w:bottom w:val="single" w:color="auto" w:sz="4" w:space="0"/>
                    <w:right w:val="single" w:color="auto" w:sz="4" w:space="0"/>
                  </w:tcBorders>
                </w:tcPr>
                <w:p w14:paraId="56B3FD2D">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35641A15">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2545C637">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758F75DE">
                  <w:pPr>
                    <w:pageBreakBefore w:val="0"/>
                    <w:kinsoku/>
                    <w:wordWrap w:val="0"/>
                    <w:topLinePunct w:val="0"/>
                    <w:spacing w:line="280" w:lineRule="exact"/>
                    <w:rPr>
                      <w:rFonts w:ascii="宋体" w:hAnsi="宋体"/>
                      <w:color w:val="auto"/>
                      <w:highlight w:val="none"/>
                    </w:rPr>
                  </w:pPr>
                </w:p>
              </w:tc>
            </w:tr>
            <w:tr w14:paraId="543C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12F268E">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4.2</w:t>
                  </w:r>
                </w:p>
              </w:tc>
              <w:tc>
                <w:tcPr>
                  <w:tcW w:w="3340" w:type="dxa"/>
                  <w:tcBorders>
                    <w:top w:val="single" w:color="auto" w:sz="4" w:space="0"/>
                    <w:left w:val="single" w:color="auto" w:sz="4" w:space="0"/>
                    <w:bottom w:val="single" w:color="auto" w:sz="4" w:space="0"/>
                    <w:right w:val="single" w:color="auto" w:sz="4" w:space="0"/>
                  </w:tcBorders>
                </w:tcPr>
                <w:p w14:paraId="770E824C">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本周期应扣减的金额</w:t>
                  </w:r>
                </w:p>
              </w:tc>
              <w:tc>
                <w:tcPr>
                  <w:tcW w:w="1340" w:type="dxa"/>
                  <w:tcBorders>
                    <w:top w:val="single" w:color="auto" w:sz="4" w:space="0"/>
                    <w:left w:val="single" w:color="auto" w:sz="4" w:space="0"/>
                    <w:bottom w:val="single" w:color="auto" w:sz="4" w:space="0"/>
                    <w:right w:val="single" w:color="auto" w:sz="4" w:space="0"/>
                  </w:tcBorders>
                </w:tcPr>
                <w:p w14:paraId="51D98D17">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40A9553C">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042D021D">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5BA57524">
                  <w:pPr>
                    <w:pageBreakBefore w:val="0"/>
                    <w:kinsoku/>
                    <w:wordWrap w:val="0"/>
                    <w:topLinePunct w:val="0"/>
                    <w:spacing w:line="280" w:lineRule="exact"/>
                    <w:rPr>
                      <w:rFonts w:ascii="宋体" w:hAnsi="宋体"/>
                      <w:color w:val="auto"/>
                      <w:highlight w:val="none"/>
                    </w:rPr>
                  </w:pPr>
                </w:p>
              </w:tc>
            </w:tr>
            <w:tr w14:paraId="2C3F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10768C48">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5</w:t>
                  </w:r>
                </w:p>
              </w:tc>
              <w:tc>
                <w:tcPr>
                  <w:tcW w:w="3340" w:type="dxa"/>
                  <w:tcBorders>
                    <w:top w:val="single" w:color="auto" w:sz="4" w:space="0"/>
                    <w:left w:val="single" w:color="auto" w:sz="4" w:space="0"/>
                    <w:bottom w:val="single" w:color="auto" w:sz="4" w:space="0"/>
                    <w:right w:val="single" w:color="auto" w:sz="4" w:space="0"/>
                  </w:tcBorders>
                </w:tcPr>
                <w:p w14:paraId="7C7222B0">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本周期应支付的合同价款</w:t>
                  </w:r>
                </w:p>
              </w:tc>
              <w:tc>
                <w:tcPr>
                  <w:tcW w:w="1340" w:type="dxa"/>
                  <w:tcBorders>
                    <w:top w:val="single" w:color="auto" w:sz="4" w:space="0"/>
                    <w:left w:val="single" w:color="auto" w:sz="4" w:space="0"/>
                    <w:bottom w:val="single" w:color="auto" w:sz="4" w:space="0"/>
                    <w:right w:val="single" w:color="auto" w:sz="4" w:space="0"/>
                  </w:tcBorders>
                </w:tcPr>
                <w:p w14:paraId="1151A7F1">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2A935AB0">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1867950C">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0EAF810E">
                  <w:pPr>
                    <w:pageBreakBefore w:val="0"/>
                    <w:kinsoku/>
                    <w:wordWrap w:val="0"/>
                    <w:topLinePunct w:val="0"/>
                    <w:spacing w:line="280" w:lineRule="exact"/>
                    <w:rPr>
                      <w:rFonts w:ascii="宋体" w:hAnsi="宋体"/>
                      <w:color w:val="auto"/>
                      <w:highlight w:val="none"/>
                    </w:rPr>
                  </w:pPr>
                </w:p>
              </w:tc>
            </w:tr>
            <w:tr w14:paraId="39F4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92CCF9E">
                  <w:pPr>
                    <w:pageBreakBefore w:val="0"/>
                    <w:kinsoku/>
                    <w:wordWrap w:val="0"/>
                    <w:topLinePunct w:val="0"/>
                    <w:spacing w:line="280" w:lineRule="exact"/>
                    <w:jc w:val="center"/>
                    <w:rPr>
                      <w:rFonts w:ascii="宋体" w:hAnsi="宋体"/>
                      <w:color w:val="auto"/>
                      <w:highlight w:val="none"/>
                    </w:rPr>
                  </w:pPr>
                </w:p>
              </w:tc>
              <w:tc>
                <w:tcPr>
                  <w:tcW w:w="3340" w:type="dxa"/>
                  <w:tcBorders>
                    <w:top w:val="single" w:color="auto" w:sz="4" w:space="0"/>
                    <w:left w:val="single" w:color="auto" w:sz="4" w:space="0"/>
                    <w:bottom w:val="single" w:color="auto" w:sz="4" w:space="0"/>
                    <w:right w:val="single" w:color="auto" w:sz="4" w:space="0"/>
                  </w:tcBorders>
                </w:tcPr>
                <w:p w14:paraId="7136EF82">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其中：人工费</w:t>
                  </w:r>
                </w:p>
              </w:tc>
              <w:tc>
                <w:tcPr>
                  <w:tcW w:w="1340" w:type="dxa"/>
                  <w:tcBorders>
                    <w:top w:val="single" w:color="auto" w:sz="4" w:space="0"/>
                    <w:left w:val="single" w:color="auto" w:sz="4" w:space="0"/>
                    <w:bottom w:val="single" w:color="auto" w:sz="4" w:space="0"/>
                    <w:right w:val="single" w:color="auto" w:sz="4" w:space="0"/>
                  </w:tcBorders>
                </w:tcPr>
                <w:p w14:paraId="03BE606B">
                  <w:pPr>
                    <w:pageBreakBefore w:val="0"/>
                    <w:kinsoku/>
                    <w:wordWrap w:val="0"/>
                    <w:topLinePunct w:val="0"/>
                    <w:spacing w:line="280" w:lineRule="exact"/>
                    <w:rPr>
                      <w:rFonts w:ascii="宋体" w:hAnsi="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tcPr>
                <w:p w14:paraId="591FB3B7">
                  <w:pPr>
                    <w:pageBreakBefore w:val="0"/>
                    <w:kinsoku/>
                    <w:wordWrap w:val="0"/>
                    <w:topLinePunct w:val="0"/>
                    <w:spacing w:line="280" w:lineRule="exact"/>
                    <w:rPr>
                      <w:rFonts w:ascii="宋体" w:hAnsi="宋体"/>
                      <w:color w:val="auto"/>
                      <w:highlight w:val="none"/>
                    </w:rPr>
                  </w:pPr>
                </w:p>
              </w:tc>
              <w:tc>
                <w:tcPr>
                  <w:tcW w:w="1260" w:type="dxa"/>
                  <w:tcBorders>
                    <w:top w:val="single" w:color="auto" w:sz="4" w:space="0"/>
                    <w:left w:val="single" w:color="auto" w:sz="4" w:space="0"/>
                    <w:bottom w:val="single" w:color="auto" w:sz="4" w:space="0"/>
                    <w:right w:val="single" w:color="auto" w:sz="4" w:space="0"/>
                  </w:tcBorders>
                </w:tcPr>
                <w:p w14:paraId="02E64460">
                  <w:pPr>
                    <w:pageBreakBefore w:val="0"/>
                    <w:kinsoku/>
                    <w:wordWrap w:val="0"/>
                    <w:topLinePunct w:val="0"/>
                    <w:spacing w:line="280" w:lineRule="exact"/>
                    <w:rPr>
                      <w:rFonts w:ascii="宋体" w:hAnsi="宋体"/>
                      <w:color w:val="auto"/>
                      <w:highlight w:val="none"/>
                    </w:rPr>
                  </w:pPr>
                </w:p>
              </w:tc>
              <w:tc>
                <w:tcPr>
                  <w:tcW w:w="931" w:type="dxa"/>
                  <w:tcBorders>
                    <w:top w:val="single" w:color="auto" w:sz="4" w:space="0"/>
                    <w:left w:val="single" w:color="auto" w:sz="4" w:space="0"/>
                    <w:bottom w:val="single" w:color="auto" w:sz="4" w:space="0"/>
                    <w:right w:val="single" w:color="auto" w:sz="4" w:space="0"/>
                  </w:tcBorders>
                </w:tcPr>
                <w:p w14:paraId="47A823A5">
                  <w:pPr>
                    <w:pageBreakBefore w:val="0"/>
                    <w:kinsoku/>
                    <w:wordWrap w:val="0"/>
                    <w:topLinePunct w:val="0"/>
                    <w:spacing w:line="280" w:lineRule="exact"/>
                    <w:rPr>
                      <w:rFonts w:ascii="宋体" w:hAnsi="宋体"/>
                      <w:color w:val="auto"/>
                      <w:highlight w:val="none"/>
                    </w:rPr>
                  </w:pPr>
                </w:p>
              </w:tc>
            </w:tr>
          </w:tbl>
          <w:p w14:paraId="456122B6">
            <w:pPr>
              <w:pageBreakBefore w:val="0"/>
              <w:kinsoku/>
              <w:wordWrap w:val="0"/>
              <w:topLinePunct w:val="0"/>
              <w:spacing w:line="400" w:lineRule="exact"/>
              <w:ind w:right="420"/>
              <w:rPr>
                <w:rFonts w:ascii="宋体" w:hAnsi="宋体"/>
                <w:color w:val="auto"/>
                <w:highlight w:val="none"/>
              </w:rPr>
            </w:pPr>
            <w:r>
              <w:rPr>
                <w:rFonts w:hint="eastAsia" w:ascii="宋体" w:hAnsi="宋体"/>
                <w:color w:val="auto"/>
                <w:highlight w:val="none"/>
              </w:rPr>
              <w:t>附：上述</w:t>
            </w: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4</w:t>
            </w:r>
            <w:r>
              <w:rPr>
                <w:rFonts w:hint="eastAsia" w:ascii="宋体" w:hAnsi="宋体"/>
                <w:color w:val="auto"/>
                <w:highlight w:val="none"/>
              </w:rPr>
              <w:t>详见附件清单。</w:t>
            </w:r>
          </w:p>
          <w:p w14:paraId="28F22F64">
            <w:pPr>
              <w:pageBreakBefore w:val="0"/>
              <w:kinsoku/>
              <w:wordWrap w:val="0"/>
              <w:topLinePunct w:val="0"/>
              <w:spacing w:line="400" w:lineRule="exact"/>
              <w:ind w:right="420"/>
              <w:rPr>
                <w:rFonts w:ascii="宋体" w:hAnsi="宋体"/>
                <w:color w:val="auto"/>
                <w:highlight w:val="none"/>
              </w:rPr>
            </w:pPr>
            <w:r>
              <w:rPr>
                <w:rFonts w:hint="eastAsia" w:ascii="宋体" w:hAnsi="宋体"/>
                <w:color w:val="auto"/>
                <w:highlight w:val="none"/>
              </w:rPr>
              <w:t>承包人（章）</w:t>
            </w:r>
          </w:p>
          <w:p w14:paraId="630F7A8A">
            <w:pPr>
              <w:pageBreakBefore w:val="0"/>
              <w:kinsoku/>
              <w:wordWrap w:val="0"/>
              <w:topLinePunct w:val="0"/>
              <w:spacing w:line="400" w:lineRule="exact"/>
              <w:ind w:right="420" w:firstLine="435"/>
              <w:rPr>
                <w:rFonts w:ascii="宋体" w:hAnsi="宋体"/>
                <w:color w:val="auto"/>
                <w:highlight w:val="none"/>
              </w:rPr>
            </w:pPr>
            <w:r>
              <w:rPr>
                <w:rFonts w:hint="eastAsia" w:ascii="宋体" w:hAnsi="宋体"/>
                <w:color w:val="auto"/>
                <w:highlight w:val="none"/>
              </w:rPr>
              <w:t>造价人员承包人代表日期</w:t>
            </w:r>
          </w:p>
        </w:tc>
      </w:tr>
      <w:tr w14:paraId="2326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33F53ACA">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7EB42DB5">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□与实际施工情况不相符，修改意见见附件。</w:t>
            </w:r>
          </w:p>
          <w:p w14:paraId="5A2FA3DF">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□与实际施工情况相符，具体金额由造价工程师复核。</w:t>
            </w:r>
          </w:p>
          <w:p w14:paraId="3D559D6A">
            <w:pPr>
              <w:pageBreakBefore w:val="0"/>
              <w:kinsoku/>
              <w:wordWrap w:val="0"/>
              <w:topLinePunct w:val="0"/>
              <w:spacing w:line="360" w:lineRule="exact"/>
              <w:ind w:firstLine="435"/>
              <w:jc w:val="right"/>
              <w:rPr>
                <w:rFonts w:ascii="宋体" w:hAnsi="宋体"/>
                <w:color w:val="auto"/>
                <w:highlight w:val="none"/>
              </w:rPr>
            </w:pPr>
          </w:p>
          <w:p w14:paraId="1269DF0C">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监理工程师</w:t>
            </w:r>
          </w:p>
          <w:p w14:paraId="7D2BF5D6">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c>
          <w:tcPr>
            <w:tcW w:w="4552" w:type="dxa"/>
            <w:tcBorders>
              <w:left w:val="nil"/>
            </w:tcBorders>
          </w:tcPr>
          <w:p w14:paraId="7305B9E6">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129BFDA3">
            <w:pPr>
              <w:pageBreakBefore w:val="0"/>
              <w:kinsoku/>
              <w:wordWrap w:val="0"/>
              <w:topLinePunct w:val="0"/>
              <w:spacing w:line="360" w:lineRule="exact"/>
              <w:ind w:firstLine="435"/>
              <w:rPr>
                <w:rFonts w:ascii="宋体" w:hAnsi="宋体"/>
                <w:color w:val="auto"/>
                <w:highlight w:val="none"/>
              </w:rPr>
            </w:pPr>
            <w:r>
              <w:rPr>
                <w:rFonts w:hint="eastAsia" w:ascii="宋体" w:hAnsi="宋体"/>
                <w:color w:val="auto"/>
                <w:highlight w:val="none"/>
              </w:rPr>
              <w:t>你方提出的支付申请经复核，本周期已完成工程价款为</w:t>
            </w:r>
            <w:r>
              <w:rPr>
                <w:rFonts w:ascii="宋体" w:hAnsi="宋体"/>
                <w:color w:val="auto"/>
                <w:highlight w:val="none"/>
              </w:rPr>
              <w:t>(</w:t>
            </w:r>
            <w:r>
              <w:rPr>
                <w:rFonts w:hint="eastAsia" w:ascii="宋体" w:hAnsi="宋体"/>
                <w:color w:val="auto"/>
                <w:highlight w:val="none"/>
              </w:rPr>
              <w:t>大写</w:t>
            </w:r>
            <w:r>
              <w:rPr>
                <w:rFonts w:ascii="宋体" w:hAnsi="宋体"/>
                <w:color w:val="auto"/>
                <w:highlight w:val="none"/>
              </w:rPr>
              <w:t>)</w:t>
            </w:r>
            <w:r>
              <w:rPr>
                <w:rFonts w:hint="eastAsia" w:ascii="宋体" w:hAnsi="宋体"/>
                <w:color w:val="auto"/>
                <w:highlight w:val="none"/>
              </w:rPr>
              <w:t>元，（小写）</w:t>
            </w:r>
          </w:p>
          <w:p w14:paraId="0B791BF1">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元，本期间应支付金额为（大写）</w:t>
            </w:r>
          </w:p>
          <w:p w14:paraId="7C1351EA">
            <w:pPr>
              <w:pageBreakBefore w:val="0"/>
              <w:kinsoku/>
              <w:wordWrap w:val="0"/>
              <w:topLinePunct w:val="0"/>
              <w:spacing w:line="360" w:lineRule="exact"/>
              <w:rPr>
                <w:rFonts w:ascii="宋体" w:hAnsi="宋体"/>
                <w:color w:val="auto"/>
                <w:highlight w:val="none"/>
                <w:u w:val="single"/>
              </w:rPr>
            </w:pPr>
            <w:r>
              <w:rPr>
                <w:rFonts w:hint="eastAsia" w:ascii="宋体" w:hAnsi="宋体"/>
                <w:color w:val="auto"/>
                <w:highlight w:val="none"/>
              </w:rPr>
              <w:t>元，（小写）元。</w:t>
            </w:r>
          </w:p>
          <w:p w14:paraId="270A17CD">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造价工程师</w:t>
            </w:r>
          </w:p>
          <w:p w14:paraId="734DD3DB">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r>
      <w:tr w14:paraId="12A0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59D94585">
            <w:pPr>
              <w:pageBreakBefore w:val="0"/>
              <w:kinsoku/>
              <w:wordWrap w:val="0"/>
              <w:topLinePunct w:val="0"/>
              <w:spacing w:line="400" w:lineRule="exact"/>
              <w:rPr>
                <w:rFonts w:ascii="宋体" w:hAnsi="宋体"/>
                <w:color w:val="auto"/>
                <w:highlight w:val="none"/>
              </w:rPr>
            </w:pPr>
            <w:r>
              <w:rPr>
                <w:rFonts w:hint="eastAsia" w:ascii="宋体" w:hAnsi="宋体"/>
                <w:color w:val="auto"/>
                <w:highlight w:val="none"/>
              </w:rPr>
              <w:t>审核意见：</w:t>
            </w:r>
          </w:p>
          <w:p w14:paraId="02A03F9A">
            <w:pPr>
              <w:pageBreakBefore w:val="0"/>
              <w:kinsoku/>
              <w:wordWrap w:val="0"/>
              <w:topLinePunct w:val="0"/>
              <w:spacing w:line="400" w:lineRule="exact"/>
              <w:ind w:firstLine="435"/>
              <w:rPr>
                <w:rFonts w:ascii="宋体" w:hAnsi="宋体"/>
                <w:color w:val="auto"/>
                <w:highlight w:val="none"/>
              </w:rPr>
            </w:pPr>
            <w:r>
              <w:rPr>
                <w:rFonts w:hint="eastAsia" w:ascii="宋体" w:hAnsi="宋体"/>
                <w:color w:val="auto"/>
                <w:highlight w:val="none"/>
              </w:rPr>
              <w:t>□不同意。</w:t>
            </w:r>
          </w:p>
          <w:p w14:paraId="1BC5C4E6">
            <w:pPr>
              <w:pageBreakBefore w:val="0"/>
              <w:kinsoku/>
              <w:wordWrap w:val="0"/>
              <w:topLinePunct w:val="0"/>
              <w:spacing w:line="400" w:lineRule="exact"/>
              <w:ind w:firstLine="420" w:firstLineChars="200"/>
              <w:rPr>
                <w:rFonts w:ascii="宋体" w:hAnsi="宋体"/>
                <w:color w:val="auto"/>
                <w:highlight w:val="none"/>
              </w:rPr>
            </w:pPr>
            <w:r>
              <w:rPr>
                <w:rFonts w:hint="eastAsia" w:ascii="宋体" w:hAnsi="宋体"/>
                <w:color w:val="auto"/>
                <w:highlight w:val="none"/>
              </w:rPr>
              <w:t>□同意，支付时间为本表签发后的</w:t>
            </w:r>
            <w:r>
              <w:rPr>
                <w:rFonts w:ascii="宋体" w:hAnsi="宋体"/>
                <w:color w:val="auto"/>
                <w:highlight w:val="none"/>
              </w:rPr>
              <w:t>15</w:t>
            </w:r>
            <w:r>
              <w:rPr>
                <w:rFonts w:hint="eastAsia" w:ascii="宋体" w:hAnsi="宋体"/>
                <w:color w:val="auto"/>
                <w:highlight w:val="none"/>
              </w:rPr>
              <w:t>天内。</w:t>
            </w:r>
          </w:p>
          <w:p w14:paraId="70FAE309">
            <w:pPr>
              <w:pageBreakBefore w:val="0"/>
              <w:kinsoku/>
              <w:wordWrap w:val="0"/>
              <w:topLinePunct w:val="0"/>
              <w:spacing w:line="400" w:lineRule="exact"/>
              <w:ind w:firstLine="420" w:firstLineChars="200"/>
              <w:jc w:val="right"/>
              <w:rPr>
                <w:rFonts w:ascii="宋体" w:hAnsi="宋体"/>
                <w:color w:val="auto"/>
                <w:highlight w:val="none"/>
              </w:rPr>
            </w:pPr>
            <w:r>
              <w:rPr>
                <w:rFonts w:hint="eastAsia" w:ascii="宋体" w:hAnsi="宋体"/>
                <w:color w:val="auto"/>
                <w:highlight w:val="none"/>
              </w:rPr>
              <w:t>发包人（章）</w:t>
            </w:r>
          </w:p>
          <w:p w14:paraId="5A91A4D3">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发包人代表</w:t>
            </w:r>
          </w:p>
          <w:p w14:paraId="03632365">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日期</w:t>
            </w:r>
          </w:p>
        </w:tc>
      </w:tr>
    </w:tbl>
    <w:p w14:paraId="33E09882">
      <w:pPr>
        <w:pageBreakBefore w:val="0"/>
        <w:kinsoku/>
        <w:wordWrap w:val="0"/>
        <w:topLinePunct w:val="0"/>
        <w:spacing w:beforeLines="50"/>
        <w:ind w:firstLine="360" w:firstLineChars="200"/>
        <w:rPr>
          <w:rFonts w:ascii="宋体" w:hAnsi="宋体"/>
          <w:color w:val="auto"/>
          <w:sz w:val="18"/>
          <w:szCs w:val="18"/>
          <w:highlight w:val="none"/>
        </w:rPr>
      </w:pPr>
      <w:r>
        <w:rPr>
          <w:rFonts w:hint="eastAsia" w:ascii="宋体" w:hAnsi="宋体"/>
          <w:color w:val="auto"/>
          <w:sz w:val="18"/>
          <w:szCs w:val="18"/>
          <w:highlight w:val="none"/>
        </w:rPr>
        <w:t>注：</w:t>
      </w:r>
      <w:r>
        <w:rPr>
          <w:rFonts w:ascii="宋体" w:hAnsi="宋体"/>
          <w:color w:val="auto"/>
          <w:sz w:val="18"/>
          <w:szCs w:val="18"/>
          <w:highlight w:val="none"/>
        </w:rPr>
        <w:t>1.</w:t>
      </w:r>
      <w:r>
        <w:rPr>
          <w:rFonts w:hint="eastAsia" w:ascii="宋体" w:hAnsi="宋体"/>
          <w:color w:val="auto"/>
          <w:sz w:val="18"/>
          <w:szCs w:val="18"/>
          <w:highlight w:val="none"/>
        </w:rPr>
        <w:t>在选择栏中的“□”内作标识“√”。</w:t>
      </w:r>
    </w:p>
    <w:p w14:paraId="3DF9C64B">
      <w:pPr>
        <w:pageBreakBefore w:val="0"/>
        <w:kinsoku/>
        <w:wordWrap w:val="0"/>
        <w:topLinePunct w:val="0"/>
        <w:spacing w:beforeLines="50"/>
        <w:ind w:left="720" w:hanging="720" w:hangingChars="400"/>
        <w:rPr>
          <w:rFonts w:ascii="宋体" w:hAnsi="宋体"/>
          <w:color w:val="auto"/>
          <w:sz w:val="18"/>
          <w:szCs w:val="18"/>
          <w:highlight w:val="none"/>
        </w:rPr>
      </w:pPr>
      <w:r>
        <w:rPr>
          <w:rFonts w:ascii="宋体" w:hAnsi="宋体"/>
          <w:color w:val="auto"/>
          <w:sz w:val="18"/>
          <w:szCs w:val="18"/>
          <w:highlight w:val="none"/>
        </w:rPr>
        <w:t xml:space="preserve">        2.</w:t>
      </w:r>
      <w:r>
        <w:rPr>
          <w:rFonts w:hint="eastAsia" w:ascii="宋体" w:hAnsi="宋体"/>
          <w:color w:val="auto"/>
          <w:sz w:val="18"/>
          <w:szCs w:val="18"/>
          <w:highlight w:val="none"/>
        </w:rPr>
        <w:t>本表一式四份，由承包人填报，发包人、监理人、造价咨询人、承包人各存一份。</w:t>
      </w:r>
    </w:p>
    <w:p w14:paraId="4192B943">
      <w:pPr>
        <w:pageBreakBefore w:val="0"/>
        <w:kinsoku/>
        <w:wordWrap w:val="0"/>
        <w:topLinePunct w:val="0"/>
        <w:rPr>
          <w:rFonts w:ascii="宋体" w:hAnsi="宋体"/>
          <w:color w:val="auto"/>
          <w:sz w:val="18"/>
          <w:szCs w:val="18"/>
          <w:highlight w:val="none"/>
        </w:rPr>
      </w:pPr>
      <w:r>
        <w:rPr>
          <w:rFonts w:hint="eastAsia" w:ascii="宋体" w:hAnsi="宋体"/>
          <w:color w:val="auto"/>
          <w:sz w:val="18"/>
          <w:szCs w:val="18"/>
          <w:highlight w:val="none"/>
        </w:rPr>
        <w:br w:type="page"/>
      </w:r>
    </w:p>
    <w:p w14:paraId="7329F67A">
      <w:pPr>
        <w:pageBreakBefore w:val="0"/>
        <w:kinsoku/>
        <w:wordWrap w:val="0"/>
        <w:topLinePunct w:val="0"/>
        <w:spacing w:beforeLines="50"/>
        <w:ind w:left="1200" w:hanging="1200" w:hangingChars="400"/>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12</w:t>
      </w:r>
    </w:p>
    <w:p w14:paraId="4D38C2F5">
      <w:pPr>
        <w:pageBreakBefore w:val="0"/>
        <w:kinsoku/>
        <w:wordWrap w:val="0"/>
        <w:topLinePunct w:val="0"/>
        <w:jc w:val="center"/>
        <w:rPr>
          <w:rFonts w:ascii="宋体" w:hAnsi="宋体"/>
          <w:b/>
          <w:bCs/>
          <w:color w:val="auto"/>
          <w:sz w:val="36"/>
          <w:szCs w:val="36"/>
          <w:highlight w:val="none"/>
        </w:rPr>
      </w:pPr>
      <w:r>
        <w:rPr>
          <w:rFonts w:hint="eastAsia" w:ascii="宋体" w:hAnsi="宋体"/>
          <w:b/>
          <w:bCs/>
          <w:color w:val="auto"/>
          <w:sz w:val="36"/>
          <w:szCs w:val="36"/>
          <w:highlight w:val="none"/>
        </w:rPr>
        <w:t>竣工结算款支付申请（核准）表</w:t>
      </w:r>
    </w:p>
    <w:p w14:paraId="1C5C344F">
      <w:pPr>
        <w:pageBreakBefore w:val="0"/>
        <w:kinsoku/>
        <w:wordWrap w:val="0"/>
        <w:topLinePunct w:val="0"/>
        <w:rPr>
          <w:rFonts w:ascii="宋体" w:hAnsi="宋体"/>
          <w:color w:val="auto"/>
          <w:sz w:val="24"/>
          <w:szCs w:val="24"/>
          <w:highlight w:val="none"/>
        </w:rPr>
      </w:pPr>
      <w:r>
        <w:rPr>
          <w:rFonts w:hint="eastAsia" w:ascii="宋体" w:hAnsi="宋体"/>
          <w:color w:val="auto"/>
          <w:sz w:val="24"/>
          <w:szCs w:val="24"/>
          <w:highlight w:val="none"/>
        </w:rPr>
        <w:t>工程名称：编号：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42B2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Pr>
          <w:p w14:paraId="7B0D2468">
            <w:pPr>
              <w:pageBreakBefore w:val="0"/>
              <w:kinsoku/>
              <w:wordWrap w:val="0"/>
              <w:topLinePunct w:val="0"/>
              <w:spacing w:line="480" w:lineRule="exact"/>
              <w:ind w:left="525" w:leftChars="149" w:hanging="212" w:hangingChars="101"/>
              <w:rPr>
                <w:rFonts w:ascii="宋体" w:hAnsi="宋体"/>
                <w:color w:val="auto"/>
                <w:highlight w:val="none"/>
                <w:u w:val="single"/>
              </w:rPr>
            </w:pPr>
            <w:r>
              <w:rPr>
                <w:rFonts w:hint="eastAsia" w:ascii="宋体" w:hAnsi="宋体"/>
                <w:color w:val="auto"/>
                <w:highlight w:val="none"/>
              </w:rPr>
              <w:t>致：</w:t>
            </w:r>
            <w:r>
              <w:rPr>
                <w:rFonts w:hint="eastAsia" w:ascii="宋体" w:hAnsi="宋体"/>
                <w:color w:val="auto"/>
                <w:highlight w:val="none"/>
                <w:u w:val="single"/>
              </w:rPr>
              <w:t>（发包人全称）</w:t>
            </w:r>
          </w:p>
          <w:p w14:paraId="54D4BF40">
            <w:pPr>
              <w:pageBreakBefore w:val="0"/>
              <w:kinsoku/>
              <w:wordWrap w:val="0"/>
              <w:topLinePunct w:val="0"/>
              <w:spacing w:line="400" w:lineRule="exact"/>
              <w:ind w:left="-4" w:leftChars="-2" w:firstLine="315" w:firstLineChars="150"/>
              <w:rPr>
                <w:rFonts w:ascii="宋体" w:hAnsi="宋体"/>
                <w:color w:val="auto"/>
                <w:highlight w:val="none"/>
              </w:rPr>
            </w:pPr>
            <w:r>
              <w:rPr>
                <w:rFonts w:hint="eastAsia" w:ascii="宋体" w:hAnsi="宋体"/>
                <w:color w:val="auto"/>
                <w:highlight w:val="none"/>
              </w:rPr>
              <w:t>我方于至期间已完成了合同约定的工作，根据施工合同的约定，现申请支付竣工结算的工程款额为</w:t>
            </w:r>
            <w:r>
              <w:rPr>
                <w:rFonts w:ascii="宋体" w:hAnsi="宋体"/>
                <w:color w:val="auto"/>
                <w:highlight w:val="none"/>
              </w:rPr>
              <w:t>(</w:t>
            </w:r>
            <w:r>
              <w:rPr>
                <w:rFonts w:hint="eastAsia" w:ascii="宋体" w:hAnsi="宋体"/>
                <w:color w:val="auto"/>
                <w:highlight w:val="none"/>
              </w:rPr>
              <w:t>大写</w:t>
            </w:r>
            <w:r>
              <w:rPr>
                <w:rFonts w:ascii="宋体" w:hAnsi="宋体"/>
                <w:color w:val="auto"/>
                <w:highlight w:val="none"/>
              </w:rPr>
              <w:t>)</w:t>
            </w:r>
            <w:r>
              <w:rPr>
                <w:rFonts w:hint="eastAsia" w:ascii="宋体" w:hAnsi="宋体"/>
                <w:color w:val="auto"/>
                <w:highlight w:val="none"/>
              </w:rPr>
              <w:t>元，</w:t>
            </w:r>
            <w:r>
              <w:rPr>
                <w:rFonts w:ascii="宋体" w:hAnsi="宋体"/>
                <w:color w:val="auto"/>
                <w:highlight w:val="none"/>
              </w:rPr>
              <w:t>(</w:t>
            </w:r>
            <w:r>
              <w:rPr>
                <w:rFonts w:hint="eastAsia" w:ascii="宋体" w:hAnsi="宋体"/>
                <w:color w:val="auto"/>
                <w:highlight w:val="none"/>
              </w:rPr>
              <w:t>小写</w:t>
            </w:r>
            <w:r>
              <w:rPr>
                <w:rFonts w:ascii="宋体" w:hAnsi="宋体"/>
                <w:color w:val="auto"/>
                <w:highlight w:val="none"/>
              </w:rPr>
              <w:t>)</w:t>
            </w:r>
            <w:r>
              <w:rPr>
                <w:rFonts w:hint="eastAsia" w:ascii="宋体" w:hAnsi="宋体"/>
                <w:color w:val="auto"/>
                <w:highlight w:val="none"/>
              </w:rPr>
              <w:t>元，请予核准。</w:t>
            </w:r>
          </w:p>
          <w:tbl>
            <w:tblPr>
              <w:tblStyle w:val="48"/>
              <w:tblW w:w="8846"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62FE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3FF9EEDD">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序号</w:t>
                  </w:r>
                </w:p>
              </w:tc>
              <w:tc>
                <w:tcPr>
                  <w:tcW w:w="3420" w:type="dxa"/>
                  <w:tcBorders>
                    <w:top w:val="single" w:color="auto" w:sz="4" w:space="0"/>
                    <w:left w:val="single" w:color="auto" w:sz="4" w:space="0"/>
                    <w:bottom w:val="single" w:color="auto" w:sz="4" w:space="0"/>
                    <w:right w:val="single" w:color="auto" w:sz="4" w:space="0"/>
                  </w:tcBorders>
                  <w:vAlign w:val="center"/>
                </w:tcPr>
                <w:p w14:paraId="4B95341D">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名称</w:t>
                  </w:r>
                </w:p>
              </w:tc>
              <w:tc>
                <w:tcPr>
                  <w:tcW w:w="1620" w:type="dxa"/>
                  <w:tcBorders>
                    <w:top w:val="single" w:color="auto" w:sz="4" w:space="0"/>
                    <w:left w:val="single" w:color="auto" w:sz="4" w:space="0"/>
                    <w:bottom w:val="single" w:color="auto" w:sz="4" w:space="0"/>
                    <w:right w:val="single" w:color="auto" w:sz="4" w:space="0"/>
                  </w:tcBorders>
                  <w:vAlign w:val="center"/>
                </w:tcPr>
                <w:p w14:paraId="27A5B3D6">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申请金额（元）</w:t>
                  </w:r>
                </w:p>
              </w:tc>
              <w:tc>
                <w:tcPr>
                  <w:tcW w:w="1620" w:type="dxa"/>
                  <w:tcBorders>
                    <w:top w:val="single" w:color="auto" w:sz="4" w:space="0"/>
                    <w:left w:val="single" w:color="auto" w:sz="4" w:space="0"/>
                    <w:bottom w:val="single" w:color="auto" w:sz="4" w:space="0"/>
                    <w:right w:val="single" w:color="auto" w:sz="4" w:space="0"/>
                  </w:tcBorders>
                  <w:vAlign w:val="center"/>
                </w:tcPr>
                <w:p w14:paraId="1B62575E">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复核金额（元）</w:t>
                  </w:r>
                </w:p>
              </w:tc>
              <w:tc>
                <w:tcPr>
                  <w:tcW w:w="1651" w:type="dxa"/>
                  <w:tcBorders>
                    <w:top w:val="single" w:color="auto" w:sz="4" w:space="0"/>
                    <w:left w:val="single" w:color="auto" w:sz="4" w:space="0"/>
                    <w:bottom w:val="single" w:color="auto" w:sz="4" w:space="0"/>
                    <w:right w:val="single" w:color="auto" w:sz="4" w:space="0"/>
                  </w:tcBorders>
                  <w:vAlign w:val="center"/>
                </w:tcPr>
                <w:p w14:paraId="6A8ABC09">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备注</w:t>
                  </w:r>
                </w:p>
              </w:tc>
            </w:tr>
            <w:tr w14:paraId="3A53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E7BA7EC">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1</w:t>
                  </w:r>
                </w:p>
              </w:tc>
              <w:tc>
                <w:tcPr>
                  <w:tcW w:w="3420" w:type="dxa"/>
                  <w:tcBorders>
                    <w:top w:val="single" w:color="auto" w:sz="4" w:space="0"/>
                    <w:left w:val="single" w:color="auto" w:sz="4" w:space="0"/>
                    <w:bottom w:val="single" w:color="auto" w:sz="4" w:space="0"/>
                    <w:right w:val="single" w:color="auto" w:sz="4" w:space="0"/>
                  </w:tcBorders>
                </w:tcPr>
                <w:p w14:paraId="7FB88CB3">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竣工结算合同价款总额</w:t>
                  </w:r>
                </w:p>
              </w:tc>
              <w:tc>
                <w:tcPr>
                  <w:tcW w:w="1620" w:type="dxa"/>
                  <w:tcBorders>
                    <w:top w:val="single" w:color="auto" w:sz="4" w:space="0"/>
                    <w:left w:val="single" w:color="auto" w:sz="4" w:space="0"/>
                    <w:bottom w:val="single" w:color="auto" w:sz="4" w:space="0"/>
                    <w:right w:val="single" w:color="auto" w:sz="4" w:space="0"/>
                  </w:tcBorders>
                </w:tcPr>
                <w:p w14:paraId="3209825F">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6FB0A037">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49A4BE35">
                  <w:pPr>
                    <w:pageBreakBefore w:val="0"/>
                    <w:kinsoku/>
                    <w:wordWrap w:val="0"/>
                    <w:topLinePunct w:val="0"/>
                    <w:spacing w:line="280" w:lineRule="exact"/>
                    <w:rPr>
                      <w:rFonts w:ascii="宋体" w:hAnsi="宋体"/>
                      <w:color w:val="auto"/>
                      <w:highlight w:val="none"/>
                    </w:rPr>
                  </w:pPr>
                </w:p>
              </w:tc>
            </w:tr>
            <w:tr w14:paraId="0E08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F73679D">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2</w:t>
                  </w:r>
                </w:p>
              </w:tc>
              <w:tc>
                <w:tcPr>
                  <w:tcW w:w="3420" w:type="dxa"/>
                  <w:tcBorders>
                    <w:top w:val="single" w:color="auto" w:sz="4" w:space="0"/>
                    <w:left w:val="single" w:color="auto" w:sz="4" w:space="0"/>
                    <w:bottom w:val="single" w:color="auto" w:sz="4" w:space="0"/>
                    <w:right w:val="single" w:color="auto" w:sz="4" w:space="0"/>
                  </w:tcBorders>
                </w:tcPr>
                <w:p w14:paraId="7415D541">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累计已实际支付的合同价款</w:t>
                  </w:r>
                </w:p>
              </w:tc>
              <w:tc>
                <w:tcPr>
                  <w:tcW w:w="1620" w:type="dxa"/>
                  <w:tcBorders>
                    <w:top w:val="single" w:color="auto" w:sz="4" w:space="0"/>
                    <w:left w:val="single" w:color="auto" w:sz="4" w:space="0"/>
                    <w:bottom w:val="single" w:color="auto" w:sz="4" w:space="0"/>
                    <w:right w:val="single" w:color="auto" w:sz="4" w:space="0"/>
                  </w:tcBorders>
                </w:tcPr>
                <w:p w14:paraId="1FB34A4A">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1F88E5F5">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66A96325">
                  <w:pPr>
                    <w:pageBreakBefore w:val="0"/>
                    <w:kinsoku/>
                    <w:wordWrap w:val="0"/>
                    <w:topLinePunct w:val="0"/>
                    <w:spacing w:line="280" w:lineRule="exact"/>
                    <w:rPr>
                      <w:rFonts w:ascii="宋体" w:hAnsi="宋体"/>
                      <w:color w:val="auto"/>
                      <w:highlight w:val="none"/>
                    </w:rPr>
                  </w:pPr>
                </w:p>
              </w:tc>
            </w:tr>
            <w:tr w14:paraId="68C8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175DEF5F">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3</w:t>
                  </w:r>
                </w:p>
              </w:tc>
              <w:tc>
                <w:tcPr>
                  <w:tcW w:w="3420" w:type="dxa"/>
                  <w:tcBorders>
                    <w:top w:val="single" w:color="auto" w:sz="4" w:space="0"/>
                    <w:left w:val="single" w:color="auto" w:sz="4" w:space="0"/>
                    <w:bottom w:val="single" w:color="auto" w:sz="4" w:space="0"/>
                    <w:right w:val="single" w:color="auto" w:sz="4" w:space="0"/>
                  </w:tcBorders>
                </w:tcPr>
                <w:p w14:paraId="5FCD2445">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应预留的质量保证金</w:t>
                  </w:r>
                </w:p>
              </w:tc>
              <w:tc>
                <w:tcPr>
                  <w:tcW w:w="1620" w:type="dxa"/>
                  <w:tcBorders>
                    <w:top w:val="single" w:color="auto" w:sz="4" w:space="0"/>
                    <w:left w:val="single" w:color="auto" w:sz="4" w:space="0"/>
                    <w:bottom w:val="single" w:color="auto" w:sz="4" w:space="0"/>
                    <w:right w:val="single" w:color="auto" w:sz="4" w:space="0"/>
                  </w:tcBorders>
                </w:tcPr>
                <w:p w14:paraId="143B83C8">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17BA38DB">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68714621">
                  <w:pPr>
                    <w:pageBreakBefore w:val="0"/>
                    <w:kinsoku/>
                    <w:wordWrap w:val="0"/>
                    <w:topLinePunct w:val="0"/>
                    <w:spacing w:line="280" w:lineRule="exact"/>
                    <w:rPr>
                      <w:rFonts w:ascii="宋体" w:hAnsi="宋体"/>
                      <w:color w:val="auto"/>
                      <w:highlight w:val="none"/>
                    </w:rPr>
                  </w:pPr>
                </w:p>
              </w:tc>
            </w:tr>
            <w:tr w14:paraId="2939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EF1C341">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4</w:t>
                  </w:r>
                </w:p>
              </w:tc>
              <w:tc>
                <w:tcPr>
                  <w:tcW w:w="3420" w:type="dxa"/>
                  <w:tcBorders>
                    <w:top w:val="single" w:color="auto" w:sz="4" w:space="0"/>
                    <w:left w:val="single" w:color="auto" w:sz="4" w:space="0"/>
                    <w:bottom w:val="single" w:color="auto" w:sz="4" w:space="0"/>
                    <w:right w:val="single" w:color="auto" w:sz="4" w:space="0"/>
                  </w:tcBorders>
                </w:tcPr>
                <w:p w14:paraId="4EF45321">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应支付的竣工结算款金额</w:t>
                  </w:r>
                </w:p>
              </w:tc>
              <w:tc>
                <w:tcPr>
                  <w:tcW w:w="1620" w:type="dxa"/>
                  <w:tcBorders>
                    <w:top w:val="single" w:color="auto" w:sz="4" w:space="0"/>
                    <w:left w:val="single" w:color="auto" w:sz="4" w:space="0"/>
                    <w:bottom w:val="single" w:color="auto" w:sz="4" w:space="0"/>
                    <w:right w:val="single" w:color="auto" w:sz="4" w:space="0"/>
                  </w:tcBorders>
                </w:tcPr>
                <w:p w14:paraId="5468A118">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45006C2E">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673F48FD">
                  <w:pPr>
                    <w:pageBreakBefore w:val="0"/>
                    <w:kinsoku/>
                    <w:wordWrap w:val="0"/>
                    <w:topLinePunct w:val="0"/>
                    <w:spacing w:line="280" w:lineRule="exact"/>
                    <w:rPr>
                      <w:rFonts w:ascii="宋体" w:hAnsi="宋体"/>
                      <w:color w:val="auto"/>
                      <w:highlight w:val="none"/>
                    </w:rPr>
                  </w:pPr>
                </w:p>
              </w:tc>
            </w:tr>
            <w:tr w14:paraId="3D46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B71BDB0">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23C6CBB6">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4CF8AE88">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741DFB1F">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3E9666DD">
                  <w:pPr>
                    <w:pageBreakBefore w:val="0"/>
                    <w:kinsoku/>
                    <w:wordWrap w:val="0"/>
                    <w:topLinePunct w:val="0"/>
                    <w:spacing w:line="280" w:lineRule="exact"/>
                    <w:rPr>
                      <w:rFonts w:ascii="宋体" w:hAnsi="宋体"/>
                      <w:color w:val="auto"/>
                      <w:highlight w:val="none"/>
                    </w:rPr>
                  </w:pPr>
                </w:p>
              </w:tc>
            </w:tr>
            <w:tr w14:paraId="71E1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36F3225">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3BD1289E">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496CAE10">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014F8555">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5BD636E">
                  <w:pPr>
                    <w:pageBreakBefore w:val="0"/>
                    <w:kinsoku/>
                    <w:wordWrap w:val="0"/>
                    <w:topLinePunct w:val="0"/>
                    <w:spacing w:line="280" w:lineRule="exact"/>
                    <w:rPr>
                      <w:rFonts w:ascii="宋体" w:hAnsi="宋体"/>
                      <w:color w:val="auto"/>
                      <w:highlight w:val="none"/>
                    </w:rPr>
                  </w:pPr>
                </w:p>
              </w:tc>
            </w:tr>
            <w:tr w14:paraId="6FF0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7622EBF">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05E952D3">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3B8242A7">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06A9CC61">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D65DC46">
                  <w:pPr>
                    <w:pageBreakBefore w:val="0"/>
                    <w:kinsoku/>
                    <w:wordWrap w:val="0"/>
                    <w:topLinePunct w:val="0"/>
                    <w:spacing w:line="280" w:lineRule="exact"/>
                    <w:rPr>
                      <w:rFonts w:ascii="宋体" w:hAnsi="宋体"/>
                      <w:color w:val="auto"/>
                      <w:highlight w:val="none"/>
                    </w:rPr>
                  </w:pPr>
                </w:p>
              </w:tc>
            </w:tr>
            <w:tr w14:paraId="3931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339121E">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774F4551">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51F3B8D4">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1CAF3F19">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11BB8FC">
                  <w:pPr>
                    <w:pageBreakBefore w:val="0"/>
                    <w:kinsoku/>
                    <w:wordWrap w:val="0"/>
                    <w:topLinePunct w:val="0"/>
                    <w:spacing w:line="280" w:lineRule="exact"/>
                    <w:rPr>
                      <w:rFonts w:ascii="宋体" w:hAnsi="宋体"/>
                      <w:color w:val="auto"/>
                      <w:highlight w:val="none"/>
                    </w:rPr>
                  </w:pPr>
                </w:p>
              </w:tc>
            </w:tr>
            <w:tr w14:paraId="6CE7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865DA2C">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725B40AD">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36E3539A">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0D3AECA5">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0D2003E3">
                  <w:pPr>
                    <w:pageBreakBefore w:val="0"/>
                    <w:kinsoku/>
                    <w:wordWrap w:val="0"/>
                    <w:topLinePunct w:val="0"/>
                    <w:spacing w:line="280" w:lineRule="exact"/>
                    <w:rPr>
                      <w:rFonts w:ascii="宋体" w:hAnsi="宋体"/>
                      <w:color w:val="auto"/>
                      <w:highlight w:val="none"/>
                    </w:rPr>
                  </w:pPr>
                </w:p>
              </w:tc>
            </w:tr>
          </w:tbl>
          <w:p w14:paraId="004D804F">
            <w:pPr>
              <w:pageBreakBefore w:val="0"/>
              <w:kinsoku/>
              <w:wordWrap w:val="0"/>
              <w:topLinePunct w:val="0"/>
              <w:spacing w:line="400" w:lineRule="exact"/>
              <w:ind w:right="420" w:firstLine="435"/>
              <w:jc w:val="center"/>
              <w:rPr>
                <w:rFonts w:ascii="宋体" w:hAnsi="宋体"/>
                <w:color w:val="auto"/>
                <w:highlight w:val="none"/>
              </w:rPr>
            </w:pPr>
          </w:p>
          <w:p w14:paraId="3CE69235">
            <w:pPr>
              <w:pageBreakBefore w:val="0"/>
              <w:kinsoku/>
              <w:wordWrap w:val="0"/>
              <w:topLinePunct w:val="0"/>
              <w:spacing w:line="400" w:lineRule="exact"/>
              <w:ind w:right="420" w:firstLine="435"/>
              <w:jc w:val="center"/>
              <w:rPr>
                <w:rFonts w:ascii="宋体" w:hAnsi="宋体"/>
                <w:color w:val="auto"/>
                <w:highlight w:val="none"/>
              </w:rPr>
            </w:pPr>
            <w:r>
              <w:rPr>
                <w:rFonts w:hint="eastAsia" w:ascii="宋体" w:hAnsi="宋体"/>
                <w:color w:val="auto"/>
                <w:highlight w:val="none"/>
              </w:rPr>
              <w:t>承包人（章）</w:t>
            </w:r>
          </w:p>
          <w:p w14:paraId="43FD892D">
            <w:pPr>
              <w:pageBreakBefore w:val="0"/>
              <w:kinsoku/>
              <w:wordWrap w:val="0"/>
              <w:topLinePunct w:val="0"/>
              <w:spacing w:line="400" w:lineRule="exact"/>
              <w:ind w:right="420" w:firstLine="435"/>
              <w:rPr>
                <w:rFonts w:ascii="宋体" w:hAnsi="宋体"/>
                <w:color w:val="auto"/>
                <w:highlight w:val="none"/>
              </w:rPr>
            </w:pPr>
            <w:r>
              <w:rPr>
                <w:rFonts w:hint="eastAsia" w:ascii="宋体" w:hAnsi="宋体"/>
                <w:color w:val="auto"/>
                <w:highlight w:val="none"/>
              </w:rPr>
              <w:t>造价人员承包人代表日期</w:t>
            </w:r>
          </w:p>
        </w:tc>
      </w:tr>
      <w:tr w14:paraId="263F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Pr>
          <w:p w14:paraId="728B2482">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5168599E">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□与实际施工情况不相符，修改意见见附件。</w:t>
            </w:r>
          </w:p>
          <w:p w14:paraId="63570176">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□与实际施工情况相符，具体金额由造价工程师复核。</w:t>
            </w:r>
          </w:p>
          <w:p w14:paraId="352FD0EF">
            <w:pPr>
              <w:pageBreakBefore w:val="0"/>
              <w:kinsoku/>
              <w:wordWrap w:val="0"/>
              <w:topLinePunct w:val="0"/>
              <w:spacing w:line="360" w:lineRule="exact"/>
              <w:ind w:firstLine="435"/>
              <w:jc w:val="right"/>
              <w:rPr>
                <w:rFonts w:ascii="宋体" w:hAnsi="宋体"/>
                <w:color w:val="auto"/>
                <w:highlight w:val="none"/>
              </w:rPr>
            </w:pPr>
          </w:p>
          <w:p w14:paraId="70BA6CA6">
            <w:pPr>
              <w:pageBreakBefore w:val="0"/>
              <w:kinsoku/>
              <w:wordWrap w:val="0"/>
              <w:topLinePunct w:val="0"/>
              <w:spacing w:line="360" w:lineRule="exact"/>
              <w:ind w:firstLine="435"/>
              <w:jc w:val="right"/>
              <w:rPr>
                <w:rFonts w:ascii="宋体" w:hAnsi="宋体"/>
                <w:color w:val="auto"/>
                <w:highlight w:val="none"/>
              </w:rPr>
            </w:pPr>
          </w:p>
          <w:p w14:paraId="017997F6">
            <w:pPr>
              <w:pageBreakBefore w:val="0"/>
              <w:kinsoku/>
              <w:wordWrap w:val="0"/>
              <w:topLinePunct w:val="0"/>
              <w:spacing w:line="360" w:lineRule="exact"/>
              <w:ind w:firstLine="435"/>
              <w:jc w:val="center"/>
              <w:rPr>
                <w:rFonts w:ascii="宋体" w:hAnsi="宋体"/>
                <w:color w:val="auto"/>
                <w:highlight w:val="none"/>
              </w:rPr>
            </w:pPr>
          </w:p>
          <w:p w14:paraId="448D13BD">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监理工程师</w:t>
            </w:r>
          </w:p>
          <w:p w14:paraId="6D7330AA">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c>
          <w:tcPr>
            <w:tcW w:w="4536" w:type="dxa"/>
            <w:tcBorders>
              <w:left w:val="nil"/>
            </w:tcBorders>
          </w:tcPr>
          <w:p w14:paraId="515A63DF">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46DF30A1">
            <w:pPr>
              <w:pageBreakBefore w:val="0"/>
              <w:kinsoku/>
              <w:wordWrap w:val="0"/>
              <w:topLinePunct w:val="0"/>
              <w:spacing w:line="360" w:lineRule="exact"/>
              <w:ind w:firstLine="435"/>
              <w:rPr>
                <w:rFonts w:ascii="宋体" w:hAnsi="宋体"/>
                <w:color w:val="auto"/>
                <w:highlight w:val="none"/>
                <w:u w:val="single"/>
              </w:rPr>
            </w:pPr>
            <w:r>
              <w:rPr>
                <w:rFonts w:hint="eastAsia" w:ascii="宋体" w:hAnsi="宋体"/>
                <w:color w:val="auto"/>
                <w:highlight w:val="none"/>
              </w:rPr>
              <w:t>你方提出的竣工结算支付申请经复核，竣工结算款总额为</w:t>
            </w:r>
            <w:r>
              <w:rPr>
                <w:rFonts w:ascii="宋体" w:hAnsi="宋体"/>
                <w:color w:val="auto"/>
                <w:highlight w:val="none"/>
              </w:rPr>
              <w:t>(</w:t>
            </w:r>
            <w:r>
              <w:rPr>
                <w:rFonts w:hint="eastAsia" w:ascii="宋体" w:hAnsi="宋体"/>
                <w:color w:val="auto"/>
                <w:highlight w:val="none"/>
              </w:rPr>
              <w:t>大写</w:t>
            </w:r>
            <w:r>
              <w:rPr>
                <w:rFonts w:ascii="宋体" w:hAnsi="宋体"/>
                <w:color w:val="auto"/>
                <w:highlight w:val="none"/>
              </w:rPr>
              <w:t>)</w:t>
            </w:r>
            <w:r>
              <w:rPr>
                <w:rFonts w:hint="eastAsia" w:ascii="宋体" w:hAnsi="宋体"/>
                <w:color w:val="auto"/>
                <w:highlight w:val="none"/>
              </w:rPr>
              <w:t>元，（小写）元，扣除前期支付以及质量保证金后应支付金额为（大写）元，（小写）元。</w:t>
            </w:r>
          </w:p>
          <w:p w14:paraId="50E490F7">
            <w:pPr>
              <w:pageBreakBefore w:val="0"/>
              <w:kinsoku/>
              <w:wordWrap w:val="0"/>
              <w:topLinePunct w:val="0"/>
              <w:spacing w:line="360" w:lineRule="exact"/>
              <w:ind w:firstLine="435"/>
              <w:jc w:val="center"/>
              <w:rPr>
                <w:rFonts w:ascii="宋体" w:hAnsi="宋体"/>
                <w:color w:val="auto"/>
                <w:highlight w:val="none"/>
              </w:rPr>
            </w:pPr>
          </w:p>
          <w:p w14:paraId="354B2477">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造价工程师</w:t>
            </w:r>
          </w:p>
          <w:p w14:paraId="1C7CE31E">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r>
      <w:tr w14:paraId="40DF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05D452FD">
            <w:pPr>
              <w:pageBreakBefore w:val="0"/>
              <w:kinsoku/>
              <w:wordWrap w:val="0"/>
              <w:topLinePunct w:val="0"/>
              <w:spacing w:line="400" w:lineRule="exact"/>
              <w:rPr>
                <w:rFonts w:ascii="宋体" w:hAnsi="宋体"/>
                <w:color w:val="auto"/>
                <w:highlight w:val="none"/>
              </w:rPr>
            </w:pPr>
            <w:r>
              <w:rPr>
                <w:rFonts w:hint="eastAsia" w:ascii="宋体" w:hAnsi="宋体"/>
                <w:color w:val="auto"/>
                <w:highlight w:val="none"/>
              </w:rPr>
              <w:t>审核意见：</w:t>
            </w:r>
          </w:p>
          <w:p w14:paraId="03966895">
            <w:pPr>
              <w:pageBreakBefore w:val="0"/>
              <w:kinsoku/>
              <w:wordWrap w:val="0"/>
              <w:topLinePunct w:val="0"/>
              <w:spacing w:line="400" w:lineRule="exact"/>
              <w:ind w:firstLine="435"/>
              <w:rPr>
                <w:rFonts w:ascii="宋体" w:hAnsi="宋体"/>
                <w:color w:val="auto"/>
                <w:highlight w:val="none"/>
              </w:rPr>
            </w:pPr>
            <w:r>
              <w:rPr>
                <w:rFonts w:hint="eastAsia" w:ascii="宋体" w:hAnsi="宋体"/>
                <w:color w:val="auto"/>
                <w:highlight w:val="none"/>
              </w:rPr>
              <w:t>□不同意。</w:t>
            </w:r>
          </w:p>
          <w:p w14:paraId="0AF37A55">
            <w:pPr>
              <w:pageBreakBefore w:val="0"/>
              <w:kinsoku/>
              <w:wordWrap w:val="0"/>
              <w:topLinePunct w:val="0"/>
              <w:spacing w:line="400" w:lineRule="exact"/>
              <w:ind w:firstLine="420" w:firstLineChars="200"/>
              <w:rPr>
                <w:rFonts w:ascii="宋体" w:hAnsi="宋体"/>
                <w:color w:val="auto"/>
                <w:highlight w:val="none"/>
              </w:rPr>
            </w:pPr>
            <w:r>
              <w:rPr>
                <w:rFonts w:hint="eastAsia" w:ascii="宋体" w:hAnsi="宋体"/>
                <w:color w:val="auto"/>
                <w:highlight w:val="none"/>
              </w:rPr>
              <w:t>□同意，支付时间为本表签发后的</w:t>
            </w:r>
            <w:r>
              <w:rPr>
                <w:rFonts w:ascii="宋体" w:hAnsi="宋体"/>
                <w:color w:val="auto"/>
                <w:highlight w:val="none"/>
              </w:rPr>
              <w:t>15</w:t>
            </w:r>
            <w:r>
              <w:rPr>
                <w:rFonts w:hint="eastAsia" w:ascii="宋体" w:hAnsi="宋体"/>
                <w:color w:val="auto"/>
                <w:highlight w:val="none"/>
              </w:rPr>
              <w:t>天内。</w:t>
            </w:r>
          </w:p>
          <w:p w14:paraId="485675BF">
            <w:pPr>
              <w:pageBreakBefore w:val="0"/>
              <w:kinsoku/>
              <w:wordWrap w:val="0"/>
              <w:topLinePunct w:val="0"/>
              <w:spacing w:line="400" w:lineRule="exact"/>
              <w:ind w:firstLine="420" w:firstLineChars="200"/>
              <w:jc w:val="right"/>
              <w:rPr>
                <w:rFonts w:ascii="宋体" w:hAnsi="宋体"/>
                <w:color w:val="auto"/>
                <w:highlight w:val="none"/>
              </w:rPr>
            </w:pPr>
            <w:r>
              <w:rPr>
                <w:rFonts w:hint="eastAsia" w:ascii="宋体" w:hAnsi="宋体"/>
                <w:color w:val="auto"/>
                <w:highlight w:val="none"/>
              </w:rPr>
              <w:t>发包人（章）</w:t>
            </w:r>
          </w:p>
          <w:p w14:paraId="3C62F0DA">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发包人代表</w:t>
            </w:r>
          </w:p>
          <w:p w14:paraId="5DED7F20">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日期</w:t>
            </w:r>
          </w:p>
        </w:tc>
      </w:tr>
    </w:tbl>
    <w:p w14:paraId="02231347">
      <w:pPr>
        <w:pageBreakBefore w:val="0"/>
        <w:kinsoku/>
        <w:wordWrap w:val="0"/>
        <w:topLinePunct w:val="0"/>
        <w:spacing w:beforeLines="50"/>
        <w:ind w:firstLine="360" w:firstLineChars="200"/>
        <w:rPr>
          <w:rFonts w:ascii="宋体" w:hAnsi="宋体"/>
          <w:color w:val="auto"/>
          <w:sz w:val="18"/>
          <w:szCs w:val="18"/>
          <w:highlight w:val="none"/>
        </w:rPr>
      </w:pPr>
      <w:r>
        <w:rPr>
          <w:rFonts w:hint="eastAsia" w:ascii="宋体" w:hAnsi="宋体"/>
          <w:color w:val="auto"/>
          <w:sz w:val="18"/>
          <w:szCs w:val="18"/>
          <w:highlight w:val="none"/>
        </w:rPr>
        <w:t>注：</w:t>
      </w:r>
      <w:r>
        <w:rPr>
          <w:rFonts w:ascii="宋体" w:hAnsi="宋体"/>
          <w:color w:val="auto"/>
          <w:sz w:val="18"/>
          <w:szCs w:val="18"/>
          <w:highlight w:val="none"/>
        </w:rPr>
        <w:t>1.</w:t>
      </w:r>
      <w:r>
        <w:rPr>
          <w:rFonts w:hint="eastAsia" w:ascii="宋体" w:hAnsi="宋体"/>
          <w:color w:val="auto"/>
          <w:sz w:val="18"/>
          <w:szCs w:val="18"/>
          <w:highlight w:val="none"/>
        </w:rPr>
        <w:t>在选择栏中的“□”内作标识“√”。</w:t>
      </w:r>
    </w:p>
    <w:p w14:paraId="3D6CF001">
      <w:pPr>
        <w:pageBreakBefore w:val="0"/>
        <w:kinsoku/>
        <w:wordWrap w:val="0"/>
        <w:topLinePunct w:val="0"/>
        <w:spacing w:beforeLines="50"/>
        <w:ind w:left="720" w:hanging="720" w:hangingChars="400"/>
        <w:rPr>
          <w:rFonts w:ascii="宋体" w:hAnsi="宋体"/>
          <w:color w:val="auto"/>
          <w:sz w:val="18"/>
          <w:szCs w:val="18"/>
          <w:highlight w:val="none"/>
        </w:rPr>
      </w:pPr>
      <w:r>
        <w:rPr>
          <w:rFonts w:ascii="宋体" w:hAnsi="宋体"/>
          <w:color w:val="auto"/>
          <w:sz w:val="18"/>
          <w:szCs w:val="18"/>
          <w:highlight w:val="none"/>
        </w:rPr>
        <w:t xml:space="preserve">        2.</w:t>
      </w:r>
      <w:r>
        <w:rPr>
          <w:rFonts w:hint="eastAsia" w:ascii="宋体" w:hAnsi="宋体"/>
          <w:color w:val="auto"/>
          <w:sz w:val="18"/>
          <w:szCs w:val="18"/>
          <w:highlight w:val="none"/>
        </w:rPr>
        <w:t>本表一式四份，由承包人填报，发包人、监理人、造价咨询人、承包人各存一份。</w:t>
      </w:r>
    </w:p>
    <w:p w14:paraId="227BAC1D">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5216BFD4">
      <w:pPr>
        <w:pageBreakBefore w:val="0"/>
        <w:kinsoku/>
        <w:wordWrap w:val="0"/>
        <w:topLinePunct w:val="0"/>
        <w:jc w:val="left"/>
        <w:rPr>
          <w:rFonts w:ascii="宋体" w:hAnsi="宋体"/>
          <w:b/>
          <w:bCs/>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13</w:t>
      </w:r>
      <w:r>
        <w:rPr>
          <w:rFonts w:hint="eastAsia" w:ascii="宋体" w:hAnsi="宋体"/>
          <w:color w:val="auto"/>
          <w:sz w:val="30"/>
          <w:szCs w:val="30"/>
          <w:highlight w:val="none"/>
        </w:rPr>
        <w:t>：</w:t>
      </w:r>
    </w:p>
    <w:p w14:paraId="2165B257">
      <w:pPr>
        <w:pageBreakBefore w:val="0"/>
        <w:kinsoku/>
        <w:wordWrap w:val="0"/>
        <w:topLinePunct w:val="0"/>
        <w:jc w:val="center"/>
        <w:rPr>
          <w:rFonts w:ascii="宋体" w:hAnsi="宋体"/>
          <w:b/>
          <w:bCs/>
          <w:color w:val="auto"/>
          <w:sz w:val="36"/>
          <w:szCs w:val="36"/>
          <w:highlight w:val="none"/>
        </w:rPr>
      </w:pPr>
      <w:r>
        <w:rPr>
          <w:rFonts w:hint="eastAsia" w:ascii="宋体" w:hAnsi="宋体"/>
          <w:b/>
          <w:bCs/>
          <w:color w:val="auto"/>
          <w:sz w:val="36"/>
          <w:szCs w:val="36"/>
          <w:highlight w:val="none"/>
        </w:rPr>
        <w:t>最终结算款支付申请（核准）表</w:t>
      </w:r>
    </w:p>
    <w:p w14:paraId="2491E2FA">
      <w:pPr>
        <w:pageBreakBefore w:val="0"/>
        <w:kinsoku/>
        <w:wordWrap w:val="0"/>
        <w:topLinePunct w:val="0"/>
        <w:rPr>
          <w:rFonts w:ascii="宋体" w:hAnsi="宋体"/>
          <w:color w:val="auto"/>
          <w:sz w:val="24"/>
          <w:szCs w:val="24"/>
          <w:highlight w:val="none"/>
        </w:rPr>
      </w:pPr>
      <w:r>
        <w:rPr>
          <w:rFonts w:hint="eastAsia" w:ascii="宋体" w:hAnsi="宋体"/>
          <w:color w:val="auto"/>
          <w:sz w:val="24"/>
          <w:szCs w:val="24"/>
          <w:highlight w:val="none"/>
        </w:rPr>
        <w:t>工程名称：编号：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721A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Pr>
          <w:p w14:paraId="36434314">
            <w:pPr>
              <w:pageBreakBefore w:val="0"/>
              <w:kinsoku/>
              <w:wordWrap w:val="0"/>
              <w:topLinePunct w:val="0"/>
              <w:spacing w:line="480" w:lineRule="exact"/>
              <w:ind w:left="525" w:leftChars="149" w:hanging="212" w:hangingChars="101"/>
              <w:rPr>
                <w:rFonts w:ascii="宋体" w:hAnsi="宋体"/>
                <w:color w:val="auto"/>
                <w:highlight w:val="none"/>
                <w:u w:val="single"/>
              </w:rPr>
            </w:pPr>
            <w:r>
              <w:rPr>
                <w:rFonts w:hint="eastAsia" w:ascii="宋体" w:hAnsi="宋体"/>
                <w:color w:val="auto"/>
                <w:highlight w:val="none"/>
              </w:rPr>
              <w:t>致：</w:t>
            </w:r>
            <w:r>
              <w:rPr>
                <w:rFonts w:hint="eastAsia" w:ascii="宋体" w:hAnsi="宋体"/>
                <w:color w:val="auto"/>
                <w:highlight w:val="none"/>
                <w:u w:val="single"/>
              </w:rPr>
              <w:t>（发包人全称）</w:t>
            </w:r>
          </w:p>
          <w:p w14:paraId="4D53865C">
            <w:pPr>
              <w:pageBreakBefore w:val="0"/>
              <w:kinsoku/>
              <w:wordWrap w:val="0"/>
              <w:topLinePunct w:val="0"/>
              <w:spacing w:line="400" w:lineRule="exact"/>
              <w:ind w:left="-4" w:leftChars="-2" w:firstLine="315" w:firstLineChars="150"/>
              <w:rPr>
                <w:rFonts w:ascii="宋体" w:hAnsi="宋体"/>
                <w:color w:val="auto"/>
                <w:highlight w:val="none"/>
              </w:rPr>
            </w:pPr>
            <w:r>
              <w:rPr>
                <w:rFonts w:hint="eastAsia" w:ascii="宋体" w:hAnsi="宋体"/>
                <w:color w:val="auto"/>
                <w:highlight w:val="none"/>
              </w:rPr>
              <w:t>我方于至期间已完成了缺陷修复工作，根据施工合同的约定，现申请支付最终结清合同款额为</w:t>
            </w:r>
            <w:r>
              <w:rPr>
                <w:rFonts w:ascii="宋体" w:hAnsi="宋体"/>
                <w:color w:val="auto"/>
                <w:highlight w:val="none"/>
              </w:rPr>
              <w:t>(</w:t>
            </w:r>
            <w:r>
              <w:rPr>
                <w:rFonts w:hint="eastAsia" w:ascii="宋体" w:hAnsi="宋体"/>
                <w:color w:val="auto"/>
                <w:highlight w:val="none"/>
              </w:rPr>
              <w:t>大写</w:t>
            </w:r>
            <w:r>
              <w:rPr>
                <w:rFonts w:ascii="宋体" w:hAnsi="宋体"/>
                <w:color w:val="auto"/>
                <w:highlight w:val="none"/>
              </w:rPr>
              <w:t>)</w:t>
            </w:r>
            <w:r>
              <w:rPr>
                <w:rFonts w:hint="eastAsia" w:ascii="宋体" w:hAnsi="宋体"/>
                <w:color w:val="auto"/>
                <w:highlight w:val="none"/>
              </w:rPr>
              <w:t>元，</w:t>
            </w:r>
            <w:r>
              <w:rPr>
                <w:rFonts w:ascii="宋体" w:hAnsi="宋体"/>
                <w:color w:val="auto"/>
                <w:highlight w:val="none"/>
              </w:rPr>
              <w:t>(</w:t>
            </w:r>
            <w:r>
              <w:rPr>
                <w:rFonts w:hint="eastAsia" w:ascii="宋体" w:hAnsi="宋体"/>
                <w:color w:val="auto"/>
                <w:highlight w:val="none"/>
              </w:rPr>
              <w:t>小写</w:t>
            </w:r>
            <w:r>
              <w:rPr>
                <w:rFonts w:ascii="宋体" w:hAnsi="宋体"/>
                <w:color w:val="auto"/>
                <w:highlight w:val="none"/>
              </w:rPr>
              <w:t>)</w:t>
            </w:r>
            <w:r>
              <w:rPr>
                <w:rFonts w:hint="eastAsia" w:ascii="宋体" w:hAnsi="宋体"/>
                <w:color w:val="auto"/>
                <w:highlight w:val="none"/>
              </w:rPr>
              <w:t>元，请予核准。</w:t>
            </w:r>
          </w:p>
          <w:tbl>
            <w:tblPr>
              <w:tblStyle w:val="48"/>
              <w:tblW w:w="8846"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9E2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5DE309F7">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序号</w:t>
                  </w:r>
                </w:p>
              </w:tc>
              <w:tc>
                <w:tcPr>
                  <w:tcW w:w="3420" w:type="dxa"/>
                  <w:tcBorders>
                    <w:top w:val="single" w:color="auto" w:sz="4" w:space="0"/>
                    <w:left w:val="single" w:color="auto" w:sz="4" w:space="0"/>
                    <w:bottom w:val="single" w:color="auto" w:sz="4" w:space="0"/>
                    <w:right w:val="single" w:color="auto" w:sz="4" w:space="0"/>
                  </w:tcBorders>
                  <w:vAlign w:val="center"/>
                </w:tcPr>
                <w:p w14:paraId="32A71CF1">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名称</w:t>
                  </w:r>
                </w:p>
              </w:tc>
              <w:tc>
                <w:tcPr>
                  <w:tcW w:w="1620" w:type="dxa"/>
                  <w:tcBorders>
                    <w:top w:val="single" w:color="auto" w:sz="4" w:space="0"/>
                    <w:left w:val="single" w:color="auto" w:sz="4" w:space="0"/>
                    <w:bottom w:val="single" w:color="auto" w:sz="4" w:space="0"/>
                    <w:right w:val="single" w:color="auto" w:sz="4" w:space="0"/>
                  </w:tcBorders>
                  <w:vAlign w:val="center"/>
                </w:tcPr>
                <w:p w14:paraId="71470230">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申请金额（元）</w:t>
                  </w:r>
                </w:p>
              </w:tc>
              <w:tc>
                <w:tcPr>
                  <w:tcW w:w="1620" w:type="dxa"/>
                  <w:tcBorders>
                    <w:top w:val="single" w:color="auto" w:sz="4" w:space="0"/>
                    <w:left w:val="single" w:color="auto" w:sz="4" w:space="0"/>
                    <w:bottom w:val="single" w:color="auto" w:sz="4" w:space="0"/>
                    <w:right w:val="single" w:color="auto" w:sz="4" w:space="0"/>
                  </w:tcBorders>
                  <w:vAlign w:val="center"/>
                </w:tcPr>
                <w:p w14:paraId="237114C6">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复核金额（元）</w:t>
                  </w:r>
                </w:p>
              </w:tc>
              <w:tc>
                <w:tcPr>
                  <w:tcW w:w="1651" w:type="dxa"/>
                  <w:tcBorders>
                    <w:top w:val="single" w:color="auto" w:sz="4" w:space="0"/>
                    <w:left w:val="single" w:color="auto" w:sz="4" w:space="0"/>
                    <w:bottom w:val="single" w:color="auto" w:sz="4" w:space="0"/>
                    <w:right w:val="single" w:color="auto" w:sz="4" w:space="0"/>
                  </w:tcBorders>
                  <w:vAlign w:val="center"/>
                </w:tcPr>
                <w:p w14:paraId="1CABFD9C">
                  <w:pPr>
                    <w:pageBreakBefore w:val="0"/>
                    <w:kinsoku/>
                    <w:wordWrap w:val="0"/>
                    <w:topLinePunct w:val="0"/>
                    <w:spacing w:line="280" w:lineRule="exact"/>
                    <w:jc w:val="center"/>
                    <w:rPr>
                      <w:rFonts w:ascii="宋体" w:hAnsi="宋体"/>
                      <w:color w:val="auto"/>
                      <w:highlight w:val="none"/>
                    </w:rPr>
                  </w:pPr>
                  <w:r>
                    <w:rPr>
                      <w:rFonts w:hint="eastAsia" w:ascii="宋体" w:hAnsi="宋体"/>
                      <w:color w:val="auto"/>
                      <w:highlight w:val="none"/>
                    </w:rPr>
                    <w:t>备注</w:t>
                  </w:r>
                </w:p>
              </w:tc>
            </w:tr>
            <w:tr w14:paraId="3367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1DAC73F3">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1</w:t>
                  </w:r>
                </w:p>
              </w:tc>
              <w:tc>
                <w:tcPr>
                  <w:tcW w:w="3420" w:type="dxa"/>
                  <w:tcBorders>
                    <w:top w:val="single" w:color="auto" w:sz="4" w:space="0"/>
                    <w:left w:val="single" w:color="auto" w:sz="4" w:space="0"/>
                    <w:bottom w:val="single" w:color="auto" w:sz="4" w:space="0"/>
                    <w:right w:val="single" w:color="auto" w:sz="4" w:space="0"/>
                  </w:tcBorders>
                </w:tcPr>
                <w:p w14:paraId="19DE9E7A">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已预留的质量保证金</w:t>
                  </w:r>
                </w:p>
              </w:tc>
              <w:tc>
                <w:tcPr>
                  <w:tcW w:w="1620" w:type="dxa"/>
                  <w:tcBorders>
                    <w:top w:val="single" w:color="auto" w:sz="4" w:space="0"/>
                    <w:left w:val="single" w:color="auto" w:sz="4" w:space="0"/>
                    <w:bottom w:val="single" w:color="auto" w:sz="4" w:space="0"/>
                    <w:right w:val="single" w:color="auto" w:sz="4" w:space="0"/>
                  </w:tcBorders>
                </w:tcPr>
                <w:p w14:paraId="58476C9B">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26B844D8">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56588314">
                  <w:pPr>
                    <w:pageBreakBefore w:val="0"/>
                    <w:kinsoku/>
                    <w:wordWrap w:val="0"/>
                    <w:topLinePunct w:val="0"/>
                    <w:spacing w:line="280" w:lineRule="exact"/>
                    <w:rPr>
                      <w:rFonts w:ascii="宋体" w:hAnsi="宋体"/>
                      <w:color w:val="auto"/>
                      <w:highlight w:val="none"/>
                    </w:rPr>
                  </w:pPr>
                </w:p>
              </w:tc>
            </w:tr>
            <w:tr w14:paraId="71FF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F5BC6BC">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2</w:t>
                  </w:r>
                </w:p>
              </w:tc>
              <w:tc>
                <w:tcPr>
                  <w:tcW w:w="3420" w:type="dxa"/>
                  <w:tcBorders>
                    <w:top w:val="single" w:color="auto" w:sz="4" w:space="0"/>
                    <w:left w:val="single" w:color="auto" w:sz="4" w:space="0"/>
                    <w:bottom w:val="single" w:color="auto" w:sz="4" w:space="0"/>
                    <w:right w:val="single" w:color="auto" w:sz="4" w:space="0"/>
                  </w:tcBorders>
                </w:tcPr>
                <w:p w14:paraId="12A13528">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tcPr>
                <w:p w14:paraId="0BDE2E29">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33E4C48C">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76CD72DB">
                  <w:pPr>
                    <w:pageBreakBefore w:val="0"/>
                    <w:kinsoku/>
                    <w:wordWrap w:val="0"/>
                    <w:topLinePunct w:val="0"/>
                    <w:spacing w:line="280" w:lineRule="exact"/>
                    <w:rPr>
                      <w:rFonts w:ascii="宋体" w:hAnsi="宋体"/>
                      <w:color w:val="auto"/>
                      <w:highlight w:val="none"/>
                    </w:rPr>
                  </w:pPr>
                </w:p>
              </w:tc>
            </w:tr>
            <w:tr w14:paraId="3713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CDA8597">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3</w:t>
                  </w:r>
                </w:p>
              </w:tc>
              <w:tc>
                <w:tcPr>
                  <w:tcW w:w="3420" w:type="dxa"/>
                  <w:tcBorders>
                    <w:top w:val="single" w:color="auto" w:sz="4" w:space="0"/>
                    <w:left w:val="single" w:color="auto" w:sz="4" w:space="0"/>
                    <w:bottom w:val="single" w:color="auto" w:sz="4" w:space="0"/>
                    <w:right w:val="single" w:color="auto" w:sz="4" w:space="0"/>
                  </w:tcBorders>
                </w:tcPr>
                <w:p w14:paraId="4A6E4A84">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tcPr>
                <w:p w14:paraId="15109E6B">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037E7B72">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5377DD36">
                  <w:pPr>
                    <w:pageBreakBefore w:val="0"/>
                    <w:kinsoku/>
                    <w:wordWrap w:val="0"/>
                    <w:topLinePunct w:val="0"/>
                    <w:spacing w:line="280" w:lineRule="exact"/>
                    <w:rPr>
                      <w:rFonts w:ascii="宋体" w:hAnsi="宋体"/>
                      <w:color w:val="auto"/>
                      <w:highlight w:val="none"/>
                    </w:rPr>
                  </w:pPr>
                </w:p>
              </w:tc>
            </w:tr>
            <w:tr w14:paraId="55DC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F2546A5">
                  <w:pPr>
                    <w:pageBreakBefore w:val="0"/>
                    <w:kinsoku/>
                    <w:wordWrap w:val="0"/>
                    <w:topLinePunct w:val="0"/>
                    <w:spacing w:line="280" w:lineRule="exact"/>
                    <w:jc w:val="center"/>
                    <w:rPr>
                      <w:rFonts w:ascii="宋体" w:hAnsi="宋体"/>
                      <w:color w:val="auto"/>
                      <w:highlight w:val="none"/>
                    </w:rPr>
                  </w:pPr>
                  <w:r>
                    <w:rPr>
                      <w:rFonts w:ascii="宋体" w:hAnsi="宋体"/>
                      <w:color w:val="auto"/>
                      <w:highlight w:val="none"/>
                    </w:rPr>
                    <w:t>4</w:t>
                  </w:r>
                </w:p>
              </w:tc>
              <w:tc>
                <w:tcPr>
                  <w:tcW w:w="3420" w:type="dxa"/>
                  <w:tcBorders>
                    <w:top w:val="single" w:color="auto" w:sz="4" w:space="0"/>
                    <w:left w:val="single" w:color="auto" w:sz="4" w:space="0"/>
                    <w:bottom w:val="single" w:color="auto" w:sz="4" w:space="0"/>
                    <w:right w:val="single" w:color="auto" w:sz="4" w:space="0"/>
                  </w:tcBorders>
                </w:tcPr>
                <w:p w14:paraId="16B9F9A0">
                  <w:pPr>
                    <w:pageBreakBefore w:val="0"/>
                    <w:kinsoku/>
                    <w:wordWrap w:val="0"/>
                    <w:topLinePunct w:val="0"/>
                    <w:spacing w:line="280" w:lineRule="exact"/>
                    <w:rPr>
                      <w:rFonts w:ascii="宋体" w:hAnsi="宋体"/>
                      <w:color w:val="auto"/>
                      <w:highlight w:val="none"/>
                    </w:rPr>
                  </w:pPr>
                  <w:r>
                    <w:rPr>
                      <w:rFonts w:hint="eastAsia" w:ascii="宋体" w:hAnsi="宋体"/>
                      <w:color w:val="auto"/>
                      <w:highlight w:val="none"/>
                    </w:rPr>
                    <w:t>最终应支付的合同价款</w:t>
                  </w:r>
                </w:p>
              </w:tc>
              <w:tc>
                <w:tcPr>
                  <w:tcW w:w="1620" w:type="dxa"/>
                  <w:tcBorders>
                    <w:top w:val="single" w:color="auto" w:sz="4" w:space="0"/>
                    <w:left w:val="single" w:color="auto" w:sz="4" w:space="0"/>
                    <w:bottom w:val="single" w:color="auto" w:sz="4" w:space="0"/>
                    <w:right w:val="single" w:color="auto" w:sz="4" w:space="0"/>
                  </w:tcBorders>
                </w:tcPr>
                <w:p w14:paraId="495962F8">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58C64F6D">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20E117D3">
                  <w:pPr>
                    <w:pageBreakBefore w:val="0"/>
                    <w:kinsoku/>
                    <w:wordWrap w:val="0"/>
                    <w:topLinePunct w:val="0"/>
                    <w:spacing w:line="280" w:lineRule="exact"/>
                    <w:rPr>
                      <w:rFonts w:ascii="宋体" w:hAnsi="宋体"/>
                      <w:color w:val="auto"/>
                      <w:highlight w:val="none"/>
                    </w:rPr>
                  </w:pPr>
                </w:p>
              </w:tc>
            </w:tr>
            <w:tr w14:paraId="2AA3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630BA2C">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006AC50B">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62FFBB2B">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7150C7C9">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343A052A">
                  <w:pPr>
                    <w:pageBreakBefore w:val="0"/>
                    <w:kinsoku/>
                    <w:wordWrap w:val="0"/>
                    <w:topLinePunct w:val="0"/>
                    <w:spacing w:line="280" w:lineRule="exact"/>
                    <w:rPr>
                      <w:rFonts w:ascii="宋体" w:hAnsi="宋体"/>
                      <w:color w:val="auto"/>
                      <w:highlight w:val="none"/>
                    </w:rPr>
                  </w:pPr>
                </w:p>
              </w:tc>
            </w:tr>
            <w:tr w14:paraId="66CD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B910D64">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239C1E1A">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43333141">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269ECB6C">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4FD7371E">
                  <w:pPr>
                    <w:pageBreakBefore w:val="0"/>
                    <w:kinsoku/>
                    <w:wordWrap w:val="0"/>
                    <w:topLinePunct w:val="0"/>
                    <w:spacing w:line="280" w:lineRule="exact"/>
                    <w:rPr>
                      <w:rFonts w:ascii="宋体" w:hAnsi="宋体"/>
                      <w:color w:val="auto"/>
                      <w:highlight w:val="none"/>
                    </w:rPr>
                  </w:pPr>
                </w:p>
              </w:tc>
            </w:tr>
            <w:tr w14:paraId="1C2C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9693509">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1AC425C3">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3E9AFD61">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440A810F">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6CA9302C">
                  <w:pPr>
                    <w:pageBreakBefore w:val="0"/>
                    <w:kinsoku/>
                    <w:wordWrap w:val="0"/>
                    <w:topLinePunct w:val="0"/>
                    <w:spacing w:line="280" w:lineRule="exact"/>
                    <w:rPr>
                      <w:rFonts w:ascii="宋体" w:hAnsi="宋体"/>
                      <w:color w:val="auto"/>
                      <w:highlight w:val="none"/>
                    </w:rPr>
                  </w:pPr>
                </w:p>
              </w:tc>
            </w:tr>
            <w:tr w14:paraId="1FD6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96FF9E0">
                  <w:pPr>
                    <w:pageBreakBefore w:val="0"/>
                    <w:kinsoku/>
                    <w:wordWrap w:val="0"/>
                    <w:topLinePunct w:val="0"/>
                    <w:spacing w:line="280" w:lineRule="exact"/>
                    <w:jc w:val="center"/>
                    <w:rPr>
                      <w:rFonts w:ascii="宋体" w:hAnsi="宋体"/>
                      <w:color w:val="auto"/>
                      <w:highlight w:val="none"/>
                    </w:rPr>
                  </w:pPr>
                </w:p>
              </w:tc>
              <w:tc>
                <w:tcPr>
                  <w:tcW w:w="3420" w:type="dxa"/>
                  <w:tcBorders>
                    <w:top w:val="single" w:color="auto" w:sz="4" w:space="0"/>
                    <w:left w:val="single" w:color="auto" w:sz="4" w:space="0"/>
                    <w:bottom w:val="single" w:color="auto" w:sz="4" w:space="0"/>
                    <w:right w:val="single" w:color="auto" w:sz="4" w:space="0"/>
                  </w:tcBorders>
                </w:tcPr>
                <w:p w14:paraId="0E26FEED">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1479826D">
                  <w:pPr>
                    <w:pageBreakBefore w:val="0"/>
                    <w:kinsoku/>
                    <w:wordWrap w:val="0"/>
                    <w:topLinePunct w:val="0"/>
                    <w:spacing w:line="280" w:lineRule="exact"/>
                    <w:rPr>
                      <w:rFonts w:ascii="宋体" w:hAnsi="宋体"/>
                      <w:color w:val="auto"/>
                      <w:highlight w:val="none"/>
                    </w:rPr>
                  </w:pPr>
                </w:p>
              </w:tc>
              <w:tc>
                <w:tcPr>
                  <w:tcW w:w="1620" w:type="dxa"/>
                  <w:tcBorders>
                    <w:top w:val="single" w:color="auto" w:sz="4" w:space="0"/>
                    <w:left w:val="single" w:color="auto" w:sz="4" w:space="0"/>
                    <w:bottom w:val="single" w:color="auto" w:sz="4" w:space="0"/>
                    <w:right w:val="single" w:color="auto" w:sz="4" w:space="0"/>
                  </w:tcBorders>
                </w:tcPr>
                <w:p w14:paraId="3262B6A9">
                  <w:pPr>
                    <w:pageBreakBefore w:val="0"/>
                    <w:kinsoku/>
                    <w:wordWrap w:val="0"/>
                    <w:topLinePunct w:val="0"/>
                    <w:spacing w:line="280" w:lineRule="exact"/>
                    <w:rPr>
                      <w:rFonts w:ascii="宋体" w:hAnsi="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42628E08">
                  <w:pPr>
                    <w:pageBreakBefore w:val="0"/>
                    <w:kinsoku/>
                    <w:wordWrap w:val="0"/>
                    <w:topLinePunct w:val="0"/>
                    <w:spacing w:line="280" w:lineRule="exact"/>
                    <w:rPr>
                      <w:rFonts w:ascii="宋体" w:hAnsi="宋体"/>
                      <w:color w:val="auto"/>
                      <w:highlight w:val="none"/>
                    </w:rPr>
                  </w:pPr>
                </w:p>
              </w:tc>
            </w:tr>
          </w:tbl>
          <w:p w14:paraId="789ABB4C">
            <w:pPr>
              <w:pageBreakBefore w:val="0"/>
              <w:kinsoku/>
              <w:wordWrap w:val="0"/>
              <w:topLinePunct w:val="0"/>
              <w:spacing w:line="400" w:lineRule="exact"/>
              <w:ind w:right="420" w:firstLine="435"/>
              <w:jc w:val="center"/>
              <w:rPr>
                <w:rFonts w:ascii="宋体" w:hAnsi="宋体"/>
                <w:color w:val="auto"/>
                <w:highlight w:val="none"/>
              </w:rPr>
            </w:pPr>
            <w:r>
              <w:rPr>
                <w:rFonts w:hint="eastAsia" w:ascii="宋体" w:hAnsi="宋体"/>
                <w:color w:val="auto"/>
                <w:highlight w:val="none"/>
              </w:rPr>
              <w:t>承包人（章）</w:t>
            </w:r>
          </w:p>
          <w:p w14:paraId="412CA5C0">
            <w:pPr>
              <w:pageBreakBefore w:val="0"/>
              <w:kinsoku/>
              <w:wordWrap w:val="0"/>
              <w:topLinePunct w:val="0"/>
              <w:spacing w:line="400" w:lineRule="exact"/>
              <w:ind w:right="420" w:firstLine="435"/>
              <w:rPr>
                <w:rFonts w:ascii="宋体" w:hAnsi="宋体"/>
                <w:color w:val="auto"/>
                <w:highlight w:val="none"/>
              </w:rPr>
            </w:pPr>
            <w:r>
              <w:rPr>
                <w:rFonts w:hint="eastAsia" w:ascii="宋体" w:hAnsi="宋体"/>
                <w:color w:val="auto"/>
                <w:highlight w:val="none"/>
              </w:rPr>
              <w:t>造价人员承包人代表日期</w:t>
            </w:r>
          </w:p>
        </w:tc>
      </w:tr>
      <w:tr w14:paraId="5E90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Pr>
          <w:p w14:paraId="2605194A">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4C2FBE45">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□与实际施工情况不相符，修改意见见附件。</w:t>
            </w:r>
          </w:p>
          <w:p w14:paraId="3FC73328">
            <w:pPr>
              <w:pageBreakBefore w:val="0"/>
              <w:kinsoku/>
              <w:wordWrap w:val="0"/>
              <w:topLinePunct w:val="0"/>
              <w:spacing w:line="360" w:lineRule="exact"/>
              <w:ind w:firstLine="312"/>
              <w:rPr>
                <w:rFonts w:ascii="宋体" w:hAnsi="宋体"/>
                <w:color w:val="auto"/>
                <w:highlight w:val="none"/>
              </w:rPr>
            </w:pPr>
            <w:r>
              <w:rPr>
                <w:rFonts w:hint="eastAsia" w:ascii="宋体" w:hAnsi="宋体"/>
                <w:color w:val="auto"/>
                <w:highlight w:val="none"/>
              </w:rPr>
              <w:t>□与实际施工情况相符，具体金额由造价工程师复核。</w:t>
            </w:r>
          </w:p>
          <w:p w14:paraId="32AFA250">
            <w:pPr>
              <w:pageBreakBefore w:val="0"/>
              <w:kinsoku/>
              <w:wordWrap w:val="0"/>
              <w:topLinePunct w:val="0"/>
              <w:spacing w:line="360" w:lineRule="exact"/>
              <w:ind w:firstLine="435"/>
              <w:jc w:val="right"/>
              <w:rPr>
                <w:rFonts w:ascii="宋体" w:hAnsi="宋体"/>
                <w:color w:val="auto"/>
                <w:highlight w:val="none"/>
              </w:rPr>
            </w:pPr>
          </w:p>
          <w:p w14:paraId="2B03EDF9">
            <w:pPr>
              <w:pageBreakBefore w:val="0"/>
              <w:kinsoku/>
              <w:wordWrap w:val="0"/>
              <w:topLinePunct w:val="0"/>
              <w:spacing w:line="360" w:lineRule="exact"/>
              <w:ind w:firstLine="435"/>
              <w:jc w:val="right"/>
              <w:rPr>
                <w:rFonts w:ascii="宋体" w:hAnsi="宋体"/>
                <w:color w:val="auto"/>
                <w:highlight w:val="none"/>
              </w:rPr>
            </w:pPr>
          </w:p>
          <w:p w14:paraId="382A1BBF">
            <w:pPr>
              <w:pageBreakBefore w:val="0"/>
              <w:kinsoku/>
              <w:wordWrap w:val="0"/>
              <w:topLinePunct w:val="0"/>
              <w:spacing w:line="360" w:lineRule="exact"/>
              <w:ind w:firstLine="435"/>
              <w:jc w:val="center"/>
              <w:rPr>
                <w:rFonts w:ascii="宋体" w:hAnsi="宋体"/>
                <w:color w:val="auto"/>
                <w:highlight w:val="none"/>
              </w:rPr>
            </w:pPr>
          </w:p>
          <w:p w14:paraId="40382739">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监理工程师</w:t>
            </w:r>
          </w:p>
          <w:p w14:paraId="1618FCA0">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c>
          <w:tcPr>
            <w:tcW w:w="4536" w:type="dxa"/>
            <w:tcBorders>
              <w:left w:val="nil"/>
            </w:tcBorders>
          </w:tcPr>
          <w:p w14:paraId="36F15AD8">
            <w:pPr>
              <w:pageBreakBefore w:val="0"/>
              <w:kinsoku/>
              <w:wordWrap w:val="0"/>
              <w:topLinePunct w:val="0"/>
              <w:spacing w:line="360" w:lineRule="exact"/>
              <w:rPr>
                <w:rFonts w:ascii="宋体" w:hAnsi="宋体"/>
                <w:color w:val="auto"/>
                <w:highlight w:val="none"/>
              </w:rPr>
            </w:pPr>
            <w:r>
              <w:rPr>
                <w:rFonts w:hint="eastAsia" w:ascii="宋体" w:hAnsi="宋体"/>
                <w:color w:val="auto"/>
                <w:highlight w:val="none"/>
              </w:rPr>
              <w:t>复核意见：</w:t>
            </w:r>
          </w:p>
          <w:p w14:paraId="68130297">
            <w:pPr>
              <w:pageBreakBefore w:val="0"/>
              <w:kinsoku/>
              <w:wordWrap w:val="0"/>
              <w:topLinePunct w:val="0"/>
              <w:spacing w:line="360" w:lineRule="exact"/>
              <w:ind w:firstLine="435"/>
              <w:rPr>
                <w:rFonts w:ascii="宋体" w:hAnsi="宋体"/>
                <w:color w:val="auto"/>
                <w:highlight w:val="none"/>
                <w:u w:val="single"/>
              </w:rPr>
            </w:pPr>
            <w:r>
              <w:rPr>
                <w:rFonts w:hint="eastAsia" w:ascii="宋体" w:hAnsi="宋体"/>
                <w:color w:val="auto"/>
                <w:highlight w:val="none"/>
              </w:rPr>
              <w:t>你方提出的支付申请经复核，最终应支付金额为（大写）元，（小写）元。</w:t>
            </w:r>
          </w:p>
          <w:p w14:paraId="4C31B234">
            <w:pPr>
              <w:pageBreakBefore w:val="0"/>
              <w:kinsoku/>
              <w:wordWrap w:val="0"/>
              <w:topLinePunct w:val="0"/>
              <w:spacing w:line="360" w:lineRule="exact"/>
              <w:ind w:firstLine="435"/>
              <w:jc w:val="center"/>
              <w:rPr>
                <w:rFonts w:ascii="宋体" w:hAnsi="宋体"/>
                <w:color w:val="auto"/>
                <w:highlight w:val="none"/>
              </w:rPr>
            </w:pPr>
          </w:p>
          <w:p w14:paraId="45128A66">
            <w:pPr>
              <w:pageBreakBefore w:val="0"/>
              <w:kinsoku/>
              <w:wordWrap w:val="0"/>
              <w:topLinePunct w:val="0"/>
              <w:spacing w:line="360" w:lineRule="exact"/>
              <w:ind w:firstLine="435"/>
              <w:jc w:val="center"/>
              <w:rPr>
                <w:rFonts w:ascii="宋体" w:hAnsi="宋体"/>
                <w:color w:val="auto"/>
                <w:highlight w:val="none"/>
              </w:rPr>
            </w:pPr>
          </w:p>
          <w:p w14:paraId="1F2023D5">
            <w:pPr>
              <w:pageBreakBefore w:val="0"/>
              <w:kinsoku/>
              <w:wordWrap w:val="0"/>
              <w:topLinePunct w:val="0"/>
              <w:spacing w:line="360" w:lineRule="exact"/>
              <w:ind w:firstLine="435"/>
              <w:jc w:val="center"/>
              <w:rPr>
                <w:rFonts w:ascii="宋体" w:hAnsi="宋体"/>
                <w:color w:val="auto"/>
                <w:highlight w:val="none"/>
              </w:rPr>
            </w:pPr>
          </w:p>
          <w:p w14:paraId="5A237E97">
            <w:pPr>
              <w:pageBreakBefore w:val="0"/>
              <w:kinsoku/>
              <w:wordWrap w:val="0"/>
              <w:topLinePunct w:val="0"/>
              <w:spacing w:line="360" w:lineRule="exact"/>
              <w:ind w:firstLine="435"/>
              <w:jc w:val="center"/>
              <w:rPr>
                <w:rFonts w:ascii="宋体" w:hAnsi="宋体"/>
                <w:color w:val="auto"/>
                <w:highlight w:val="none"/>
              </w:rPr>
            </w:pPr>
          </w:p>
          <w:p w14:paraId="05D8B360">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造价工程师</w:t>
            </w:r>
          </w:p>
          <w:p w14:paraId="5D421F15">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r>
      <w:tr w14:paraId="5BC2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0509E75B">
            <w:pPr>
              <w:pageBreakBefore w:val="0"/>
              <w:kinsoku/>
              <w:wordWrap w:val="0"/>
              <w:topLinePunct w:val="0"/>
              <w:spacing w:line="400" w:lineRule="exact"/>
              <w:rPr>
                <w:rFonts w:ascii="宋体" w:hAnsi="宋体"/>
                <w:color w:val="auto"/>
                <w:highlight w:val="none"/>
              </w:rPr>
            </w:pPr>
            <w:r>
              <w:rPr>
                <w:rFonts w:hint="eastAsia" w:ascii="宋体" w:hAnsi="宋体"/>
                <w:color w:val="auto"/>
                <w:highlight w:val="none"/>
              </w:rPr>
              <w:t>审核意见：</w:t>
            </w:r>
          </w:p>
          <w:p w14:paraId="0DE7DA2C">
            <w:pPr>
              <w:pageBreakBefore w:val="0"/>
              <w:kinsoku/>
              <w:wordWrap w:val="0"/>
              <w:topLinePunct w:val="0"/>
              <w:spacing w:line="400" w:lineRule="exact"/>
              <w:ind w:firstLine="435"/>
              <w:rPr>
                <w:rFonts w:ascii="宋体" w:hAnsi="宋体"/>
                <w:color w:val="auto"/>
                <w:highlight w:val="none"/>
              </w:rPr>
            </w:pPr>
            <w:r>
              <w:rPr>
                <w:rFonts w:hint="eastAsia" w:ascii="宋体" w:hAnsi="宋体"/>
                <w:color w:val="auto"/>
                <w:highlight w:val="none"/>
              </w:rPr>
              <w:t>□不同意。</w:t>
            </w:r>
          </w:p>
          <w:p w14:paraId="7EBD8360">
            <w:pPr>
              <w:pageBreakBefore w:val="0"/>
              <w:kinsoku/>
              <w:wordWrap w:val="0"/>
              <w:topLinePunct w:val="0"/>
              <w:spacing w:line="400" w:lineRule="exact"/>
              <w:ind w:firstLine="420" w:firstLineChars="200"/>
              <w:rPr>
                <w:rFonts w:ascii="宋体" w:hAnsi="宋体"/>
                <w:color w:val="auto"/>
                <w:highlight w:val="none"/>
              </w:rPr>
            </w:pPr>
            <w:r>
              <w:rPr>
                <w:rFonts w:hint="eastAsia" w:ascii="宋体" w:hAnsi="宋体"/>
                <w:color w:val="auto"/>
                <w:highlight w:val="none"/>
              </w:rPr>
              <w:t>□同意，支付时间为本表签发后的</w:t>
            </w:r>
            <w:r>
              <w:rPr>
                <w:rFonts w:ascii="宋体" w:hAnsi="宋体"/>
                <w:color w:val="auto"/>
                <w:highlight w:val="none"/>
              </w:rPr>
              <w:t>15</w:t>
            </w:r>
            <w:r>
              <w:rPr>
                <w:rFonts w:hint="eastAsia" w:ascii="宋体" w:hAnsi="宋体"/>
                <w:color w:val="auto"/>
                <w:highlight w:val="none"/>
              </w:rPr>
              <w:t>天内。</w:t>
            </w:r>
          </w:p>
          <w:p w14:paraId="4AEAD4B7">
            <w:pPr>
              <w:pageBreakBefore w:val="0"/>
              <w:kinsoku/>
              <w:wordWrap w:val="0"/>
              <w:topLinePunct w:val="0"/>
              <w:spacing w:line="400" w:lineRule="exact"/>
              <w:ind w:firstLine="420" w:firstLineChars="200"/>
              <w:jc w:val="right"/>
              <w:rPr>
                <w:rFonts w:ascii="宋体" w:hAnsi="宋体"/>
                <w:color w:val="auto"/>
                <w:highlight w:val="none"/>
              </w:rPr>
            </w:pPr>
            <w:r>
              <w:rPr>
                <w:rFonts w:hint="eastAsia" w:ascii="宋体" w:hAnsi="宋体"/>
                <w:color w:val="auto"/>
                <w:highlight w:val="none"/>
              </w:rPr>
              <w:t>发包人（章）</w:t>
            </w:r>
          </w:p>
          <w:p w14:paraId="3CD4CECC">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发包人代表</w:t>
            </w:r>
          </w:p>
          <w:p w14:paraId="0D768AD5">
            <w:pPr>
              <w:pageBreakBefore w:val="0"/>
              <w:kinsoku/>
              <w:wordWrap w:val="0"/>
              <w:topLinePunct w:val="0"/>
              <w:spacing w:line="400" w:lineRule="exact"/>
              <w:ind w:firstLine="420" w:firstLineChars="200"/>
              <w:jc w:val="right"/>
              <w:rPr>
                <w:rFonts w:ascii="宋体" w:hAnsi="宋体"/>
                <w:color w:val="auto"/>
                <w:highlight w:val="none"/>
                <w:u w:val="single"/>
              </w:rPr>
            </w:pPr>
            <w:r>
              <w:rPr>
                <w:rFonts w:hint="eastAsia" w:ascii="宋体" w:hAnsi="宋体"/>
                <w:color w:val="auto"/>
                <w:highlight w:val="none"/>
              </w:rPr>
              <w:t>日期</w:t>
            </w:r>
          </w:p>
        </w:tc>
      </w:tr>
    </w:tbl>
    <w:p w14:paraId="59E3604F">
      <w:pPr>
        <w:pageBreakBefore w:val="0"/>
        <w:kinsoku/>
        <w:wordWrap w:val="0"/>
        <w:topLinePunct w:val="0"/>
        <w:spacing w:beforeLines="50"/>
        <w:ind w:firstLine="360" w:firstLineChars="200"/>
        <w:rPr>
          <w:rFonts w:ascii="宋体" w:hAnsi="宋体"/>
          <w:color w:val="auto"/>
          <w:sz w:val="18"/>
          <w:szCs w:val="18"/>
          <w:highlight w:val="none"/>
        </w:rPr>
      </w:pPr>
      <w:r>
        <w:rPr>
          <w:rFonts w:hint="eastAsia" w:ascii="宋体" w:hAnsi="宋体"/>
          <w:color w:val="auto"/>
          <w:sz w:val="18"/>
          <w:szCs w:val="18"/>
          <w:highlight w:val="none"/>
        </w:rPr>
        <w:t>注：</w:t>
      </w:r>
      <w:r>
        <w:rPr>
          <w:rFonts w:ascii="宋体" w:hAnsi="宋体"/>
          <w:color w:val="auto"/>
          <w:sz w:val="18"/>
          <w:szCs w:val="18"/>
          <w:highlight w:val="none"/>
        </w:rPr>
        <w:t>1.</w:t>
      </w:r>
      <w:r>
        <w:rPr>
          <w:rFonts w:hint="eastAsia" w:ascii="宋体" w:hAnsi="宋体"/>
          <w:color w:val="auto"/>
          <w:sz w:val="18"/>
          <w:szCs w:val="18"/>
          <w:highlight w:val="none"/>
        </w:rPr>
        <w:t>在选择栏中的“□”内作标识“√”。如监理人已退场，监理工程师栏可空缺。</w:t>
      </w:r>
    </w:p>
    <w:p w14:paraId="4F320698">
      <w:pPr>
        <w:pageBreakBefore w:val="0"/>
        <w:kinsoku/>
        <w:wordWrap w:val="0"/>
        <w:topLinePunct w:val="0"/>
        <w:spacing w:beforeLines="50"/>
        <w:ind w:left="720" w:hanging="720" w:hangingChars="400"/>
        <w:rPr>
          <w:rFonts w:ascii="宋体" w:hAnsi="宋体"/>
          <w:color w:val="auto"/>
          <w:sz w:val="18"/>
          <w:szCs w:val="18"/>
          <w:highlight w:val="none"/>
        </w:rPr>
      </w:pPr>
      <w:r>
        <w:rPr>
          <w:rFonts w:ascii="宋体" w:hAnsi="宋体"/>
          <w:color w:val="auto"/>
          <w:sz w:val="18"/>
          <w:szCs w:val="18"/>
          <w:highlight w:val="none"/>
        </w:rPr>
        <w:t xml:space="preserve">        2.</w:t>
      </w:r>
      <w:r>
        <w:rPr>
          <w:rFonts w:hint="eastAsia" w:ascii="宋体" w:hAnsi="宋体"/>
          <w:color w:val="auto"/>
          <w:sz w:val="18"/>
          <w:szCs w:val="18"/>
          <w:highlight w:val="none"/>
        </w:rPr>
        <w:t>本表一式四份，由承包人填报，发包人、监理人、造价咨询人、承包人各存一份。</w:t>
      </w:r>
    </w:p>
    <w:p w14:paraId="733EF6A0">
      <w:pPr>
        <w:pageBreakBefore w:val="0"/>
        <w:kinsoku/>
        <w:wordWrap w:val="0"/>
        <w:topLinePunct w:val="0"/>
        <w:spacing w:beforeLines="50"/>
        <w:ind w:left="1200" w:hanging="1200" w:hangingChars="400"/>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14</w:t>
      </w:r>
      <w:r>
        <w:rPr>
          <w:rFonts w:hint="eastAsia" w:ascii="宋体" w:hAnsi="宋体"/>
          <w:color w:val="auto"/>
          <w:sz w:val="30"/>
          <w:szCs w:val="30"/>
          <w:highlight w:val="none"/>
        </w:rPr>
        <w:t>：</w:t>
      </w:r>
    </w:p>
    <w:p w14:paraId="52294BB5">
      <w:pPr>
        <w:pageBreakBefore w:val="0"/>
        <w:kinsoku/>
        <w:wordWrap w:val="0"/>
        <w:topLinePunct w:val="0"/>
        <w:spacing w:line="360" w:lineRule="auto"/>
        <w:ind w:firstLine="720" w:firstLineChars="200"/>
        <w:jc w:val="center"/>
        <w:rPr>
          <w:rFonts w:ascii="宋体" w:hAnsi="宋体"/>
          <w:color w:val="auto"/>
          <w:kern w:val="0"/>
          <w:sz w:val="36"/>
          <w:szCs w:val="36"/>
          <w:highlight w:val="none"/>
        </w:rPr>
      </w:pPr>
      <w:r>
        <w:rPr>
          <w:rFonts w:hint="eastAsia" w:ascii="宋体" w:hAnsi="宋体"/>
          <w:color w:val="auto"/>
          <w:kern w:val="0"/>
          <w:sz w:val="36"/>
          <w:szCs w:val="36"/>
          <w:highlight w:val="none"/>
        </w:rPr>
        <w:t>总价合同进度款支付分解表</w:t>
      </w:r>
    </w:p>
    <w:p w14:paraId="733506F8">
      <w:pPr>
        <w:pageBreakBefore w:val="0"/>
        <w:kinsoku/>
        <w:wordWrap w:val="0"/>
        <w:topLinePunct w:val="0"/>
        <w:spacing w:line="360" w:lineRule="auto"/>
        <w:rPr>
          <w:rFonts w:ascii="宋体" w:hAnsi="宋体"/>
          <w:color w:val="auto"/>
          <w:kern w:val="0"/>
          <w:highlight w:val="none"/>
        </w:rPr>
      </w:pPr>
      <w:r>
        <w:rPr>
          <w:rFonts w:hint="eastAsia" w:ascii="宋体" w:hAnsi="宋体"/>
          <w:color w:val="auto"/>
          <w:kern w:val="0"/>
          <w:highlight w:val="none"/>
        </w:rPr>
        <w:t>工程名称：</w:t>
      </w:r>
    </w:p>
    <w:tbl>
      <w:tblPr>
        <w:tblStyle w:val="48"/>
        <w:tblW w:w="8867"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231"/>
        <w:gridCol w:w="563"/>
        <w:gridCol w:w="2268"/>
        <w:gridCol w:w="1388"/>
      </w:tblGrid>
      <w:tr w14:paraId="540A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72FF91E5">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进度款期次</w:t>
            </w:r>
          </w:p>
        </w:tc>
        <w:tc>
          <w:tcPr>
            <w:tcW w:w="3794" w:type="dxa"/>
            <w:gridSpan w:val="2"/>
            <w:tcBorders>
              <w:left w:val="nil"/>
            </w:tcBorders>
          </w:tcPr>
          <w:p w14:paraId="35EBDEA0">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形象进度</w:t>
            </w:r>
          </w:p>
        </w:tc>
        <w:tc>
          <w:tcPr>
            <w:tcW w:w="2268" w:type="dxa"/>
            <w:tcBorders>
              <w:left w:val="nil"/>
            </w:tcBorders>
          </w:tcPr>
          <w:p w14:paraId="16DA8397">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进度款付款金额（元）</w:t>
            </w:r>
          </w:p>
        </w:tc>
        <w:tc>
          <w:tcPr>
            <w:tcW w:w="1388" w:type="dxa"/>
            <w:tcBorders>
              <w:left w:val="nil"/>
            </w:tcBorders>
          </w:tcPr>
          <w:p w14:paraId="42A2ECE2">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备注</w:t>
            </w:r>
          </w:p>
        </w:tc>
      </w:tr>
      <w:tr w14:paraId="12BD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4C4C1D72">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第一期</w:t>
            </w:r>
          </w:p>
        </w:tc>
        <w:tc>
          <w:tcPr>
            <w:tcW w:w="3794" w:type="dxa"/>
            <w:gridSpan w:val="2"/>
            <w:tcBorders>
              <w:left w:val="nil"/>
            </w:tcBorders>
          </w:tcPr>
          <w:p w14:paraId="14035913">
            <w:pPr>
              <w:pageBreakBefore w:val="0"/>
              <w:kinsoku/>
              <w:wordWrap w:val="0"/>
              <w:topLinePunct w:val="0"/>
              <w:spacing w:line="360" w:lineRule="auto"/>
              <w:jc w:val="center"/>
              <w:rPr>
                <w:rFonts w:ascii="宋体" w:hAnsi="宋体"/>
                <w:color w:val="auto"/>
                <w:kern w:val="0"/>
                <w:highlight w:val="none"/>
              </w:rPr>
            </w:pPr>
          </w:p>
        </w:tc>
        <w:tc>
          <w:tcPr>
            <w:tcW w:w="2268" w:type="dxa"/>
            <w:tcBorders>
              <w:left w:val="nil"/>
            </w:tcBorders>
          </w:tcPr>
          <w:p w14:paraId="6A659837">
            <w:pPr>
              <w:pageBreakBefore w:val="0"/>
              <w:kinsoku/>
              <w:wordWrap w:val="0"/>
              <w:topLinePunct w:val="0"/>
              <w:spacing w:line="360" w:lineRule="auto"/>
              <w:jc w:val="center"/>
              <w:rPr>
                <w:rFonts w:ascii="宋体" w:hAnsi="宋体"/>
                <w:color w:val="auto"/>
                <w:kern w:val="0"/>
                <w:highlight w:val="none"/>
              </w:rPr>
            </w:pPr>
          </w:p>
        </w:tc>
        <w:tc>
          <w:tcPr>
            <w:tcW w:w="1388" w:type="dxa"/>
            <w:tcBorders>
              <w:left w:val="nil"/>
            </w:tcBorders>
          </w:tcPr>
          <w:p w14:paraId="332443FD">
            <w:pPr>
              <w:pageBreakBefore w:val="0"/>
              <w:kinsoku/>
              <w:wordWrap w:val="0"/>
              <w:topLinePunct w:val="0"/>
              <w:spacing w:line="360" w:lineRule="auto"/>
              <w:jc w:val="center"/>
              <w:rPr>
                <w:rFonts w:ascii="宋体" w:hAnsi="宋体"/>
                <w:color w:val="auto"/>
                <w:kern w:val="0"/>
                <w:highlight w:val="none"/>
              </w:rPr>
            </w:pPr>
          </w:p>
        </w:tc>
      </w:tr>
      <w:tr w14:paraId="6D71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6DAB653B">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第二期</w:t>
            </w:r>
          </w:p>
        </w:tc>
        <w:tc>
          <w:tcPr>
            <w:tcW w:w="3794" w:type="dxa"/>
            <w:gridSpan w:val="2"/>
            <w:tcBorders>
              <w:left w:val="nil"/>
            </w:tcBorders>
          </w:tcPr>
          <w:p w14:paraId="5F813C55">
            <w:pPr>
              <w:pageBreakBefore w:val="0"/>
              <w:kinsoku/>
              <w:wordWrap w:val="0"/>
              <w:topLinePunct w:val="0"/>
              <w:spacing w:line="360" w:lineRule="auto"/>
              <w:jc w:val="center"/>
              <w:rPr>
                <w:rFonts w:ascii="宋体" w:hAnsi="宋体"/>
                <w:color w:val="auto"/>
                <w:kern w:val="0"/>
                <w:highlight w:val="none"/>
              </w:rPr>
            </w:pPr>
          </w:p>
        </w:tc>
        <w:tc>
          <w:tcPr>
            <w:tcW w:w="2268" w:type="dxa"/>
            <w:tcBorders>
              <w:left w:val="nil"/>
            </w:tcBorders>
          </w:tcPr>
          <w:p w14:paraId="7A846331">
            <w:pPr>
              <w:pageBreakBefore w:val="0"/>
              <w:kinsoku/>
              <w:wordWrap w:val="0"/>
              <w:topLinePunct w:val="0"/>
              <w:spacing w:line="360" w:lineRule="auto"/>
              <w:jc w:val="center"/>
              <w:rPr>
                <w:rFonts w:ascii="宋体" w:hAnsi="宋体"/>
                <w:color w:val="auto"/>
                <w:kern w:val="0"/>
                <w:highlight w:val="none"/>
              </w:rPr>
            </w:pPr>
          </w:p>
        </w:tc>
        <w:tc>
          <w:tcPr>
            <w:tcW w:w="1388" w:type="dxa"/>
            <w:tcBorders>
              <w:left w:val="nil"/>
            </w:tcBorders>
          </w:tcPr>
          <w:p w14:paraId="2AC2C289">
            <w:pPr>
              <w:pageBreakBefore w:val="0"/>
              <w:kinsoku/>
              <w:wordWrap w:val="0"/>
              <w:topLinePunct w:val="0"/>
              <w:spacing w:line="360" w:lineRule="auto"/>
              <w:jc w:val="center"/>
              <w:rPr>
                <w:rFonts w:ascii="宋体" w:hAnsi="宋体"/>
                <w:color w:val="auto"/>
                <w:kern w:val="0"/>
                <w:highlight w:val="none"/>
              </w:rPr>
            </w:pPr>
          </w:p>
        </w:tc>
      </w:tr>
      <w:tr w14:paraId="169B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311DA57C">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第三期</w:t>
            </w:r>
          </w:p>
        </w:tc>
        <w:tc>
          <w:tcPr>
            <w:tcW w:w="3794" w:type="dxa"/>
            <w:gridSpan w:val="2"/>
            <w:tcBorders>
              <w:left w:val="nil"/>
            </w:tcBorders>
          </w:tcPr>
          <w:p w14:paraId="6B55D9A4">
            <w:pPr>
              <w:pageBreakBefore w:val="0"/>
              <w:kinsoku/>
              <w:wordWrap w:val="0"/>
              <w:topLinePunct w:val="0"/>
              <w:spacing w:line="360" w:lineRule="auto"/>
              <w:jc w:val="center"/>
              <w:rPr>
                <w:rFonts w:ascii="宋体" w:hAnsi="宋体"/>
                <w:color w:val="auto"/>
                <w:kern w:val="0"/>
                <w:highlight w:val="none"/>
              </w:rPr>
            </w:pPr>
          </w:p>
        </w:tc>
        <w:tc>
          <w:tcPr>
            <w:tcW w:w="2268" w:type="dxa"/>
            <w:tcBorders>
              <w:left w:val="nil"/>
            </w:tcBorders>
          </w:tcPr>
          <w:p w14:paraId="0985DC0C">
            <w:pPr>
              <w:pageBreakBefore w:val="0"/>
              <w:kinsoku/>
              <w:wordWrap w:val="0"/>
              <w:topLinePunct w:val="0"/>
              <w:spacing w:line="360" w:lineRule="auto"/>
              <w:jc w:val="center"/>
              <w:rPr>
                <w:rFonts w:ascii="宋体" w:hAnsi="宋体"/>
                <w:color w:val="auto"/>
                <w:kern w:val="0"/>
                <w:highlight w:val="none"/>
              </w:rPr>
            </w:pPr>
          </w:p>
        </w:tc>
        <w:tc>
          <w:tcPr>
            <w:tcW w:w="1388" w:type="dxa"/>
            <w:tcBorders>
              <w:left w:val="nil"/>
            </w:tcBorders>
          </w:tcPr>
          <w:p w14:paraId="77300DCB">
            <w:pPr>
              <w:pageBreakBefore w:val="0"/>
              <w:kinsoku/>
              <w:wordWrap w:val="0"/>
              <w:topLinePunct w:val="0"/>
              <w:spacing w:line="360" w:lineRule="auto"/>
              <w:jc w:val="center"/>
              <w:rPr>
                <w:rFonts w:ascii="宋体" w:hAnsi="宋体"/>
                <w:color w:val="auto"/>
                <w:kern w:val="0"/>
                <w:highlight w:val="none"/>
              </w:rPr>
            </w:pPr>
          </w:p>
        </w:tc>
      </w:tr>
      <w:tr w14:paraId="33D0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193B147F">
            <w:pPr>
              <w:pageBreakBefore w:val="0"/>
              <w:kinsoku/>
              <w:wordWrap w:val="0"/>
              <w:topLinePunct w:val="0"/>
              <w:spacing w:line="360" w:lineRule="auto"/>
              <w:jc w:val="center"/>
              <w:rPr>
                <w:rFonts w:ascii="宋体" w:hAnsi="宋体"/>
                <w:color w:val="auto"/>
                <w:kern w:val="0"/>
                <w:highlight w:val="none"/>
              </w:rPr>
            </w:pPr>
            <w:r>
              <w:rPr>
                <w:rFonts w:hint="eastAsia" w:ascii="宋体" w:hAnsi="宋体"/>
                <w:color w:val="auto"/>
                <w:kern w:val="0"/>
                <w:highlight w:val="none"/>
              </w:rPr>
              <w:t>……</w:t>
            </w:r>
          </w:p>
        </w:tc>
        <w:tc>
          <w:tcPr>
            <w:tcW w:w="3794" w:type="dxa"/>
            <w:gridSpan w:val="2"/>
            <w:tcBorders>
              <w:left w:val="nil"/>
            </w:tcBorders>
          </w:tcPr>
          <w:p w14:paraId="620A65CB">
            <w:pPr>
              <w:pageBreakBefore w:val="0"/>
              <w:kinsoku/>
              <w:wordWrap w:val="0"/>
              <w:topLinePunct w:val="0"/>
              <w:spacing w:line="360" w:lineRule="auto"/>
              <w:jc w:val="center"/>
              <w:rPr>
                <w:rFonts w:ascii="宋体" w:hAnsi="宋体"/>
                <w:color w:val="auto"/>
                <w:kern w:val="0"/>
                <w:highlight w:val="none"/>
              </w:rPr>
            </w:pPr>
          </w:p>
        </w:tc>
        <w:tc>
          <w:tcPr>
            <w:tcW w:w="2268" w:type="dxa"/>
            <w:tcBorders>
              <w:left w:val="nil"/>
            </w:tcBorders>
          </w:tcPr>
          <w:p w14:paraId="0FC09342">
            <w:pPr>
              <w:pageBreakBefore w:val="0"/>
              <w:kinsoku/>
              <w:wordWrap w:val="0"/>
              <w:topLinePunct w:val="0"/>
              <w:spacing w:line="360" w:lineRule="auto"/>
              <w:jc w:val="center"/>
              <w:rPr>
                <w:rFonts w:ascii="宋体" w:hAnsi="宋体"/>
                <w:color w:val="auto"/>
                <w:kern w:val="0"/>
                <w:highlight w:val="none"/>
              </w:rPr>
            </w:pPr>
          </w:p>
        </w:tc>
        <w:tc>
          <w:tcPr>
            <w:tcW w:w="1388" w:type="dxa"/>
            <w:tcBorders>
              <w:left w:val="nil"/>
            </w:tcBorders>
          </w:tcPr>
          <w:p w14:paraId="00FB3FA8">
            <w:pPr>
              <w:pageBreakBefore w:val="0"/>
              <w:kinsoku/>
              <w:wordWrap w:val="0"/>
              <w:topLinePunct w:val="0"/>
              <w:spacing w:line="360" w:lineRule="auto"/>
              <w:jc w:val="center"/>
              <w:rPr>
                <w:rFonts w:ascii="宋体" w:hAnsi="宋体"/>
                <w:color w:val="auto"/>
                <w:kern w:val="0"/>
                <w:highlight w:val="none"/>
              </w:rPr>
            </w:pPr>
          </w:p>
        </w:tc>
      </w:tr>
      <w:tr w14:paraId="12E6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648" w:type="dxa"/>
            <w:gridSpan w:val="2"/>
          </w:tcPr>
          <w:p w14:paraId="6A29CE08">
            <w:pPr>
              <w:pageBreakBefore w:val="0"/>
              <w:kinsoku/>
              <w:wordWrap w:val="0"/>
              <w:topLinePunct w:val="0"/>
              <w:spacing w:line="360" w:lineRule="exact"/>
              <w:ind w:firstLine="435"/>
              <w:jc w:val="right"/>
              <w:rPr>
                <w:rFonts w:ascii="宋体" w:hAnsi="宋体"/>
                <w:color w:val="auto"/>
                <w:highlight w:val="none"/>
              </w:rPr>
            </w:pPr>
          </w:p>
          <w:p w14:paraId="6CD4F21A">
            <w:pPr>
              <w:pageBreakBefore w:val="0"/>
              <w:kinsoku/>
              <w:wordWrap w:val="0"/>
              <w:topLinePunct w:val="0"/>
              <w:spacing w:line="360" w:lineRule="exact"/>
              <w:ind w:firstLine="435"/>
              <w:jc w:val="center"/>
              <w:rPr>
                <w:rFonts w:ascii="宋体" w:hAnsi="宋体"/>
                <w:color w:val="auto"/>
                <w:highlight w:val="none"/>
              </w:rPr>
            </w:pPr>
          </w:p>
          <w:p w14:paraId="31120194">
            <w:pPr>
              <w:pageBreakBefore w:val="0"/>
              <w:kinsoku/>
              <w:wordWrap w:val="0"/>
              <w:topLinePunct w:val="0"/>
              <w:spacing w:line="360" w:lineRule="exact"/>
              <w:ind w:firstLine="435"/>
              <w:jc w:val="center"/>
              <w:rPr>
                <w:rFonts w:ascii="宋体" w:hAnsi="宋体"/>
                <w:color w:val="auto"/>
                <w:highlight w:val="none"/>
              </w:rPr>
            </w:pPr>
            <w:r>
              <w:rPr>
                <w:rFonts w:hint="eastAsia" w:ascii="宋体" w:hAnsi="宋体"/>
                <w:color w:val="auto"/>
                <w:highlight w:val="none"/>
              </w:rPr>
              <w:t>发包人代表签字：</w:t>
            </w:r>
          </w:p>
          <w:p w14:paraId="75A724C4">
            <w:pPr>
              <w:pageBreakBefore w:val="0"/>
              <w:kinsoku/>
              <w:wordWrap w:val="0"/>
              <w:topLinePunct w:val="0"/>
              <w:spacing w:line="360" w:lineRule="exact"/>
              <w:ind w:firstLine="435"/>
              <w:jc w:val="center"/>
              <w:rPr>
                <w:rFonts w:ascii="宋体" w:hAnsi="宋体"/>
                <w:color w:val="auto"/>
                <w:highlight w:val="none"/>
              </w:rPr>
            </w:pPr>
          </w:p>
          <w:p w14:paraId="75548647">
            <w:pPr>
              <w:pageBreakBefore w:val="0"/>
              <w:kinsoku/>
              <w:wordWrap w:val="0"/>
              <w:topLinePunct w:val="0"/>
              <w:spacing w:line="360" w:lineRule="exact"/>
              <w:ind w:firstLine="435"/>
              <w:jc w:val="center"/>
              <w:rPr>
                <w:rFonts w:ascii="宋体" w:hAnsi="宋体"/>
                <w:color w:val="auto"/>
                <w:highlight w:val="none"/>
              </w:rPr>
            </w:pPr>
            <w:r>
              <w:rPr>
                <w:rFonts w:hint="eastAsia" w:ascii="宋体" w:hAnsi="宋体"/>
                <w:color w:val="auto"/>
                <w:highlight w:val="none"/>
              </w:rPr>
              <w:t>发包人（盖公章）</w:t>
            </w:r>
          </w:p>
          <w:p w14:paraId="68AACACE">
            <w:pPr>
              <w:pageBreakBefore w:val="0"/>
              <w:kinsoku/>
              <w:wordWrap w:val="0"/>
              <w:topLinePunct w:val="0"/>
              <w:spacing w:line="360" w:lineRule="exact"/>
              <w:ind w:firstLine="435"/>
              <w:jc w:val="center"/>
              <w:rPr>
                <w:rFonts w:ascii="宋体" w:hAnsi="宋体"/>
                <w:color w:val="auto"/>
                <w:highlight w:val="none"/>
              </w:rPr>
            </w:pPr>
          </w:p>
          <w:p w14:paraId="6D72444E">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c>
          <w:tcPr>
            <w:tcW w:w="4219" w:type="dxa"/>
            <w:gridSpan w:val="3"/>
            <w:tcBorders>
              <w:left w:val="nil"/>
            </w:tcBorders>
          </w:tcPr>
          <w:p w14:paraId="08476847">
            <w:pPr>
              <w:pageBreakBefore w:val="0"/>
              <w:kinsoku/>
              <w:wordWrap w:val="0"/>
              <w:topLinePunct w:val="0"/>
              <w:spacing w:line="360" w:lineRule="exact"/>
              <w:ind w:firstLine="435"/>
              <w:jc w:val="center"/>
              <w:rPr>
                <w:rFonts w:ascii="宋体" w:hAnsi="宋体"/>
                <w:color w:val="auto"/>
                <w:highlight w:val="none"/>
              </w:rPr>
            </w:pPr>
          </w:p>
          <w:p w14:paraId="7A98667C">
            <w:pPr>
              <w:pageBreakBefore w:val="0"/>
              <w:kinsoku/>
              <w:wordWrap w:val="0"/>
              <w:topLinePunct w:val="0"/>
              <w:spacing w:line="360" w:lineRule="exact"/>
              <w:ind w:firstLine="435"/>
              <w:jc w:val="center"/>
              <w:rPr>
                <w:rFonts w:ascii="宋体" w:hAnsi="宋体"/>
                <w:color w:val="auto"/>
                <w:highlight w:val="none"/>
                <w:u w:val="single"/>
              </w:rPr>
            </w:pPr>
          </w:p>
          <w:p w14:paraId="4C335D2D">
            <w:pPr>
              <w:pageBreakBefore w:val="0"/>
              <w:kinsoku/>
              <w:wordWrap w:val="0"/>
              <w:topLinePunct w:val="0"/>
              <w:spacing w:line="360" w:lineRule="exact"/>
              <w:ind w:firstLine="435"/>
              <w:jc w:val="center"/>
              <w:rPr>
                <w:rFonts w:ascii="宋体" w:hAnsi="宋体"/>
                <w:color w:val="auto"/>
                <w:highlight w:val="none"/>
              </w:rPr>
            </w:pPr>
            <w:r>
              <w:rPr>
                <w:rFonts w:hint="eastAsia" w:ascii="宋体" w:hAnsi="宋体"/>
                <w:color w:val="auto"/>
                <w:highlight w:val="none"/>
              </w:rPr>
              <w:t>承包人代表签字：</w:t>
            </w:r>
          </w:p>
          <w:p w14:paraId="12F3E81A">
            <w:pPr>
              <w:pageBreakBefore w:val="0"/>
              <w:kinsoku/>
              <w:wordWrap w:val="0"/>
              <w:topLinePunct w:val="0"/>
              <w:spacing w:line="360" w:lineRule="exact"/>
              <w:ind w:firstLine="435"/>
              <w:jc w:val="center"/>
              <w:rPr>
                <w:rFonts w:ascii="宋体" w:hAnsi="宋体"/>
                <w:color w:val="auto"/>
                <w:highlight w:val="none"/>
              </w:rPr>
            </w:pPr>
          </w:p>
          <w:p w14:paraId="73DAEFD3">
            <w:pPr>
              <w:pageBreakBefore w:val="0"/>
              <w:kinsoku/>
              <w:wordWrap w:val="0"/>
              <w:topLinePunct w:val="0"/>
              <w:spacing w:line="360" w:lineRule="exact"/>
              <w:ind w:firstLine="435"/>
              <w:jc w:val="center"/>
              <w:rPr>
                <w:rFonts w:ascii="宋体" w:hAnsi="宋体"/>
                <w:color w:val="auto"/>
                <w:highlight w:val="none"/>
              </w:rPr>
            </w:pPr>
            <w:r>
              <w:rPr>
                <w:rFonts w:hint="eastAsia" w:ascii="宋体" w:hAnsi="宋体"/>
                <w:color w:val="auto"/>
                <w:highlight w:val="none"/>
              </w:rPr>
              <w:t>承包人（盖公章）</w:t>
            </w:r>
          </w:p>
          <w:p w14:paraId="3664F25E">
            <w:pPr>
              <w:pageBreakBefore w:val="0"/>
              <w:kinsoku/>
              <w:wordWrap w:val="0"/>
              <w:topLinePunct w:val="0"/>
              <w:spacing w:line="360" w:lineRule="exact"/>
              <w:ind w:firstLine="435"/>
              <w:jc w:val="center"/>
              <w:rPr>
                <w:rFonts w:ascii="宋体" w:hAnsi="宋体"/>
                <w:color w:val="auto"/>
                <w:highlight w:val="none"/>
              </w:rPr>
            </w:pPr>
          </w:p>
          <w:p w14:paraId="11F7FE8A">
            <w:pPr>
              <w:pageBreakBefore w:val="0"/>
              <w:kinsoku/>
              <w:wordWrap w:val="0"/>
              <w:topLinePunct w:val="0"/>
              <w:spacing w:line="360" w:lineRule="exact"/>
              <w:ind w:firstLine="435"/>
              <w:jc w:val="center"/>
              <w:rPr>
                <w:rFonts w:ascii="宋体" w:hAnsi="宋体"/>
                <w:color w:val="auto"/>
                <w:highlight w:val="none"/>
                <w:u w:val="single"/>
              </w:rPr>
            </w:pPr>
            <w:r>
              <w:rPr>
                <w:rFonts w:hint="eastAsia" w:ascii="宋体" w:hAnsi="宋体"/>
                <w:color w:val="auto"/>
                <w:highlight w:val="none"/>
              </w:rPr>
              <w:t>日期</w:t>
            </w:r>
          </w:p>
        </w:tc>
      </w:tr>
    </w:tbl>
    <w:p w14:paraId="319D3633">
      <w:pPr>
        <w:pageBreakBefore w:val="0"/>
        <w:kinsoku/>
        <w:wordWrap w:val="0"/>
        <w:topLinePunct w:val="0"/>
        <w:spacing w:line="360" w:lineRule="auto"/>
        <w:rPr>
          <w:rFonts w:ascii="宋体" w:hAnsi="宋体"/>
          <w:color w:val="auto"/>
          <w:highlight w:val="none"/>
        </w:rPr>
      </w:pPr>
    </w:p>
    <w:p w14:paraId="7240AAE7">
      <w:pPr>
        <w:pageBreakBefore w:val="0"/>
        <w:kinsoku/>
        <w:wordWrap w:val="0"/>
        <w:topLinePunct w:val="0"/>
        <w:spacing w:beforeLines="50"/>
        <w:ind w:left="1200" w:hanging="1200" w:hangingChars="400"/>
        <w:rPr>
          <w:rFonts w:ascii="宋体" w:hAnsi="宋体"/>
          <w:color w:val="auto"/>
          <w:sz w:val="30"/>
          <w:szCs w:val="30"/>
          <w:highlight w:val="none"/>
        </w:rPr>
      </w:pPr>
    </w:p>
    <w:p w14:paraId="6E2B392F">
      <w:pPr>
        <w:pageBreakBefore w:val="0"/>
        <w:kinsoku/>
        <w:wordWrap w:val="0"/>
        <w:topLinePunct w:val="0"/>
        <w:spacing w:beforeLines="50"/>
        <w:ind w:left="1200" w:hanging="1200" w:hangingChars="400"/>
        <w:rPr>
          <w:rFonts w:ascii="宋体" w:hAnsi="宋体"/>
          <w:color w:val="auto"/>
          <w:sz w:val="30"/>
          <w:szCs w:val="30"/>
          <w:highlight w:val="none"/>
        </w:rPr>
      </w:pPr>
    </w:p>
    <w:p w14:paraId="32D03CC9">
      <w:pPr>
        <w:pageBreakBefore w:val="0"/>
        <w:kinsoku/>
        <w:wordWrap w:val="0"/>
        <w:topLinePunct w:val="0"/>
        <w:spacing w:beforeLines="50"/>
        <w:ind w:left="1200" w:hanging="1200" w:hangingChars="400"/>
        <w:rPr>
          <w:rFonts w:ascii="宋体" w:hAnsi="宋体"/>
          <w:color w:val="auto"/>
          <w:sz w:val="30"/>
          <w:szCs w:val="30"/>
          <w:highlight w:val="none"/>
        </w:rPr>
      </w:pPr>
    </w:p>
    <w:p w14:paraId="6DAE600E">
      <w:pPr>
        <w:pageBreakBefore w:val="0"/>
        <w:kinsoku/>
        <w:wordWrap w:val="0"/>
        <w:topLinePunct w:val="0"/>
        <w:spacing w:beforeLines="50"/>
        <w:ind w:left="1200" w:hanging="1200" w:hangingChars="400"/>
        <w:rPr>
          <w:rFonts w:ascii="宋体" w:hAnsi="宋体"/>
          <w:color w:val="auto"/>
          <w:sz w:val="30"/>
          <w:szCs w:val="30"/>
          <w:highlight w:val="none"/>
        </w:rPr>
      </w:pPr>
    </w:p>
    <w:p w14:paraId="1708FA7C">
      <w:pPr>
        <w:pageBreakBefore w:val="0"/>
        <w:kinsoku/>
        <w:wordWrap w:val="0"/>
        <w:topLinePunct w:val="0"/>
        <w:spacing w:beforeLines="50"/>
        <w:ind w:left="1200" w:hanging="1200" w:hangingChars="400"/>
        <w:rPr>
          <w:rFonts w:ascii="宋体" w:hAnsi="宋体"/>
          <w:color w:val="auto"/>
          <w:sz w:val="30"/>
          <w:szCs w:val="30"/>
          <w:highlight w:val="none"/>
        </w:rPr>
      </w:pPr>
    </w:p>
    <w:p w14:paraId="19534D81">
      <w:pPr>
        <w:pageBreakBefore w:val="0"/>
        <w:kinsoku/>
        <w:wordWrap w:val="0"/>
        <w:topLinePunct w:val="0"/>
        <w:spacing w:beforeLines="50"/>
        <w:ind w:left="1200" w:hanging="1200" w:hangingChars="400"/>
        <w:rPr>
          <w:rFonts w:ascii="宋体" w:hAnsi="宋体"/>
          <w:color w:val="auto"/>
          <w:sz w:val="30"/>
          <w:szCs w:val="30"/>
          <w:highlight w:val="none"/>
        </w:rPr>
      </w:pPr>
    </w:p>
    <w:p w14:paraId="3FF7A938">
      <w:pPr>
        <w:pageBreakBefore w:val="0"/>
        <w:kinsoku/>
        <w:wordWrap w:val="0"/>
        <w:topLinePunct w:val="0"/>
        <w:spacing w:beforeLines="50"/>
        <w:ind w:left="1200" w:hanging="1200" w:hangingChars="400"/>
        <w:rPr>
          <w:rFonts w:ascii="宋体" w:hAnsi="宋体"/>
          <w:color w:val="auto"/>
          <w:sz w:val="30"/>
          <w:szCs w:val="30"/>
          <w:highlight w:val="none"/>
        </w:rPr>
      </w:pPr>
    </w:p>
    <w:p w14:paraId="2D317EE0">
      <w:pPr>
        <w:pageBreakBefore w:val="0"/>
        <w:kinsoku/>
        <w:wordWrap w:val="0"/>
        <w:topLinePunct w:val="0"/>
        <w:rPr>
          <w:rFonts w:ascii="宋体" w:hAnsi="宋体"/>
          <w:color w:val="auto"/>
          <w:sz w:val="30"/>
          <w:szCs w:val="30"/>
          <w:highlight w:val="none"/>
        </w:rPr>
      </w:pPr>
      <w:r>
        <w:rPr>
          <w:rFonts w:hint="eastAsia" w:ascii="宋体" w:hAnsi="宋体"/>
          <w:color w:val="auto"/>
          <w:sz w:val="30"/>
          <w:szCs w:val="30"/>
          <w:highlight w:val="none"/>
        </w:rPr>
        <w:br w:type="page"/>
      </w:r>
    </w:p>
    <w:p w14:paraId="1ED614ED">
      <w:pPr>
        <w:pageBreakBefore w:val="0"/>
        <w:kinsoku/>
        <w:wordWrap w:val="0"/>
        <w:topLinePunct w:val="0"/>
        <w:spacing w:beforeLines="50"/>
        <w:ind w:left="1200" w:hanging="1200" w:hangingChars="400"/>
        <w:rPr>
          <w:rFonts w:ascii="宋体" w:hAnsi="宋体"/>
          <w:color w:val="auto"/>
          <w:sz w:val="30"/>
          <w:szCs w:val="30"/>
          <w:highlight w:val="none"/>
        </w:rPr>
      </w:pPr>
      <w:r>
        <w:rPr>
          <w:rFonts w:hint="eastAsia" w:ascii="宋体" w:hAnsi="宋体"/>
          <w:color w:val="auto"/>
          <w:sz w:val="30"/>
          <w:szCs w:val="30"/>
          <w:highlight w:val="none"/>
        </w:rPr>
        <w:t>附件</w:t>
      </w:r>
      <w:r>
        <w:rPr>
          <w:rFonts w:ascii="宋体" w:hAnsi="宋体"/>
          <w:color w:val="auto"/>
          <w:sz w:val="30"/>
          <w:szCs w:val="30"/>
          <w:highlight w:val="none"/>
        </w:rPr>
        <w:t>1</w:t>
      </w:r>
      <w:r>
        <w:rPr>
          <w:rFonts w:hint="eastAsia" w:ascii="宋体" w:hAnsi="宋体"/>
          <w:color w:val="auto"/>
          <w:sz w:val="30"/>
          <w:szCs w:val="30"/>
          <w:highlight w:val="none"/>
        </w:rPr>
        <w:t>5：</w:t>
      </w:r>
    </w:p>
    <w:p w14:paraId="10583577">
      <w:pPr>
        <w:pStyle w:val="187"/>
        <w:pageBreakBefore w:val="0"/>
        <w:kinsoku/>
        <w:wordWrap w:val="0"/>
        <w:topLinePunct w:val="0"/>
        <w:ind w:firstLine="2860" w:firstLineChars="650"/>
        <w:rPr>
          <w:rFonts w:ascii="黑体" w:hAnsi="黑体" w:eastAsia="黑体"/>
          <w:color w:val="auto"/>
          <w:sz w:val="44"/>
          <w:szCs w:val="44"/>
          <w:highlight w:val="none"/>
        </w:rPr>
      </w:pPr>
      <w:r>
        <w:rPr>
          <w:rFonts w:hint="eastAsia" w:ascii="黑体" w:hAnsi="黑体" w:eastAsia="黑体"/>
          <w:color w:val="auto"/>
          <w:sz w:val="44"/>
          <w:szCs w:val="44"/>
          <w:highlight w:val="none"/>
        </w:rPr>
        <w:t>施工安全责任协议书</w:t>
      </w:r>
    </w:p>
    <w:p w14:paraId="4774CA08">
      <w:pPr>
        <w:pageBreakBefore w:val="0"/>
        <w:kinsoku/>
        <w:wordWrap w:val="0"/>
        <w:topLinePunct w:val="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甲方:</w:t>
      </w:r>
    </w:p>
    <w:p w14:paraId="2A761C06">
      <w:pPr>
        <w:pageBreakBefore w:val="0"/>
        <w:kinsoku/>
        <w:wordWrap w:val="0"/>
        <w:topLinePunct w:val="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乙方:</w:t>
      </w:r>
    </w:p>
    <w:p w14:paraId="36FE4DA9">
      <w:pPr>
        <w:pageBreakBefore w:val="0"/>
        <w:kinsoku/>
        <w:wordWrap w:val="0"/>
        <w:topLinePunct w:val="0"/>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为全面落实安全文明施工管理工作,坚持“安全第一,预防为主,综合治理”的方针,根据《中华人民共和国安全生产法》及建筑行业法律规定要求,特签订“施工安全责任书”作为工程承包合同的附件,双方必须共同遵守。协议书具体内容如下</w:t>
      </w:r>
    </w:p>
    <w:p w14:paraId="1156C892">
      <w:pPr>
        <w:pageBreakBefore w:val="0"/>
        <w:kinsoku/>
        <w:wordWrap w:val="0"/>
        <w:topLinePunct w:val="0"/>
        <w:ind w:firstLine="413" w:firstLineChars="196"/>
        <w:rPr>
          <w:rFonts w:asciiTheme="minorEastAsia" w:hAnsiTheme="minorEastAsia" w:eastAsiaTheme="minorEastAsia"/>
          <w:b/>
          <w:color w:val="auto"/>
          <w:highlight w:val="none"/>
        </w:rPr>
      </w:pPr>
      <w:r>
        <w:rPr>
          <w:rFonts w:hint="eastAsia" w:asciiTheme="minorEastAsia" w:hAnsiTheme="minorEastAsia"/>
          <w:b/>
          <w:color w:val="auto"/>
          <w:highlight w:val="none"/>
        </w:rPr>
        <w:t>一、</w:t>
      </w:r>
      <w:r>
        <w:rPr>
          <w:rFonts w:hint="eastAsia" w:asciiTheme="minorEastAsia" w:hAnsiTheme="minorEastAsia" w:eastAsiaTheme="minorEastAsia"/>
          <w:b/>
          <w:color w:val="auto"/>
          <w:highlight w:val="none"/>
        </w:rPr>
        <w:t>安全目标</w:t>
      </w:r>
    </w:p>
    <w:p w14:paraId="4793BABC">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1.</w:t>
      </w:r>
      <w:r>
        <w:rPr>
          <w:rFonts w:hint="eastAsia" w:asciiTheme="minorEastAsia" w:hAnsiTheme="minorEastAsia" w:eastAsiaTheme="minorEastAsia"/>
          <w:color w:val="auto"/>
          <w:highlight w:val="none"/>
        </w:rPr>
        <w:t>不发生轻伤及以上人身伤害事故</w:t>
      </w:r>
      <w:r>
        <w:rPr>
          <w:rFonts w:hint="eastAsia" w:asciiTheme="minorEastAsia" w:hAnsiTheme="minorEastAsia"/>
          <w:color w:val="auto"/>
          <w:highlight w:val="none"/>
        </w:rPr>
        <w:t>;</w:t>
      </w:r>
    </w:p>
    <w:p w14:paraId="5558D460">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2.不发生火灾事故</w:t>
      </w:r>
      <w:r>
        <w:rPr>
          <w:rFonts w:hint="eastAsia" w:asciiTheme="minorEastAsia" w:hAnsiTheme="minorEastAsia"/>
          <w:color w:val="auto"/>
          <w:highlight w:val="none"/>
        </w:rPr>
        <w:t>;</w:t>
      </w:r>
    </w:p>
    <w:p w14:paraId="543C795E">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3.不发生环境污染事故</w:t>
      </w:r>
      <w:r>
        <w:rPr>
          <w:rFonts w:hint="eastAsia" w:asciiTheme="minorEastAsia" w:hAnsiTheme="minorEastAsia"/>
          <w:color w:val="auto"/>
          <w:highlight w:val="none"/>
        </w:rPr>
        <w:t>;</w:t>
      </w:r>
    </w:p>
    <w:p w14:paraId="6FA88462">
      <w:pPr>
        <w:pageBreakBefore w:val="0"/>
        <w:kinsoku/>
        <w:wordWrap w:val="0"/>
        <w:topLinePunct w:val="0"/>
        <w:ind w:firstLine="420" w:firstLineChars="200"/>
        <w:rPr>
          <w:rFonts w:asciiTheme="minorEastAsia" w:hAnsiTheme="minorEastAsia"/>
          <w:color w:val="auto"/>
          <w:highlight w:val="none"/>
        </w:rPr>
      </w:pPr>
      <w:r>
        <w:rPr>
          <w:rFonts w:hint="eastAsia" w:asciiTheme="minorEastAsia" w:hAnsiTheme="minorEastAsia" w:eastAsiaTheme="minorEastAsia"/>
          <w:color w:val="auto"/>
          <w:highlight w:val="none"/>
        </w:rPr>
        <w:t>4.杜绝违章指挥、违章作业违反劳动纪律</w:t>
      </w:r>
      <w:r>
        <w:rPr>
          <w:rFonts w:hint="eastAsia" w:asciiTheme="minorEastAsia" w:hAnsiTheme="minorEastAsia"/>
          <w:color w:val="auto"/>
          <w:highlight w:val="none"/>
        </w:rPr>
        <w:t>。</w:t>
      </w:r>
    </w:p>
    <w:p w14:paraId="0B693DFD">
      <w:pPr>
        <w:pageBreakBefore w:val="0"/>
        <w:kinsoku/>
        <w:wordWrap w:val="0"/>
        <w:topLinePunct w:val="0"/>
        <w:ind w:firstLine="413" w:firstLineChars="196"/>
        <w:rPr>
          <w:rFonts w:asciiTheme="minorEastAsia" w:hAnsiTheme="minorEastAsia" w:eastAsiaTheme="minorEastAsia"/>
          <w:b/>
          <w:color w:val="auto"/>
          <w:highlight w:val="none"/>
        </w:rPr>
      </w:pPr>
      <w:r>
        <w:rPr>
          <w:rFonts w:hint="eastAsia" w:asciiTheme="minorEastAsia" w:hAnsiTheme="minorEastAsia"/>
          <w:b/>
          <w:color w:val="auto"/>
          <w:highlight w:val="none"/>
        </w:rPr>
        <w:t>二、</w:t>
      </w:r>
      <w:r>
        <w:rPr>
          <w:rFonts w:hint="eastAsia" w:asciiTheme="minorEastAsia" w:hAnsiTheme="minorEastAsia" w:eastAsiaTheme="minorEastAsia"/>
          <w:b/>
          <w:color w:val="auto"/>
          <w:highlight w:val="none"/>
        </w:rPr>
        <w:t>根据《中华人民共和国安全生产法》规定,双方在工程施工期间应承担的安全责任:</w:t>
      </w:r>
    </w:p>
    <w:p w14:paraId="69AC29D0">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1、甲方安全职责:</w:t>
      </w:r>
    </w:p>
    <w:p w14:paraId="3BDD1346">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1.1甲方应对乙方的营业执照、施工资质和安全施工资格证书进行审查及备案,并掌握其施工业绩及施工安全情况。</w:t>
      </w:r>
    </w:p>
    <w:p w14:paraId="6374FA6C">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1.2甲方应审查乙方施工安全资格,包括施工人员概况、特种作业人员及“上岗证”,审查乙方项目负责入、施工技术负责人、现场安全负责人相关证明。</w:t>
      </w:r>
    </w:p>
    <w:p w14:paraId="7AC01C40">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1.3开工前甲方负责冋现场施工负责人、工程技术人员及施工人员告知现场工作条件及工作环境对有关安全注意事项进行交底。</w:t>
      </w:r>
    </w:p>
    <w:p w14:paraId="262D501E">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1.4施工期间甲方有权对施工现场进行的安全监督,发现违章作业及危及人身、设备安全时,可及时制止、纠正,必要时有权停止其工作,并向乙方提出整改要求。</w:t>
      </w:r>
    </w:p>
    <w:p w14:paraId="584CD6BB">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1.5负责合同中规定由甲方承担有关职责。</w:t>
      </w:r>
    </w:p>
    <w:p w14:paraId="4856CFAD">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2.乙方作为工程项目</w:t>
      </w:r>
      <w:r>
        <w:rPr>
          <w:rFonts w:hint="eastAsia" w:asciiTheme="minorEastAsia" w:hAnsiTheme="minorEastAsia"/>
          <w:color w:val="auto"/>
          <w:highlight w:val="none"/>
        </w:rPr>
        <w:t>建设</w:t>
      </w:r>
      <w:r>
        <w:rPr>
          <w:rFonts w:hint="eastAsia" w:asciiTheme="minorEastAsia" w:hAnsiTheme="minorEastAsia" w:eastAsiaTheme="minorEastAsia"/>
          <w:color w:val="auto"/>
          <w:highlight w:val="none"/>
        </w:rPr>
        <w:t>的</w:t>
      </w:r>
      <w:r>
        <w:rPr>
          <w:rFonts w:hint="eastAsia" w:ascii="宋体" w:hAnsi="宋体" w:cs="宋体"/>
          <w:color w:val="auto"/>
          <w:highlight w:val="none"/>
        </w:rPr>
        <w:t>承</w:t>
      </w:r>
      <w:r>
        <w:rPr>
          <w:rFonts w:hint="eastAsia" w:asciiTheme="minorEastAsia" w:hAnsiTheme="minorEastAsia" w:eastAsiaTheme="minorEastAsia"/>
          <w:color w:val="auto"/>
          <w:highlight w:val="none"/>
        </w:rPr>
        <w:t>包单位,对工程施工过程中由乙方原因造成的人身伤害、设备损坏事故承担全部责任。乙方应切实际履行以下安全责任如下</w:t>
      </w:r>
      <w:r>
        <w:rPr>
          <w:rFonts w:hint="eastAsia" w:asciiTheme="minorEastAsia" w:hAnsiTheme="minorEastAsia"/>
          <w:color w:val="auto"/>
          <w:highlight w:val="none"/>
        </w:rPr>
        <w:t>：</w:t>
      </w:r>
    </w:p>
    <w:p w14:paraId="7C4F6313">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2.1乙方进场前,必须把符合法律法规要求的的安全生产许可证和资质证明提供给甲方。</w:t>
      </w:r>
    </w:p>
    <w:p w14:paraId="41C7E2E2">
      <w:pPr>
        <w:pageBreakBefore w:val="0"/>
        <w:kinsoku/>
        <w:wordWrap w:val="0"/>
        <w:topLinePunct w:val="0"/>
        <w:ind w:firstLine="420" w:firstLineChars="200"/>
        <w:rPr>
          <w:rFonts w:asciiTheme="minorEastAsia" w:hAnsiTheme="minorEastAsia"/>
          <w:color w:val="auto"/>
          <w:highlight w:val="none"/>
        </w:rPr>
      </w:pPr>
      <w:r>
        <w:rPr>
          <w:rFonts w:hint="eastAsia" w:asciiTheme="minorEastAsia" w:hAnsiTheme="minorEastAsia" w:eastAsiaTheme="minorEastAsia"/>
          <w:color w:val="auto"/>
          <w:highlight w:val="none"/>
        </w:rPr>
        <w:t>2.</w:t>
      </w:r>
      <w:r>
        <w:rPr>
          <w:rFonts w:hint="eastAsia" w:asciiTheme="minorEastAsia" w:hAnsiTheme="minorEastAsia"/>
          <w:color w:val="auto"/>
          <w:highlight w:val="none"/>
        </w:rPr>
        <w:t>2乙方开工前组织对全体现场施工作业人员进行安全、技术交底,明确工作任务,使全体施工现场各级人员掌握工程特点及安全操作规程、施工安全措施、安全注意事项。对施工作业人员定期进行安全活动和总结,并有记录。</w:t>
      </w:r>
    </w:p>
    <w:p w14:paraId="4BB7428B">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2.3开工前编制工程的施工组织方案、施工作业计划、安全管理制度、组织措施和技术措施,对复杂或危险性较大的工程必须订立专项施工方案措施。</w:t>
      </w:r>
    </w:p>
    <w:p w14:paraId="29B710AD">
      <w:pPr>
        <w:pageBreakBefore w:val="0"/>
        <w:kinsoku/>
        <w:wordWrap w:val="0"/>
        <w:topLinePunct w:val="0"/>
        <w:ind w:firstLine="525" w:firstLineChars="2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2.4乙方进场前,必须把作业人员的花名册、操作证、上岗证和身份证等证件提供给甲方;对新入人员必须进行入厂教育及告知现场安全注意事项,相关记录、资料正确齐全,方可进场作业。</w:t>
      </w:r>
    </w:p>
    <w:p w14:paraId="740D2A95">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2.5施工期间,各种交通工具、设备和工具等均由乙方自备,并保证状态良好。交通工具、设备和工具的维修与保养,以及在使用过程中发生故障或伤亡事故的费用由乙方负责承担。甲方不负任何连带责任</w:t>
      </w:r>
      <w:r>
        <w:rPr>
          <w:rFonts w:hint="eastAsia" w:asciiTheme="minorEastAsia" w:hAnsiTheme="minorEastAsia"/>
          <w:color w:val="auto"/>
          <w:highlight w:val="none"/>
        </w:rPr>
        <w:t>。</w:t>
      </w:r>
    </w:p>
    <w:p w14:paraId="757C04F6">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2.6施工时,乙方严格执行安全操作规程,并做好各种安全防范措施,指定专人负责安全工作,明确安全员。施工中一旦发现有安全隐患的,乙方应立即停工,并报告甲方,采取措施整治消除后继续施工。施工人员进行作业时必须正确穿戴好安全防护用品,切实保证施工中的人身、设备安全。</w:t>
      </w:r>
    </w:p>
    <w:p w14:paraId="69A3E365">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2.7乙方施工人员应持有劳动部门颁发的上岗证。从事起重机械、安装拆卸、焊接作业等特种作业人员,必须按照国家有关规定取得特种作业操作资格证书后方可上岗作业。</w:t>
      </w:r>
    </w:p>
    <w:p w14:paraId="503A36C9">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2.8乙方应在施工现场的危险部位设置明显的安全警示标志。乙方对工程施工可能造成损害的毗邻建筑物、构筑物和地下管线、电力、通信线辟等,应当采取专项防护措施。如没有防护,或防护不当而导致既有设施损坏,由乙方承担一切责任</w:t>
      </w:r>
    </w:p>
    <w:p w14:paraId="11980E3D">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2.9乙方必须接受甲方监督和指导,发生人身事故或危及施工安全情况,必须立即报告甲方。乙方对甲方提出的有效意见必须及时整改。</w:t>
      </w:r>
    </w:p>
    <w:p w14:paraId="7A8F8708">
      <w:pPr>
        <w:pageBreakBefore w:val="0"/>
        <w:kinsoku/>
        <w:wordWrap w:val="0"/>
        <w:topLinePunct w:val="0"/>
        <w:ind w:firstLine="525" w:firstLineChars="2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2.10负责合同中规定由乙方承担有关职责。</w:t>
      </w:r>
    </w:p>
    <w:p w14:paraId="6113156A">
      <w:pPr>
        <w:pageBreakBefore w:val="0"/>
        <w:kinsoku/>
        <w:wordWrap w:val="0"/>
        <w:topLinePunct w:val="0"/>
        <w:ind w:firstLine="422" w:firstLineChars="200"/>
        <w:rPr>
          <w:rFonts w:asciiTheme="minorEastAsia" w:hAnsiTheme="minorEastAsia" w:eastAsiaTheme="minorEastAsia"/>
          <w:b/>
          <w:color w:val="auto"/>
          <w:highlight w:val="none"/>
        </w:rPr>
      </w:pPr>
      <w:r>
        <w:rPr>
          <w:rFonts w:hint="eastAsia" w:asciiTheme="minorEastAsia" w:hAnsiTheme="minorEastAsia"/>
          <w:b/>
          <w:color w:val="auto"/>
          <w:highlight w:val="none"/>
        </w:rPr>
        <w:t>三、</w:t>
      </w:r>
      <w:r>
        <w:rPr>
          <w:rFonts w:hint="eastAsia" w:asciiTheme="minorEastAsia" w:hAnsiTheme="minorEastAsia" w:eastAsiaTheme="minorEastAsia"/>
          <w:b/>
          <w:color w:val="auto"/>
          <w:highlight w:val="none"/>
        </w:rPr>
        <w:t>甲方有权对乙方现场安全管理进行监督,对现场违章操作行为进行考核,甲、乙双方约定从在承包工程结束时从工程款中扣除,具体扣款细则如下</w:t>
      </w:r>
      <w:r>
        <w:rPr>
          <w:rFonts w:hint="eastAsia" w:asciiTheme="minorEastAsia" w:hAnsiTheme="minorEastAsia"/>
          <w:b/>
          <w:color w:val="auto"/>
          <w:highlight w:val="none"/>
        </w:rPr>
        <w:t>：</w:t>
      </w:r>
    </w:p>
    <w:p w14:paraId="609A6821">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1由于乙方责任造成人员伤亡、设备损坏、环境污染事故,一切损失由乙方负责赔偿。</w:t>
      </w:r>
    </w:p>
    <w:p w14:paraId="2A3A6A9B">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2</w:t>
      </w:r>
      <w:r>
        <w:rPr>
          <w:rFonts w:hint="eastAsia" w:asciiTheme="minorEastAsia" w:hAnsiTheme="minorEastAsia" w:eastAsiaTheme="minorEastAsia"/>
          <w:color w:val="auto"/>
          <w:highlight w:val="none"/>
        </w:rPr>
        <w:t>.施工人员不按规定佩戴安全帽。每发现一人/次,罚款100元。</w:t>
      </w:r>
    </w:p>
    <w:p w14:paraId="5CD0F184">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3</w:t>
      </w:r>
      <w:r>
        <w:rPr>
          <w:rFonts w:hint="eastAsia" w:asciiTheme="minorEastAsia" w:hAnsiTheme="minorEastAsia" w:eastAsiaTheme="minorEastAsia"/>
          <w:color w:val="auto"/>
          <w:highlight w:val="none"/>
        </w:rPr>
        <w:t>.高空作业不系安全带或安全带未系在牢固的构架上。每发现一人/次,罚款200元。</w:t>
      </w:r>
    </w:p>
    <w:p w14:paraId="436DC951">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4.</w:t>
      </w:r>
      <w:r>
        <w:rPr>
          <w:rFonts w:hint="eastAsia" w:asciiTheme="minorEastAsia" w:hAnsiTheme="minorEastAsia" w:eastAsiaTheme="minorEastAsia"/>
          <w:color w:val="auto"/>
          <w:highlight w:val="none"/>
        </w:rPr>
        <w:t>搭设的脚手架不符合安全要求。每发现一次,罚款100元。</w:t>
      </w:r>
    </w:p>
    <w:p w14:paraId="687C927A">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5</w:t>
      </w:r>
      <w:r>
        <w:rPr>
          <w:rFonts w:hint="eastAsia" w:asciiTheme="minorEastAsia" w:hAnsiTheme="minorEastAsia" w:eastAsiaTheme="minorEastAsia"/>
          <w:color w:val="auto"/>
          <w:highlight w:val="none"/>
        </w:rPr>
        <w:t>.特种作业人员无证作业。每发现一人/次,罚款100元。</w:t>
      </w:r>
    </w:p>
    <w:p w14:paraId="0AFA0E56">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6</w:t>
      </w:r>
      <w:r>
        <w:rPr>
          <w:rFonts w:hint="eastAsia" w:asciiTheme="minorEastAsia" w:hAnsiTheme="minorEastAsia" w:eastAsiaTheme="minorEastAsia"/>
          <w:color w:val="auto"/>
          <w:highlight w:val="none"/>
        </w:rPr>
        <w:t>.现场施工用电管理不符合“一机一闸一保护”要求</w:t>
      </w:r>
      <w:r>
        <w:rPr>
          <w:rFonts w:hint="eastAsia" w:asciiTheme="minorEastAsia" w:hAnsiTheme="minorEastAsia"/>
          <w:color w:val="auto"/>
          <w:highlight w:val="none"/>
        </w:rPr>
        <w:t>,</w:t>
      </w:r>
      <w:r>
        <w:rPr>
          <w:rFonts w:hint="eastAsia" w:asciiTheme="minorEastAsia" w:hAnsiTheme="minorEastAsia" w:eastAsiaTheme="minorEastAsia"/>
          <w:color w:val="auto"/>
          <w:highlight w:val="none"/>
        </w:rPr>
        <w:t>每发现一处,罚款100元。</w:t>
      </w:r>
    </w:p>
    <w:p w14:paraId="2F97A7FC">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7.</w:t>
      </w:r>
      <w:r>
        <w:rPr>
          <w:rFonts w:hint="eastAsia" w:asciiTheme="minorEastAsia" w:hAnsiTheme="minorEastAsia" w:eastAsiaTheme="minorEastAsia"/>
          <w:color w:val="auto"/>
          <w:highlight w:val="none"/>
        </w:rPr>
        <w:t>高处临边作业未设置围栏、警告标志。每发现一处,罚款200元。</w:t>
      </w:r>
    </w:p>
    <w:p w14:paraId="3EFE818B">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8.</w:t>
      </w:r>
      <w:r>
        <w:rPr>
          <w:rFonts w:hint="eastAsia" w:asciiTheme="minorEastAsia" w:hAnsiTheme="minorEastAsia" w:eastAsiaTheme="minorEastAsia"/>
          <w:color w:val="auto"/>
          <w:highlight w:val="none"/>
        </w:rPr>
        <w:t>不对高温高压、易燃易爆物品进行隔离,即从事电、气焊作业。每发现一次,罚款200元。</w:t>
      </w:r>
    </w:p>
    <w:p w14:paraId="50BC5A84">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color w:val="auto"/>
          <w:highlight w:val="none"/>
        </w:rPr>
        <w:t>9</w:t>
      </w:r>
      <w:r>
        <w:rPr>
          <w:rFonts w:hint="eastAsia" w:asciiTheme="minorEastAsia" w:hAnsiTheme="minorEastAsia" w:eastAsiaTheme="minorEastAsia"/>
          <w:color w:val="auto"/>
          <w:highlight w:val="none"/>
        </w:rPr>
        <w:t>.焊接工作用的氧气、乙炔瓶未固定立放,气瓶与气瓶、明火、电气设备安全间距不足。每发现处,罚款100元。</w:t>
      </w:r>
    </w:p>
    <w:p w14:paraId="6CB8281C">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Theme="minorEastAsia" w:hAnsiTheme="minorEastAsia"/>
          <w:color w:val="auto"/>
          <w:highlight w:val="none"/>
        </w:rPr>
        <w:t>0</w:t>
      </w:r>
      <w:r>
        <w:rPr>
          <w:rFonts w:hint="eastAsia" w:asciiTheme="minorEastAsia" w:hAnsiTheme="minorEastAsia" w:eastAsiaTheme="minorEastAsia"/>
          <w:color w:val="auto"/>
          <w:highlight w:val="none"/>
        </w:rPr>
        <w:t>.焊接、切割工作前,未清理周围的易燃牣或未釆取隔离防护措施,工作后未检査、凊理现场遗留物。每发现一次,罚款100元。</w:t>
      </w:r>
    </w:p>
    <w:p w14:paraId="04A83866">
      <w:pPr>
        <w:pageBreakBefore w:val="0"/>
        <w:kinsoku/>
        <w:wordWrap w:val="0"/>
        <w:topLinePunct w:val="0"/>
        <w:ind w:firstLine="413" w:firstLineChars="196"/>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四、安全责任及其他</w:t>
      </w:r>
    </w:p>
    <w:p w14:paraId="27D5EB39">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1、若因乙方人员末遵守本安全责任协议书或相</w:t>
      </w:r>
      <w:r>
        <w:rPr>
          <w:rFonts w:hint="eastAsia" w:asciiTheme="minorEastAsia" w:hAnsiTheme="minorEastAsia"/>
          <w:color w:val="auto"/>
          <w:highlight w:val="none"/>
        </w:rPr>
        <w:t>关</w:t>
      </w:r>
      <w:r>
        <w:rPr>
          <w:rFonts w:hint="eastAsia" w:asciiTheme="minorEastAsia" w:hAnsiTheme="minorEastAsia" w:eastAsiaTheme="minorEastAsia"/>
          <w:color w:val="auto"/>
          <w:highlight w:val="none"/>
        </w:rPr>
        <w:t>安全规章制度、标准,违章作业,由此造成的</w:t>
      </w:r>
      <w:r>
        <w:rPr>
          <w:rFonts w:hint="eastAsia" w:asciiTheme="minorEastAsia" w:hAnsiTheme="minorEastAsia"/>
          <w:color w:val="auto"/>
          <w:highlight w:val="none"/>
        </w:rPr>
        <w:t>一</w:t>
      </w:r>
      <w:r>
        <w:rPr>
          <w:rFonts w:hint="eastAsia" w:asciiTheme="minorEastAsia" w:hAnsiTheme="minorEastAsia" w:eastAsiaTheme="minorEastAsia"/>
          <w:color w:val="auto"/>
          <w:highlight w:val="none"/>
        </w:rPr>
        <w:t>切后果均由乙方承担全部安全责任。</w:t>
      </w:r>
    </w:p>
    <w:p w14:paraId="7CAAD187">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2、若因合同期内乙方安全管理不力或安全防护措施不到位,造成重大安全责任事故,一切后果均由乙方承担全部责任。</w:t>
      </w:r>
    </w:p>
    <w:p w14:paraId="36D62EF1">
      <w:pPr>
        <w:pageBreakBefore w:val="0"/>
        <w:kinsoku/>
        <w:wordWrap w:val="0"/>
        <w:topLinePunct w:val="0"/>
        <w:ind w:firstLine="315" w:firstLineChars="15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本责任书一式四份方各执二份,责任书中未尽事宜,双方协商解决。本责任书经双方签字或盖章后生效。</w:t>
      </w:r>
    </w:p>
    <w:p w14:paraId="023AA202">
      <w:pPr>
        <w:pageBreakBefore w:val="0"/>
        <w:kinsoku/>
        <w:wordWrap w:val="0"/>
        <w:topLinePunct w:val="0"/>
        <w:rPr>
          <w:rFonts w:asciiTheme="minorEastAsia" w:hAnsiTheme="minorEastAsia"/>
          <w:color w:val="auto"/>
          <w:highlight w:val="none"/>
        </w:rPr>
      </w:pPr>
    </w:p>
    <w:p w14:paraId="73DDD997">
      <w:pPr>
        <w:pageBreakBefore w:val="0"/>
        <w:kinsoku/>
        <w:wordWrap w:val="0"/>
        <w:topLinePunct w:val="0"/>
        <w:rPr>
          <w:rFonts w:asciiTheme="minorEastAsia" w:hAnsiTheme="minorEastAsia" w:eastAsiaTheme="minorEastAsia"/>
          <w:color w:val="auto"/>
          <w:highlight w:val="none"/>
        </w:rPr>
      </w:pPr>
    </w:p>
    <w:p w14:paraId="21EB7E05">
      <w:pPr>
        <w:pageBreakBefore w:val="0"/>
        <w:kinsoku/>
        <w:wordWrap w:val="0"/>
        <w:topLinePunct w:val="0"/>
        <w:rPr>
          <w:rFonts w:asciiTheme="minorEastAsia" w:hAnsiTheme="minorEastAsia" w:eastAsiaTheme="minorEastAsia"/>
          <w:color w:val="auto"/>
          <w:highlight w:val="none"/>
        </w:rPr>
      </w:pPr>
    </w:p>
    <w:p w14:paraId="25BE7763">
      <w:pPr>
        <w:pageBreakBefore w:val="0"/>
        <w:kinsoku/>
        <w:wordWrap w:val="0"/>
        <w:topLinePunct w:val="0"/>
        <w:rPr>
          <w:rFonts w:asciiTheme="minorEastAsia" w:hAnsiTheme="minorEastAsia" w:eastAsiaTheme="minorEastAsia"/>
          <w:color w:val="auto"/>
          <w:highlight w:val="none"/>
        </w:rPr>
      </w:pPr>
    </w:p>
    <w:p w14:paraId="5E71F79C">
      <w:pPr>
        <w:pageBreakBefore w:val="0"/>
        <w:kinsoku/>
        <w:wordWrap w:val="0"/>
        <w:topLinePunct w:val="0"/>
        <w:rPr>
          <w:rFonts w:asciiTheme="minorEastAsia" w:hAnsiTheme="minorEastAsia" w:eastAsiaTheme="minorEastAsia"/>
          <w:color w:val="auto"/>
          <w:highlight w:val="none"/>
        </w:rPr>
      </w:pPr>
    </w:p>
    <w:p w14:paraId="6C5E10D5">
      <w:pPr>
        <w:pageBreakBefore w:val="0"/>
        <w:kinsoku/>
        <w:wordWrap w:val="0"/>
        <w:topLinePunct w:val="0"/>
        <w:rPr>
          <w:rFonts w:asciiTheme="minorEastAsia" w:hAnsiTheme="minorEastAsia" w:eastAsiaTheme="minorEastAsia"/>
          <w:color w:val="auto"/>
          <w:highlight w:val="none"/>
        </w:rPr>
      </w:pPr>
    </w:p>
    <w:p w14:paraId="0BF39808">
      <w:pPr>
        <w:pageBreakBefore w:val="0"/>
        <w:kinsoku/>
        <w:wordWrap w:val="0"/>
        <w:topLinePunct w:val="0"/>
        <w:ind w:firstLine="420" w:firstLineChars="200"/>
        <w:rPr>
          <w:rFonts w:asciiTheme="minorEastAsia" w:hAnsiTheme="minorEastAsia"/>
          <w:color w:val="auto"/>
          <w:highlight w:val="none"/>
        </w:rPr>
      </w:pPr>
      <w:r>
        <w:rPr>
          <w:rFonts w:hint="eastAsia" w:asciiTheme="minorEastAsia" w:hAnsiTheme="minorEastAsia" w:eastAsiaTheme="minorEastAsia"/>
          <w:color w:val="auto"/>
          <w:highlight w:val="none"/>
        </w:rPr>
        <w:t>甲方</w:t>
      </w:r>
      <w:r>
        <w:rPr>
          <w:rFonts w:hint="eastAsia" w:asciiTheme="minorEastAsia" w:hAnsiTheme="minorEastAsia"/>
          <w:color w:val="auto"/>
          <w:highlight w:val="none"/>
        </w:rPr>
        <w:t>（</w:t>
      </w:r>
      <w:r>
        <w:rPr>
          <w:rFonts w:hint="eastAsia" w:asciiTheme="minorEastAsia" w:hAnsiTheme="minorEastAsia" w:eastAsiaTheme="minorEastAsia"/>
          <w:color w:val="auto"/>
          <w:highlight w:val="none"/>
        </w:rPr>
        <w:t>盖章</w:t>
      </w:r>
      <w:r>
        <w:rPr>
          <w:rFonts w:hint="eastAsia" w:asciiTheme="minorEastAsia" w:hAnsiTheme="minorEastAsia"/>
          <w:color w:val="auto"/>
          <w:highlight w:val="none"/>
        </w:rPr>
        <w:t>）</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highlight w:val="none"/>
          <w:lang w:val="en-US" w:eastAsia="zh-CN"/>
        </w:rPr>
        <w:t xml:space="preserve">                          </w:t>
      </w:r>
      <w:r>
        <w:rPr>
          <w:rFonts w:hint="eastAsia" w:asciiTheme="minorEastAsia" w:hAnsiTheme="minorEastAsia" w:eastAsiaTheme="minorEastAsia"/>
          <w:color w:val="auto"/>
          <w:highlight w:val="none"/>
        </w:rPr>
        <w:t>乙方</w:t>
      </w:r>
      <w:r>
        <w:rPr>
          <w:rFonts w:hint="eastAsia" w:asciiTheme="minorEastAsia" w:hAnsiTheme="minorEastAsia"/>
          <w:color w:val="auto"/>
          <w:highlight w:val="none"/>
        </w:rPr>
        <w:t>（</w:t>
      </w:r>
      <w:r>
        <w:rPr>
          <w:rFonts w:hint="eastAsia" w:asciiTheme="minorEastAsia" w:hAnsiTheme="minorEastAsia" w:eastAsiaTheme="minorEastAsia"/>
          <w:color w:val="auto"/>
          <w:highlight w:val="none"/>
        </w:rPr>
        <w:t>盖章</w:t>
      </w:r>
      <w:r>
        <w:rPr>
          <w:rFonts w:hint="eastAsia" w:asciiTheme="minorEastAsia" w:hAnsiTheme="minorEastAsia"/>
          <w:color w:val="auto"/>
          <w:highlight w:val="none"/>
        </w:rPr>
        <w:t>）</w:t>
      </w:r>
      <w:r>
        <w:rPr>
          <w:rFonts w:hint="eastAsia" w:asciiTheme="minorEastAsia" w:hAnsiTheme="minorEastAsia" w:eastAsiaTheme="minorEastAsia"/>
          <w:color w:val="auto"/>
          <w:highlight w:val="none"/>
        </w:rPr>
        <w:t>:</w:t>
      </w:r>
    </w:p>
    <w:p w14:paraId="1E536CAC">
      <w:pPr>
        <w:pageBreakBefore w:val="0"/>
        <w:kinsoku/>
        <w:wordWrap w:val="0"/>
        <w:topLinePunct w:val="0"/>
        <w:rPr>
          <w:rFonts w:asciiTheme="minorEastAsia" w:hAnsiTheme="minorEastAsia"/>
          <w:color w:val="auto"/>
          <w:highlight w:val="none"/>
        </w:rPr>
      </w:pPr>
    </w:p>
    <w:p w14:paraId="3B16CA0A">
      <w:pPr>
        <w:pageBreakBefore w:val="0"/>
        <w:kinsoku/>
        <w:wordWrap w:val="0"/>
        <w:topLinePunct w:val="0"/>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代表</w:t>
      </w:r>
      <w:r>
        <w:rPr>
          <w:rFonts w:hint="eastAsia" w:asciiTheme="minorEastAsia" w:hAnsiTheme="minorEastAsia"/>
          <w:color w:val="auto"/>
          <w:highlight w:val="none"/>
        </w:rPr>
        <w:t>（</w:t>
      </w:r>
      <w:r>
        <w:rPr>
          <w:rFonts w:hint="eastAsia" w:ascii="宋体" w:hAnsi="宋体" w:cs="宋体"/>
          <w:color w:val="auto"/>
          <w:highlight w:val="none"/>
        </w:rPr>
        <w:t>签字）</w:t>
      </w: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highlight w:val="none"/>
          <w:lang w:val="en-US" w:eastAsia="zh-CN"/>
        </w:rPr>
        <w:t xml:space="preserve">                          </w:t>
      </w:r>
      <w:r>
        <w:rPr>
          <w:rFonts w:hint="eastAsia" w:asciiTheme="minorEastAsia" w:hAnsiTheme="minorEastAsia" w:eastAsiaTheme="minorEastAsia"/>
          <w:color w:val="auto"/>
          <w:highlight w:val="none"/>
        </w:rPr>
        <w:t>代表</w:t>
      </w:r>
      <w:r>
        <w:rPr>
          <w:rFonts w:hint="eastAsia" w:asciiTheme="minorEastAsia" w:hAnsiTheme="minorEastAsia"/>
          <w:color w:val="auto"/>
          <w:highlight w:val="none"/>
        </w:rPr>
        <w:t>（</w:t>
      </w:r>
      <w:r>
        <w:rPr>
          <w:rFonts w:hint="eastAsia" w:ascii="宋体" w:hAnsi="宋体" w:cs="宋体"/>
          <w:color w:val="auto"/>
          <w:highlight w:val="none"/>
        </w:rPr>
        <w:t>签字）</w:t>
      </w:r>
      <w:r>
        <w:rPr>
          <w:rFonts w:hint="eastAsia" w:asciiTheme="minorEastAsia" w:hAnsiTheme="minorEastAsia" w:eastAsiaTheme="minorEastAsia"/>
          <w:color w:val="auto"/>
          <w:highlight w:val="none"/>
        </w:rPr>
        <w:t>:</w:t>
      </w:r>
    </w:p>
    <w:p w14:paraId="47DCB6A7">
      <w:pPr>
        <w:pageBreakBefore w:val="0"/>
        <w:kinsoku/>
        <w:wordWrap w:val="0"/>
        <w:topLinePunct w:val="0"/>
        <w:rPr>
          <w:rFonts w:asciiTheme="minorEastAsia" w:hAnsiTheme="minorEastAsia"/>
          <w:color w:val="auto"/>
          <w:highlight w:val="none"/>
        </w:rPr>
      </w:pPr>
    </w:p>
    <w:p w14:paraId="57D9D299">
      <w:pPr>
        <w:pageBreakBefore w:val="0"/>
        <w:kinsoku/>
        <w:wordWrap w:val="0"/>
        <w:topLinePunct w:val="0"/>
        <w:ind w:firstLine="420" w:firstLineChars="200"/>
        <w:rPr>
          <w:rFonts w:ascii="宋体" w:hAnsi="宋体"/>
          <w:color w:val="auto"/>
          <w:highlight w:val="none"/>
          <w:lang w:val="zh-CN"/>
        </w:rPr>
      </w:pPr>
      <w:r>
        <w:rPr>
          <w:rFonts w:hint="eastAsia" w:asciiTheme="minorEastAsia" w:hAnsiTheme="minorEastAsia" w:eastAsiaTheme="minorEastAsia"/>
          <w:color w:val="auto"/>
          <w:highlight w:val="none"/>
        </w:rPr>
        <w:t>签订日期</w:t>
      </w:r>
      <w:r>
        <w:rPr>
          <w:rFonts w:hint="eastAsia" w:asciiTheme="minorEastAsia" w:hAnsiTheme="minorEastAsia"/>
          <w:color w:val="auto"/>
          <w:highlight w:val="none"/>
        </w:rPr>
        <w:t xml:space="preserve"> ：</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签订</w:t>
      </w:r>
      <w:r>
        <w:rPr>
          <w:rFonts w:hint="eastAsia"/>
          <w:color w:val="auto"/>
          <w:highlight w:val="none"/>
        </w:rPr>
        <w:t>日期：</w:t>
      </w:r>
    </w:p>
    <w:p w14:paraId="3267E93B">
      <w:pPr>
        <w:pageBreakBefore w:val="0"/>
        <w:kinsoku/>
        <w:wordWrap w:val="0"/>
        <w:topLinePunct w:val="0"/>
        <w:rPr>
          <w:rFonts w:ascii="宋体" w:hAnsi="宋体"/>
          <w:color w:val="auto"/>
          <w:highlight w:val="none"/>
          <w:lang w:val="zh-CN"/>
        </w:rPr>
      </w:pPr>
    </w:p>
    <w:p w14:paraId="4D1FB0BE">
      <w:pPr>
        <w:pageBreakBefore w:val="0"/>
        <w:kinsoku/>
        <w:wordWrap w:val="0"/>
        <w:topLinePunct w:val="0"/>
        <w:rPr>
          <w:rFonts w:ascii="宋体" w:hAnsi="宋体"/>
          <w:color w:val="auto"/>
          <w:highlight w:val="none"/>
          <w:lang w:val="zh-CN"/>
        </w:rPr>
      </w:pPr>
    </w:p>
    <w:p w14:paraId="13A22B77">
      <w:pPr>
        <w:pageBreakBefore w:val="0"/>
        <w:kinsoku/>
        <w:wordWrap w:val="0"/>
        <w:topLinePunct w:val="0"/>
        <w:rPr>
          <w:rFonts w:ascii="宋体" w:hAnsi="宋体"/>
          <w:color w:val="auto"/>
          <w:highlight w:val="none"/>
          <w:lang w:val="zh-CN"/>
        </w:rPr>
      </w:pPr>
    </w:p>
    <w:p w14:paraId="48DD709D">
      <w:pPr>
        <w:pageBreakBefore w:val="0"/>
        <w:kinsoku/>
        <w:wordWrap w:val="0"/>
        <w:topLinePunct w:val="0"/>
        <w:rPr>
          <w:rFonts w:ascii="宋体" w:hAnsi="宋体"/>
          <w:color w:val="auto"/>
          <w:highlight w:val="none"/>
          <w:lang w:val="zh-CN"/>
        </w:rPr>
      </w:pPr>
    </w:p>
    <w:sectPr>
      <w:headerReference r:id="rId9" w:type="default"/>
      <w:footerReference r:id="rId10" w:type="default"/>
      <w:pgSz w:w="11906" w:h="16838"/>
      <w:pgMar w:top="1440" w:right="1800" w:bottom="155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理德小标宋简">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Malgun Gothic Semilight">
    <w:panose1 w:val="020B0502040204020203"/>
    <w:charset w:val="86"/>
    <w:family w:val="swiss"/>
    <w:pitch w:val="default"/>
    <w:sig w:usb0="900002AF" w:usb1="01D77CFB" w:usb2="00000012" w:usb3="00000000" w:csb0="203E01BD" w:csb1="D7FF0000"/>
  </w:font>
  <w:font w:name="MS Mincho">
    <w:altName w:val="MS UI Gothic"/>
    <w:panose1 w:val="02020609040205080304"/>
    <w:charset w:val="80"/>
    <w:family w:val="modern"/>
    <w:pitch w:val="default"/>
    <w:sig w:usb0="00000000" w:usb1="00000000" w:usb2="00000010" w:usb3="00000000" w:csb0="4002009F" w:csb1="DFD70000"/>
  </w:font>
  <w:font w:name="MS UI 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E0A5">
    <w:pPr>
      <w:pStyle w:val="33"/>
      <w:jc w:val="center"/>
    </w:pPr>
    <w:r>
      <w:fldChar w:fldCharType="begin"/>
    </w:r>
    <w:r>
      <w:instrText xml:space="preserve"> PAGE   \* MERGEFORMAT </w:instrText>
    </w:r>
    <w:r>
      <w:fldChar w:fldCharType="separate"/>
    </w:r>
    <w:r>
      <w:rPr>
        <w:lang w:val="zh-CN"/>
      </w:rPr>
      <w:t>1</w:t>
    </w:r>
    <w:r>
      <w:rPr>
        <w:lang w:val="zh-CN"/>
      </w:rPr>
      <w:fldChar w:fldCharType="end"/>
    </w:r>
  </w:p>
  <w:p w14:paraId="6E010B99">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E11A4">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25E70">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2978E">
    <w:pPr>
      <w:pStyle w:val="3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3098E09">
                          <w:pPr>
                            <w:pStyle w:val="33"/>
                          </w:pPr>
                          <w:r>
                            <w:fldChar w:fldCharType="begin"/>
                          </w:r>
                          <w:r>
                            <w:instrText xml:space="preserve"> PAGE  \* MERGEFORMAT </w:instrText>
                          </w:r>
                          <w:r>
                            <w:fldChar w:fldCharType="separate"/>
                          </w:r>
                          <w:r>
                            <w:t>92</w:t>
                          </w:r>
                          <w: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p5gnJ80BAACnAwAADgAAAAAAAAABACAAAAAeAQAAZHJzL2Uy&#10;b0RvYy54bWxQSwUGAAAAAAYABgBZAQAAXQUAAAAA&#10;">
              <v:fill on="f" focussize="0,0"/>
              <v:stroke on="f"/>
              <v:imagedata o:title=""/>
              <o:lock v:ext="edit" aspectratio="f"/>
              <v:textbox inset="0mm,0mm,0mm,0mm" style="mso-fit-shape-to-text:t;">
                <w:txbxContent>
                  <w:p w14:paraId="33098E09">
                    <w:pPr>
                      <w:pStyle w:val="33"/>
                    </w:pPr>
                    <w:r>
                      <w:fldChar w:fldCharType="begin"/>
                    </w:r>
                    <w:r>
                      <w:instrText xml:space="preserve"> PAGE  \* MERGEFORMAT </w:instrText>
                    </w:r>
                    <w:r>
                      <w:fldChar w:fldCharType="separate"/>
                    </w:r>
                    <w:r>
                      <w:t>92</w:t>
                    </w:r>
                    <w:r>
                      <w:fldChar w:fldCharType="end"/>
                    </w:r>
                  </w:p>
                </w:txbxContent>
              </v:textbox>
            </v:shape>
          </w:pict>
        </mc:Fallback>
      </mc:AlternateContent>
    </w:r>
  </w:p>
  <w:p w14:paraId="5E4C7144">
    <w:pPr>
      <w:pStyle w:val="3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43221">
    <w:pPr>
      <w:pStyle w:val="35"/>
    </w:pPr>
    <w:r>
      <w:rPr>
        <w:rFonts w:hint="eastAsia"/>
      </w:rPr>
      <w:t>竞争性磋商采购文件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429F4">
    <w:pPr>
      <w:pStyle w:val="3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4ED75">
    <w:pPr>
      <w:pStyle w:val="3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EDA7C">
    <w:pPr>
      <w:pStyle w:val="3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C8CA8"/>
    <w:multiLevelType w:val="singleLevel"/>
    <w:tmpl w:val="87EC8CA8"/>
    <w:lvl w:ilvl="0" w:tentative="0">
      <w:start w:val="7"/>
      <w:numFmt w:val="decimal"/>
      <w:suff w:val="nothing"/>
      <w:lvlText w:val="%1、"/>
      <w:lvlJc w:val="left"/>
    </w:lvl>
  </w:abstractNum>
  <w:abstractNum w:abstractNumId="1">
    <w:nsid w:val="BBA87FAC"/>
    <w:multiLevelType w:val="singleLevel"/>
    <w:tmpl w:val="BBA87FAC"/>
    <w:lvl w:ilvl="0" w:tentative="0">
      <w:start w:val="2"/>
      <w:numFmt w:val="decimal"/>
      <w:suff w:val="nothing"/>
      <w:lvlText w:val="%1、"/>
      <w:lvlJc w:val="left"/>
    </w:lvl>
  </w:abstractNum>
  <w:abstractNum w:abstractNumId="2">
    <w:nsid w:val="049E55D1"/>
    <w:multiLevelType w:val="multilevel"/>
    <w:tmpl w:val="049E55D1"/>
    <w:lvl w:ilvl="0" w:tentative="0">
      <w:start w:val="1"/>
      <w:numFmt w:val="decimal"/>
      <w:pStyle w:val="150"/>
      <w:lvlText w:val="%1."/>
      <w:lvlJc w:val="left"/>
      <w:pPr>
        <w:tabs>
          <w:tab w:val="left" w:pos="624"/>
        </w:tabs>
        <w:ind w:left="624" w:hanging="624"/>
      </w:pPr>
      <w:rPr>
        <w:rFonts w:hint="default" w:ascii="Arial" w:hAnsi="Arial" w:cs="Arial"/>
        <w:b/>
        <w:bCs/>
        <w:i w:val="0"/>
        <w:iCs w:val="0"/>
        <w:sz w:val="24"/>
        <w:szCs w:val="24"/>
      </w:rPr>
    </w:lvl>
    <w:lvl w:ilvl="1" w:tentative="0">
      <w:start w:val="1"/>
      <w:numFmt w:val="decimal"/>
      <w:pStyle w:val="171"/>
      <w:lvlText w:val="%1.%2"/>
      <w:lvlJc w:val="left"/>
      <w:pPr>
        <w:tabs>
          <w:tab w:val="left" w:pos="624"/>
        </w:tabs>
        <w:ind w:left="624" w:hanging="624"/>
      </w:pPr>
      <w:rPr>
        <w:rFonts w:hint="default" w:ascii="Arial" w:hAnsi="Arial" w:cs="Arial"/>
        <w:b w:val="0"/>
        <w:bCs w:val="0"/>
        <w:i w:val="0"/>
        <w:iCs w:val="0"/>
        <w:sz w:val="24"/>
        <w:szCs w:val="24"/>
      </w:rPr>
    </w:lvl>
    <w:lvl w:ilvl="2" w:tentative="0">
      <w:start w:val="1"/>
      <w:numFmt w:val="decimal"/>
      <w:pStyle w:val="168"/>
      <w:lvlText w:val="(%3)"/>
      <w:lvlJc w:val="left"/>
      <w:pPr>
        <w:tabs>
          <w:tab w:val="left" w:pos="624"/>
        </w:tabs>
        <w:ind w:left="624" w:hanging="624"/>
      </w:pPr>
      <w:rPr>
        <w:rFonts w:hint="default" w:ascii="Arial" w:hAnsi="Arial" w:cs="Arial"/>
        <w:b w:val="0"/>
        <w:bCs w:val="0"/>
        <w:i w:val="0"/>
        <w:iCs w:val="0"/>
        <w:sz w:val="24"/>
        <w:szCs w:val="24"/>
      </w:rPr>
    </w:lvl>
    <w:lvl w:ilvl="3" w:tentative="0">
      <w:start w:val="1"/>
      <w:numFmt w:val="decimal"/>
      <w:pStyle w:val="155"/>
      <w:lvlText w:val="%1.%2.%4"/>
      <w:lvlJc w:val="left"/>
      <w:pPr>
        <w:tabs>
          <w:tab w:val="left" w:pos="1361"/>
        </w:tabs>
        <w:ind w:left="1361" w:hanging="737"/>
      </w:pPr>
      <w:rPr>
        <w:rFonts w:hint="default" w:ascii="Arial" w:hAnsi="Arial" w:cs="Arial"/>
        <w:b w:val="0"/>
        <w:bCs w:val="0"/>
        <w:i w:val="0"/>
        <w:iCs w:val="0"/>
        <w:sz w:val="24"/>
        <w:szCs w:val="24"/>
      </w:rPr>
    </w:lvl>
    <w:lvl w:ilvl="4" w:tentative="0">
      <w:start w:val="1"/>
      <w:numFmt w:val="lowerLetter"/>
      <w:pStyle w:val="154"/>
      <w:lvlText w:val="(%5)"/>
      <w:lvlJc w:val="left"/>
      <w:pPr>
        <w:tabs>
          <w:tab w:val="left" w:pos="1361"/>
        </w:tabs>
        <w:ind w:left="1361" w:hanging="737"/>
      </w:pPr>
      <w:rPr>
        <w:rFonts w:hint="default" w:ascii="Arial" w:hAnsi="Arial" w:cs="Arial"/>
        <w:b w:val="0"/>
        <w:bCs w:val="0"/>
        <w:i w:val="0"/>
        <w:iCs w:val="0"/>
        <w:sz w:val="20"/>
        <w:szCs w:val="20"/>
      </w:rPr>
    </w:lvl>
    <w:lvl w:ilvl="5" w:tentative="0">
      <w:start w:val="1"/>
      <w:numFmt w:val="lowerRoman"/>
      <w:pStyle w:val="160"/>
      <w:lvlText w:val="(%6)"/>
      <w:lvlJc w:val="left"/>
      <w:pPr>
        <w:tabs>
          <w:tab w:val="left" w:pos="2041"/>
        </w:tabs>
        <w:ind w:left="2041" w:hanging="680"/>
      </w:pPr>
      <w:rPr>
        <w:rFonts w:hint="default" w:ascii="Arial" w:hAnsi="Arial" w:cs="Arial"/>
        <w:b w:val="0"/>
        <w:bCs w:val="0"/>
        <w:i w:val="0"/>
        <w:iCs w:val="0"/>
        <w:sz w:val="20"/>
        <w:szCs w:val="20"/>
      </w:rPr>
    </w:lvl>
    <w:lvl w:ilvl="6" w:tentative="0">
      <w:start w:val="1"/>
      <w:numFmt w:val="upperLetter"/>
      <w:pStyle w:val="161"/>
      <w:lvlText w:val="(%7)"/>
      <w:lvlJc w:val="left"/>
      <w:pPr>
        <w:tabs>
          <w:tab w:val="left" w:pos="2041"/>
        </w:tabs>
        <w:ind w:left="2041" w:hanging="680"/>
      </w:pPr>
      <w:rPr>
        <w:rFonts w:hint="default" w:ascii="Arial" w:hAnsi="Arial" w:cs="Arial"/>
        <w:b w:val="0"/>
        <w:bCs w:val="0"/>
        <w:i w:val="0"/>
        <w:iCs w:val="0"/>
        <w:sz w:val="20"/>
        <w:szCs w:val="20"/>
      </w:rPr>
    </w:lvl>
    <w:lvl w:ilvl="7" w:tentative="0">
      <w:start w:val="1"/>
      <w:numFmt w:val="upperLetter"/>
      <w:pStyle w:val="151"/>
      <w:lvlText w:val="(%8)"/>
      <w:lvlJc w:val="left"/>
      <w:pPr>
        <w:tabs>
          <w:tab w:val="left" w:pos="2722"/>
        </w:tabs>
        <w:ind w:left="2722" w:hanging="681"/>
      </w:pPr>
      <w:rPr>
        <w:rFonts w:hint="default" w:ascii="Arial" w:hAnsi="Arial" w:cs="Arial"/>
        <w:b w:val="0"/>
        <w:bCs w:val="0"/>
        <w:i w:val="0"/>
        <w:iCs w:val="0"/>
        <w:sz w:val="20"/>
        <w:szCs w:val="20"/>
      </w:rPr>
    </w:lvl>
    <w:lvl w:ilvl="8" w:tentative="0">
      <w:start w:val="1"/>
      <w:numFmt w:val="none"/>
      <w:lvlText w:val=""/>
      <w:lvlJc w:val="left"/>
      <w:pPr>
        <w:tabs>
          <w:tab w:val="left" w:pos="4320"/>
        </w:tabs>
        <w:ind w:left="4320" w:hanging="1440"/>
      </w:pPr>
      <w:rPr>
        <w:rFonts w:hint="eastAsia" w:cs="Times New Roman"/>
      </w:rPr>
    </w:lvl>
  </w:abstractNum>
  <w:abstractNum w:abstractNumId="3">
    <w:nsid w:val="0B2F8E47"/>
    <w:multiLevelType w:val="singleLevel"/>
    <w:tmpl w:val="0B2F8E47"/>
    <w:lvl w:ilvl="0" w:tentative="0">
      <w:start w:val="3"/>
      <w:numFmt w:val="chineseCounting"/>
      <w:suff w:val="nothing"/>
      <w:lvlText w:val="%1、"/>
      <w:lvlJc w:val="left"/>
      <w:rPr>
        <w:rFonts w:hint="eastAsia"/>
      </w:rPr>
    </w:lvl>
  </w:abstractNum>
  <w:abstractNum w:abstractNumId="4">
    <w:nsid w:val="0C48645C"/>
    <w:multiLevelType w:val="multilevel"/>
    <w:tmpl w:val="0C48645C"/>
    <w:lvl w:ilvl="0" w:tentative="0">
      <w:start w:val="1"/>
      <w:numFmt w:val="decimal"/>
      <w:pStyle w:val="153"/>
      <w:lvlText w:val="(%1)"/>
      <w:lvlJc w:val="left"/>
      <w:pPr>
        <w:tabs>
          <w:tab w:val="left" w:pos="680"/>
        </w:tabs>
        <w:ind w:left="680" w:hanging="680"/>
      </w:pPr>
      <w:rPr>
        <w:rFonts w:hint="default" w:cs="Times New Roman"/>
        <w:b/>
        <w:bCs/>
        <w:i w:val="0"/>
        <w:iCs w:val="0"/>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5">
    <w:nsid w:val="14EF5680"/>
    <w:multiLevelType w:val="singleLevel"/>
    <w:tmpl w:val="14EF5680"/>
    <w:lvl w:ilvl="0" w:tentative="0">
      <w:start w:val="1"/>
      <w:numFmt w:val="decimal"/>
      <w:pStyle w:val="163"/>
      <w:lvlText w:val="%1."/>
      <w:lvlJc w:val="left"/>
      <w:pPr>
        <w:tabs>
          <w:tab w:val="left" w:pos="480"/>
        </w:tabs>
        <w:ind w:left="480" w:hanging="480"/>
      </w:pPr>
      <w:rPr>
        <w:rFonts w:hint="default" w:cs="Times New Roman"/>
        <w:sz w:val="23"/>
        <w:szCs w:val="23"/>
      </w:rPr>
    </w:lvl>
  </w:abstractNum>
  <w:abstractNum w:abstractNumId="6">
    <w:nsid w:val="2960675C"/>
    <w:multiLevelType w:val="singleLevel"/>
    <w:tmpl w:val="2960675C"/>
    <w:lvl w:ilvl="0" w:tentative="0">
      <w:start w:val="1"/>
      <w:numFmt w:val="decimal"/>
      <w:lvlText w:val="%1."/>
      <w:lvlJc w:val="left"/>
      <w:pPr>
        <w:tabs>
          <w:tab w:val="left" w:pos="312"/>
        </w:tabs>
      </w:pPr>
    </w:lvl>
  </w:abstractNum>
  <w:abstractNum w:abstractNumId="7">
    <w:nsid w:val="57EC4BDC"/>
    <w:multiLevelType w:val="multilevel"/>
    <w:tmpl w:val="57EC4BDC"/>
    <w:lvl w:ilvl="0" w:tentative="0">
      <w:start w:val="1"/>
      <w:numFmt w:val="chineseCountingThousand"/>
      <w:pStyle w:val="3"/>
      <w:lvlText w:val="第%1条."/>
      <w:lvlJc w:val="left"/>
      <w:pPr>
        <w:tabs>
          <w:tab w:val="left" w:pos="1080"/>
        </w:tabs>
      </w:pPr>
      <w:rPr>
        <w:rFonts w:cs="Times New Roman"/>
      </w:rPr>
    </w:lvl>
    <w:lvl w:ilvl="1" w:tentative="0">
      <w:start w:val="1"/>
      <w:numFmt w:val="decimal"/>
      <w:lvlText w:val="3.%2."/>
      <w:lvlJc w:val="left"/>
      <w:pPr>
        <w:tabs>
          <w:tab w:val="left" w:pos="1140"/>
        </w:tabs>
        <w:ind w:left="420"/>
      </w:pPr>
      <w:rPr>
        <w:rFonts w:hint="eastAsia" w:cs="Times New Roman"/>
        <w:b/>
        <w:bCs/>
        <w:i w:val="0"/>
        <w:iCs w:val="0"/>
        <w:caps w:val="0"/>
        <w:strike w:val="0"/>
        <w:dstrike w:val="0"/>
        <w:shadow w:val="0"/>
        <w:emboss w:val="0"/>
        <w:imprint w:val="0"/>
        <w:vanish w:val="0"/>
        <w:sz w:val="24"/>
        <w:szCs w:val="24"/>
        <w:vertAlign w:val="baseline"/>
      </w:rPr>
    </w:lvl>
    <w:lvl w:ilvl="2" w:tentative="0">
      <w:start w:val="1"/>
      <w:numFmt w:val="decimal"/>
      <w:lvlText w:val="4.%3."/>
      <w:lvlJc w:val="left"/>
      <w:pPr>
        <w:tabs>
          <w:tab w:val="left" w:pos="1560"/>
        </w:tabs>
        <w:ind w:left="840"/>
      </w:pPr>
      <w:rPr>
        <w:rFonts w:hint="eastAsia" w:ascii="宋体" w:eastAsia="宋体" w:cs="Times New Roman"/>
        <w:b/>
        <w:bCs/>
        <w:i w:val="0"/>
        <w:iCs w:val="0"/>
        <w:caps w:val="0"/>
        <w:strike w:val="0"/>
        <w:dstrike w:val="0"/>
        <w:outline w:val="0"/>
        <w:shadow w:val="0"/>
        <w:emboss w:val="0"/>
        <w:imprint w:val="0"/>
        <w:vanish w:val="0"/>
        <w:sz w:val="24"/>
        <w:szCs w:val="24"/>
        <w:vertAlign w:val="baseline"/>
      </w:rPr>
    </w:lvl>
    <w:lvl w:ilvl="3" w:tentative="0">
      <w:start w:val="1"/>
      <w:numFmt w:val="decimal"/>
      <w:lvlText w:val="6.%4."/>
      <w:lvlJc w:val="left"/>
      <w:pPr>
        <w:tabs>
          <w:tab w:val="left" w:pos="1980"/>
        </w:tabs>
        <w:ind w:left="1260"/>
      </w:pPr>
      <w:rPr>
        <w:rFonts w:hint="eastAsia" w:ascii="宋体" w:eastAsia="宋体" w:cs="Times New Roman"/>
        <w:b/>
        <w:bCs/>
        <w:i w:val="0"/>
        <w:iCs w:val="0"/>
        <w:caps w:val="0"/>
        <w:strike w:val="0"/>
        <w:dstrike w:val="0"/>
        <w:outline w:val="0"/>
        <w:shadow w:val="0"/>
        <w:emboss w:val="0"/>
        <w:imprint w:val="0"/>
        <w:vanish w:val="0"/>
        <w:sz w:val="24"/>
        <w:szCs w:val="24"/>
        <w:vertAlign w:val="baseline"/>
      </w:rPr>
    </w:lvl>
    <w:lvl w:ilvl="4" w:tentative="0">
      <w:start w:val="1"/>
      <w:numFmt w:val="decimal"/>
      <w:lvlText w:val="12.%5."/>
      <w:lvlJc w:val="left"/>
      <w:pPr>
        <w:tabs>
          <w:tab w:val="left" w:pos="2400"/>
        </w:tabs>
        <w:ind w:left="1680"/>
      </w:pPr>
      <w:rPr>
        <w:rFonts w:hint="eastAsia" w:ascii="宋体" w:eastAsia="宋体" w:cs="Times New Roman"/>
        <w:b/>
        <w:bCs/>
        <w:i w:val="0"/>
        <w:iCs w:val="0"/>
        <w:caps w:val="0"/>
        <w:strike w:val="0"/>
        <w:dstrike w:val="0"/>
        <w:outline w:val="0"/>
        <w:shadow w:val="0"/>
        <w:emboss w:val="0"/>
        <w:imprint w:val="0"/>
        <w:vanish w:val="0"/>
        <w:sz w:val="24"/>
        <w:szCs w:val="24"/>
        <w:vertAlign w:val="baseline"/>
      </w:rPr>
    </w:lvl>
    <w:lvl w:ilvl="5" w:tentative="0">
      <w:start w:val="10"/>
      <w:numFmt w:val="decimal"/>
      <w:lvlText w:val="%6．"/>
      <w:lvlJc w:val="left"/>
      <w:pPr>
        <w:tabs>
          <w:tab w:val="left" w:pos="2820"/>
        </w:tabs>
        <w:ind w:left="2820" w:hanging="720"/>
      </w:pPr>
      <w:rPr>
        <w:rFonts w:hint="default"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7079CA4"/>
    <w:multiLevelType w:val="singleLevel"/>
    <w:tmpl w:val="67079CA4"/>
    <w:lvl w:ilvl="0" w:tentative="0">
      <w:start w:val="6"/>
      <w:numFmt w:val="decimal"/>
      <w:lvlText w:val="%1."/>
      <w:lvlJc w:val="left"/>
      <w:pPr>
        <w:tabs>
          <w:tab w:val="left" w:pos="312"/>
        </w:tabs>
      </w:pPr>
    </w:lvl>
  </w:abstractNum>
  <w:abstractNum w:abstractNumId="9">
    <w:nsid w:val="6B5030ED"/>
    <w:multiLevelType w:val="singleLevel"/>
    <w:tmpl w:val="6B5030ED"/>
    <w:lvl w:ilvl="0" w:tentative="0">
      <w:start w:val="1"/>
      <w:numFmt w:val="decimal"/>
      <w:pStyle w:val="165"/>
      <w:lvlText w:val="(%1)"/>
      <w:lvlJc w:val="left"/>
      <w:pPr>
        <w:tabs>
          <w:tab w:val="left" w:pos="567"/>
        </w:tabs>
        <w:ind w:left="567" w:hanging="567"/>
      </w:pPr>
      <w:rPr>
        <w:rFonts w:hint="eastAsia" w:cs="Times New Roman"/>
        <w:b/>
        <w:bCs/>
        <w:i w:val="0"/>
        <w:iCs w:val="0"/>
        <w:sz w:val="23"/>
        <w:szCs w:val="23"/>
      </w:rPr>
    </w:lvl>
  </w:abstractNum>
  <w:abstractNum w:abstractNumId="10">
    <w:nsid w:val="6EDD6597"/>
    <w:multiLevelType w:val="singleLevel"/>
    <w:tmpl w:val="6EDD6597"/>
    <w:lvl w:ilvl="0" w:tentative="0">
      <w:start w:val="2"/>
      <w:numFmt w:val="decimal"/>
      <w:suff w:val="space"/>
      <w:lvlText w:val="%1."/>
      <w:lvlJc w:val="left"/>
      <w:rPr>
        <w:rFonts w:cs="Times New Roman"/>
      </w:rPr>
    </w:lvl>
  </w:abstractNum>
  <w:abstractNum w:abstractNumId="11">
    <w:nsid w:val="6EDD6598"/>
    <w:multiLevelType w:val="singleLevel"/>
    <w:tmpl w:val="6EDD6598"/>
    <w:lvl w:ilvl="0" w:tentative="0">
      <w:start w:val="2"/>
      <w:numFmt w:val="decimal"/>
      <w:suff w:val="nothing"/>
      <w:lvlText w:val="（%1）"/>
      <w:lvlJc w:val="left"/>
      <w:pPr>
        <w:ind w:left="525"/>
      </w:pPr>
      <w:rPr>
        <w:rFonts w:cs="Times New Roman"/>
      </w:rPr>
    </w:lvl>
  </w:abstractNum>
  <w:num w:numId="1">
    <w:abstractNumId w:val="7"/>
  </w:num>
  <w:num w:numId="2">
    <w:abstractNumId w:val="2"/>
  </w:num>
  <w:num w:numId="3">
    <w:abstractNumId w:val="4"/>
  </w:num>
  <w:num w:numId="4">
    <w:abstractNumId w:val="5"/>
  </w:num>
  <w:num w:numId="5">
    <w:abstractNumId w:val="9"/>
  </w:num>
  <w:num w:numId="6">
    <w:abstractNumId w:val="3"/>
  </w:num>
  <w:num w:numId="7">
    <w:abstractNumId w:val="8"/>
  </w:num>
  <w:num w:numId="8">
    <w:abstractNumId w:val="0"/>
  </w:num>
  <w:num w:numId="9">
    <w:abstractNumId w:val="6"/>
  </w:num>
  <w:num w:numId="10">
    <w:abstractNumId w:val="1"/>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NmNlY2U4NGE3Y2MyYjg2MzcwNjFhNmY3OWUwODMifQ=="/>
  </w:docVars>
  <w:rsids>
    <w:rsidRoot w:val="002418ED"/>
    <w:rsid w:val="00000571"/>
    <w:rsid w:val="00002432"/>
    <w:rsid w:val="00002AC6"/>
    <w:rsid w:val="00004FB1"/>
    <w:rsid w:val="00006C62"/>
    <w:rsid w:val="00020F1B"/>
    <w:rsid w:val="00023AB5"/>
    <w:rsid w:val="00024C49"/>
    <w:rsid w:val="00024CAC"/>
    <w:rsid w:val="00030597"/>
    <w:rsid w:val="00037602"/>
    <w:rsid w:val="00045693"/>
    <w:rsid w:val="00047CA4"/>
    <w:rsid w:val="00056AB7"/>
    <w:rsid w:val="00056B68"/>
    <w:rsid w:val="00057228"/>
    <w:rsid w:val="000603E2"/>
    <w:rsid w:val="00065D5A"/>
    <w:rsid w:val="00071BB1"/>
    <w:rsid w:val="00074218"/>
    <w:rsid w:val="00075288"/>
    <w:rsid w:val="0007799F"/>
    <w:rsid w:val="00085BA8"/>
    <w:rsid w:val="00090281"/>
    <w:rsid w:val="000A0240"/>
    <w:rsid w:val="000A1548"/>
    <w:rsid w:val="000A28CF"/>
    <w:rsid w:val="000A6A38"/>
    <w:rsid w:val="000A6B0D"/>
    <w:rsid w:val="000B1AFE"/>
    <w:rsid w:val="000B3389"/>
    <w:rsid w:val="000B5D0A"/>
    <w:rsid w:val="000C55D2"/>
    <w:rsid w:val="000D0C9B"/>
    <w:rsid w:val="000D24B2"/>
    <w:rsid w:val="000D63A5"/>
    <w:rsid w:val="000E2087"/>
    <w:rsid w:val="000E3F09"/>
    <w:rsid w:val="000E54DB"/>
    <w:rsid w:val="000E68D2"/>
    <w:rsid w:val="000F062B"/>
    <w:rsid w:val="000F2F4C"/>
    <w:rsid w:val="000F3282"/>
    <w:rsid w:val="000F3CAD"/>
    <w:rsid w:val="000F51B9"/>
    <w:rsid w:val="000F5BF0"/>
    <w:rsid w:val="000F7B82"/>
    <w:rsid w:val="00101AF8"/>
    <w:rsid w:val="0010762D"/>
    <w:rsid w:val="00107C9A"/>
    <w:rsid w:val="001104B7"/>
    <w:rsid w:val="0011258E"/>
    <w:rsid w:val="0012177C"/>
    <w:rsid w:val="001236EF"/>
    <w:rsid w:val="00124F01"/>
    <w:rsid w:val="00127034"/>
    <w:rsid w:val="001306D8"/>
    <w:rsid w:val="001316E5"/>
    <w:rsid w:val="00136896"/>
    <w:rsid w:val="00136E4F"/>
    <w:rsid w:val="00137881"/>
    <w:rsid w:val="00141261"/>
    <w:rsid w:val="00142893"/>
    <w:rsid w:val="00147035"/>
    <w:rsid w:val="00150FCA"/>
    <w:rsid w:val="00151EEB"/>
    <w:rsid w:val="0015297B"/>
    <w:rsid w:val="00152BA5"/>
    <w:rsid w:val="00156250"/>
    <w:rsid w:val="00160618"/>
    <w:rsid w:val="00160D22"/>
    <w:rsid w:val="00161FC5"/>
    <w:rsid w:val="0016262D"/>
    <w:rsid w:val="00162EB5"/>
    <w:rsid w:val="00163A3A"/>
    <w:rsid w:val="0017125A"/>
    <w:rsid w:val="00177E1A"/>
    <w:rsid w:val="00185F44"/>
    <w:rsid w:val="0018680F"/>
    <w:rsid w:val="001A10A0"/>
    <w:rsid w:val="001A4DC2"/>
    <w:rsid w:val="001A55A7"/>
    <w:rsid w:val="001A5C13"/>
    <w:rsid w:val="001A5FCF"/>
    <w:rsid w:val="001B2348"/>
    <w:rsid w:val="001B4D56"/>
    <w:rsid w:val="001C07FB"/>
    <w:rsid w:val="001C2C5D"/>
    <w:rsid w:val="001C30E0"/>
    <w:rsid w:val="001C315D"/>
    <w:rsid w:val="001C67F2"/>
    <w:rsid w:val="001C750F"/>
    <w:rsid w:val="001D2B86"/>
    <w:rsid w:val="001D4F53"/>
    <w:rsid w:val="001D671C"/>
    <w:rsid w:val="001E7DC9"/>
    <w:rsid w:val="001F07DF"/>
    <w:rsid w:val="001F1164"/>
    <w:rsid w:val="001F238E"/>
    <w:rsid w:val="001F5793"/>
    <w:rsid w:val="001F591C"/>
    <w:rsid w:val="001F6CF9"/>
    <w:rsid w:val="00207976"/>
    <w:rsid w:val="00212D84"/>
    <w:rsid w:val="00214A9D"/>
    <w:rsid w:val="002173BB"/>
    <w:rsid w:val="002214B1"/>
    <w:rsid w:val="00223E97"/>
    <w:rsid w:val="00232EFA"/>
    <w:rsid w:val="00237045"/>
    <w:rsid w:val="00240A5D"/>
    <w:rsid w:val="002418ED"/>
    <w:rsid w:val="002423EF"/>
    <w:rsid w:val="00242576"/>
    <w:rsid w:val="00242AF8"/>
    <w:rsid w:val="002445EC"/>
    <w:rsid w:val="00245C6F"/>
    <w:rsid w:val="00246C1F"/>
    <w:rsid w:val="002472F6"/>
    <w:rsid w:val="00250696"/>
    <w:rsid w:val="00250B2E"/>
    <w:rsid w:val="00250BF0"/>
    <w:rsid w:val="00251F98"/>
    <w:rsid w:val="002532DF"/>
    <w:rsid w:val="00256659"/>
    <w:rsid w:val="00261A0B"/>
    <w:rsid w:val="00261E34"/>
    <w:rsid w:val="0026648C"/>
    <w:rsid w:val="00267695"/>
    <w:rsid w:val="002702B3"/>
    <w:rsid w:val="00271A32"/>
    <w:rsid w:val="00273957"/>
    <w:rsid w:val="00277E48"/>
    <w:rsid w:val="00281769"/>
    <w:rsid w:val="00282AF8"/>
    <w:rsid w:val="00284568"/>
    <w:rsid w:val="00284DAF"/>
    <w:rsid w:val="00287120"/>
    <w:rsid w:val="00290584"/>
    <w:rsid w:val="002915F0"/>
    <w:rsid w:val="002921FF"/>
    <w:rsid w:val="002922D3"/>
    <w:rsid w:val="002924E9"/>
    <w:rsid w:val="00293A03"/>
    <w:rsid w:val="00294F16"/>
    <w:rsid w:val="002A0632"/>
    <w:rsid w:val="002A0F39"/>
    <w:rsid w:val="002A4CB1"/>
    <w:rsid w:val="002A4E1B"/>
    <w:rsid w:val="002A60D6"/>
    <w:rsid w:val="002B2944"/>
    <w:rsid w:val="002B68AB"/>
    <w:rsid w:val="002B7566"/>
    <w:rsid w:val="002C1B7C"/>
    <w:rsid w:val="002C2C3E"/>
    <w:rsid w:val="002C39A0"/>
    <w:rsid w:val="002C59CF"/>
    <w:rsid w:val="002C7286"/>
    <w:rsid w:val="002D467C"/>
    <w:rsid w:val="002D5F2A"/>
    <w:rsid w:val="002D63E2"/>
    <w:rsid w:val="002D7A03"/>
    <w:rsid w:val="002E023C"/>
    <w:rsid w:val="002E046F"/>
    <w:rsid w:val="002E06AB"/>
    <w:rsid w:val="002E3A2E"/>
    <w:rsid w:val="002E598C"/>
    <w:rsid w:val="002F301B"/>
    <w:rsid w:val="002F372B"/>
    <w:rsid w:val="002F583F"/>
    <w:rsid w:val="002F7D06"/>
    <w:rsid w:val="00303276"/>
    <w:rsid w:val="003041D2"/>
    <w:rsid w:val="00306BE5"/>
    <w:rsid w:val="003073C8"/>
    <w:rsid w:val="00307B31"/>
    <w:rsid w:val="00320F84"/>
    <w:rsid w:val="00325D45"/>
    <w:rsid w:val="003279C1"/>
    <w:rsid w:val="00331791"/>
    <w:rsid w:val="00335BF2"/>
    <w:rsid w:val="00336387"/>
    <w:rsid w:val="00343955"/>
    <w:rsid w:val="00346547"/>
    <w:rsid w:val="00346649"/>
    <w:rsid w:val="00351D7D"/>
    <w:rsid w:val="003524E2"/>
    <w:rsid w:val="003538B6"/>
    <w:rsid w:val="00357422"/>
    <w:rsid w:val="003617F9"/>
    <w:rsid w:val="0036384E"/>
    <w:rsid w:val="00365754"/>
    <w:rsid w:val="00365CFD"/>
    <w:rsid w:val="00367592"/>
    <w:rsid w:val="00370B99"/>
    <w:rsid w:val="003717A6"/>
    <w:rsid w:val="0037347A"/>
    <w:rsid w:val="0037372F"/>
    <w:rsid w:val="00376C37"/>
    <w:rsid w:val="00395214"/>
    <w:rsid w:val="0039566E"/>
    <w:rsid w:val="003974FF"/>
    <w:rsid w:val="00397AED"/>
    <w:rsid w:val="003A2D36"/>
    <w:rsid w:val="003A6EA5"/>
    <w:rsid w:val="003B1277"/>
    <w:rsid w:val="003B1F0D"/>
    <w:rsid w:val="003B3FC0"/>
    <w:rsid w:val="003B4A20"/>
    <w:rsid w:val="003B5039"/>
    <w:rsid w:val="003B5CE6"/>
    <w:rsid w:val="003B7696"/>
    <w:rsid w:val="003B7E8B"/>
    <w:rsid w:val="003C0A0D"/>
    <w:rsid w:val="003C2B2B"/>
    <w:rsid w:val="003C4C7D"/>
    <w:rsid w:val="003C7406"/>
    <w:rsid w:val="003D23AC"/>
    <w:rsid w:val="003D2F3D"/>
    <w:rsid w:val="003D3913"/>
    <w:rsid w:val="003D6A75"/>
    <w:rsid w:val="003E5670"/>
    <w:rsid w:val="003E5F5A"/>
    <w:rsid w:val="003E7992"/>
    <w:rsid w:val="003E7C9C"/>
    <w:rsid w:val="003F00F8"/>
    <w:rsid w:val="003F17D4"/>
    <w:rsid w:val="003F2CBF"/>
    <w:rsid w:val="003F6380"/>
    <w:rsid w:val="003F7B4A"/>
    <w:rsid w:val="003F7DBB"/>
    <w:rsid w:val="00403C24"/>
    <w:rsid w:val="00405FE8"/>
    <w:rsid w:val="00407E53"/>
    <w:rsid w:val="00410871"/>
    <w:rsid w:val="0041162E"/>
    <w:rsid w:val="00427E6C"/>
    <w:rsid w:val="0043126B"/>
    <w:rsid w:val="00432284"/>
    <w:rsid w:val="004343E1"/>
    <w:rsid w:val="00437CCB"/>
    <w:rsid w:val="0044406E"/>
    <w:rsid w:val="00444591"/>
    <w:rsid w:val="004465EE"/>
    <w:rsid w:val="00446D84"/>
    <w:rsid w:val="00447406"/>
    <w:rsid w:val="004477BC"/>
    <w:rsid w:val="00460FCD"/>
    <w:rsid w:val="00463C09"/>
    <w:rsid w:val="00470F18"/>
    <w:rsid w:val="00472461"/>
    <w:rsid w:val="00472FFB"/>
    <w:rsid w:val="004A5CE9"/>
    <w:rsid w:val="004A64C1"/>
    <w:rsid w:val="004A7837"/>
    <w:rsid w:val="004B54E9"/>
    <w:rsid w:val="004B604B"/>
    <w:rsid w:val="004C0616"/>
    <w:rsid w:val="004C394D"/>
    <w:rsid w:val="004D333F"/>
    <w:rsid w:val="004E0FEC"/>
    <w:rsid w:val="004E31E9"/>
    <w:rsid w:val="004E49D5"/>
    <w:rsid w:val="004E574B"/>
    <w:rsid w:val="004F14A0"/>
    <w:rsid w:val="004F49D0"/>
    <w:rsid w:val="004F5A61"/>
    <w:rsid w:val="00506DC4"/>
    <w:rsid w:val="00511B20"/>
    <w:rsid w:val="005126BC"/>
    <w:rsid w:val="0051434F"/>
    <w:rsid w:val="005206D4"/>
    <w:rsid w:val="005220B1"/>
    <w:rsid w:val="005228CA"/>
    <w:rsid w:val="00526F20"/>
    <w:rsid w:val="0052705D"/>
    <w:rsid w:val="0053093C"/>
    <w:rsid w:val="00531CA1"/>
    <w:rsid w:val="005334C9"/>
    <w:rsid w:val="00543553"/>
    <w:rsid w:val="00544E1D"/>
    <w:rsid w:val="005457FA"/>
    <w:rsid w:val="00547BCA"/>
    <w:rsid w:val="005518BE"/>
    <w:rsid w:val="00552F5A"/>
    <w:rsid w:val="005537DD"/>
    <w:rsid w:val="00556A8F"/>
    <w:rsid w:val="0055745C"/>
    <w:rsid w:val="00557988"/>
    <w:rsid w:val="00560684"/>
    <w:rsid w:val="00565366"/>
    <w:rsid w:val="00572E56"/>
    <w:rsid w:val="00572EA7"/>
    <w:rsid w:val="005757F0"/>
    <w:rsid w:val="00580893"/>
    <w:rsid w:val="005821FE"/>
    <w:rsid w:val="00582D23"/>
    <w:rsid w:val="00582FDB"/>
    <w:rsid w:val="00583184"/>
    <w:rsid w:val="00584C8F"/>
    <w:rsid w:val="00586B75"/>
    <w:rsid w:val="00587A99"/>
    <w:rsid w:val="00592A80"/>
    <w:rsid w:val="00594677"/>
    <w:rsid w:val="005949FD"/>
    <w:rsid w:val="005A32B3"/>
    <w:rsid w:val="005B0D84"/>
    <w:rsid w:val="005B1167"/>
    <w:rsid w:val="005B37DD"/>
    <w:rsid w:val="005B402C"/>
    <w:rsid w:val="005B4C12"/>
    <w:rsid w:val="005C115F"/>
    <w:rsid w:val="005D0991"/>
    <w:rsid w:val="005D410E"/>
    <w:rsid w:val="005D527E"/>
    <w:rsid w:val="005D74F1"/>
    <w:rsid w:val="005E023A"/>
    <w:rsid w:val="005E312A"/>
    <w:rsid w:val="005E4F1D"/>
    <w:rsid w:val="005E6B61"/>
    <w:rsid w:val="005F1F68"/>
    <w:rsid w:val="005F23CC"/>
    <w:rsid w:val="005F5881"/>
    <w:rsid w:val="00605813"/>
    <w:rsid w:val="00605E37"/>
    <w:rsid w:val="00606F8F"/>
    <w:rsid w:val="00607105"/>
    <w:rsid w:val="00615FB2"/>
    <w:rsid w:val="00616221"/>
    <w:rsid w:val="00616655"/>
    <w:rsid w:val="00620C10"/>
    <w:rsid w:val="00625C3B"/>
    <w:rsid w:val="00626090"/>
    <w:rsid w:val="0062644F"/>
    <w:rsid w:val="006271C2"/>
    <w:rsid w:val="00627843"/>
    <w:rsid w:val="0063359A"/>
    <w:rsid w:val="00635011"/>
    <w:rsid w:val="00635663"/>
    <w:rsid w:val="00636B9A"/>
    <w:rsid w:val="00637D82"/>
    <w:rsid w:val="0064730F"/>
    <w:rsid w:val="00652B07"/>
    <w:rsid w:val="00652F80"/>
    <w:rsid w:val="00655F78"/>
    <w:rsid w:val="00661399"/>
    <w:rsid w:val="006635C9"/>
    <w:rsid w:val="006710FF"/>
    <w:rsid w:val="00680EB9"/>
    <w:rsid w:val="006A0DD3"/>
    <w:rsid w:val="006A2192"/>
    <w:rsid w:val="006A3532"/>
    <w:rsid w:val="006A42BE"/>
    <w:rsid w:val="006A436E"/>
    <w:rsid w:val="006A71B6"/>
    <w:rsid w:val="006B03BA"/>
    <w:rsid w:val="006B1578"/>
    <w:rsid w:val="006C29E5"/>
    <w:rsid w:val="006C34CF"/>
    <w:rsid w:val="006C48B9"/>
    <w:rsid w:val="006C5D7C"/>
    <w:rsid w:val="006C7266"/>
    <w:rsid w:val="006D2DBA"/>
    <w:rsid w:val="006E0BEA"/>
    <w:rsid w:val="006E74E9"/>
    <w:rsid w:val="006F1267"/>
    <w:rsid w:val="006F341A"/>
    <w:rsid w:val="006F48E6"/>
    <w:rsid w:val="006F5836"/>
    <w:rsid w:val="006F62C2"/>
    <w:rsid w:val="00700BFD"/>
    <w:rsid w:val="00701F9C"/>
    <w:rsid w:val="00702EAC"/>
    <w:rsid w:val="00705191"/>
    <w:rsid w:val="0070613A"/>
    <w:rsid w:val="007114B3"/>
    <w:rsid w:val="00716A9F"/>
    <w:rsid w:val="00722751"/>
    <w:rsid w:val="0072469C"/>
    <w:rsid w:val="0072738E"/>
    <w:rsid w:val="0073273B"/>
    <w:rsid w:val="00733090"/>
    <w:rsid w:val="007376B6"/>
    <w:rsid w:val="00737EAA"/>
    <w:rsid w:val="007403C3"/>
    <w:rsid w:val="00742B20"/>
    <w:rsid w:val="007442E0"/>
    <w:rsid w:val="007442FC"/>
    <w:rsid w:val="00746687"/>
    <w:rsid w:val="0075003A"/>
    <w:rsid w:val="00751256"/>
    <w:rsid w:val="00753809"/>
    <w:rsid w:val="00753C42"/>
    <w:rsid w:val="00756DA5"/>
    <w:rsid w:val="00756DFE"/>
    <w:rsid w:val="00757317"/>
    <w:rsid w:val="00757FBE"/>
    <w:rsid w:val="007615EE"/>
    <w:rsid w:val="00770F03"/>
    <w:rsid w:val="007748AF"/>
    <w:rsid w:val="007766C0"/>
    <w:rsid w:val="007804B0"/>
    <w:rsid w:val="0078108B"/>
    <w:rsid w:val="00786127"/>
    <w:rsid w:val="00786861"/>
    <w:rsid w:val="007944EA"/>
    <w:rsid w:val="007A140A"/>
    <w:rsid w:val="007A3CA8"/>
    <w:rsid w:val="007A54AA"/>
    <w:rsid w:val="007A7DC5"/>
    <w:rsid w:val="007B1A94"/>
    <w:rsid w:val="007B3BFD"/>
    <w:rsid w:val="007B3DFD"/>
    <w:rsid w:val="007C4789"/>
    <w:rsid w:val="007C5900"/>
    <w:rsid w:val="007C5C0F"/>
    <w:rsid w:val="007D27DC"/>
    <w:rsid w:val="007D41A5"/>
    <w:rsid w:val="007E3A74"/>
    <w:rsid w:val="007E4811"/>
    <w:rsid w:val="007E64F6"/>
    <w:rsid w:val="007F23C4"/>
    <w:rsid w:val="007F4837"/>
    <w:rsid w:val="0080091A"/>
    <w:rsid w:val="008030A6"/>
    <w:rsid w:val="00805ECC"/>
    <w:rsid w:val="00814214"/>
    <w:rsid w:val="00814FDA"/>
    <w:rsid w:val="0081503D"/>
    <w:rsid w:val="0081751C"/>
    <w:rsid w:val="008175E2"/>
    <w:rsid w:val="00820E2E"/>
    <w:rsid w:val="008222F1"/>
    <w:rsid w:val="00826CD6"/>
    <w:rsid w:val="0082753E"/>
    <w:rsid w:val="00832B96"/>
    <w:rsid w:val="00833B0D"/>
    <w:rsid w:val="00834A26"/>
    <w:rsid w:val="00837C17"/>
    <w:rsid w:val="008429DD"/>
    <w:rsid w:val="00842ECC"/>
    <w:rsid w:val="008431F4"/>
    <w:rsid w:val="00845ECE"/>
    <w:rsid w:val="008478EA"/>
    <w:rsid w:val="00854E3E"/>
    <w:rsid w:val="00860D24"/>
    <w:rsid w:val="0086353C"/>
    <w:rsid w:val="00867E3C"/>
    <w:rsid w:val="008716B9"/>
    <w:rsid w:val="00874E0B"/>
    <w:rsid w:val="00876637"/>
    <w:rsid w:val="00880944"/>
    <w:rsid w:val="0088437E"/>
    <w:rsid w:val="0088518E"/>
    <w:rsid w:val="008939EB"/>
    <w:rsid w:val="00893A36"/>
    <w:rsid w:val="00893A84"/>
    <w:rsid w:val="0089756E"/>
    <w:rsid w:val="008A280C"/>
    <w:rsid w:val="008A29D3"/>
    <w:rsid w:val="008A3760"/>
    <w:rsid w:val="008A6D1A"/>
    <w:rsid w:val="008B0451"/>
    <w:rsid w:val="008B2087"/>
    <w:rsid w:val="008B31D2"/>
    <w:rsid w:val="008B349F"/>
    <w:rsid w:val="008B3CE0"/>
    <w:rsid w:val="008B6574"/>
    <w:rsid w:val="008C38BF"/>
    <w:rsid w:val="008D0BA6"/>
    <w:rsid w:val="008D2BE9"/>
    <w:rsid w:val="008D524D"/>
    <w:rsid w:val="008E2A0E"/>
    <w:rsid w:val="008E6758"/>
    <w:rsid w:val="008E6FC8"/>
    <w:rsid w:val="008E7C49"/>
    <w:rsid w:val="008F43E9"/>
    <w:rsid w:val="008F693E"/>
    <w:rsid w:val="00902526"/>
    <w:rsid w:val="009029B3"/>
    <w:rsid w:val="00902B66"/>
    <w:rsid w:val="0091575E"/>
    <w:rsid w:val="00917680"/>
    <w:rsid w:val="009176DA"/>
    <w:rsid w:val="00920E05"/>
    <w:rsid w:val="00922400"/>
    <w:rsid w:val="00925C29"/>
    <w:rsid w:val="00926F91"/>
    <w:rsid w:val="0093103F"/>
    <w:rsid w:val="00932399"/>
    <w:rsid w:val="009335C6"/>
    <w:rsid w:val="00935851"/>
    <w:rsid w:val="00941D13"/>
    <w:rsid w:val="00946B53"/>
    <w:rsid w:val="0095169E"/>
    <w:rsid w:val="00955002"/>
    <w:rsid w:val="00956064"/>
    <w:rsid w:val="00960737"/>
    <w:rsid w:val="009613BC"/>
    <w:rsid w:val="00966C54"/>
    <w:rsid w:val="009673F3"/>
    <w:rsid w:val="009707B9"/>
    <w:rsid w:val="009737F6"/>
    <w:rsid w:val="009750E4"/>
    <w:rsid w:val="00976B41"/>
    <w:rsid w:val="009806CB"/>
    <w:rsid w:val="00981C23"/>
    <w:rsid w:val="0098360D"/>
    <w:rsid w:val="00991042"/>
    <w:rsid w:val="009A0576"/>
    <w:rsid w:val="009A149D"/>
    <w:rsid w:val="009B0695"/>
    <w:rsid w:val="009B583A"/>
    <w:rsid w:val="009C07B8"/>
    <w:rsid w:val="009C3709"/>
    <w:rsid w:val="009C4C59"/>
    <w:rsid w:val="009C5D62"/>
    <w:rsid w:val="009C7137"/>
    <w:rsid w:val="009D2879"/>
    <w:rsid w:val="009D3C1C"/>
    <w:rsid w:val="009D5146"/>
    <w:rsid w:val="009D7469"/>
    <w:rsid w:val="009E2495"/>
    <w:rsid w:val="009E4858"/>
    <w:rsid w:val="009F00A4"/>
    <w:rsid w:val="009F15FE"/>
    <w:rsid w:val="009F1600"/>
    <w:rsid w:val="009F5AD0"/>
    <w:rsid w:val="009F68F4"/>
    <w:rsid w:val="009F6ACD"/>
    <w:rsid w:val="00A0463C"/>
    <w:rsid w:val="00A04F71"/>
    <w:rsid w:val="00A06630"/>
    <w:rsid w:val="00A07608"/>
    <w:rsid w:val="00A12A1A"/>
    <w:rsid w:val="00A14214"/>
    <w:rsid w:val="00A163DB"/>
    <w:rsid w:val="00A205FB"/>
    <w:rsid w:val="00A20952"/>
    <w:rsid w:val="00A22DAD"/>
    <w:rsid w:val="00A25D9C"/>
    <w:rsid w:val="00A273BB"/>
    <w:rsid w:val="00A336F7"/>
    <w:rsid w:val="00A34128"/>
    <w:rsid w:val="00A342C2"/>
    <w:rsid w:val="00A36605"/>
    <w:rsid w:val="00A3742A"/>
    <w:rsid w:val="00A40C36"/>
    <w:rsid w:val="00A4304B"/>
    <w:rsid w:val="00A46506"/>
    <w:rsid w:val="00A479FE"/>
    <w:rsid w:val="00A5182E"/>
    <w:rsid w:val="00A53061"/>
    <w:rsid w:val="00A61F2E"/>
    <w:rsid w:val="00A629A7"/>
    <w:rsid w:val="00A630F3"/>
    <w:rsid w:val="00A67B34"/>
    <w:rsid w:val="00A70478"/>
    <w:rsid w:val="00A71D66"/>
    <w:rsid w:val="00A753C6"/>
    <w:rsid w:val="00A75A10"/>
    <w:rsid w:val="00A7618E"/>
    <w:rsid w:val="00A85519"/>
    <w:rsid w:val="00A85D3A"/>
    <w:rsid w:val="00A85F5F"/>
    <w:rsid w:val="00A90202"/>
    <w:rsid w:val="00A938B8"/>
    <w:rsid w:val="00A944C0"/>
    <w:rsid w:val="00A96D2B"/>
    <w:rsid w:val="00A97810"/>
    <w:rsid w:val="00AA1EA9"/>
    <w:rsid w:val="00AA67F6"/>
    <w:rsid w:val="00AB17A4"/>
    <w:rsid w:val="00AB340A"/>
    <w:rsid w:val="00AB474E"/>
    <w:rsid w:val="00AB4960"/>
    <w:rsid w:val="00AB5084"/>
    <w:rsid w:val="00AB5B71"/>
    <w:rsid w:val="00AC459C"/>
    <w:rsid w:val="00AC4711"/>
    <w:rsid w:val="00AC7E9D"/>
    <w:rsid w:val="00AD1AA2"/>
    <w:rsid w:val="00AD1FFD"/>
    <w:rsid w:val="00AD3FD3"/>
    <w:rsid w:val="00AD4244"/>
    <w:rsid w:val="00AD42E3"/>
    <w:rsid w:val="00AD484B"/>
    <w:rsid w:val="00AE096F"/>
    <w:rsid w:val="00AE4DEB"/>
    <w:rsid w:val="00AE7FA1"/>
    <w:rsid w:val="00AF2A5F"/>
    <w:rsid w:val="00AF313C"/>
    <w:rsid w:val="00B023C2"/>
    <w:rsid w:val="00B119C1"/>
    <w:rsid w:val="00B11AF8"/>
    <w:rsid w:val="00B1549E"/>
    <w:rsid w:val="00B20C97"/>
    <w:rsid w:val="00B2632F"/>
    <w:rsid w:val="00B279E8"/>
    <w:rsid w:val="00B30750"/>
    <w:rsid w:val="00B345CC"/>
    <w:rsid w:val="00B50E47"/>
    <w:rsid w:val="00B52B82"/>
    <w:rsid w:val="00B5575C"/>
    <w:rsid w:val="00B56EC4"/>
    <w:rsid w:val="00B87D3E"/>
    <w:rsid w:val="00B9101A"/>
    <w:rsid w:val="00B94476"/>
    <w:rsid w:val="00B97C35"/>
    <w:rsid w:val="00BA23CC"/>
    <w:rsid w:val="00BA29CB"/>
    <w:rsid w:val="00BA4404"/>
    <w:rsid w:val="00BA6729"/>
    <w:rsid w:val="00BA7F0A"/>
    <w:rsid w:val="00BB414F"/>
    <w:rsid w:val="00BB42C0"/>
    <w:rsid w:val="00BB4CC9"/>
    <w:rsid w:val="00BB57D2"/>
    <w:rsid w:val="00BC1F74"/>
    <w:rsid w:val="00BC2F68"/>
    <w:rsid w:val="00BC5790"/>
    <w:rsid w:val="00BD2121"/>
    <w:rsid w:val="00BD3139"/>
    <w:rsid w:val="00BD4B19"/>
    <w:rsid w:val="00BE29FE"/>
    <w:rsid w:val="00BE4084"/>
    <w:rsid w:val="00BE5708"/>
    <w:rsid w:val="00BE6F06"/>
    <w:rsid w:val="00BE7250"/>
    <w:rsid w:val="00BE750B"/>
    <w:rsid w:val="00BF0CC2"/>
    <w:rsid w:val="00BF23E2"/>
    <w:rsid w:val="00BF4B42"/>
    <w:rsid w:val="00BF5535"/>
    <w:rsid w:val="00BF57CE"/>
    <w:rsid w:val="00C00ACC"/>
    <w:rsid w:val="00C01F53"/>
    <w:rsid w:val="00C03F7D"/>
    <w:rsid w:val="00C074B4"/>
    <w:rsid w:val="00C07D8D"/>
    <w:rsid w:val="00C1032D"/>
    <w:rsid w:val="00C144C7"/>
    <w:rsid w:val="00C15F89"/>
    <w:rsid w:val="00C257E6"/>
    <w:rsid w:val="00C27264"/>
    <w:rsid w:val="00C27508"/>
    <w:rsid w:val="00C32CE2"/>
    <w:rsid w:val="00C34751"/>
    <w:rsid w:val="00C34857"/>
    <w:rsid w:val="00C35432"/>
    <w:rsid w:val="00C37297"/>
    <w:rsid w:val="00C373E9"/>
    <w:rsid w:val="00C43271"/>
    <w:rsid w:val="00C4329B"/>
    <w:rsid w:val="00C456A9"/>
    <w:rsid w:val="00C4570F"/>
    <w:rsid w:val="00C5149B"/>
    <w:rsid w:val="00C523A2"/>
    <w:rsid w:val="00C529C1"/>
    <w:rsid w:val="00C53BA4"/>
    <w:rsid w:val="00C54953"/>
    <w:rsid w:val="00C622E4"/>
    <w:rsid w:val="00C637D5"/>
    <w:rsid w:val="00C64402"/>
    <w:rsid w:val="00C66EE0"/>
    <w:rsid w:val="00C679A7"/>
    <w:rsid w:val="00C82081"/>
    <w:rsid w:val="00C84926"/>
    <w:rsid w:val="00C85656"/>
    <w:rsid w:val="00C87ADF"/>
    <w:rsid w:val="00C9473C"/>
    <w:rsid w:val="00CA4E7E"/>
    <w:rsid w:val="00CB0F65"/>
    <w:rsid w:val="00CB3531"/>
    <w:rsid w:val="00CB3C01"/>
    <w:rsid w:val="00CB3F33"/>
    <w:rsid w:val="00CB6652"/>
    <w:rsid w:val="00CC4C3C"/>
    <w:rsid w:val="00CD0564"/>
    <w:rsid w:val="00CD1FC9"/>
    <w:rsid w:val="00CD24DC"/>
    <w:rsid w:val="00CD4482"/>
    <w:rsid w:val="00CD5604"/>
    <w:rsid w:val="00CD5F37"/>
    <w:rsid w:val="00CE2866"/>
    <w:rsid w:val="00CE3CB9"/>
    <w:rsid w:val="00CE48EE"/>
    <w:rsid w:val="00CE62D5"/>
    <w:rsid w:val="00CE7A05"/>
    <w:rsid w:val="00CF19BF"/>
    <w:rsid w:val="00CF7D87"/>
    <w:rsid w:val="00D00BC8"/>
    <w:rsid w:val="00D02750"/>
    <w:rsid w:val="00D03D22"/>
    <w:rsid w:val="00D11CEA"/>
    <w:rsid w:val="00D13885"/>
    <w:rsid w:val="00D14698"/>
    <w:rsid w:val="00D201D6"/>
    <w:rsid w:val="00D2062C"/>
    <w:rsid w:val="00D21143"/>
    <w:rsid w:val="00D260D1"/>
    <w:rsid w:val="00D26E4A"/>
    <w:rsid w:val="00D305C6"/>
    <w:rsid w:val="00D30C56"/>
    <w:rsid w:val="00D3382E"/>
    <w:rsid w:val="00D3391E"/>
    <w:rsid w:val="00D36E9C"/>
    <w:rsid w:val="00D4142A"/>
    <w:rsid w:val="00D4339C"/>
    <w:rsid w:val="00D44A27"/>
    <w:rsid w:val="00D479E9"/>
    <w:rsid w:val="00D50296"/>
    <w:rsid w:val="00D50F6D"/>
    <w:rsid w:val="00D51F7C"/>
    <w:rsid w:val="00D539A8"/>
    <w:rsid w:val="00D545DC"/>
    <w:rsid w:val="00D56432"/>
    <w:rsid w:val="00D573E5"/>
    <w:rsid w:val="00D575F2"/>
    <w:rsid w:val="00D60A69"/>
    <w:rsid w:val="00D65FB7"/>
    <w:rsid w:val="00D73CB8"/>
    <w:rsid w:val="00D74A39"/>
    <w:rsid w:val="00D85DD4"/>
    <w:rsid w:val="00D865C8"/>
    <w:rsid w:val="00D8718B"/>
    <w:rsid w:val="00D90483"/>
    <w:rsid w:val="00D90E4D"/>
    <w:rsid w:val="00D92166"/>
    <w:rsid w:val="00D9371E"/>
    <w:rsid w:val="00D95CD6"/>
    <w:rsid w:val="00D977C1"/>
    <w:rsid w:val="00DA1F06"/>
    <w:rsid w:val="00DA3D79"/>
    <w:rsid w:val="00DA42D7"/>
    <w:rsid w:val="00DB0452"/>
    <w:rsid w:val="00DB74F4"/>
    <w:rsid w:val="00DC1A87"/>
    <w:rsid w:val="00DC516F"/>
    <w:rsid w:val="00DC51C1"/>
    <w:rsid w:val="00DD2337"/>
    <w:rsid w:val="00DD3249"/>
    <w:rsid w:val="00DD50FA"/>
    <w:rsid w:val="00DD54C6"/>
    <w:rsid w:val="00DD687F"/>
    <w:rsid w:val="00DE0185"/>
    <w:rsid w:val="00DE2F79"/>
    <w:rsid w:val="00DE51CF"/>
    <w:rsid w:val="00DF15A0"/>
    <w:rsid w:val="00DF1D2D"/>
    <w:rsid w:val="00DF2D8B"/>
    <w:rsid w:val="00DF44D4"/>
    <w:rsid w:val="00DF6CA5"/>
    <w:rsid w:val="00DF6FDB"/>
    <w:rsid w:val="00E00171"/>
    <w:rsid w:val="00E0024B"/>
    <w:rsid w:val="00E033FB"/>
    <w:rsid w:val="00E039FD"/>
    <w:rsid w:val="00E05743"/>
    <w:rsid w:val="00E05D5F"/>
    <w:rsid w:val="00E0728C"/>
    <w:rsid w:val="00E112D0"/>
    <w:rsid w:val="00E13841"/>
    <w:rsid w:val="00E13D6E"/>
    <w:rsid w:val="00E159D4"/>
    <w:rsid w:val="00E23A8D"/>
    <w:rsid w:val="00E24942"/>
    <w:rsid w:val="00E256C0"/>
    <w:rsid w:val="00E27757"/>
    <w:rsid w:val="00E33964"/>
    <w:rsid w:val="00E34E04"/>
    <w:rsid w:val="00E37777"/>
    <w:rsid w:val="00E423DA"/>
    <w:rsid w:val="00E4522F"/>
    <w:rsid w:val="00E501BB"/>
    <w:rsid w:val="00E50C9B"/>
    <w:rsid w:val="00E52ECA"/>
    <w:rsid w:val="00E53D18"/>
    <w:rsid w:val="00E55F73"/>
    <w:rsid w:val="00E60A2E"/>
    <w:rsid w:val="00E60A62"/>
    <w:rsid w:val="00E60C8C"/>
    <w:rsid w:val="00E65C47"/>
    <w:rsid w:val="00E66BAF"/>
    <w:rsid w:val="00E67363"/>
    <w:rsid w:val="00E70461"/>
    <w:rsid w:val="00E707CF"/>
    <w:rsid w:val="00E7321F"/>
    <w:rsid w:val="00E80E2B"/>
    <w:rsid w:val="00E82C8C"/>
    <w:rsid w:val="00E850A4"/>
    <w:rsid w:val="00E8664E"/>
    <w:rsid w:val="00E93ECB"/>
    <w:rsid w:val="00E968F6"/>
    <w:rsid w:val="00EA10BB"/>
    <w:rsid w:val="00EA3700"/>
    <w:rsid w:val="00EA5C5B"/>
    <w:rsid w:val="00EB0A60"/>
    <w:rsid w:val="00EB16D7"/>
    <w:rsid w:val="00EB2428"/>
    <w:rsid w:val="00EB61AF"/>
    <w:rsid w:val="00EB796D"/>
    <w:rsid w:val="00EC2F9D"/>
    <w:rsid w:val="00EC505F"/>
    <w:rsid w:val="00EC6976"/>
    <w:rsid w:val="00EC6E20"/>
    <w:rsid w:val="00EC757C"/>
    <w:rsid w:val="00EC79F3"/>
    <w:rsid w:val="00ED05A1"/>
    <w:rsid w:val="00ED09AB"/>
    <w:rsid w:val="00ED30A0"/>
    <w:rsid w:val="00ED5EAD"/>
    <w:rsid w:val="00EE2B69"/>
    <w:rsid w:val="00EE462C"/>
    <w:rsid w:val="00EE57EC"/>
    <w:rsid w:val="00EE6949"/>
    <w:rsid w:val="00EE7782"/>
    <w:rsid w:val="00EE7999"/>
    <w:rsid w:val="00EF0908"/>
    <w:rsid w:val="00F002BD"/>
    <w:rsid w:val="00F02747"/>
    <w:rsid w:val="00F10E46"/>
    <w:rsid w:val="00F14078"/>
    <w:rsid w:val="00F16F62"/>
    <w:rsid w:val="00F17750"/>
    <w:rsid w:val="00F229CB"/>
    <w:rsid w:val="00F23F91"/>
    <w:rsid w:val="00F249B3"/>
    <w:rsid w:val="00F24E46"/>
    <w:rsid w:val="00F30444"/>
    <w:rsid w:val="00F35878"/>
    <w:rsid w:val="00F35D54"/>
    <w:rsid w:val="00F364A2"/>
    <w:rsid w:val="00F36E09"/>
    <w:rsid w:val="00F409AE"/>
    <w:rsid w:val="00F40DFD"/>
    <w:rsid w:val="00F41236"/>
    <w:rsid w:val="00F437E9"/>
    <w:rsid w:val="00F45F0C"/>
    <w:rsid w:val="00F474E7"/>
    <w:rsid w:val="00F50CEC"/>
    <w:rsid w:val="00F52AEE"/>
    <w:rsid w:val="00F607AE"/>
    <w:rsid w:val="00F662FF"/>
    <w:rsid w:val="00F675F0"/>
    <w:rsid w:val="00F73723"/>
    <w:rsid w:val="00F75047"/>
    <w:rsid w:val="00F828BD"/>
    <w:rsid w:val="00F82954"/>
    <w:rsid w:val="00F85C8C"/>
    <w:rsid w:val="00F92FC8"/>
    <w:rsid w:val="00F932FF"/>
    <w:rsid w:val="00F94B61"/>
    <w:rsid w:val="00F94C39"/>
    <w:rsid w:val="00F97BFD"/>
    <w:rsid w:val="00FA356D"/>
    <w:rsid w:val="00FB07AC"/>
    <w:rsid w:val="00FB1063"/>
    <w:rsid w:val="00FB2A2D"/>
    <w:rsid w:val="00FC2035"/>
    <w:rsid w:val="00FC35C9"/>
    <w:rsid w:val="00FC5F24"/>
    <w:rsid w:val="00FC6F09"/>
    <w:rsid w:val="00FC7354"/>
    <w:rsid w:val="00FD0010"/>
    <w:rsid w:val="00FD1E04"/>
    <w:rsid w:val="00FD283A"/>
    <w:rsid w:val="00FD314F"/>
    <w:rsid w:val="00FE0856"/>
    <w:rsid w:val="00FE1AB1"/>
    <w:rsid w:val="00FE3EAF"/>
    <w:rsid w:val="00FE6391"/>
    <w:rsid w:val="00FE66A4"/>
    <w:rsid w:val="00FF072E"/>
    <w:rsid w:val="00FF361F"/>
    <w:rsid w:val="00FF4380"/>
    <w:rsid w:val="00FF45FD"/>
    <w:rsid w:val="00FF5A62"/>
    <w:rsid w:val="00FF5CD8"/>
    <w:rsid w:val="00FF703B"/>
    <w:rsid w:val="012704DB"/>
    <w:rsid w:val="012E067D"/>
    <w:rsid w:val="013405D7"/>
    <w:rsid w:val="013F48E7"/>
    <w:rsid w:val="015D3BCE"/>
    <w:rsid w:val="015F2C67"/>
    <w:rsid w:val="01790A5A"/>
    <w:rsid w:val="01912C7E"/>
    <w:rsid w:val="01BB6868"/>
    <w:rsid w:val="01EA60EA"/>
    <w:rsid w:val="02076F1C"/>
    <w:rsid w:val="02475920"/>
    <w:rsid w:val="027B5769"/>
    <w:rsid w:val="028F1EE0"/>
    <w:rsid w:val="03034B27"/>
    <w:rsid w:val="03984646"/>
    <w:rsid w:val="04470273"/>
    <w:rsid w:val="045A614E"/>
    <w:rsid w:val="04EA530A"/>
    <w:rsid w:val="050636AE"/>
    <w:rsid w:val="054B5045"/>
    <w:rsid w:val="05805FFE"/>
    <w:rsid w:val="05F2473E"/>
    <w:rsid w:val="05FF1C4E"/>
    <w:rsid w:val="06704B45"/>
    <w:rsid w:val="06945DB7"/>
    <w:rsid w:val="07311744"/>
    <w:rsid w:val="073B11D3"/>
    <w:rsid w:val="075653D9"/>
    <w:rsid w:val="077E468B"/>
    <w:rsid w:val="07A101A1"/>
    <w:rsid w:val="07F20CD1"/>
    <w:rsid w:val="083624D1"/>
    <w:rsid w:val="086E7717"/>
    <w:rsid w:val="08A8306C"/>
    <w:rsid w:val="08B44386"/>
    <w:rsid w:val="099A23C9"/>
    <w:rsid w:val="09A456FA"/>
    <w:rsid w:val="09B25D53"/>
    <w:rsid w:val="0A194655"/>
    <w:rsid w:val="0A552A4D"/>
    <w:rsid w:val="0A565938"/>
    <w:rsid w:val="0A931198"/>
    <w:rsid w:val="0B2B7565"/>
    <w:rsid w:val="0B7853E8"/>
    <w:rsid w:val="0B8A5AE3"/>
    <w:rsid w:val="0BA4403B"/>
    <w:rsid w:val="0BBC5DBC"/>
    <w:rsid w:val="0BE81219"/>
    <w:rsid w:val="0BED0A3E"/>
    <w:rsid w:val="0C2A23F3"/>
    <w:rsid w:val="0C342609"/>
    <w:rsid w:val="0C454A9F"/>
    <w:rsid w:val="0CD50E36"/>
    <w:rsid w:val="0D2F4768"/>
    <w:rsid w:val="0D531842"/>
    <w:rsid w:val="0D9216A0"/>
    <w:rsid w:val="0DC2070D"/>
    <w:rsid w:val="0DCD55C4"/>
    <w:rsid w:val="0DE63B13"/>
    <w:rsid w:val="0E2B7FE9"/>
    <w:rsid w:val="0E4A471C"/>
    <w:rsid w:val="0E917B18"/>
    <w:rsid w:val="0E980E6F"/>
    <w:rsid w:val="0EAD07FD"/>
    <w:rsid w:val="0EB36461"/>
    <w:rsid w:val="0ED04756"/>
    <w:rsid w:val="0ED6222A"/>
    <w:rsid w:val="0F276495"/>
    <w:rsid w:val="0F586C59"/>
    <w:rsid w:val="0F723307"/>
    <w:rsid w:val="0F850869"/>
    <w:rsid w:val="0F995C92"/>
    <w:rsid w:val="0FF40CEC"/>
    <w:rsid w:val="10866BAD"/>
    <w:rsid w:val="10890045"/>
    <w:rsid w:val="10C72F97"/>
    <w:rsid w:val="11054CC2"/>
    <w:rsid w:val="11273C7A"/>
    <w:rsid w:val="116A4DD1"/>
    <w:rsid w:val="11715B79"/>
    <w:rsid w:val="11783A21"/>
    <w:rsid w:val="118045F5"/>
    <w:rsid w:val="1186305E"/>
    <w:rsid w:val="119C17B8"/>
    <w:rsid w:val="11A402E3"/>
    <w:rsid w:val="11B9476A"/>
    <w:rsid w:val="11E40DC0"/>
    <w:rsid w:val="120A131C"/>
    <w:rsid w:val="123273F3"/>
    <w:rsid w:val="124B5355"/>
    <w:rsid w:val="12683EA9"/>
    <w:rsid w:val="127C6B6A"/>
    <w:rsid w:val="12A04F4F"/>
    <w:rsid w:val="12AF277F"/>
    <w:rsid w:val="1303032C"/>
    <w:rsid w:val="134B6BA7"/>
    <w:rsid w:val="13710699"/>
    <w:rsid w:val="137D5A29"/>
    <w:rsid w:val="13A64F3B"/>
    <w:rsid w:val="13B91121"/>
    <w:rsid w:val="13D0520F"/>
    <w:rsid w:val="13E53B59"/>
    <w:rsid w:val="1400230C"/>
    <w:rsid w:val="14013E64"/>
    <w:rsid w:val="144A13CC"/>
    <w:rsid w:val="14591805"/>
    <w:rsid w:val="149B2910"/>
    <w:rsid w:val="14AB6807"/>
    <w:rsid w:val="14BE7911"/>
    <w:rsid w:val="14E12FB8"/>
    <w:rsid w:val="14EB23A1"/>
    <w:rsid w:val="15086A2A"/>
    <w:rsid w:val="151352B3"/>
    <w:rsid w:val="15665530"/>
    <w:rsid w:val="15952A0C"/>
    <w:rsid w:val="159C3869"/>
    <w:rsid w:val="15DD12E4"/>
    <w:rsid w:val="16257CC8"/>
    <w:rsid w:val="162B0E36"/>
    <w:rsid w:val="1633035C"/>
    <w:rsid w:val="16492A93"/>
    <w:rsid w:val="167232D9"/>
    <w:rsid w:val="168F7978"/>
    <w:rsid w:val="16A63130"/>
    <w:rsid w:val="16DE1BA1"/>
    <w:rsid w:val="16F94B6D"/>
    <w:rsid w:val="171A4BA4"/>
    <w:rsid w:val="17FC48F2"/>
    <w:rsid w:val="183631C1"/>
    <w:rsid w:val="189F35B2"/>
    <w:rsid w:val="18EC0C74"/>
    <w:rsid w:val="195374E2"/>
    <w:rsid w:val="195F60B9"/>
    <w:rsid w:val="197D4AAF"/>
    <w:rsid w:val="198427F4"/>
    <w:rsid w:val="19A9778D"/>
    <w:rsid w:val="19B10D41"/>
    <w:rsid w:val="19B90B4A"/>
    <w:rsid w:val="19EF425B"/>
    <w:rsid w:val="1A72516B"/>
    <w:rsid w:val="1A837030"/>
    <w:rsid w:val="1A947E2C"/>
    <w:rsid w:val="1AFA1194"/>
    <w:rsid w:val="1B062F66"/>
    <w:rsid w:val="1B7F06C9"/>
    <w:rsid w:val="1B871EF3"/>
    <w:rsid w:val="1B883914"/>
    <w:rsid w:val="1B9054B2"/>
    <w:rsid w:val="1B927C9C"/>
    <w:rsid w:val="1BD74F18"/>
    <w:rsid w:val="1C2312C1"/>
    <w:rsid w:val="1C362480"/>
    <w:rsid w:val="1C5D337B"/>
    <w:rsid w:val="1CA170E3"/>
    <w:rsid w:val="1CBE5E33"/>
    <w:rsid w:val="1CC7757C"/>
    <w:rsid w:val="1CED4506"/>
    <w:rsid w:val="1D1218AC"/>
    <w:rsid w:val="1D26331A"/>
    <w:rsid w:val="1D6955CD"/>
    <w:rsid w:val="1D7179E9"/>
    <w:rsid w:val="1D980780"/>
    <w:rsid w:val="1D986F46"/>
    <w:rsid w:val="1DEE4072"/>
    <w:rsid w:val="1DF23CCF"/>
    <w:rsid w:val="1E000C86"/>
    <w:rsid w:val="1E2E076E"/>
    <w:rsid w:val="1E8E6FD2"/>
    <w:rsid w:val="1F036180"/>
    <w:rsid w:val="1F706448"/>
    <w:rsid w:val="1F7339D2"/>
    <w:rsid w:val="1F7657A1"/>
    <w:rsid w:val="1F8B27DC"/>
    <w:rsid w:val="20061553"/>
    <w:rsid w:val="20173212"/>
    <w:rsid w:val="20173B08"/>
    <w:rsid w:val="207D33CF"/>
    <w:rsid w:val="20877B0E"/>
    <w:rsid w:val="20CA497E"/>
    <w:rsid w:val="20E222B9"/>
    <w:rsid w:val="20E406FC"/>
    <w:rsid w:val="21056E8C"/>
    <w:rsid w:val="21287BDA"/>
    <w:rsid w:val="21357AEA"/>
    <w:rsid w:val="21613A26"/>
    <w:rsid w:val="217726A5"/>
    <w:rsid w:val="219F1BD8"/>
    <w:rsid w:val="21C3606D"/>
    <w:rsid w:val="21DC16C8"/>
    <w:rsid w:val="21F05E39"/>
    <w:rsid w:val="223905D4"/>
    <w:rsid w:val="22436A29"/>
    <w:rsid w:val="226E3D8A"/>
    <w:rsid w:val="228D6B72"/>
    <w:rsid w:val="23046754"/>
    <w:rsid w:val="231E58C7"/>
    <w:rsid w:val="23B20D45"/>
    <w:rsid w:val="23DE19FA"/>
    <w:rsid w:val="24213096"/>
    <w:rsid w:val="24423C1E"/>
    <w:rsid w:val="245365B0"/>
    <w:rsid w:val="245F149B"/>
    <w:rsid w:val="248A2001"/>
    <w:rsid w:val="24B1230B"/>
    <w:rsid w:val="24FE2F03"/>
    <w:rsid w:val="250B51FF"/>
    <w:rsid w:val="2566688E"/>
    <w:rsid w:val="25A51464"/>
    <w:rsid w:val="25AB575C"/>
    <w:rsid w:val="25BF7F89"/>
    <w:rsid w:val="25E60BBA"/>
    <w:rsid w:val="25E72FE2"/>
    <w:rsid w:val="26393199"/>
    <w:rsid w:val="263D1646"/>
    <w:rsid w:val="265A757F"/>
    <w:rsid w:val="26600825"/>
    <w:rsid w:val="2661634B"/>
    <w:rsid w:val="266C4AF6"/>
    <w:rsid w:val="26E00191"/>
    <w:rsid w:val="271E408B"/>
    <w:rsid w:val="274138C0"/>
    <w:rsid w:val="275274F6"/>
    <w:rsid w:val="2755096A"/>
    <w:rsid w:val="278020AB"/>
    <w:rsid w:val="27C0053B"/>
    <w:rsid w:val="27C3573B"/>
    <w:rsid w:val="27CE5E49"/>
    <w:rsid w:val="27FE1FDF"/>
    <w:rsid w:val="2811359A"/>
    <w:rsid w:val="281B7740"/>
    <w:rsid w:val="2832268C"/>
    <w:rsid w:val="284A1478"/>
    <w:rsid w:val="28932FED"/>
    <w:rsid w:val="28B60022"/>
    <w:rsid w:val="28BF177F"/>
    <w:rsid w:val="28C066BD"/>
    <w:rsid w:val="28E45012"/>
    <w:rsid w:val="293161DA"/>
    <w:rsid w:val="2941255B"/>
    <w:rsid w:val="29435137"/>
    <w:rsid w:val="294A1BBC"/>
    <w:rsid w:val="295F5223"/>
    <w:rsid w:val="29604F2E"/>
    <w:rsid w:val="29D1696D"/>
    <w:rsid w:val="29D30045"/>
    <w:rsid w:val="29DA7646"/>
    <w:rsid w:val="2A0E5216"/>
    <w:rsid w:val="2A330D27"/>
    <w:rsid w:val="2A415B82"/>
    <w:rsid w:val="2A4D31D6"/>
    <w:rsid w:val="2AB1682C"/>
    <w:rsid w:val="2AEB3327"/>
    <w:rsid w:val="2B074E5D"/>
    <w:rsid w:val="2B257C36"/>
    <w:rsid w:val="2B2F29A0"/>
    <w:rsid w:val="2B8149FB"/>
    <w:rsid w:val="2B987013"/>
    <w:rsid w:val="2BA21430"/>
    <w:rsid w:val="2BCB244D"/>
    <w:rsid w:val="2BD05023"/>
    <w:rsid w:val="2BD577AB"/>
    <w:rsid w:val="2BFC4AA1"/>
    <w:rsid w:val="2C1918BE"/>
    <w:rsid w:val="2C8B5ED0"/>
    <w:rsid w:val="2CC06EE7"/>
    <w:rsid w:val="2D46784B"/>
    <w:rsid w:val="2D47202A"/>
    <w:rsid w:val="2D670137"/>
    <w:rsid w:val="2D687FBF"/>
    <w:rsid w:val="2DE17EE4"/>
    <w:rsid w:val="2DEE0741"/>
    <w:rsid w:val="2E0979F4"/>
    <w:rsid w:val="2E2A0EA0"/>
    <w:rsid w:val="2E5F1030"/>
    <w:rsid w:val="2E68284E"/>
    <w:rsid w:val="2E8E0AD5"/>
    <w:rsid w:val="2EB75646"/>
    <w:rsid w:val="2EC2556A"/>
    <w:rsid w:val="2ED00512"/>
    <w:rsid w:val="2F1A43C9"/>
    <w:rsid w:val="2F211625"/>
    <w:rsid w:val="2F3E4485"/>
    <w:rsid w:val="2F543264"/>
    <w:rsid w:val="2F5701F9"/>
    <w:rsid w:val="2F6649D2"/>
    <w:rsid w:val="2FA200F5"/>
    <w:rsid w:val="2FB92D54"/>
    <w:rsid w:val="2FF762B7"/>
    <w:rsid w:val="309F7FA0"/>
    <w:rsid w:val="30A663ED"/>
    <w:rsid w:val="30BD5A4F"/>
    <w:rsid w:val="30C506DF"/>
    <w:rsid w:val="30FF6E8C"/>
    <w:rsid w:val="311D61C1"/>
    <w:rsid w:val="31432340"/>
    <w:rsid w:val="316B2774"/>
    <w:rsid w:val="318B18EE"/>
    <w:rsid w:val="31D95ED6"/>
    <w:rsid w:val="31FD7539"/>
    <w:rsid w:val="320202F5"/>
    <w:rsid w:val="320F7213"/>
    <w:rsid w:val="32A74A1C"/>
    <w:rsid w:val="32B34592"/>
    <w:rsid w:val="32FA5B80"/>
    <w:rsid w:val="333C2603"/>
    <w:rsid w:val="337374C2"/>
    <w:rsid w:val="33A46E93"/>
    <w:rsid w:val="340B56B8"/>
    <w:rsid w:val="345E39B7"/>
    <w:rsid w:val="34711FC0"/>
    <w:rsid w:val="348A76E8"/>
    <w:rsid w:val="34A17A33"/>
    <w:rsid w:val="34BF0E0C"/>
    <w:rsid w:val="352525E4"/>
    <w:rsid w:val="352D1035"/>
    <w:rsid w:val="358E6188"/>
    <w:rsid w:val="358F386C"/>
    <w:rsid w:val="35987D28"/>
    <w:rsid w:val="35AB0AA9"/>
    <w:rsid w:val="35AD57A0"/>
    <w:rsid w:val="35CD6A16"/>
    <w:rsid w:val="36063E9A"/>
    <w:rsid w:val="36203281"/>
    <w:rsid w:val="36297806"/>
    <w:rsid w:val="36494A85"/>
    <w:rsid w:val="36753345"/>
    <w:rsid w:val="368B3B0A"/>
    <w:rsid w:val="369D12D4"/>
    <w:rsid w:val="36BC7AB0"/>
    <w:rsid w:val="36BD312A"/>
    <w:rsid w:val="36DE298D"/>
    <w:rsid w:val="370570E4"/>
    <w:rsid w:val="37744E25"/>
    <w:rsid w:val="379C319E"/>
    <w:rsid w:val="37B35AF0"/>
    <w:rsid w:val="37C24A54"/>
    <w:rsid w:val="37FA2D45"/>
    <w:rsid w:val="38424827"/>
    <w:rsid w:val="38471B32"/>
    <w:rsid w:val="384721F9"/>
    <w:rsid w:val="3872214D"/>
    <w:rsid w:val="38767A34"/>
    <w:rsid w:val="38AF2BBC"/>
    <w:rsid w:val="391D7E0B"/>
    <w:rsid w:val="39363667"/>
    <w:rsid w:val="39460A64"/>
    <w:rsid w:val="396A0DCC"/>
    <w:rsid w:val="3986347F"/>
    <w:rsid w:val="39C42A21"/>
    <w:rsid w:val="39D80976"/>
    <w:rsid w:val="3A085E58"/>
    <w:rsid w:val="3A14196F"/>
    <w:rsid w:val="3A1738C4"/>
    <w:rsid w:val="3A4868E7"/>
    <w:rsid w:val="3A705684"/>
    <w:rsid w:val="3A7262E1"/>
    <w:rsid w:val="3A7C4E32"/>
    <w:rsid w:val="3A9E239D"/>
    <w:rsid w:val="3AA45C63"/>
    <w:rsid w:val="3AA84454"/>
    <w:rsid w:val="3AA84B39"/>
    <w:rsid w:val="3AEC683B"/>
    <w:rsid w:val="3B8C14CD"/>
    <w:rsid w:val="3BA76847"/>
    <w:rsid w:val="3BA84926"/>
    <w:rsid w:val="3BE53167"/>
    <w:rsid w:val="3BEC03C8"/>
    <w:rsid w:val="3C081952"/>
    <w:rsid w:val="3C0A60C7"/>
    <w:rsid w:val="3C120CA5"/>
    <w:rsid w:val="3C6D639F"/>
    <w:rsid w:val="3C9C4BCB"/>
    <w:rsid w:val="3C9E1C4F"/>
    <w:rsid w:val="3CAC2372"/>
    <w:rsid w:val="3CC75E61"/>
    <w:rsid w:val="3CF60913"/>
    <w:rsid w:val="3D104F55"/>
    <w:rsid w:val="3D2C2DB7"/>
    <w:rsid w:val="3D5E5F74"/>
    <w:rsid w:val="3D612CA5"/>
    <w:rsid w:val="3D716F95"/>
    <w:rsid w:val="3D936CC0"/>
    <w:rsid w:val="3DB72FC9"/>
    <w:rsid w:val="3E084A48"/>
    <w:rsid w:val="3E261236"/>
    <w:rsid w:val="3E410AE4"/>
    <w:rsid w:val="3E4F5B96"/>
    <w:rsid w:val="3EF945B9"/>
    <w:rsid w:val="3EFC064A"/>
    <w:rsid w:val="3F0C02D1"/>
    <w:rsid w:val="3F131C8D"/>
    <w:rsid w:val="3F3A0D7D"/>
    <w:rsid w:val="3F6A5356"/>
    <w:rsid w:val="3FBD3A58"/>
    <w:rsid w:val="3FED7FA6"/>
    <w:rsid w:val="40157C88"/>
    <w:rsid w:val="40503261"/>
    <w:rsid w:val="40576FF8"/>
    <w:rsid w:val="40CD2B03"/>
    <w:rsid w:val="41002074"/>
    <w:rsid w:val="41536E2A"/>
    <w:rsid w:val="419D2D01"/>
    <w:rsid w:val="41B6751F"/>
    <w:rsid w:val="41C73C04"/>
    <w:rsid w:val="41DB68B8"/>
    <w:rsid w:val="41E66D36"/>
    <w:rsid w:val="41E77E27"/>
    <w:rsid w:val="41ED08A1"/>
    <w:rsid w:val="4214206C"/>
    <w:rsid w:val="421D53C4"/>
    <w:rsid w:val="424B0183"/>
    <w:rsid w:val="42544D5A"/>
    <w:rsid w:val="426379EC"/>
    <w:rsid w:val="427058BA"/>
    <w:rsid w:val="428E193B"/>
    <w:rsid w:val="42915711"/>
    <w:rsid w:val="42955521"/>
    <w:rsid w:val="42BD62B9"/>
    <w:rsid w:val="42EA017B"/>
    <w:rsid w:val="43044AFD"/>
    <w:rsid w:val="431840D5"/>
    <w:rsid w:val="432F0503"/>
    <w:rsid w:val="43320581"/>
    <w:rsid w:val="4355764A"/>
    <w:rsid w:val="437A4BBB"/>
    <w:rsid w:val="43A51B15"/>
    <w:rsid w:val="43DC61B5"/>
    <w:rsid w:val="44020819"/>
    <w:rsid w:val="4406358E"/>
    <w:rsid w:val="44557B02"/>
    <w:rsid w:val="44AF21B8"/>
    <w:rsid w:val="44B17EEF"/>
    <w:rsid w:val="44B46DE9"/>
    <w:rsid w:val="44D85880"/>
    <w:rsid w:val="44D94E62"/>
    <w:rsid w:val="452058E6"/>
    <w:rsid w:val="452327CD"/>
    <w:rsid w:val="45434DFE"/>
    <w:rsid w:val="456E4E81"/>
    <w:rsid w:val="45717A64"/>
    <w:rsid w:val="458E4FFA"/>
    <w:rsid w:val="45AA3E6F"/>
    <w:rsid w:val="4640697A"/>
    <w:rsid w:val="465F6791"/>
    <w:rsid w:val="468334EF"/>
    <w:rsid w:val="46F7359A"/>
    <w:rsid w:val="47306EFC"/>
    <w:rsid w:val="473F2B61"/>
    <w:rsid w:val="47507B9E"/>
    <w:rsid w:val="47A65E5C"/>
    <w:rsid w:val="47DE55F6"/>
    <w:rsid w:val="47E32F23"/>
    <w:rsid w:val="47FD4A05"/>
    <w:rsid w:val="480432D2"/>
    <w:rsid w:val="481257DB"/>
    <w:rsid w:val="483D16DA"/>
    <w:rsid w:val="487123E0"/>
    <w:rsid w:val="4876582E"/>
    <w:rsid w:val="48897EFC"/>
    <w:rsid w:val="48937664"/>
    <w:rsid w:val="489B3EB0"/>
    <w:rsid w:val="48E77F92"/>
    <w:rsid w:val="48FF5BAF"/>
    <w:rsid w:val="49364693"/>
    <w:rsid w:val="49656870"/>
    <w:rsid w:val="496B33F2"/>
    <w:rsid w:val="4971631B"/>
    <w:rsid w:val="49A10856"/>
    <w:rsid w:val="49D14436"/>
    <w:rsid w:val="4A015FBB"/>
    <w:rsid w:val="4A210409"/>
    <w:rsid w:val="4A446088"/>
    <w:rsid w:val="4A556518"/>
    <w:rsid w:val="4A762B79"/>
    <w:rsid w:val="4A78130E"/>
    <w:rsid w:val="4A913F14"/>
    <w:rsid w:val="4AA14BDF"/>
    <w:rsid w:val="4AC11BA0"/>
    <w:rsid w:val="4AE0056A"/>
    <w:rsid w:val="4B31495A"/>
    <w:rsid w:val="4B3D74C1"/>
    <w:rsid w:val="4B7340ED"/>
    <w:rsid w:val="4BB16B1F"/>
    <w:rsid w:val="4BFF5FFB"/>
    <w:rsid w:val="4C0F19A6"/>
    <w:rsid w:val="4C194D44"/>
    <w:rsid w:val="4C357668"/>
    <w:rsid w:val="4CB22BAD"/>
    <w:rsid w:val="4CDE39A2"/>
    <w:rsid w:val="4D1678EF"/>
    <w:rsid w:val="4D844549"/>
    <w:rsid w:val="4DA05799"/>
    <w:rsid w:val="4E002804"/>
    <w:rsid w:val="4E0B0068"/>
    <w:rsid w:val="4E114FCF"/>
    <w:rsid w:val="4E260E10"/>
    <w:rsid w:val="4E4E74AE"/>
    <w:rsid w:val="4EBC3EF5"/>
    <w:rsid w:val="4ED24733"/>
    <w:rsid w:val="4EF27BD5"/>
    <w:rsid w:val="4F162402"/>
    <w:rsid w:val="4F442B6C"/>
    <w:rsid w:val="4F595958"/>
    <w:rsid w:val="4F633D48"/>
    <w:rsid w:val="4F7E394E"/>
    <w:rsid w:val="4F994A0F"/>
    <w:rsid w:val="4FB56C3C"/>
    <w:rsid w:val="4FBC6AAC"/>
    <w:rsid w:val="4FCE3F37"/>
    <w:rsid w:val="4FF03193"/>
    <w:rsid w:val="4FF736F9"/>
    <w:rsid w:val="4FF97D5B"/>
    <w:rsid w:val="50461D9A"/>
    <w:rsid w:val="50532E44"/>
    <w:rsid w:val="505D30F8"/>
    <w:rsid w:val="50703239"/>
    <w:rsid w:val="50731F61"/>
    <w:rsid w:val="50A43A3C"/>
    <w:rsid w:val="50A52CF2"/>
    <w:rsid w:val="50C75D4E"/>
    <w:rsid w:val="50E21C1C"/>
    <w:rsid w:val="513E62D5"/>
    <w:rsid w:val="51621DAE"/>
    <w:rsid w:val="51E24E71"/>
    <w:rsid w:val="521C3F67"/>
    <w:rsid w:val="522D3402"/>
    <w:rsid w:val="524D5EC2"/>
    <w:rsid w:val="525C25DD"/>
    <w:rsid w:val="52672B69"/>
    <w:rsid w:val="528A2602"/>
    <w:rsid w:val="52A01E26"/>
    <w:rsid w:val="5307059D"/>
    <w:rsid w:val="532A06DD"/>
    <w:rsid w:val="533E555E"/>
    <w:rsid w:val="535A703B"/>
    <w:rsid w:val="53C90F08"/>
    <w:rsid w:val="53D665BC"/>
    <w:rsid w:val="541D77BD"/>
    <w:rsid w:val="54452097"/>
    <w:rsid w:val="54657F90"/>
    <w:rsid w:val="54A036F9"/>
    <w:rsid w:val="550E397A"/>
    <w:rsid w:val="551C6320"/>
    <w:rsid w:val="553C2C89"/>
    <w:rsid w:val="559502BF"/>
    <w:rsid w:val="559D2D4D"/>
    <w:rsid w:val="55A21A11"/>
    <w:rsid w:val="55A26361"/>
    <w:rsid w:val="55A71E77"/>
    <w:rsid w:val="55AB0C83"/>
    <w:rsid w:val="55E04FCF"/>
    <w:rsid w:val="55EC1538"/>
    <w:rsid w:val="55F61D5C"/>
    <w:rsid w:val="561342C3"/>
    <w:rsid w:val="56312035"/>
    <w:rsid w:val="567E7EB5"/>
    <w:rsid w:val="56897873"/>
    <w:rsid w:val="56FD204D"/>
    <w:rsid w:val="57203535"/>
    <w:rsid w:val="57276637"/>
    <w:rsid w:val="57DA0118"/>
    <w:rsid w:val="58112E7E"/>
    <w:rsid w:val="5878703E"/>
    <w:rsid w:val="587E492C"/>
    <w:rsid w:val="58CD57FD"/>
    <w:rsid w:val="58D71487"/>
    <w:rsid w:val="58EC03D0"/>
    <w:rsid w:val="5913345A"/>
    <w:rsid w:val="59184025"/>
    <w:rsid w:val="595E5516"/>
    <w:rsid w:val="597A2533"/>
    <w:rsid w:val="59903789"/>
    <w:rsid w:val="59D979CB"/>
    <w:rsid w:val="59F4508B"/>
    <w:rsid w:val="5A0709DC"/>
    <w:rsid w:val="5A1845D9"/>
    <w:rsid w:val="5A407735"/>
    <w:rsid w:val="5A4420E9"/>
    <w:rsid w:val="5A4C5484"/>
    <w:rsid w:val="5A6E2499"/>
    <w:rsid w:val="5A73671E"/>
    <w:rsid w:val="5A8D6BFD"/>
    <w:rsid w:val="5A9C2C12"/>
    <w:rsid w:val="5ABB1C56"/>
    <w:rsid w:val="5AEA6513"/>
    <w:rsid w:val="5B107B51"/>
    <w:rsid w:val="5B236772"/>
    <w:rsid w:val="5B2E08FC"/>
    <w:rsid w:val="5B754EAE"/>
    <w:rsid w:val="5BC92FE2"/>
    <w:rsid w:val="5C1B12E8"/>
    <w:rsid w:val="5C6A2FBB"/>
    <w:rsid w:val="5CB90BFE"/>
    <w:rsid w:val="5CF506C0"/>
    <w:rsid w:val="5D005CB0"/>
    <w:rsid w:val="5D333896"/>
    <w:rsid w:val="5D5A78D3"/>
    <w:rsid w:val="5D621320"/>
    <w:rsid w:val="5D772B57"/>
    <w:rsid w:val="5DBB5E0E"/>
    <w:rsid w:val="5DDB1F64"/>
    <w:rsid w:val="5E055233"/>
    <w:rsid w:val="5ECC7AFE"/>
    <w:rsid w:val="5EEB379F"/>
    <w:rsid w:val="5F215538"/>
    <w:rsid w:val="5F3F3E4D"/>
    <w:rsid w:val="5F7808C2"/>
    <w:rsid w:val="5F8A08C7"/>
    <w:rsid w:val="600357A2"/>
    <w:rsid w:val="602E4AE1"/>
    <w:rsid w:val="603622AE"/>
    <w:rsid w:val="60557495"/>
    <w:rsid w:val="60771CEC"/>
    <w:rsid w:val="609965FC"/>
    <w:rsid w:val="60A536C2"/>
    <w:rsid w:val="60C11ADB"/>
    <w:rsid w:val="60C13CE5"/>
    <w:rsid w:val="60F26278"/>
    <w:rsid w:val="610B067A"/>
    <w:rsid w:val="61103C96"/>
    <w:rsid w:val="617E5D5F"/>
    <w:rsid w:val="61815B25"/>
    <w:rsid w:val="61882403"/>
    <w:rsid w:val="61933D97"/>
    <w:rsid w:val="625B0771"/>
    <w:rsid w:val="628366AA"/>
    <w:rsid w:val="62C758AC"/>
    <w:rsid w:val="62E1060C"/>
    <w:rsid w:val="63093F9F"/>
    <w:rsid w:val="632A038C"/>
    <w:rsid w:val="63377CD7"/>
    <w:rsid w:val="633E564D"/>
    <w:rsid w:val="63677B7A"/>
    <w:rsid w:val="63EC3675"/>
    <w:rsid w:val="64115F52"/>
    <w:rsid w:val="6473120F"/>
    <w:rsid w:val="64797FAF"/>
    <w:rsid w:val="64BE373F"/>
    <w:rsid w:val="650555DB"/>
    <w:rsid w:val="65131FC3"/>
    <w:rsid w:val="65194AE2"/>
    <w:rsid w:val="653100E2"/>
    <w:rsid w:val="656F3AF5"/>
    <w:rsid w:val="65891DC8"/>
    <w:rsid w:val="65914422"/>
    <w:rsid w:val="65E15826"/>
    <w:rsid w:val="66020763"/>
    <w:rsid w:val="6650642D"/>
    <w:rsid w:val="66B417D6"/>
    <w:rsid w:val="66D93A20"/>
    <w:rsid w:val="676B5770"/>
    <w:rsid w:val="677A790E"/>
    <w:rsid w:val="67811876"/>
    <w:rsid w:val="678D6547"/>
    <w:rsid w:val="67A07D7A"/>
    <w:rsid w:val="68241258"/>
    <w:rsid w:val="68654188"/>
    <w:rsid w:val="686B02E8"/>
    <w:rsid w:val="690064B8"/>
    <w:rsid w:val="692D004E"/>
    <w:rsid w:val="69431BF0"/>
    <w:rsid w:val="69583DAB"/>
    <w:rsid w:val="697D2FFF"/>
    <w:rsid w:val="69831C42"/>
    <w:rsid w:val="6A905372"/>
    <w:rsid w:val="6AA302AD"/>
    <w:rsid w:val="6B00304C"/>
    <w:rsid w:val="6B3D051E"/>
    <w:rsid w:val="6B721796"/>
    <w:rsid w:val="6B8808D9"/>
    <w:rsid w:val="6BBE35BD"/>
    <w:rsid w:val="6BD81A83"/>
    <w:rsid w:val="6BF30539"/>
    <w:rsid w:val="6BFD230F"/>
    <w:rsid w:val="6C0134DD"/>
    <w:rsid w:val="6C0B6891"/>
    <w:rsid w:val="6C1309EF"/>
    <w:rsid w:val="6C2D5C19"/>
    <w:rsid w:val="6C4258A4"/>
    <w:rsid w:val="6C59174F"/>
    <w:rsid w:val="6CCF54CB"/>
    <w:rsid w:val="6CFB7CAC"/>
    <w:rsid w:val="6D293AB8"/>
    <w:rsid w:val="6D631F76"/>
    <w:rsid w:val="6D732E5A"/>
    <w:rsid w:val="6D810D79"/>
    <w:rsid w:val="6D82064E"/>
    <w:rsid w:val="6D83752A"/>
    <w:rsid w:val="6D876183"/>
    <w:rsid w:val="6DA429FE"/>
    <w:rsid w:val="6DCF24D4"/>
    <w:rsid w:val="6E0C59B3"/>
    <w:rsid w:val="6E2D7DAE"/>
    <w:rsid w:val="6E671E09"/>
    <w:rsid w:val="6E684745"/>
    <w:rsid w:val="6E875F7C"/>
    <w:rsid w:val="6EA10A17"/>
    <w:rsid w:val="6EA93C7A"/>
    <w:rsid w:val="6EAC575D"/>
    <w:rsid w:val="6F094457"/>
    <w:rsid w:val="6F3B2C38"/>
    <w:rsid w:val="6F6873CF"/>
    <w:rsid w:val="6F7252E9"/>
    <w:rsid w:val="6FD86A20"/>
    <w:rsid w:val="70050BE1"/>
    <w:rsid w:val="701B3AAA"/>
    <w:rsid w:val="70474110"/>
    <w:rsid w:val="70756248"/>
    <w:rsid w:val="70997E78"/>
    <w:rsid w:val="70A02DE9"/>
    <w:rsid w:val="719D7C46"/>
    <w:rsid w:val="71C00BCE"/>
    <w:rsid w:val="71F122CA"/>
    <w:rsid w:val="71F916BA"/>
    <w:rsid w:val="720505B1"/>
    <w:rsid w:val="723E400B"/>
    <w:rsid w:val="72580F09"/>
    <w:rsid w:val="729854D9"/>
    <w:rsid w:val="72B5273C"/>
    <w:rsid w:val="72D03065"/>
    <w:rsid w:val="72F9730B"/>
    <w:rsid w:val="734C6D5E"/>
    <w:rsid w:val="735C09E1"/>
    <w:rsid w:val="73D96006"/>
    <w:rsid w:val="73E22F7C"/>
    <w:rsid w:val="73FF3C39"/>
    <w:rsid w:val="741C4C2C"/>
    <w:rsid w:val="742835D1"/>
    <w:rsid w:val="74604020"/>
    <w:rsid w:val="748902EA"/>
    <w:rsid w:val="749063A1"/>
    <w:rsid w:val="74940C67"/>
    <w:rsid w:val="74C57072"/>
    <w:rsid w:val="750D31DD"/>
    <w:rsid w:val="75177096"/>
    <w:rsid w:val="75230ECD"/>
    <w:rsid w:val="7528159A"/>
    <w:rsid w:val="75352D49"/>
    <w:rsid w:val="75495E5A"/>
    <w:rsid w:val="75813420"/>
    <w:rsid w:val="75A12046"/>
    <w:rsid w:val="75A31A71"/>
    <w:rsid w:val="75B82733"/>
    <w:rsid w:val="75BF1D13"/>
    <w:rsid w:val="75EB0D5A"/>
    <w:rsid w:val="75EB4BA5"/>
    <w:rsid w:val="75F759BC"/>
    <w:rsid w:val="762A0C73"/>
    <w:rsid w:val="764E542E"/>
    <w:rsid w:val="76A12B58"/>
    <w:rsid w:val="76A50F09"/>
    <w:rsid w:val="76BC1D1E"/>
    <w:rsid w:val="76D761B6"/>
    <w:rsid w:val="76E23F0B"/>
    <w:rsid w:val="76EA27F4"/>
    <w:rsid w:val="76F97A28"/>
    <w:rsid w:val="776C5A44"/>
    <w:rsid w:val="77A56281"/>
    <w:rsid w:val="77BA7CA2"/>
    <w:rsid w:val="7855780E"/>
    <w:rsid w:val="78806C09"/>
    <w:rsid w:val="78E201F2"/>
    <w:rsid w:val="79242615"/>
    <w:rsid w:val="792823B4"/>
    <w:rsid w:val="796B02C1"/>
    <w:rsid w:val="7976529F"/>
    <w:rsid w:val="79A33E26"/>
    <w:rsid w:val="79C63033"/>
    <w:rsid w:val="7A12757A"/>
    <w:rsid w:val="7A1A62AD"/>
    <w:rsid w:val="7A1C7560"/>
    <w:rsid w:val="7A630C3D"/>
    <w:rsid w:val="7A6C46FD"/>
    <w:rsid w:val="7A7D5F38"/>
    <w:rsid w:val="7A8F5AA2"/>
    <w:rsid w:val="7A945B1D"/>
    <w:rsid w:val="7AC01624"/>
    <w:rsid w:val="7B206E8C"/>
    <w:rsid w:val="7BC674A8"/>
    <w:rsid w:val="7BF00E78"/>
    <w:rsid w:val="7BF8768E"/>
    <w:rsid w:val="7C0340C2"/>
    <w:rsid w:val="7C624509"/>
    <w:rsid w:val="7C705897"/>
    <w:rsid w:val="7CAE4A69"/>
    <w:rsid w:val="7D291FA0"/>
    <w:rsid w:val="7D2F45AA"/>
    <w:rsid w:val="7DAB1D15"/>
    <w:rsid w:val="7DD332BE"/>
    <w:rsid w:val="7E3C6DE9"/>
    <w:rsid w:val="7E78623A"/>
    <w:rsid w:val="7E857FD1"/>
    <w:rsid w:val="7E9F72B9"/>
    <w:rsid w:val="7EBA03B3"/>
    <w:rsid w:val="7ECB266C"/>
    <w:rsid w:val="7F1A56DC"/>
    <w:rsid w:val="7F273959"/>
    <w:rsid w:val="7F573E39"/>
    <w:rsid w:val="7F6C67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qFormat="1" w:unhideWhenUsed="0" w:uiPriority="0" w:semiHidden="0"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qFormat="1" w:uiPriority="99" w:semiHidden="0"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name="Salutation"/>
    <w:lsdException w:qFormat="1" w:unhideWhenUsed="0" w:uiPriority="99" w:semiHidden="0" w:name="Date"/>
    <w:lsdException w:qFormat="1" w:unhideWhenUsed="0" w:uiPriority="99" w:semiHidden="0" w:name="Body Text First Indent" w:locked="1"/>
    <w:lsdException w:uiPriority="99" w:name="Body Text First Indent 2" w:locked="1"/>
    <w:lsdException w:qFormat="1" w:unhideWhenUsed="0" w:uiPriority="99" w:name="Note Heading"/>
    <w:lsdException w:qFormat="1" w:uiPriority="99" w:semiHidden="0"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semiHidden="0"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95"/>
    <w:qFormat/>
    <w:uiPriority w:val="99"/>
    <w:pPr>
      <w:numPr>
        <w:ilvl w:val="0"/>
        <w:numId w:val="1"/>
      </w:numPr>
      <w:overflowPunct w:val="0"/>
      <w:autoSpaceDE w:val="0"/>
      <w:autoSpaceDN w:val="0"/>
      <w:adjustRightInd w:val="0"/>
      <w:snapToGrid w:val="0"/>
      <w:spacing w:before="120" w:line="360" w:lineRule="auto"/>
      <w:textAlignment w:val="baseline"/>
      <w:outlineLvl w:val="0"/>
    </w:pPr>
    <w:rPr>
      <w:rFonts w:eastAsia="理德小标宋简"/>
      <w:b/>
      <w:kern w:val="44"/>
      <w:sz w:val="44"/>
      <w:szCs w:val="20"/>
    </w:rPr>
  </w:style>
  <w:style w:type="paragraph" w:styleId="4">
    <w:name w:val="heading 2"/>
    <w:basedOn w:val="1"/>
    <w:next w:val="1"/>
    <w:link w:val="96"/>
    <w:qFormat/>
    <w:uiPriority w:val="99"/>
    <w:pPr>
      <w:keepNext/>
      <w:keepLines/>
      <w:spacing w:before="260" w:after="260" w:line="416" w:lineRule="auto"/>
      <w:outlineLvl w:val="1"/>
    </w:pPr>
    <w:rPr>
      <w:rFonts w:ascii="Cambria" w:hAnsi="Cambria"/>
      <w:b/>
      <w:kern w:val="0"/>
      <w:sz w:val="32"/>
      <w:szCs w:val="20"/>
    </w:rPr>
  </w:style>
  <w:style w:type="paragraph" w:styleId="5">
    <w:name w:val="heading 3"/>
    <w:basedOn w:val="1"/>
    <w:next w:val="1"/>
    <w:link w:val="97"/>
    <w:qFormat/>
    <w:uiPriority w:val="99"/>
    <w:pPr>
      <w:keepNext/>
      <w:keepLines/>
      <w:spacing w:before="260" w:after="260" w:line="416" w:lineRule="auto"/>
      <w:outlineLvl w:val="2"/>
    </w:pPr>
    <w:rPr>
      <w:b/>
      <w:kern w:val="0"/>
      <w:sz w:val="32"/>
      <w:szCs w:val="20"/>
    </w:rPr>
  </w:style>
  <w:style w:type="paragraph" w:styleId="6">
    <w:name w:val="heading 4"/>
    <w:basedOn w:val="1"/>
    <w:next w:val="1"/>
    <w:link w:val="98"/>
    <w:qFormat/>
    <w:uiPriority w:val="99"/>
    <w:pPr>
      <w:keepNext/>
      <w:keepLines/>
      <w:spacing w:line="360" w:lineRule="auto"/>
      <w:jc w:val="center"/>
      <w:outlineLvl w:val="3"/>
    </w:pPr>
    <w:rPr>
      <w:rFonts w:ascii="Cambria" w:hAnsi="Cambria"/>
      <w:b/>
      <w:kern w:val="0"/>
      <w:sz w:val="36"/>
      <w:szCs w:val="20"/>
    </w:rPr>
  </w:style>
  <w:style w:type="paragraph" w:styleId="7">
    <w:name w:val="heading 5"/>
    <w:basedOn w:val="1"/>
    <w:next w:val="8"/>
    <w:link w:val="99"/>
    <w:qFormat/>
    <w:uiPriority w:val="9"/>
    <w:pPr>
      <w:keepNext/>
      <w:keepLines/>
      <w:spacing w:before="280" w:after="290" w:line="376" w:lineRule="auto"/>
      <w:outlineLvl w:val="4"/>
    </w:pPr>
    <w:rPr>
      <w:b/>
      <w:kern w:val="0"/>
      <w:sz w:val="28"/>
      <w:szCs w:val="20"/>
    </w:rPr>
  </w:style>
  <w:style w:type="paragraph" w:styleId="9">
    <w:name w:val="heading 6"/>
    <w:basedOn w:val="1"/>
    <w:next w:val="1"/>
    <w:link w:val="73"/>
    <w:qFormat/>
    <w:uiPriority w:val="99"/>
    <w:pPr>
      <w:keepNext/>
      <w:keepLines/>
      <w:spacing w:before="240" w:after="64" w:line="316" w:lineRule="auto"/>
      <w:outlineLvl w:val="5"/>
    </w:pPr>
    <w:rPr>
      <w:rFonts w:ascii="Cambria" w:hAnsi="Cambria"/>
      <w:b/>
      <w:bCs/>
      <w:kern w:val="0"/>
      <w:sz w:val="24"/>
      <w:szCs w:val="24"/>
    </w:rPr>
  </w:style>
  <w:style w:type="paragraph" w:styleId="10">
    <w:name w:val="heading 7"/>
    <w:basedOn w:val="1"/>
    <w:next w:val="1"/>
    <w:link w:val="74"/>
    <w:qFormat/>
    <w:uiPriority w:val="99"/>
    <w:pPr>
      <w:keepNext/>
      <w:keepLines/>
      <w:spacing w:before="240" w:after="64" w:line="316" w:lineRule="auto"/>
      <w:outlineLvl w:val="6"/>
    </w:pPr>
    <w:rPr>
      <w:rFonts w:ascii="Calibri" w:hAnsi="Calibri"/>
      <w:b/>
      <w:bCs/>
      <w:kern w:val="0"/>
      <w:sz w:val="24"/>
      <w:szCs w:val="24"/>
    </w:rPr>
  </w:style>
  <w:style w:type="paragraph" w:styleId="11">
    <w:name w:val="heading 8"/>
    <w:basedOn w:val="1"/>
    <w:next w:val="1"/>
    <w:link w:val="75"/>
    <w:qFormat/>
    <w:uiPriority w:val="99"/>
    <w:pPr>
      <w:keepNext/>
      <w:keepLines/>
      <w:spacing w:before="240" w:after="64" w:line="316" w:lineRule="auto"/>
      <w:outlineLvl w:val="7"/>
    </w:pPr>
    <w:rPr>
      <w:rFonts w:ascii="Cambria" w:hAnsi="Cambria"/>
      <w:kern w:val="0"/>
      <w:sz w:val="24"/>
      <w:szCs w:val="24"/>
    </w:rPr>
  </w:style>
  <w:style w:type="paragraph" w:styleId="12">
    <w:name w:val="heading 9"/>
    <w:basedOn w:val="1"/>
    <w:next w:val="1"/>
    <w:link w:val="76"/>
    <w:qFormat/>
    <w:uiPriority w:val="99"/>
    <w:pPr>
      <w:keepNext/>
      <w:keepLines/>
      <w:spacing w:before="240" w:after="64" w:line="316" w:lineRule="auto"/>
      <w:outlineLvl w:val="8"/>
    </w:pPr>
    <w:rPr>
      <w:rFonts w:ascii="Cambria" w:hAnsi="Cambria"/>
      <w:kern w:val="0"/>
    </w:rPr>
  </w:style>
  <w:style w:type="character" w:default="1" w:styleId="50">
    <w:name w:val="Default Paragraph Font"/>
    <w:unhideWhenUsed/>
    <w:qFormat/>
    <w:uiPriority w:val="1"/>
  </w:style>
  <w:style w:type="table" w:default="1" w:styleId="48">
    <w:name w:val="Normal Table"/>
    <w:unhideWhenUsed/>
    <w:qFormat/>
    <w:uiPriority w:val="99"/>
    <w:tblPr>
      <w:tblCellMar>
        <w:top w:w="0" w:type="dxa"/>
        <w:left w:w="108" w:type="dxa"/>
        <w:bottom w:w="0" w:type="dxa"/>
        <w:right w:w="108" w:type="dxa"/>
      </w:tblCellMar>
    </w:tblPr>
  </w:style>
  <w:style w:type="paragraph" w:styleId="2">
    <w:name w:val="Block Text"/>
    <w:basedOn w:val="1"/>
    <w:qFormat/>
    <w:locked/>
    <w:uiPriority w:val="99"/>
    <w:pPr>
      <w:adjustRightInd w:val="0"/>
      <w:ind w:left="420" w:right="33"/>
      <w:jc w:val="left"/>
      <w:textAlignment w:val="baseline"/>
    </w:pPr>
    <w:rPr>
      <w:kern w:val="0"/>
      <w:sz w:val="24"/>
      <w:szCs w:val="20"/>
    </w:rPr>
  </w:style>
  <w:style w:type="paragraph" w:styleId="8">
    <w:name w:val="Normal Indent"/>
    <w:basedOn w:val="1"/>
    <w:qFormat/>
    <w:uiPriority w:val="99"/>
    <w:pPr>
      <w:widowControl/>
      <w:ind w:firstLine="420"/>
      <w:jc w:val="left"/>
    </w:pPr>
    <w:rPr>
      <w:sz w:val="20"/>
      <w:szCs w:val="20"/>
    </w:rPr>
  </w:style>
  <w:style w:type="paragraph" w:styleId="13">
    <w:name w:val="toc 7"/>
    <w:basedOn w:val="1"/>
    <w:next w:val="1"/>
    <w:qFormat/>
    <w:uiPriority w:val="99"/>
    <w:pPr>
      <w:adjustRightInd w:val="0"/>
      <w:spacing w:line="312" w:lineRule="atLeast"/>
      <w:ind w:left="1260"/>
      <w:jc w:val="left"/>
      <w:textAlignment w:val="baseline"/>
    </w:pPr>
    <w:rPr>
      <w:kern w:val="0"/>
      <w:sz w:val="18"/>
      <w:szCs w:val="18"/>
    </w:rPr>
  </w:style>
  <w:style w:type="paragraph" w:styleId="14">
    <w:name w:val="Note Heading"/>
    <w:basedOn w:val="1"/>
    <w:next w:val="1"/>
    <w:link w:val="77"/>
    <w:semiHidden/>
    <w:qFormat/>
    <w:uiPriority w:val="99"/>
    <w:pPr>
      <w:spacing w:beforeLines="20" w:afterLines="50"/>
      <w:jc w:val="center"/>
    </w:pPr>
    <w:rPr>
      <w:kern w:val="0"/>
      <w:sz w:val="20"/>
      <w:szCs w:val="20"/>
    </w:rPr>
  </w:style>
  <w:style w:type="paragraph" w:styleId="15">
    <w:name w:val="index 8"/>
    <w:basedOn w:val="1"/>
    <w:next w:val="1"/>
    <w:qFormat/>
    <w:locked/>
    <w:uiPriority w:val="0"/>
    <w:pPr>
      <w:ind w:left="2940"/>
    </w:pPr>
  </w:style>
  <w:style w:type="paragraph" w:styleId="16">
    <w:name w:val="caption"/>
    <w:basedOn w:val="1"/>
    <w:next w:val="1"/>
    <w:qFormat/>
    <w:uiPriority w:val="99"/>
    <w:pPr>
      <w:spacing w:before="152" w:after="160"/>
    </w:pPr>
    <w:rPr>
      <w:rFonts w:ascii="Arial" w:hAnsi="Arial" w:eastAsia="黑体" w:cs="Arial"/>
      <w:sz w:val="20"/>
      <w:szCs w:val="20"/>
    </w:rPr>
  </w:style>
  <w:style w:type="paragraph" w:styleId="17">
    <w:name w:val="Document Map"/>
    <w:basedOn w:val="1"/>
    <w:link w:val="100"/>
    <w:semiHidden/>
    <w:qFormat/>
    <w:uiPriority w:val="99"/>
    <w:pPr>
      <w:adjustRightInd w:val="0"/>
      <w:spacing w:line="312" w:lineRule="atLeast"/>
      <w:textAlignment w:val="baseline"/>
    </w:pPr>
    <w:rPr>
      <w:rFonts w:ascii="宋体"/>
      <w:kern w:val="0"/>
      <w:sz w:val="18"/>
      <w:szCs w:val="20"/>
    </w:rPr>
  </w:style>
  <w:style w:type="paragraph" w:styleId="18">
    <w:name w:val="annotation text"/>
    <w:basedOn w:val="1"/>
    <w:link w:val="101"/>
    <w:qFormat/>
    <w:uiPriority w:val="99"/>
    <w:pPr>
      <w:adjustRightInd w:val="0"/>
      <w:spacing w:line="312" w:lineRule="atLeast"/>
      <w:jc w:val="left"/>
      <w:textAlignment w:val="baseline"/>
    </w:pPr>
    <w:rPr>
      <w:kern w:val="0"/>
      <w:sz w:val="20"/>
      <w:szCs w:val="20"/>
    </w:rPr>
  </w:style>
  <w:style w:type="paragraph" w:styleId="19">
    <w:name w:val="Salutation"/>
    <w:basedOn w:val="1"/>
    <w:next w:val="1"/>
    <w:link w:val="80"/>
    <w:semiHidden/>
    <w:qFormat/>
    <w:uiPriority w:val="99"/>
    <w:rPr>
      <w:kern w:val="0"/>
      <w:sz w:val="20"/>
      <w:szCs w:val="20"/>
    </w:rPr>
  </w:style>
  <w:style w:type="paragraph" w:styleId="20">
    <w:name w:val="Body Text"/>
    <w:basedOn w:val="1"/>
    <w:next w:val="21"/>
    <w:link w:val="81"/>
    <w:qFormat/>
    <w:uiPriority w:val="99"/>
    <w:pPr>
      <w:adjustRightInd w:val="0"/>
      <w:spacing w:line="312" w:lineRule="atLeast"/>
      <w:jc w:val="center"/>
      <w:textAlignment w:val="baseline"/>
    </w:pPr>
    <w:rPr>
      <w:kern w:val="0"/>
      <w:sz w:val="20"/>
      <w:szCs w:val="20"/>
    </w:rPr>
  </w:style>
  <w:style w:type="paragraph" w:customStyle="1" w:styleId="21">
    <w:name w:val="Default"/>
    <w:basedOn w:val="22"/>
    <w:qFormat/>
    <w:uiPriority w:val="99"/>
    <w:pPr>
      <w:autoSpaceDE w:val="0"/>
      <w:autoSpaceDN w:val="0"/>
      <w:adjustRightInd w:val="0"/>
    </w:pPr>
    <w:rPr>
      <w:rFonts w:ascii="宋体" w:hAnsi="Times New Roman" w:cs="宋体"/>
      <w:color w:val="000000"/>
      <w:sz w:val="24"/>
      <w:szCs w:val="24"/>
    </w:rPr>
  </w:style>
  <w:style w:type="paragraph" w:styleId="22">
    <w:name w:val="Title"/>
    <w:basedOn w:val="1"/>
    <w:next w:val="1"/>
    <w:link w:val="111"/>
    <w:qFormat/>
    <w:uiPriority w:val="99"/>
    <w:pPr>
      <w:spacing w:before="240" w:after="60"/>
      <w:jc w:val="center"/>
      <w:outlineLvl w:val="0"/>
    </w:pPr>
    <w:rPr>
      <w:rFonts w:ascii="Cambria" w:hAnsi="Cambria"/>
      <w:b/>
      <w:kern w:val="0"/>
      <w:sz w:val="32"/>
      <w:szCs w:val="20"/>
    </w:rPr>
  </w:style>
  <w:style w:type="paragraph" w:styleId="23">
    <w:name w:val="Body Text Indent"/>
    <w:basedOn w:val="1"/>
    <w:link w:val="102"/>
    <w:qFormat/>
    <w:uiPriority w:val="99"/>
    <w:pPr>
      <w:ind w:left="420" w:leftChars="200"/>
      <w:jc w:val="left"/>
    </w:pPr>
    <w:rPr>
      <w:kern w:val="0"/>
      <w:sz w:val="20"/>
      <w:szCs w:val="20"/>
    </w:rPr>
  </w:style>
  <w:style w:type="paragraph" w:styleId="24">
    <w:name w:val="List 2"/>
    <w:basedOn w:val="1"/>
    <w:unhideWhenUsed/>
    <w:qFormat/>
    <w:locked/>
    <w:uiPriority w:val="99"/>
    <w:pPr>
      <w:ind w:left="100" w:leftChars="200" w:hanging="200" w:hangingChars="200"/>
      <w:contextualSpacing/>
    </w:pPr>
  </w:style>
  <w:style w:type="paragraph" w:styleId="25">
    <w:name w:val="index 4"/>
    <w:basedOn w:val="1"/>
    <w:next w:val="1"/>
    <w:semiHidden/>
    <w:qFormat/>
    <w:uiPriority w:val="99"/>
    <w:pPr>
      <w:ind w:left="600" w:leftChars="600"/>
    </w:pPr>
  </w:style>
  <w:style w:type="paragraph" w:styleId="26">
    <w:name w:val="toc 5"/>
    <w:basedOn w:val="1"/>
    <w:next w:val="1"/>
    <w:qFormat/>
    <w:uiPriority w:val="99"/>
    <w:pPr>
      <w:adjustRightInd w:val="0"/>
      <w:spacing w:line="312" w:lineRule="atLeast"/>
      <w:ind w:left="840"/>
      <w:jc w:val="left"/>
      <w:textAlignment w:val="baseline"/>
    </w:pPr>
    <w:rPr>
      <w:kern w:val="0"/>
      <w:sz w:val="18"/>
      <w:szCs w:val="18"/>
    </w:rPr>
  </w:style>
  <w:style w:type="paragraph" w:styleId="27">
    <w:name w:val="toc 3"/>
    <w:basedOn w:val="1"/>
    <w:next w:val="1"/>
    <w:qFormat/>
    <w:uiPriority w:val="99"/>
    <w:pPr>
      <w:adjustRightInd w:val="0"/>
      <w:spacing w:line="312" w:lineRule="atLeast"/>
      <w:ind w:left="420"/>
      <w:jc w:val="left"/>
      <w:textAlignment w:val="baseline"/>
    </w:pPr>
    <w:rPr>
      <w:i/>
      <w:iCs/>
      <w:kern w:val="0"/>
      <w:sz w:val="20"/>
      <w:szCs w:val="20"/>
    </w:rPr>
  </w:style>
  <w:style w:type="paragraph" w:styleId="28">
    <w:name w:val="Plain Text"/>
    <w:basedOn w:val="1"/>
    <w:next w:val="1"/>
    <w:link w:val="103"/>
    <w:qFormat/>
    <w:uiPriority w:val="99"/>
    <w:rPr>
      <w:rFonts w:ascii="宋体" w:hAnsi="Courier New"/>
      <w:kern w:val="0"/>
      <w:szCs w:val="20"/>
    </w:rPr>
  </w:style>
  <w:style w:type="paragraph" w:styleId="29">
    <w:name w:val="toc 8"/>
    <w:basedOn w:val="1"/>
    <w:next w:val="1"/>
    <w:qFormat/>
    <w:uiPriority w:val="99"/>
    <w:pPr>
      <w:adjustRightInd w:val="0"/>
      <w:spacing w:line="312" w:lineRule="atLeast"/>
      <w:ind w:left="1470"/>
      <w:jc w:val="left"/>
      <w:textAlignment w:val="baseline"/>
    </w:pPr>
    <w:rPr>
      <w:kern w:val="0"/>
      <w:sz w:val="18"/>
      <w:szCs w:val="18"/>
    </w:rPr>
  </w:style>
  <w:style w:type="paragraph" w:styleId="30">
    <w:name w:val="Date"/>
    <w:basedOn w:val="1"/>
    <w:next w:val="1"/>
    <w:link w:val="104"/>
    <w:qFormat/>
    <w:uiPriority w:val="99"/>
    <w:pPr>
      <w:ind w:left="100" w:leftChars="2500"/>
    </w:pPr>
    <w:rPr>
      <w:rFonts w:ascii="Calibri" w:hAnsi="Calibri" w:cs="Calibri"/>
    </w:rPr>
  </w:style>
  <w:style w:type="paragraph" w:styleId="31">
    <w:name w:val="Body Text Indent 2"/>
    <w:basedOn w:val="1"/>
    <w:link w:val="105"/>
    <w:qFormat/>
    <w:uiPriority w:val="99"/>
    <w:pPr>
      <w:spacing w:after="120" w:line="480" w:lineRule="auto"/>
      <w:ind w:left="420" w:leftChars="200"/>
    </w:pPr>
    <w:rPr>
      <w:kern w:val="0"/>
      <w:sz w:val="24"/>
      <w:szCs w:val="20"/>
    </w:rPr>
  </w:style>
  <w:style w:type="paragraph" w:styleId="32">
    <w:name w:val="Balloon Text"/>
    <w:basedOn w:val="1"/>
    <w:link w:val="106"/>
    <w:qFormat/>
    <w:uiPriority w:val="99"/>
    <w:rPr>
      <w:kern w:val="0"/>
      <w:sz w:val="18"/>
      <w:szCs w:val="20"/>
    </w:rPr>
  </w:style>
  <w:style w:type="paragraph" w:styleId="33">
    <w:name w:val="footer"/>
    <w:basedOn w:val="1"/>
    <w:next w:val="34"/>
    <w:link w:val="107"/>
    <w:qFormat/>
    <w:uiPriority w:val="99"/>
    <w:pPr>
      <w:tabs>
        <w:tab w:val="center" w:pos="4153"/>
        <w:tab w:val="right" w:pos="8306"/>
      </w:tabs>
      <w:snapToGrid w:val="0"/>
      <w:jc w:val="left"/>
    </w:pPr>
    <w:rPr>
      <w:kern w:val="0"/>
      <w:sz w:val="18"/>
      <w:szCs w:val="20"/>
    </w:rPr>
  </w:style>
  <w:style w:type="paragraph" w:customStyle="1" w:styleId="34">
    <w:name w:val="font5"/>
    <w:basedOn w:val="1"/>
    <w:next w:val="29"/>
    <w:qFormat/>
    <w:uiPriority w:val="0"/>
    <w:pPr>
      <w:widowControl/>
      <w:spacing w:beforeAutospacing="1" w:afterAutospacing="1"/>
      <w:jc w:val="left"/>
    </w:pPr>
    <w:rPr>
      <w:rFonts w:eastAsia="Verdana" w:cs="Verdana"/>
      <w:kern w:val="0"/>
      <w:sz w:val="18"/>
      <w:szCs w:val="18"/>
    </w:rPr>
  </w:style>
  <w:style w:type="paragraph" w:styleId="35">
    <w:name w:val="header"/>
    <w:basedOn w:val="1"/>
    <w:link w:val="108"/>
    <w:qFormat/>
    <w:uiPriority w:val="99"/>
    <w:pPr>
      <w:pBdr>
        <w:bottom w:val="single" w:color="auto" w:sz="6" w:space="1"/>
      </w:pBdr>
      <w:tabs>
        <w:tab w:val="center" w:pos="4153"/>
        <w:tab w:val="right" w:pos="8306"/>
      </w:tabs>
      <w:snapToGrid w:val="0"/>
      <w:jc w:val="center"/>
    </w:pPr>
    <w:rPr>
      <w:kern w:val="0"/>
      <w:sz w:val="18"/>
      <w:szCs w:val="20"/>
    </w:rPr>
  </w:style>
  <w:style w:type="paragraph" w:styleId="36">
    <w:name w:val="toc 1"/>
    <w:basedOn w:val="1"/>
    <w:next w:val="1"/>
    <w:qFormat/>
    <w:uiPriority w:val="99"/>
    <w:pPr>
      <w:adjustRightInd w:val="0"/>
      <w:spacing w:before="120" w:after="120" w:line="312" w:lineRule="atLeast"/>
      <w:jc w:val="left"/>
      <w:textAlignment w:val="baseline"/>
    </w:pPr>
    <w:rPr>
      <w:b/>
      <w:bCs/>
      <w:caps/>
      <w:kern w:val="0"/>
      <w:sz w:val="20"/>
      <w:szCs w:val="20"/>
    </w:rPr>
  </w:style>
  <w:style w:type="paragraph" w:styleId="37">
    <w:name w:val="toc 4"/>
    <w:basedOn w:val="1"/>
    <w:next w:val="1"/>
    <w:qFormat/>
    <w:uiPriority w:val="99"/>
    <w:pPr>
      <w:adjustRightInd w:val="0"/>
      <w:spacing w:line="312" w:lineRule="atLeast"/>
      <w:ind w:left="630"/>
      <w:jc w:val="left"/>
      <w:textAlignment w:val="baseline"/>
    </w:pPr>
    <w:rPr>
      <w:kern w:val="0"/>
      <w:sz w:val="18"/>
      <w:szCs w:val="18"/>
    </w:rPr>
  </w:style>
  <w:style w:type="paragraph" w:styleId="38">
    <w:name w:val="Subtitle"/>
    <w:basedOn w:val="1"/>
    <w:next w:val="1"/>
    <w:link w:val="109"/>
    <w:qFormat/>
    <w:uiPriority w:val="99"/>
    <w:pPr>
      <w:spacing w:before="240" w:after="60" w:line="312" w:lineRule="auto"/>
      <w:jc w:val="center"/>
      <w:outlineLvl w:val="1"/>
    </w:pPr>
    <w:rPr>
      <w:rFonts w:ascii="Cambria" w:hAnsi="Cambria"/>
      <w:b/>
      <w:kern w:val="28"/>
      <w:sz w:val="32"/>
      <w:szCs w:val="20"/>
    </w:rPr>
  </w:style>
  <w:style w:type="paragraph" w:styleId="39">
    <w:name w:val="footnote text"/>
    <w:basedOn w:val="1"/>
    <w:link w:val="110"/>
    <w:semiHidden/>
    <w:qFormat/>
    <w:uiPriority w:val="99"/>
    <w:pPr>
      <w:adjustRightInd w:val="0"/>
      <w:spacing w:line="312" w:lineRule="atLeast"/>
      <w:jc w:val="left"/>
    </w:pPr>
    <w:rPr>
      <w:kern w:val="0"/>
      <w:sz w:val="18"/>
      <w:szCs w:val="20"/>
    </w:rPr>
  </w:style>
  <w:style w:type="paragraph" w:styleId="40">
    <w:name w:val="toc 6"/>
    <w:basedOn w:val="1"/>
    <w:next w:val="1"/>
    <w:qFormat/>
    <w:uiPriority w:val="99"/>
    <w:pPr>
      <w:adjustRightInd w:val="0"/>
      <w:spacing w:line="312" w:lineRule="atLeast"/>
      <w:ind w:left="1050"/>
      <w:jc w:val="left"/>
      <w:textAlignment w:val="baseline"/>
    </w:pPr>
    <w:rPr>
      <w:kern w:val="0"/>
      <w:sz w:val="18"/>
      <w:szCs w:val="18"/>
    </w:rPr>
  </w:style>
  <w:style w:type="paragraph" w:styleId="41">
    <w:name w:val="Body Text Indent 3"/>
    <w:basedOn w:val="1"/>
    <w:link w:val="91"/>
    <w:qFormat/>
    <w:uiPriority w:val="99"/>
    <w:pPr>
      <w:adjustRightInd w:val="0"/>
      <w:spacing w:line="360" w:lineRule="auto"/>
      <w:ind w:firstLine="480"/>
      <w:textAlignment w:val="baseline"/>
    </w:pPr>
    <w:rPr>
      <w:kern w:val="0"/>
      <w:sz w:val="16"/>
      <w:szCs w:val="16"/>
    </w:rPr>
  </w:style>
  <w:style w:type="paragraph" w:styleId="42">
    <w:name w:val="toc 2"/>
    <w:basedOn w:val="1"/>
    <w:next w:val="1"/>
    <w:qFormat/>
    <w:uiPriority w:val="99"/>
    <w:pPr>
      <w:adjustRightInd w:val="0"/>
      <w:spacing w:line="312" w:lineRule="atLeast"/>
      <w:ind w:left="210"/>
      <w:jc w:val="left"/>
      <w:textAlignment w:val="baseline"/>
    </w:pPr>
    <w:rPr>
      <w:smallCaps/>
      <w:kern w:val="0"/>
      <w:sz w:val="20"/>
      <w:szCs w:val="20"/>
    </w:rPr>
  </w:style>
  <w:style w:type="paragraph" w:styleId="43">
    <w:name w:val="toc 9"/>
    <w:basedOn w:val="1"/>
    <w:next w:val="1"/>
    <w:qFormat/>
    <w:uiPriority w:val="99"/>
    <w:pPr>
      <w:adjustRightInd w:val="0"/>
      <w:spacing w:line="312" w:lineRule="atLeast"/>
      <w:ind w:left="1680"/>
      <w:jc w:val="left"/>
      <w:textAlignment w:val="baseline"/>
    </w:pPr>
    <w:rPr>
      <w:kern w:val="0"/>
      <w:sz w:val="18"/>
      <w:szCs w:val="18"/>
    </w:rPr>
  </w:style>
  <w:style w:type="paragraph" w:styleId="44">
    <w:name w:val="Body Text 2"/>
    <w:basedOn w:val="1"/>
    <w:unhideWhenUsed/>
    <w:qFormat/>
    <w:locked/>
    <w:uiPriority w:val="99"/>
    <w:pPr>
      <w:jc w:val="left"/>
    </w:pPr>
    <w:rPr>
      <w:rFonts w:ascii="仿宋_GB2312" w:hAnsi="宋体" w:eastAsia="仿宋_GB2312"/>
    </w:rPr>
  </w:style>
  <w:style w:type="paragraph" w:styleId="4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6">
    <w:name w:val="annotation subject"/>
    <w:basedOn w:val="18"/>
    <w:next w:val="18"/>
    <w:link w:val="112"/>
    <w:semiHidden/>
    <w:qFormat/>
    <w:uiPriority w:val="99"/>
    <w:rPr>
      <w:b/>
    </w:rPr>
  </w:style>
  <w:style w:type="paragraph" w:styleId="47">
    <w:name w:val="Body Text First Indent"/>
    <w:basedOn w:val="20"/>
    <w:link w:val="94"/>
    <w:qFormat/>
    <w:locked/>
    <w:uiPriority w:val="99"/>
    <w:pPr>
      <w:adjustRightInd/>
      <w:spacing w:after="120" w:line="240" w:lineRule="auto"/>
      <w:ind w:firstLine="420" w:firstLineChars="100"/>
      <w:jc w:val="both"/>
    </w:pPr>
    <w:rPr>
      <w:szCs w:val="24"/>
    </w:rPr>
  </w:style>
  <w:style w:type="table" w:styleId="49">
    <w:name w:val="Table Grid"/>
    <w:basedOn w:val="48"/>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99"/>
    <w:rPr>
      <w:rFonts w:cs="Times New Roman"/>
      <w:b/>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auto"/>
      <w:u w:val="none"/>
    </w:rPr>
  </w:style>
  <w:style w:type="character" w:styleId="54">
    <w:name w:val="Emphasis"/>
    <w:basedOn w:val="50"/>
    <w:qFormat/>
    <w:locked/>
    <w:uiPriority w:val="20"/>
    <w:rPr>
      <w:rFonts w:cs="Times New Roman"/>
      <w:i/>
    </w:rPr>
  </w:style>
  <w:style w:type="character" w:styleId="55">
    <w:name w:val="HTML Definition"/>
    <w:basedOn w:val="50"/>
    <w:qFormat/>
    <w:uiPriority w:val="99"/>
    <w:rPr>
      <w:rFonts w:cs="Times New Roman"/>
    </w:rPr>
  </w:style>
  <w:style w:type="character" w:styleId="56">
    <w:name w:val="HTML Typewriter"/>
    <w:basedOn w:val="50"/>
    <w:qFormat/>
    <w:uiPriority w:val="99"/>
    <w:rPr>
      <w:rFonts w:ascii="monospace" w:hAnsi="monospace" w:cs="Times New Roman"/>
      <w:sz w:val="20"/>
    </w:rPr>
  </w:style>
  <w:style w:type="character" w:styleId="57">
    <w:name w:val="HTML Acronym"/>
    <w:basedOn w:val="50"/>
    <w:qFormat/>
    <w:uiPriority w:val="99"/>
    <w:rPr>
      <w:rFonts w:cs="Times New Roman"/>
    </w:rPr>
  </w:style>
  <w:style w:type="character" w:styleId="58">
    <w:name w:val="HTML Variable"/>
    <w:basedOn w:val="50"/>
    <w:qFormat/>
    <w:uiPriority w:val="99"/>
    <w:rPr>
      <w:rFonts w:cs="Times New Roman"/>
    </w:rPr>
  </w:style>
  <w:style w:type="character" w:styleId="59">
    <w:name w:val="Hyperlink"/>
    <w:basedOn w:val="50"/>
    <w:qFormat/>
    <w:uiPriority w:val="99"/>
    <w:rPr>
      <w:rFonts w:cs="Times New Roman"/>
      <w:color w:val="auto"/>
      <w:u w:val="none"/>
    </w:rPr>
  </w:style>
  <w:style w:type="character" w:styleId="60">
    <w:name w:val="HTML Code"/>
    <w:basedOn w:val="50"/>
    <w:qFormat/>
    <w:uiPriority w:val="99"/>
    <w:rPr>
      <w:rFonts w:ascii="monospace" w:hAnsi="monospace" w:cs="Times New Roman"/>
      <w:sz w:val="20"/>
    </w:rPr>
  </w:style>
  <w:style w:type="character" w:styleId="61">
    <w:name w:val="annotation reference"/>
    <w:basedOn w:val="50"/>
    <w:qFormat/>
    <w:uiPriority w:val="99"/>
    <w:rPr>
      <w:rFonts w:cs="Times New Roman"/>
      <w:sz w:val="21"/>
    </w:rPr>
  </w:style>
  <w:style w:type="character" w:styleId="62">
    <w:name w:val="HTML Cite"/>
    <w:basedOn w:val="50"/>
    <w:qFormat/>
    <w:uiPriority w:val="99"/>
    <w:rPr>
      <w:rFonts w:cs="Times New Roman"/>
    </w:rPr>
  </w:style>
  <w:style w:type="character" w:styleId="63">
    <w:name w:val="HTML Keyboard"/>
    <w:basedOn w:val="50"/>
    <w:qFormat/>
    <w:uiPriority w:val="99"/>
    <w:rPr>
      <w:rFonts w:ascii="monospace" w:hAnsi="monospace" w:cs="Times New Roman"/>
      <w:sz w:val="20"/>
    </w:rPr>
  </w:style>
  <w:style w:type="character" w:styleId="64">
    <w:name w:val="HTML Sample"/>
    <w:basedOn w:val="50"/>
    <w:qFormat/>
    <w:uiPriority w:val="99"/>
    <w:rPr>
      <w:rFonts w:ascii="monospace" w:hAnsi="monospace" w:cs="Times New Roman"/>
    </w:rPr>
  </w:style>
  <w:style w:type="paragraph" w:customStyle="1" w:styleId="65">
    <w:name w:val="样式1"/>
    <w:basedOn w:val="1"/>
    <w:next w:val="6"/>
    <w:qFormat/>
    <w:uiPriority w:val="99"/>
    <w:pPr>
      <w:spacing w:line="360" w:lineRule="auto"/>
      <w:ind w:firstLine="420" w:firstLineChars="200"/>
    </w:pPr>
    <w:rPr>
      <w:rFonts w:ascii="宋体" w:hAnsi="宋体" w:cs="宋体"/>
      <w:szCs w:val="22"/>
    </w:rPr>
  </w:style>
  <w:style w:type="character" w:customStyle="1" w:styleId="66">
    <w:name w:val="标题 4 Char"/>
    <w:link w:val="6"/>
    <w:qFormat/>
    <w:locked/>
    <w:uiPriority w:val="99"/>
    <w:rPr>
      <w:rFonts w:ascii="Cambria" w:hAnsi="Cambria" w:eastAsia="宋体"/>
      <w:b/>
      <w:sz w:val="36"/>
    </w:rPr>
  </w:style>
  <w:style w:type="character" w:customStyle="1" w:styleId="67">
    <w:name w:val="标题 3 Char"/>
    <w:link w:val="5"/>
    <w:qFormat/>
    <w:locked/>
    <w:uiPriority w:val="99"/>
    <w:rPr>
      <w:rFonts w:ascii="Times New Roman" w:hAnsi="Times New Roman" w:eastAsia="宋体"/>
      <w:b/>
      <w:sz w:val="32"/>
    </w:rPr>
  </w:style>
  <w:style w:type="paragraph" w:customStyle="1" w:styleId="68">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paragraph" w:customStyle="1" w:styleId="69">
    <w:name w:val="toc 12"/>
    <w:next w:val="1"/>
    <w:qFormat/>
    <w:uiPriority w:val="0"/>
    <w:pPr>
      <w:wordWrap w:val="0"/>
      <w:jc w:val="both"/>
    </w:pPr>
    <w:rPr>
      <w:rFonts w:ascii="宋体" w:hAnsi="宋体" w:eastAsia="宋体" w:cs="Times New Roman"/>
      <w:sz w:val="21"/>
      <w:lang w:val="en-US" w:eastAsia="zh-CN" w:bidi="ar-SA"/>
    </w:rPr>
  </w:style>
  <w:style w:type="character" w:customStyle="1" w:styleId="70">
    <w:name w:val="标题 5 Char"/>
    <w:link w:val="7"/>
    <w:qFormat/>
    <w:locked/>
    <w:uiPriority w:val="9"/>
    <w:rPr>
      <w:rFonts w:ascii="Times New Roman" w:hAnsi="Times New Roman" w:eastAsia="宋体"/>
      <w:b/>
      <w:sz w:val="28"/>
    </w:rPr>
  </w:style>
  <w:style w:type="character" w:customStyle="1" w:styleId="71">
    <w:name w:val="标题 1 Char"/>
    <w:link w:val="3"/>
    <w:qFormat/>
    <w:locked/>
    <w:uiPriority w:val="99"/>
    <w:rPr>
      <w:rFonts w:ascii="Times New Roman" w:hAnsi="Times New Roman" w:eastAsia="理德小标宋简"/>
      <w:b/>
      <w:kern w:val="44"/>
      <w:sz w:val="44"/>
    </w:rPr>
  </w:style>
  <w:style w:type="character" w:customStyle="1" w:styleId="72">
    <w:name w:val="标题 2 Char"/>
    <w:link w:val="4"/>
    <w:qFormat/>
    <w:locked/>
    <w:uiPriority w:val="99"/>
    <w:rPr>
      <w:rFonts w:ascii="Cambria" w:hAnsi="Cambria" w:eastAsia="宋体"/>
      <w:b/>
      <w:sz w:val="32"/>
    </w:rPr>
  </w:style>
  <w:style w:type="character" w:customStyle="1" w:styleId="73">
    <w:name w:val="标题 6 Char"/>
    <w:basedOn w:val="50"/>
    <w:link w:val="9"/>
    <w:qFormat/>
    <w:locked/>
    <w:uiPriority w:val="99"/>
    <w:rPr>
      <w:rFonts w:ascii="Cambria" w:hAnsi="Cambria" w:eastAsia="宋体" w:cs="Times New Roman"/>
      <w:b/>
      <w:sz w:val="24"/>
    </w:rPr>
  </w:style>
  <w:style w:type="character" w:customStyle="1" w:styleId="74">
    <w:name w:val="标题 7 Char"/>
    <w:basedOn w:val="50"/>
    <w:link w:val="10"/>
    <w:qFormat/>
    <w:locked/>
    <w:uiPriority w:val="99"/>
    <w:rPr>
      <w:rFonts w:ascii="Calibri" w:hAnsi="Calibri" w:eastAsia="宋体" w:cs="Times New Roman"/>
      <w:b/>
      <w:sz w:val="24"/>
    </w:rPr>
  </w:style>
  <w:style w:type="character" w:customStyle="1" w:styleId="75">
    <w:name w:val="标题 8 Char"/>
    <w:basedOn w:val="50"/>
    <w:link w:val="11"/>
    <w:qFormat/>
    <w:locked/>
    <w:uiPriority w:val="99"/>
    <w:rPr>
      <w:rFonts w:ascii="Cambria" w:hAnsi="Cambria" w:eastAsia="宋体" w:cs="Times New Roman"/>
      <w:sz w:val="24"/>
    </w:rPr>
  </w:style>
  <w:style w:type="character" w:customStyle="1" w:styleId="76">
    <w:name w:val="标题 9 Char"/>
    <w:basedOn w:val="50"/>
    <w:link w:val="12"/>
    <w:qFormat/>
    <w:locked/>
    <w:uiPriority w:val="99"/>
    <w:rPr>
      <w:rFonts w:ascii="Cambria" w:hAnsi="Cambria" w:eastAsia="宋体" w:cs="Times New Roman"/>
      <w:sz w:val="21"/>
    </w:rPr>
  </w:style>
  <w:style w:type="character" w:customStyle="1" w:styleId="77">
    <w:name w:val="注释标题 Char1"/>
    <w:basedOn w:val="50"/>
    <w:link w:val="14"/>
    <w:semiHidden/>
    <w:qFormat/>
    <w:locked/>
    <w:uiPriority w:val="99"/>
    <w:rPr>
      <w:rFonts w:ascii="Times New Roman" w:hAnsi="Times New Roman" w:eastAsia="宋体" w:cs="Times New Roman"/>
    </w:rPr>
  </w:style>
  <w:style w:type="character" w:customStyle="1" w:styleId="78">
    <w:name w:val="文档结构图 Char1"/>
    <w:link w:val="17"/>
    <w:qFormat/>
    <w:locked/>
    <w:uiPriority w:val="99"/>
    <w:rPr>
      <w:rFonts w:ascii="宋体" w:hAnsi="Times New Roman" w:eastAsia="宋体"/>
      <w:sz w:val="18"/>
    </w:rPr>
  </w:style>
  <w:style w:type="character" w:customStyle="1" w:styleId="79">
    <w:name w:val="批注文字 Char1"/>
    <w:link w:val="18"/>
    <w:qFormat/>
    <w:locked/>
    <w:uiPriority w:val="99"/>
    <w:rPr>
      <w:rFonts w:ascii="Times New Roman" w:hAnsi="Times New Roman" w:eastAsia="宋体"/>
    </w:rPr>
  </w:style>
  <w:style w:type="character" w:customStyle="1" w:styleId="80">
    <w:name w:val="称呼 Char1"/>
    <w:basedOn w:val="50"/>
    <w:link w:val="19"/>
    <w:semiHidden/>
    <w:qFormat/>
    <w:locked/>
    <w:uiPriority w:val="99"/>
    <w:rPr>
      <w:rFonts w:ascii="Times New Roman" w:hAnsi="Times New Roman" w:eastAsia="宋体" w:cs="Times New Roman"/>
    </w:rPr>
  </w:style>
  <w:style w:type="character" w:customStyle="1" w:styleId="81">
    <w:name w:val="正文文本 Char2"/>
    <w:basedOn w:val="50"/>
    <w:link w:val="20"/>
    <w:semiHidden/>
    <w:qFormat/>
    <w:locked/>
    <w:uiPriority w:val="99"/>
    <w:rPr>
      <w:rFonts w:ascii="Times New Roman" w:hAnsi="Times New Roman" w:eastAsia="宋体" w:cs="Times New Roman"/>
    </w:rPr>
  </w:style>
  <w:style w:type="character" w:customStyle="1" w:styleId="82">
    <w:name w:val="正文文本缩进 Char1"/>
    <w:link w:val="23"/>
    <w:semiHidden/>
    <w:qFormat/>
    <w:locked/>
    <w:uiPriority w:val="99"/>
    <w:rPr>
      <w:rFonts w:ascii="Times New Roman" w:hAnsi="Times New Roman" w:eastAsia="宋体"/>
    </w:rPr>
  </w:style>
  <w:style w:type="character" w:customStyle="1" w:styleId="83">
    <w:name w:val="纯文本 Char3"/>
    <w:link w:val="28"/>
    <w:semiHidden/>
    <w:qFormat/>
    <w:locked/>
    <w:uiPriority w:val="99"/>
    <w:rPr>
      <w:rFonts w:ascii="宋体" w:hAnsi="Courier New" w:eastAsia="宋体"/>
      <w:sz w:val="21"/>
    </w:rPr>
  </w:style>
  <w:style w:type="character" w:customStyle="1" w:styleId="84">
    <w:name w:val="日期 Char"/>
    <w:basedOn w:val="50"/>
    <w:link w:val="30"/>
    <w:qFormat/>
    <w:locked/>
    <w:uiPriority w:val="99"/>
    <w:rPr>
      <w:rFonts w:cs="Times New Roman"/>
    </w:rPr>
  </w:style>
  <w:style w:type="character" w:customStyle="1" w:styleId="85">
    <w:name w:val="正文文本缩进 2 Char1"/>
    <w:link w:val="31"/>
    <w:qFormat/>
    <w:locked/>
    <w:uiPriority w:val="99"/>
    <w:rPr>
      <w:sz w:val="24"/>
    </w:rPr>
  </w:style>
  <w:style w:type="character" w:customStyle="1" w:styleId="86">
    <w:name w:val="批注框文本 Char1"/>
    <w:link w:val="32"/>
    <w:qFormat/>
    <w:locked/>
    <w:uiPriority w:val="99"/>
    <w:rPr>
      <w:rFonts w:ascii="Times New Roman" w:hAnsi="Times New Roman" w:eastAsia="宋体"/>
      <w:sz w:val="18"/>
    </w:rPr>
  </w:style>
  <w:style w:type="character" w:customStyle="1" w:styleId="87">
    <w:name w:val="页脚 Char1"/>
    <w:link w:val="33"/>
    <w:semiHidden/>
    <w:qFormat/>
    <w:locked/>
    <w:uiPriority w:val="99"/>
    <w:rPr>
      <w:rFonts w:ascii="Times New Roman" w:hAnsi="Times New Roman" w:eastAsia="宋体"/>
      <w:sz w:val="18"/>
    </w:rPr>
  </w:style>
  <w:style w:type="character" w:customStyle="1" w:styleId="88">
    <w:name w:val="页眉 Char1"/>
    <w:link w:val="35"/>
    <w:semiHidden/>
    <w:qFormat/>
    <w:locked/>
    <w:uiPriority w:val="99"/>
    <w:rPr>
      <w:rFonts w:ascii="Times New Roman" w:hAnsi="Times New Roman" w:eastAsia="宋体"/>
      <w:sz w:val="18"/>
    </w:rPr>
  </w:style>
  <w:style w:type="character" w:customStyle="1" w:styleId="89">
    <w:name w:val="副标题 Char1"/>
    <w:link w:val="38"/>
    <w:qFormat/>
    <w:locked/>
    <w:uiPriority w:val="99"/>
    <w:rPr>
      <w:rFonts w:ascii="Cambria" w:hAnsi="Cambria"/>
      <w:b/>
      <w:kern w:val="28"/>
      <w:sz w:val="32"/>
    </w:rPr>
  </w:style>
  <w:style w:type="character" w:customStyle="1" w:styleId="90">
    <w:name w:val="脚注文本 Char1"/>
    <w:link w:val="39"/>
    <w:qFormat/>
    <w:locked/>
    <w:uiPriority w:val="99"/>
    <w:rPr>
      <w:sz w:val="18"/>
    </w:rPr>
  </w:style>
  <w:style w:type="character" w:customStyle="1" w:styleId="91">
    <w:name w:val="正文文本缩进 3 Char1"/>
    <w:basedOn w:val="50"/>
    <w:link w:val="41"/>
    <w:semiHidden/>
    <w:qFormat/>
    <w:locked/>
    <w:uiPriority w:val="99"/>
    <w:rPr>
      <w:rFonts w:ascii="Times New Roman" w:hAnsi="Times New Roman" w:eastAsia="宋体" w:cs="Times New Roman"/>
      <w:sz w:val="16"/>
    </w:rPr>
  </w:style>
  <w:style w:type="character" w:customStyle="1" w:styleId="92">
    <w:name w:val="标题 Char1"/>
    <w:link w:val="22"/>
    <w:qFormat/>
    <w:locked/>
    <w:uiPriority w:val="99"/>
    <w:rPr>
      <w:rFonts w:ascii="Cambria" w:hAnsi="Cambria" w:eastAsia="宋体"/>
      <w:b/>
      <w:sz w:val="32"/>
    </w:rPr>
  </w:style>
  <w:style w:type="character" w:customStyle="1" w:styleId="93">
    <w:name w:val="批注主题 Char1"/>
    <w:link w:val="46"/>
    <w:qFormat/>
    <w:locked/>
    <w:uiPriority w:val="99"/>
    <w:rPr>
      <w:rFonts w:ascii="Times New Roman" w:hAnsi="Times New Roman" w:eastAsia="宋体"/>
      <w:b/>
    </w:rPr>
  </w:style>
  <w:style w:type="character" w:customStyle="1" w:styleId="94">
    <w:name w:val="正文首行缩进 Char"/>
    <w:basedOn w:val="81"/>
    <w:link w:val="47"/>
    <w:semiHidden/>
    <w:qFormat/>
    <w:locked/>
    <w:uiPriority w:val="99"/>
    <w:rPr>
      <w:sz w:val="21"/>
      <w:szCs w:val="21"/>
    </w:rPr>
  </w:style>
  <w:style w:type="character" w:customStyle="1" w:styleId="95">
    <w:name w:val="标题 1 Char1"/>
    <w:basedOn w:val="50"/>
    <w:link w:val="3"/>
    <w:qFormat/>
    <w:locked/>
    <w:uiPriority w:val="99"/>
    <w:rPr>
      <w:rFonts w:eastAsia="宋体" w:cs="Times New Roman"/>
      <w:b/>
      <w:kern w:val="44"/>
      <w:sz w:val="44"/>
      <w:lang w:val="en-US" w:eastAsia="zh-CN"/>
    </w:rPr>
  </w:style>
  <w:style w:type="character" w:customStyle="1" w:styleId="96">
    <w:name w:val="标题 2 Char1"/>
    <w:basedOn w:val="50"/>
    <w:link w:val="4"/>
    <w:qFormat/>
    <w:locked/>
    <w:uiPriority w:val="99"/>
    <w:rPr>
      <w:rFonts w:ascii="Arial" w:hAnsi="Arial" w:eastAsia="黑体" w:cs="Times New Roman"/>
      <w:b/>
      <w:kern w:val="2"/>
      <w:sz w:val="32"/>
      <w:lang w:val="en-US" w:eastAsia="zh-CN"/>
    </w:rPr>
  </w:style>
  <w:style w:type="character" w:customStyle="1" w:styleId="97">
    <w:name w:val="标题 3 Char1"/>
    <w:basedOn w:val="50"/>
    <w:link w:val="5"/>
    <w:qFormat/>
    <w:locked/>
    <w:uiPriority w:val="99"/>
    <w:rPr>
      <w:rFonts w:cs="Times New Roman"/>
      <w:b/>
      <w:kern w:val="2"/>
      <w:sz w:val="32"/>
    </w:rPr>
  </w:style>
  <w:style w:type="character" w:customStyle="1" w:styleId="98">
    <w:name w:val="标题 4 Char1"/>
    <w:basedOn w:val="50"/>
    <w:link w:val="6"/>
    <w:qFormat/>
    <w:locked/>
    <w:uiPriority w:val="99"/>
    <w:rPr>
      <w:rFonts w:ascii="Arial" w:hAnsi="Arial" w:eastAsia="宋体" w:cs="Times New Roman"/>
      <w:b/>
      <w:kern w:val="2"/>
      <w:sz w:val="28"/>
      <w:lang w:val="en-US" w:eastAsia="zh-CN"/>
    </w:rPr>
  </w:style>
  <w:style w:type="character" w:customStyle="1" w:styleId="99">
    <w:name w:val="标题 5 Char1"/>
    <w:basedOn w:val="50"/>
    <w:link w:val="7"/>
    <w:qFormat/>
    <w:locked/>
    <w:uiPriority w:val="99"/>
    <w:rPr>
      <w:rFonts w:eastAsia="宋体" w:cs="Times New Roman"/>
      <w:b/>
      <w:kern w:val="2"/>
      <w:sz w:val="28"/>
      <w:lang w:val="en-US" w:eastAsia="zh-CN"/>
    </w:rPr>
  </w:style>
  <w:style w:type="character" w:customStyle="1" w:styleId="100">
    <w:name w:val="文档结构图 Char2"/>
    <w:basedOn w:val="50"/>
    <w:link w:val="17"/>
    <w:qFormat/>
    <w:locked/>
    <w:uiPriority w:val="99"/>
    <w:rPr>
      <w:rFonts w:eastAsia="宋体" w:cs="Times New Roman"/>
      <w:kern w:val="2"/>
      <w:sz w:val="24"/>
      <w:lang w:val="en-US" w:eastAsia="zh-CN"/>
    </w:rPr>
  </w:style>
  <w:style w:type="character" w:customStyle="1" w:styleId="101">
    <w:name w:val="批注文字 Char3"/>
    <w:basedOn w:val="50"/>
    <w:link w:val="18"/>
    <w:qFormat/>
    <w:locked/>
    <w:uiPriority w:val="99"/>
    <w:rPr>
      <w:rFonts w:cs="Times New Roman"/>
      <w:sz w:val="24"/>
    </w:rPr>
  </w:style>
  <w:style w:type="character" w:customStyle="1" w:styleId="102">
    <w:name w:val="正文文本缩进 Char2"/>
    <w:basedOn w:val="50"/>
    <w:link w:val="23"/>
    <w:qFormat/>
    <w:locked/>
    <w:uiPriority w:val="99"/>
    <w:rPr>
      <w:rFonts w:ascii="宋体" w:hAnsi="宋体" w:eastAsia="宋体" w:cs="Times New Roman"/>
      <w:kern w:val="2"/>
      <w:sz w:val="21"/>
      <w:lang w:val="en-US" w:eastAsia="zh-CN"/>
    </w:rPr>
  </w:style>
  <w:style w:type="character" w:customStyle="1" w:styleId="103">
    <w:name w:val="纯文本 Char4"/>
    <w:basedOn w:val="50"/>
    <w:link w:val="28"/>
    <w:qFormat/>
    <w:locked/>
    <w:uiPriority w:val="99"/>
    <w:rPr>
      <w:rFonts w:ascii="宋体" w:hAnsi="Courier New" w:eastAsia="宋体" w:cs="Times New Roman"/>
      <w:sz w:val="24"/>
    </w:rPr>
  </w:style>
  <w:style w:type="character" w:customStyle="1" w:styleId="104">
    <w:name w:val="日期 Char2"/>
    <w:basedOn w:val="50"/>
    <w:link w:val="30"/>
    <w:qFormat/>
    <w:locked/>
    <w:uiPriority w:val="99"/>
    <w:rPr>
      <w:rFonts w:ascii="Times New Roman" w:hAnsi="Times New Roman" w:eastAsia="宋体" w:cs="Times New Roman"/>
    </w:rPr>
  </w:style>
  <w:style w:type="character" w:customStyle="1" w:styleId="105">
    <w:name w:val="正文文本缩进 2 Char2"/>
    <w:basedOn w:val="50"/>
    <w:link w:val="31"/>
    <w:qFormat/>
    <w:locked/>
    <w:uiPriority w:val="99"/>
    <w:rPr>
      <w:rFonts w:ascii="Times New Roman" w:hAnsi="Times New Roman" w:eastAsia="宋体" w:cs="Times New Roman"/>
    </w:rPr>
  </w:style>
  <w:style w:type="character" w:customStyle="1" w:styleId="106">
    <w:name w:val="批注框文本 Char2"/>
    <w:basedOn w:val="50"/>
    <w:link w:val="32"/>
    <w:qFormat/>
    <w:locked/>
    <w:uiPriority w:val="99"/>
    <w:rPr>
      <w:rFonts w:cs="Times New Roman"/>
      <w:sz w:val="18"/>
    </w:rPr>
  </w:style>
  <w:style w:type="character" w:customStyle="1" w:styleId="107">
    <w:name w:val="页脚 Char2"/>
    <w:basedOn w:val="50"/>
    <w:link w:val="33"/>
    <w:qFormat/>
    <w:locked/>
    <w:uiPriority w:val="99"/>
    <w:rPr>
      <w:rFonts w:eastAsia="宋体" w:cs="Times New Roman"/>
      <w:kern w:val="2"/>
      <w:sz w:val="18"/>
      <w:lang w:val="en-US" w:eastAsia="zh-CN"/>
    </w:rPr>
  </w:style>
  <w:style w:type="character" w:customStyle="1" w:styleId="108">
    <w:name w:val="页眉 Char2"/>
    <w:basedOn w:val="50"/>
    <w:link w:val="35"/>
    <w:qFormat/>
    <w:locked/>
    <w:uiPriority w:val="99"/>
    <w:rPr>
      <w:rFonts w:eastAsia="宋体" w:cs="Times New Roman"/>
      <w:kern w:val="2"/>
      <w:sz w:val="18"/>
      <w:lang w:val="en-US" w:eastAsia="zh-CN"/>
    </w:rPr>
  </w:style>
  <w:style w:type="character" w:customStyle="1" w:styleId="109">
    <w:name w:val="副标题 Char2"/>
    <w:basedOn w:val="50"/>
    <w:link w:val="38"/>
    <w:qFormat/>
    <w:locked/>
    <w:uiPriority w:val="99"/>
    <w:rPr>
      <w:rFonts w:ascii="Cambria" w:hAnsi="Cambria" w:eastAsia="宋体" w:cs="Times New Roman"/>
      <w:b/>
      <w:kern w:val="28"/>
      <w:sz w:val="32"/>
    </w:rPr>
  </w:style>
  <w:style w:type="character" w:customStyle="1" w:styleId="110">
    <w:name w:val="脚注文本 Char2"/>
    <w:basedOn w:val="50"/>
    <w:link w:val="39"/>
    <w:qFormat/>
    <w:locked/>
    <w:uiPriority w:val="99"/>
    <w:rPr>
      <w:rFonts w:ascii="Times New Roman" w:hAnsi="Times New Roman" w:eastAsia="宋体" w:cs="Times New Roman"/>
      <w:sz w:val="18"/>
    </w:rPr>
  </w:style>
  <w:style w:type="character" w:customStyle="1" w:styleId="111">
    <w:name w:val="标题 Char3"/>
    <w:basedOn w:val="50"/>
    <w:link w:val="22"/>
    <w:qFormat/>
    <w:locked/>
    <w:uiPriority w:val="99"/>
    <w:rPr>
      <w:rFonts w:ascii="Cambria" w:hAnsi="Cambria" w:cs="Times New Roman"/>
      <w:b/>
      <w:sz w:val="32"/>
    </w:rPr>
  </w:style>
  <w:style w:type="character" w:customStyle="1" w:styleId="112">
    <w:name w:val="批注主题 Char2"/>
    <w:basedOn w:val="101"/>
    <w:link w:val="46"/>
    <w:qFormat/>
    <w:locked/>
    <w:uiPriority w:val="99"/>
    <w:rPr>
      <w:b/>
    </w:rPr>
  </w:style>
  <w:style w:type="character" w:customStyle="1" w:styleId="113">
    <w:name w:val="正文文本 Char"/>
    <w:qFormat/>
    <w:uiPriority w:val="99"/>
    <w:rPr>
      <w:rFonts w:ascii="楷体_GB2312" w:eastAsia="楷体_GB2312"/>
      <w:b/>
      <w:sz w:val="48"/>
    </w:rPr>
  </w:style>
  <w:style w:type="character" w:customStyle="1" w:styleId="114">
    <w:name w:val="明显引用 Char1"/>
    <w:qFormat/>
    <w:locked/>
    <w:uiPriority w:val="99"/>
    <w:rPr>
      <w:b/>
      <w:i/>
      <w:color w:val="4F81BD"/>
    </w:rPr>
  </w:style>
  <w:style w:type="paragraph" w:customStyle="1" w:styleId="115">
    <w:name w:val="明显引用111"/>
    <w:basedOn w:val="1"/>
    <w:next w:val="1"/>
    <w:link w:val="116"/>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16">
    <w:name w:val="明显引用 Char2"/>
    <w:basedOn w:val="50"/>
    <w:link w:val="115"/>
    <w:qFormat/>
    <w:locked/>
    <w:uiPriority w:val="99"/>
    <w:rPr>
      <w:rFonts w:ascii="Times New Roman" w:hAnsi="Times New Roman" w:eastAsia="宋体" w:cs="Times New Roman"/>
      <w:b/>
      <w:i/>
      <w:color w:val="4F81BD"/>
    </w:rPr>
  </w:style>
  <w:style w:type="character" w:customStyle="1" w:styleId="117">
    <w:name w:val="页眉 Char"/>
    <w:qFormat/>
    <w:uiPriority w:val="99"/>
    <w:rPr>
      <w:sz w:val="18"/>
    </w:rPr>
  </w:style>
  <w:style w:type="character" w:customStyle="1" w:styleId="118">
    <w:name w:val="批注框文本 Char"/>
    <w:qFormat/>
    <w:uiPriority w:val="99"/>
    <w:rPr>
      <w:sz w:val="18"/>
    </w:rPr>
  </w:style>
  <w:style w:type="character" w:customStyle="1" w:styleId="119">
    <w:name w:val="l2"/>
    <w:basedOn w:val="50"/>
    <w:qFormat/>
    <w:uiPriority w:val="99"/>
    <w:rPr>
      <w:rFonts w:cs="Times New Roman"/>
    </w:rPr>
  </w:style>
  <w:style w:type="character" w:customStyle="1" w:styleId="120">
    <w:name w:val="文档结构图 Char"/>
    <w:qFormat/>
    <w:uiPriority w:val="99"/>
    <w:rPr>
      <w:rFonts w:ascii="宋体"/>
      <w:sz w:val="18"/>
    </w:rPr>
  </w:style>
  <w:style w:type="character" w:customStyle="1" w:styleId="121">
    <w:name w:val="正文文本 Char1"/>
    <w:qFormat/>
    <w:locked/>
    <w:uiPriority w:val="99"/>
    <w:rPr>
      <w:kern w:val="2"/>
      <w:sz w:val="22"/>
    </w:rPr>
  </w:style>
  <w:style w:type="character" w:customStyle="1" w:styleId="122">
    <w:name w:val="正文文本缩进 2 Char"/>
    <w:qFormat/>
    <w:uiPriority w:val="99"/>
    <w:rPr>
      <w:kern w:val="2"/>
      <w:sz w:val="22"/>
    </w:rPr>
  </w:style>
  <w:style w:type="character" w:customStyle="1" w:styleId="123">
    <w:name w:val="r2"/>
    <w:basedOn w:val="50"/>
    <w:qFormat/>
    <w:uiPriority w:val="99"/>
    <w:rPr>
      <w:rFonts w:cs="Times New Roman"/>
    </w:rPr>
  </w:style>
  <w:style w:type="character" w:customStyle="1" w:styleId="124">
    <w:name w:val="批注主题 Char"/>
    <w:qFormat/>
    <w:uiPriority w:val="99"/>
    <w:rPr>
      <w:b/>
    </w:rPr>
  </w:style>
  <w:style w:type="character" w:customStyle="1" w:styleId="125">
    <w:name w:val="副标题 Char"/>
    <w:qFormat/>
    <w:uiPriority w:val="99"/>
    <w:rPr>
      <w:rFonts w:ascii="Cambria" w:hAnsi="Cambria"/>
      <w:b/>
      <w:kern w:val="28"/>
      <w:sz w:val="32"/>
    </w:rPr>
  </w:style>
  <w:style w:type="character" w:customStyle="1" w:styleId="126">
    <w:name w:val="明显引用 Char"/>
    <w:link w:val="127"/>
    <w:qFormat/>
    <w:locked/>
    <w:uiPriority w:val="99"/>
    <w:rPr>
      <w:b/>
      <w:i/>
      <w:color w:val="4F81BD"/>
      <w:kern w:val="2"/>
      <w:sz w:val="22"/>
    </w:rPr>
  </w:style>
  <w:style w:type="paragraph" w:customStyle="1" w:styleId="127">
    <w:name w:val="明显引用11"/>
    <w:basedOn w:val="1"/>
    <w:next w:val="1"/>
    <w:link w:val="126"/>
    <w:qFormat/>
    <w:uiPriority w:val="99"/>
    <w:pPr>
      <w:pBdr>
        <w:bottom w:val="single" w:color="4F81BD" w:sz="4" w:space="4"/>
      </w:pBdr>
      <w:spacing w:before="200" w:after="280"/>
      <w:ind w:left="936" w:right="936"/>
    </w:pPr>
    <w:rPr>
      <w:b/>
      <w:i/>
      <w:color w:val="4F81BD"/>
      <w:sz w:val="22"/>
      <w:szCs w:val="20"/>
    </w:rPr>
  </w:style>
  <w:style w:type="character" w:customStyle="1" w:styleId="128">
    <w:name w:val="引用 Char1"/>
    <w:qFormat/>
    <w:locked/>
    <w:uiPriority w:val="99"/>
    <w:rPr>
      <w:i/>
      <w:color w:val="000000"/>
    </w:rPr>
  </w:style>
  <w:style w:type="paragraph" w:customStyle="1" w:styleId="129">
    <w:name w:val="引用1"/>
    <w:basedOn w:val="1"/>
    <w:next w:val="1"/>
    <w:link w:val="130"/>
    <w:qFormat/>
    <w:uiPriority w:val="99"/>
    <w:rPr>
      <w:i/>
      <w:iCs/>
      <w:color w:val="000000"/>
      <w:kern w:val="0"/>
      <w:sz w:val="20"/>
      <w:szCs w:val="20"/>
    </w:rPr>
  </w:style>
  <w:style w:type="character" w:customStyle="1" w:styleId="130">
    <w:name w:val="引用 Char2"/>
    <w:basedOn w:val="50"/>
    <w:link w:val="129"/>
    <w:qFormat/>
    <w:locked/>
    <w:uiPriority w:val="99"/>
    <w:rPr>
      <w:rFonts w:ascii="Times New Roman" w:hAnsi="Times New Roman" w:eastAsia="宋体" w:cs="Times New Roman"/>
      <w:i/>
      <w:color w:val="000000"/>
    </w:rPr>
  </w:style>
  <w:style w:type="character" w:customStyle="1" w:styleId="131">
    <w:name w:val="注释标题 Char"/>
    <w:semiHidden/>
    <w:qFormat/>
    <w:uiPriority w:val="99"/>
    <w:rPr>
      <w:sz w:val="24"/>
    </w:rPr>
  </w:style>
  <w:style w:type="character" w:customStyle="1" w:styleId="132">
    <w:name w:val="正文文本缩进 3 Char"/>
    <w:qFormat/>
    <w:uiPriority w:val="99"/>
    <w:rPr>
      <w:rFonts w:ascii="宋体"/>
      <w:sz w:val="28"/>
    </w:rPr>
  </w:style>
  <w:style w:type="character" w:customStyle="1" w:styleId="133">
    <w:name w:val="称呼 Char"/>
    <w:semiHidden/>
    <w:qFormat/>
    <w:uiPriority w:val="99"/>
    <w:rPr>
      <w:sz w:val="24"/>
    </w:rPr>
  </w:style>
  <w:style w:type="character" w:customStyle="1" w:styleId="134">
    <w:name w:val="批注文字 Char"/>
    <w:qFormat/>
    <w:uiPriority w:val="99"/>
  </w:style>
  <w:style w:type="character" w:customStyle="1" w:styleId="135">
    <w:name w:val="纯文本 Char2"/>
    <w:qFormat/>
    <w:uiPriority w:val="99"/>
    <w:rPr>
      <w:rFonts w:ascii="宋体" w:hAnsi="Courier New"/>
      <w:kern w:val="2"/>
      <w:sz w:val="21"/>
    </w:rPr>
  </w:style>
  <w:style w:type="character" w:customStyle="1" w:styleId="136">
    <w:name w:val="标题4 Char Char"/>
    <w:link w:val="137"/>
    <w:qFormat/>
    <w:locked/>
    <w:uiPriority w:val="99"/>
    <w:rPr>
      <w:rFonts w:ascii="Arial" w:hAnsi="Arial"/>
      <w:b/>
      <w:sz w:val="32"/>
    </w:rPr>
  </w:style>
  <w:style w:type="paragraph" w:customStyle="1" w:styleId="137">
    <w:name w:val="标题4"/>
    <w:basedOn w:val="4"/>
    <w:next w:val="25"/>
    <w:link w:val="136"/>
    <w:qFormat/>
    <w:uiPriority w:val="99"/>
    <w:pPr>
      <w:spacing w:before="60" w:after="60" w:line="412" w:lineRule="auto"/>
    </w:pPr>
    <w:rPr>
      <w:rFonts w:ascii="Arial" w:hAnsi="Arial"/>
    </w:rPr>
  </w:style>
  <w:style w:type="character" w:customStyle="1" w:styleId="138">
    <w:name w:val="标题5 Char Char"/>
    <w:link w:val="139"/>
    <w:qFormat/>
    <w:locked/>
    <w:uiPriority w:val="99"/>
    <w:rPr>
      <w:rFonts w:ascii="Arial" w:hAnsi="Arial"/>
      <w:b/>
      <w:sz w:val="32"/>
    </w:rPr>
  </w:style>
  <w:style w:type="paragraph" w:customStyle="1" w:styleId="139">
    <w:name w:val="标题5"/>
    <w:basedOn w:val="5"/>
    <w:link w:val="138"/>
    <w:qFormat/>
    <w:uiPriority w:val="99"/>
    <w:pPr>
      <w:spacing w:line="412" w:lineRule="auto"/>
    </w:pPr>
    <w:rPr>
      <w:rFonts w:ascii="Arial" w:hAnsi="Arial"/>
    </w:rPr>
  </w:style>
  <w:style w:type="character" w:customStyle="1" w:styleId="140">
    <w:name w:val="纯文本 Char"/>
    <w:qFormat/>
    <w:uiPriority w:val="99"/>
    <w:rPr>
      <w:rFonts w:ascii="宋体" w:hAnsi="Courier New"/>
      <w:sz w:val="21"/>
    </w:rPr>
  </w:style>
  <w:style w:type="character" w:customStyle="1" w:styleId="141">
    <w:name w:val="页脚 Char"/>
    <w:qFormat/>
    <w:uiPriority w:val="99"/>
    <w:rPr>
      <w:sz w:val="18"/>
    </w:rPr>
  </w:style>
  <w:style w:type="character" w:customStyle="1" w:styleId="142">
    <w:name w:val="标题 Char"/>
    <w:qFormat/>
    <w:uiPriority w:val="99"/>
    <w:rPr>
      <w:rFonts w:ascii="Arial" w:hAnsi="Arial"/>
      <w:b/>
      <w:sz w:val="32"/>
    </w:rPr>
  </w:style>
  <w:style w:type="character" w:customStyle="1" w:styleId="143">
    <w:name w:val="脚注文本 Char"/>
    <w:qFormat/>
    <w:uiPriority w:val="99"/>
    <w:rPr>
      <w:kern w:val="2"/>
      <w:sz w:val="18"/>
    </w:rPr>
  </w:style>
  <w:style w:type="character" w:customStyle="1" w:styleId="144">
    <w:name w:val="正文文本缩进 Char"/>
    <w:qFormat/>
    <w:uiPriority w:val="99"/>
    <w:rPr>
      <w:sz w:val="24"/>
    </w:rPr>
  </w:style>
  <w:style w:type="character" w:customStyle="1" w:styleId="145">
    <w:name w:val="纯文本 Char1"/>
    <w:qFormat/>
    <w:uiPriority w:val="99"/>
    <w:rPr>
      <w:rFonts w:ascii="宋体" w:hAnsi="Courier New" w:eastAsia="宋体"/>
      <w:sz w:val="20"/>
    </w:rPr>
  </w:style>
  <w:style w:type="character" w:customStyle="1" w:styleId="146">
    <w:name w:val="引用 Char"/>
    <w:link w:val="147"/>
    <w:qFormat/>
    <w:locked/>
    <w:uiPriority w:val="99"/>
    <w:rPr>
      <w:i/>
      <w:color w:val="000000"/>
      <w:kern w:val="2"/>
      <w:sz w:val="22"/>
    </w:rPr>
  </w:style>
  <w:style w:type="paragraph" w:customStyle="1" w:styleId="147">
    <w:name w:val="引用11"/>
    <w:basedOn w:val="1"/>
    <w:next w:val="1"/>
    <w:link w:val="146"/>
    <w:qFormat/>
    <w:uiPriority w:val="99"/>
    <w:rPr>
      <w:i/>
      <w:color w:val="000000"/>
      <w:sz w:val="22"/>
      <w:szCs w:val="20"/>
    </w:rPr>
  </w:style>
  <w:style w:type="character" w:customStyle="1" w:styleId="148">
    <w:name w:val="普通文字 Char Char2"/>
    <w:qFormat/>
    <w:uiPriority w:val="99"/>
    <w:rPr>
      <w:rFonts w:ascii="宋体" w:hAnsi="Courier New" w:eastAsia="宋体"/>
      <w:kern w:val="2"/>
      <w:sz w:val="21"/>
      <w:lang w:val="en-US" w:eastAsia="zh-CN"/>
    </w:rPr>
  </w:style>
  <w:style w:type="paragraph" w:customStyle="1" w:styleId="149">
    <w:name w:val="Table Paragraph"/>
    <w:basedOn w:val="1"/>
    <w:qFormat/>
    <w:uiPriority w:val="99"/>
    <w:pPr>
      <w:autoSpaceDE w:val="0"/>
      <w:autoSpaceDN w:val="0"/>
      <w:adjustRightInd w:val="0"/>
      <w:jc w:val="left"/>
    </w:pPr>
    <w:rPr>
      <w:rFonts w:ascii="黑体" w:eastAsia="黑体" w:cs="黑体"/>
      <w:kern w:val="0"/>
      <w:sz w:val="24"/>
      <w:szCs w:val="24"/>
    </w:rPr>
  </w:style>
  <w:style w:type="paragraph" w:customStyle="1" w:styleId="150">
    <w:name w:val="Level 1"/>
    <w:basedOn w:val="1"/>
    <w:next w:val="1"/>
    <w:qFormat/>
    <w:uiPriority w:val="99"/>
    <w:pPr>
      <w:keepNext/>
      <w:widowControl/>
      <w:numPr>
        <w:ilvl w:val="0"/>
        <w:numId w:val="2"/>
      </w:numPr>
      <w:spacing w:line="360" w:lineRule="auto"/>
      <w:outlineLvl w:val="0"/>
    </w:pPr>
    <w:rPr>
      <w:rFonts w:ascii="Arial" w:hAnsi="Arial" w:eastAsia="黑体" w:cs="Arial"/>
      <w:b/>
      <w:bCs/>
      <w:caps/>
      <w:w w:val="105"/>
      <w:kern w:val="20"/>
      <w:sz w:val="24"/>
      <w:szCs w:val="24"/>
      <w:lang w:val="en-GB" w:eastAsia="en-US"/>
    </w:rPr>
  </w:style>
  <w:style w:type="paragraph" w:customStyle="1" w:styleId="151">
    <w:name w:val="Level 8"/>
    <w:basedOn w:val="1"/>
    <w:qFormat/>
    <w:uiPriority w:val="99"/>
    <w:pPr>
      <w:widowControl/>
      <w:numPr>
        <w:ilvl w:val="7"/>
        <w:numId w:val="2"/>
      </w:numPr>
      <w:spacing w:after="120" w:line="336" w:lineRule="auto"/>
      <w:outlineLvl w:val="7"/>
    </w:pPr>
    <w:rPr>
      <w:rFonts w:ascii="Arial" w:hAnsi="Arial" w:cs="Arial"/>
      <w:w w:val="105"/>
      <w:kern w:val="20"/>
      <w:sz w:val="24"/>
      <w:szCs w:val="24"/>
      <w:lang w:val="en-GB" w:eastAsia="en-US"/>
    </w:rPr>
  </w:style>
  <w:style w:type="paragraph" w:customStyle="1" w:styleId="152">
    <w:name w:val="05 Body"/>
    <w:basedOn w:val="1"/>
    <w:qFormat/>
    <w:uiPriority w:val="99"/>
    <w:pPr>
      <w:widowControl/>
      <w:spacing w:line="290" w:lineRule="auto"/>
    </w:pPr>
    <w:rPr>
      <w:rFonts w:ascii="Arial" w:hAnsi="Arial" w:cs="Arial"/>
      <w:kern w:val="20"/>
      <w:sz w:val="24"/>
      <w:szCs w:val="24"/>
      <w:lang w:val="en-GB" w:eastAsia="en-US"/>
    </w:rPr>
  </w:style>
  <w:style w:type="paragraph" w:customStyle="1" w:styleId="153">
    <w:name w:val="Parties"/>
    <w:basedOn w:val="1"/>
    <w:qFormat/>
    <w:uiPriority w:val="99"/>
    <w:pPr>
      <w:widowControl/>
      <w:numPr>
        <w:ilvl w:val="0"/>
        <w:numId w:val="3"/>
      </w:numPr>
      <w:spacing w:after="140" w:line="290" w:lineRule="auto"/>
    </w:pPr>
    <w:rPr>
      <w:rFonts w:ascii="Arial" w:hAnsi="Arial" w:cs="Arial"/>
      <w:kern w:val="20"/>
      <w:sz w:val="20"/>
      <w:szCs w:val="20"/>
      <w:lang w:val="en-GB" w:eastAsia="en-US"/>
    </w:rPr>
  </w:style>
  <w:style w:type="paragraph" w:customStyle="1" w:styleId="154">
    <w:name w:val="Level 5"/>
    <w:basedOn w:val="155"/>
    <w:qFormat/>
    <w:uiPriority w:val="99"/>
    <w:pPr>
      <w:numPr>
        <w:ilvl w:val="4"/>
      </w:numPr>
      <w:tabs>
        <w:tab w:val="left" w:pos="1361"/>
      </w:tabs>
      <w:outlineLvl w:val="4"/>
    </w:pPr>
  </w:style>
  <w:style w:type="paragraph" w:customStyle="1" w:styleId="155">
    <w:name w:val="Level 4"/>
    <w:basedOn w:val="1"/>
    <w:qFormat/>
    <w:uiPriority w:val="99"/>
    <w:pPr>
      <w:numPr>
        <w:ilvl w:val="3"/>
        <w:numId w:val="2"/>
      </w:numPr>
      <w:spacing w:after="120" w:line="336" w:lineRule="auto"/>
      <w:outlineLvl w:val="3"/>
    </w:pPr>
    <w:rPr>
      <w:rFonts w:ascii="Arial" w:hAnsi="Arial" w:cs="Arial"/>
      <w:w w:val="105"/>
      <w:kern w:val="20"/>
      <w:sz w:val="24"/>
      <w:szCs w:val="24"/>
      <w:lang w:val="en-GB" w:eastAsia="en-US"/>
    </w:rPr>
  </w:style>
  <w:style w:type="paragraph" w:customStyle="1" w:styleId="156">
    <w:name w:val="Body"/>
    <w:basedOn w:val="1"/>
    <w:qFormat/>
    <w:uiPriority w:val="99"/>
    <w:pPr>
      <w:widowControl/>
      <w:spacing w:after="140" w:line="290" w:lineRule="auto"/>
    </w:pPr>
    <w:rPr>
      <w:rFonts w:ascii="Arial" w:hAnsi="Arial" w:cs="Arial"/>
      <w:kern w:val="20"/>
      <w:sz w:val="20"/>
      <w:szCs w:val="20"/>
      <w:lang w:val="en-GB" w:eastAsia="en-US"/>
    </w:rPr>
  </w:style>
  <w:style w:type="paragraph" w:customStyle="1" w:styleId="157">
    <w:name w:val="Char"/>
    <w:basedOn w:val="1"/>
    <w:qFormat/>
    <w:uiPriority w:val="99"/>
    <w:pPr>
      <w:snapToGrid w:val="0"/>
      <w:spacing w:line="440" w:lineRule="atLeast"/>
    </w:pPr>
    <w:rPr>
      <w:rFonts w:ascii="宋体" w:cs="宋体"/>
      <w:sz w:val="24"/>
      <w:szCs w:val="24"/>
    </w:rPr>
  </w:style>
  <w:style w:type="paragraph" w:customStyle="1" w:styleId="158">
    <w:name w:val="样式 标题 2 + Times New Roman 四号 非加粗 段前: 5 磅 段后: 0 磅 行距: 固定值 20..."/>
    <w:basedOn w:val="4"/>
    <w:next w:val="1"/>
    <w:qFormat/>
    <w:uiPriority w:val="99"/>
    <w:pPr>
      <w:spacing w:before="100" w:after="0" w:line="400" w:lineRule="exact"/>
    </w:pPr>
    <w:rPr>
      <w:rFonts w:ascii="Times New Roman" w:hAnsi="Times New Roman" w:eastAsia="黑体"/>
      <w:b w:val="0"/>
      <w:sz w:val="28"/>
      <w:szCs w:val="28"/>
    </w:rPr>
  </w:style>
  <w:style w:type="paragraph" w:customStyle="1" w:styleId="159">
    <w:name w:val="03 Wheras"/>
    <w:basedOn w:val="1"/>
    <w:qFormat/>
    <w:uiPriority w:val="99"/>
    <w:pPr>
      <w:widowControl/>
      <w:spacing w:line="290" w:lineRule="auto"/>
    </w:pPr>
    <w:rPr>
      <w:rFonts w:ascii="Arial" w:hAnsi="Arial" w:eastAsia="黑体" w:cs="Arial"/>
      <w:b/>
      <w:bCs/>
      <w:kern w:val="20"/>
      <w:sz w:val="24"/>
      <w:szCs w:val="24"/>
      <w:lang w:val="en-GB" w:eastAsia="en-US"/>
    </w:rPr>
  </w:style>
  <w:style w:type="paragraph" w:customStyle="1" w:styleId="160">
    <w:name w:val="Level 6"/>
    <w:basedOn w:val="154"/>
    <w:qFormat/>
    <w:uiPriority w:val="99"/>
    <w:pPr>
      <w:numPr>
        <w:ilvl w:val="5"/>
      </w:numPr>
      <w:outlineLvl w:val="5"/>
    </w:pPr>
  </w:style>
  <w:style w:type="paragraph" w:customStyle="1" w:styleId="161">
    <w:name w:val="Level 7"/>
    <w:basedOn w:val="1"/>
    <w:qFormat/>
    <w:uiPriority w:val="99"/>
    <w:pPr>
      <w:widowControl/>
      <w:numPr>
        <w:ilvl w:val="6"/>
        <w:numId w:val="2"/>
      </w:numPr>
      <w:spacing w:after="120" w:line="336" w:lineRule="auto"/>
      <w:outlineLvl w:val="6"/>
    </w:pPr>
    <w:rPr>
      <w:rFonts w:ascii="Arial" w:hAnsi="Arial" w:cs="Arial"/>
      <w:w w:val="105"/>
      <w:kern w:val="20"/>
      <w:sz w:val="24"/>
      <w:szCs w:val="24"/>
      <w:lang w:val="en-GB" w:eastAsia="en-US"/>
    </w:rPr>
  </w:style>
  <w:style w:type="paragraph" w:customStyle="1" w:styleId="162">
    <w:name w:val="WPSOffice手动目录 1"/>
    <w:qFormat/>
    <w:uiPriority w:val="99"/>
    <w:rPr>
      <w:rFonts w:ascii="Times New Roman" w:hAnsi="Times New Roman" w:eastAsia="宋体" w:cs="Times New Roman"/>
      <w:lang w:val="en-US" w:eastAsia="zh-CN" w:bidi="ar-SA"/>
    </w:rPr>
  </w:style>
  <w:style w:type="paragraph" w:customStyle="1" w:styleId="163">
    <w:name w:val="04 Recitals"/>
    <w:basedOn w:val="152"/>
    <w:qFormat/>
    <w:uiPriority w:val="99"/>
    <w:pPr>
      <w:numPr>
        <w:ilvl w:val="0"/>
        <w:numId w:val="4"/>
      </w:numPr>
    </w:pPr>
  </w:style>
  <w:style w:type="paragraph" w:customStyle="1" w:styleId="164">
    <w:name w:val="zFSNarrative"/>
    <w:basedOn w:val="1"/>
    <w:qFormat/>
    <w:uiPriority w:val="99"/>
    <w:pPr>
      <w:widowControl/>
      <w:spacing w:before="120" w:after="120" w:line="290" w:lineRule="auto"/>
      <w:jc w:val="center"/>
    </w:pPr>
    <w:rPr>
      <w:rFonts w:ascii="Arial" w:hAnsi="Arial" w:cs="Arial"/>
      <w:kern w:val="20"/>
      <w:sz w:val="20"/>
      <w:szCs w:val="20"/>
      <w:lang w:val="en-GB" w:eastAsia="en-US"/>
    </w:rPr>
  </w:style>
  <w:style w:type="paragraph" w:customStyle="1" w:styleId="165">
    <w:name w:val="02 Parties"/>
    <w:basedOn w:val="1"/>
    <w:qFormat/>
    <w:uiPriority w:val="99"/>
    <w:pPr>
      <w:widowControl/>
      <w:numPr>
        <w:ilvl w:val="0"/>
        <w:numId w:val="5"/>
      </w:numPr>
      <w:spacing w:line="290" w:lineRule="auto"/>
    </w:pPr>
    <w:rPr>
      <w:rFonts w:ascii="Arial" w:hAnsi="Arial" w:cs="Arial"/>
      <w:kern w:val="20"/>
      <w:sz w:val="24"/>
      <w:szCs w:val="24"/>
      <w:lang w:val="en-GB" w:eastAsia="en-US"/>
    </w:rPr>
  </w:style>
  <w:style w:type="paragraph" w:customStyle="1" w:styleId="166">
    <w:name w:val="修订1"/>
    <w:qFormat/>
    <w:uiPriority w:val="99"/>
    <w:rPr>
      <w:rFonts w:ascii="Times New Roman" w:hAnsi="Times New Roman" w:eastAsia="宋体" w:cs="Times New Roman"/>
      <w:kern w:val="2"/>
      <w:sz w:val="21"/>
      <w:szCs w:val="21"/>
      <w:lang w:val="en-US" w:eastAsia="zh-CN" w:bidi="ar-SA"/>
    </w:rPr>
  </w:style>
  <w:style w:type="paragraph" w:customStyle="1" w:styleId="167">
    <w:name w:val="Char Char Char Char Char Char Char"/>
    <w:basedOn w:val="1"/>
    <w:qFormat/>
    <w:uiPriority w:val="99"/>
    <w:rPr>
      <w:rFonts w:ascii="仿宋_GB2312" w:eastAsia="仿宋_GB2312" w:cs="仿宋_GB2312"/>
      <w:spacing w:val="-4"/>
      <w:sz w:val="32"/>
      <w:szCs w:val="32"/>
    </w:rPr>
  </w:style>
  <w:style w:type="paragraph" w:customStyle="1" w:styleId="168">
    <w:name w:val="Level 3"/>
    <w:basedOn w:val="1"/>
    <w:qFormat/>
    <w:uiPriority w:val="99"/>
    <w:pPr>
      <w:numPr>
        <w:ilvl w:val="2"/>
        <w:numId w:val="2"/>
      </w:numPr>
      <w:spacing w:after="120" w:line="336" w:lineRule="auto"/>
      <w:outlineLvl w:val="2"/>
    </w:pPr>
    <w:rPr>
      <w:rFonts w:ascii="Arial" w:hAnsi="Arial" w:cs="Arial"/>
      <w:w w:val="105"/>
      <w:kern w:val="20"/>
      <w:sz w:val="24"/>
      <w:szCs w:val="24"/>
      <w:lang w:val="en-GB" w:eastAsia="en-US"/>
    </w:rPr>
  </w:style>
  <w:style w:type="paragraph" w:customStyle="1" w:styleId="169">
    <w:name w:val="列出段落1"/>
    <w:basedOn w:val="1"/>
    <w:qFormat/>
    <w:uiPriority w:val="99"/>
    <w:pPr>
      <w:ind w:firstLine="420" w:firstLineChars="200"/>
    </w:pPr>
  </w:style>
  <w:style w:type="paragraph" w:customStyle="1" w:styleId="170">
    <w:name w:val="zFSco-names"/>
    <w:basedOn w:val="1"/>
    <w:next w:val="1"/>
    <w:qFormat/>
    <w:uiPriority w:val="99"/>
    <w:pPr>
      <w:widowControl/>
      <w:spacing w:before="120" w:after="120" w:line="290" w:lineRule="auto"/>
      <w:jc w:val="center"/>
    </w:pPr>
    <w:rPr>
      <w:rFonts w:ascii="Arial" w:hAnsi="Arial" w:cs="Arial"/>
      <w:kern w:val="24"/>
      <w:sz w:val="24"/>
      <w:szCs w:val="24"/>
      <w:lang w:val="en-GB" w:eastAsia="en-US"/>
    </w:rPr>
  </w:style>
  <w:style w:type="paragraph" w:customStyle="1" w:styleId="171">
    <w:name w:val="Level 2"/>
    <w:basedOn w:val="1"/>
    <w:next w:val="1"/>
    <w:qFormat/>
    <w:uiPriority w:val="99"/>
    <w:pPr>
      <w:numPr>
        <w:ilvl w:val="1"/>
        <w:numId w:val="2"/>
      </w:numPr>
      <w:spacing w:line="360" w:lineRule="auto"/>
      <w:outlineLvl w:val="1"/>
    </w:pPr>
    <w:rPr>
      <w:rFonts w:ascii="Arial" w:hAnsi="Arial" w:cs="Arial"/>
      <w:w w:val="105"/>
      <w:kern w:val="20"/>
      <w:sz w:val="24"/>
      <w:szCs w:val="24"/>
      <w:lang w:val="en-GB" w:eastAsia="en-US"/>
    </w:rPr>
  </w:style>
  <w:style w:type="paragraph" w:customStyle="1" w:styleId="172">
    <w:name w:val="PT-WZ"/>
    <w:qFormat/>
    <w:uiPriority w:val="99"/>
    <w:pPr>
      <w:widowControl w:val="0"/>
      <w:adjustRightInd w:val="0"/>
      <w:snapToGrid w:val="0"/>
      <w:spacing w:line="50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73">
    <w:name w:val="Heading 81"/>
    <w:basedOn w:val="1"/>
    <w:qFormat/>
    <w:uiPriority w:val="99"/>
    <w:pPr>
      <w:autoSpaceDE w:val="0"/>
      <w:autoSpaceDN w:val="0"/>
      <w:ind w:left="765"/>
      <w:jc w:val="left"/>
      <w:outlineLvl w:val="8"/>
    </w:pPr>
    <w:rPr>
      <w:rFonts w:ascii="宋体" w:hAnsi="宋体" w:cs="宋体"/>
      <w:b/>
      <w:bCs/>
      <w:kern w:val="0"/>
      <w:lang w:val="zh-CN"/>
    </w:rPr>
  </w:style>
  <w:style w:type="paragraph" w:customStyle="1" w:styleId="174">
    <w:name w:val="标题 81"/>
    <w:basedOn w:val="1"/>
    <w:qFormat/>
    <w:uiPriority w:val="99"/>
    <w:pPr>
      <w:autoSpaceDE w:val="0"/>
      <w:autoSpaceDN w:val="0"/>
      <w:ind w:left="765"/>
      <w:jc w:val="left"/>
      <w:outlineLvl w:val="8"/>
    </w:pPr>
    <w:rPr>
      <w:rFonts w:ascii="宋体" w:hAnsi="宋体" w:cs="宋体"/>
      <w:b/>
      <w:bCs/>
      <w:kern w:val="0"/>
      <w:lang w:val="zh-CN"/>
    </w:rPr>
  </w:style>
  <w:style w:type="character" w:customStyle="1" w:styleId="175">
    <w:name w:val="fontstyle01"/>
    <w:qFormat/>
    <w:uiPriority w:val="99"/>
    <w:rPr>
      <w:rFonts w:ascii="Times New Roman" w:hAnsi="Times New Roman" w:eastAsia="宋体"/>
      <w:color w:val="000000"/>
      <w:sz w:val="22"/>
    </w:rPr>
  </w:style>
  <w:style w:type="paragraph" w:customStyle="1" w:styleId="176">
    <w:name w:val="_Style 2"/>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1"/>
    <w:basedOn w:val="1"/>
    <w:next w:val="28"/>
    <w:qFormat/>
    <w:uiPriority w:val="99"/>
    <w:rPr>
      <w:rFonts w:ascii="宋体" w:hAnsi="Courier New"/>
      <w:szCs w:val="20"/>
    </w:rPr>
  </w:style>
  <w:style w:type="paragraph" w:customStyle="1" w:styleId="178">
    <w:name w:val="2"/>
    <w:basedOn w:val="1"/>
    <w:next w:val="28"/>
    <w:qFormat/>
    <w:uiPriority w:val="99"/>
    <w:rPr>
      <w:rFonts w:ascii="宋体" w:hAnsi="Courier New"/>
      <w:szCs w:val="20"/>
    </w:rPr>
  </w:style>
  <w:style w:type="paragraph" w:customStyle="1" w:styleId="179">
    <w:name w:val="标题 1_0"/>
    <w:basedOn w:val="180"/>
    <w:next w:val="180"/>
    <w:qFormat/>
    <w:uiPriority w:val="99"/>
    <w:pPr>
      <w:keepNext/>
      <w:keepLines/>
      <w:spacing w:line="360" w:lineRule="auto"/>
      <w:outlineLvl w:val="0"/>
    </w:pPr>
    <w:rPr>
      <w:rFonts w:ascii="Times New Roman" w:hAnsi="Times New Roman" w:eastAsia="黑体" w:cs="Times New Roman"/>
      <w:b/>
      <w:bCs/>
      <w:kern w:val="44"/>
      <w:sz w:val="32"/>
      <w:szCs w:val="32"/>
    </w:rPr>
  </w:style>
  <w:style w:type="paragraph" w:customStyle="1" w:styleId="180">
    <w:name w:val="正文_2_0"/>
    <w:basedOn w:val="181"/>
    <w:qFormat/>
    <w:uiPriority w:val="99"/>
  </w:style>
  <w:style w:type="paragraph" w:customStyle="1" w:styleId="181">
    <w:name w:val="正文_3"/>
    <w:basedOn w:val="182"/>
    <w:qFormat/>
    <w:uiPriority w:val="99"/>
    <w:rPr>
      <w:rFonts w:cs="宋体"/>
      <w:szCs w:val="21"/>
    </w:rPr>
  </w:style>
  <w:style w:type="paragraph" w:customStyle="1" w:styleId="182">
    <w:name w:val="正文_4"/>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83">
    <w:name w:val="标题 4_0"/>
    <w:basedOn w:val="184"/>
    <w:next w:val="185"/>
    <w:qFormat/>
    <w:uiPriority w:val="99"/>
    <w:pPr>
      <w:keepNext/>
      <w:keepLines/>
      <w:spacing w:line="360" w:lineRule="auto"/>
      <w:outlineLvl w:val="3"/>
    </w:pPr>
    <w:rPr>
      <w:rFonts w:ascii="Arial" w:hAnsi="Arial"/>
      <w:b/>
      <w:bCs/>
      <w:szCs w:val="28"/>
    </w:rPr>
  </w:style>
  <w:style w:type="paragraph" w:customStyle="1" w:styleId="184">
    <w:name w:val="正文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85">
    <w:name w:val="正文_2"/>
    <w:basedOn w:val="181"/>
    <w:next w:val="183"/>
    <w:qFormat/>
    <w:uiPriority w:val="99"/>
    <w:rPr>
      <w:szCs w:val="22"/>
    </w:rPr>
  </w:style>
  <w:style w:type="paragraph" w:customStyle="1" w:styleId="18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无间隔1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9">
    <w:name w:val="正文_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90">
    <w:name w:val="正文_5"/>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91">
    <w:name w:val="正文_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92">
    <w:name w:val="标题 2_0"/>
    <w:basedOn w:val="184"/>
    <w:next w:val="184"/>
    <w:qFormat/>
    <w:uiPriority w:val="99"/>
    <w:pPr>
      <w:keepNext/>
      <w:keepLines/>
      <w:spacing w:before="260" w:after="260" w:line="416" w:lineRule="auto"/>
      <w:outlineLvl w:val="1"/>
    </w:pPr>
    <w:rPr>
      <w:rFonts w:ascii="Cambria" w:hAnsi="Cambria"/>
      <w:b/>
      <w:bCs/>
      <w:sz w:val="32"/>
      <w:szCs w:val="32"/>
    </w:rPr>
  </w:style>
  <w:style w:type="paragraph" w:customStyle="1" w:styleId="193">
    <w:name w:val="正文_3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94">
    <w:name w:val="标题 4_0_0"/>
    <w:basedOn w:val="195"/>
    <w:next w:val="196"/>
    <w:qFormat/>
    <w:uiPriority w:val="99"/>
    <w:pPr>
      <w:keepNext/>
      <w:keepLines/>
      <w:spacing w:line="360" w:lineRule="auto"/>
      <w:outlineLvl w:val="3"/>
    </w:pPr>
    <w:rPr>
      <w:rFonts w:ascii="Arial" w:hAnsi="Arial"/>
      <w:b/>
      <w:bCs/>
      <w:szCs w:val="28"/>
    </w:rPr>
  </w:style>
  <w:style w:type="paragraph" w:customStyle="1" w:styleId="195">
    <w:name w:val="正文_0_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96">
    <w:name w:val="正文_2_0_0"/>
    <w:basedOn w:val="193"/>
    <w:next w:val="194"/>
    <w:qFormat/>
    <w:uiPriority w:val="99"/>
  </w:style>
  <w:style w:type="paragraph" w:customStyle="1" w:styleId="197">
    <w:name w:val="标题 3_0"/>
    <w:basedOn w:val="196"/>
    <w:next w:val="180"/>
    <w:qFormat/>
    <w:uiPriority w:val="99"/>
    <w:pPr>
      <w:keepNext/>
      <w:keepLines/>
      <w:spacing w:before="260" w:after="260" w:line="416" w:lineRule="auto"/>
      <w:outlineLvl w:val="2"/>
    </w:pPr>
    <w:rPr>
      <w:rFonts w:ascii="Times New Roman" w:hAnsi="Times New Roman"/>
      <w:b/>
      <w:bCs/>
      <w:sz w:val="32"/>
      <w:szCs w:val="32"/>
    </w:rPr>
  </w:style>
  <w:style w:type="paragraph" w:customStyle="1" w:styleId="198">
    <w:name w:val="纯文本_0"/>
    <w:basedOn w:val="180"/>
    <w:qFormat/>
    <w:uiPriority w:val="99"/>
    <w:rPr>
      <w:rFonts w:ascii="宋体" w:hAnsi="Courier New" w:cs="Times New Roman"/>
      <w:sz w:val="24"/>
      <w:szCs w:val="24"/>
    </w:rPr>
  </w:style>
  <w:style w:type="paragraph" w:customStyle="1" w:styleId="199">
    <w:name w:val="标题 3_1"/>
    <w:basedOn w:val="181"/>
    <w:next w:val="181"/>
    <w:qFormat/>
    <w:uiPriority w:val="99"/>
    <w:pPr>
      <w:keepNext/>
      <w:keepLines/>
      <w:spacing w:before="260" w:after="260" w:line="416" w:lineRule="auto"/>
      <w:outlineLvl w:val="2"/>
    </w:pPr>
    <w:rPr>
      <w:rFonts w:ascii="Times New Roman" w:hAnsi="Times New Roman" w:cs="Times New Roman"/>
      <w:b/>
      <w:bCs/>
      <w:sz w:val="32"/>
      <w:szCs w:val="32"/>
    </w:rPr>
  </w:style>
  <w:style w:type="paragraph" w:customStyle="1" w:styleId="200">
    <w:name w:val="正文_2_0_0_0"/>
    <w:basedOn w:val="193"/>
    <w:qFormat/>
    <w:uiPriority w:val="99"/>
  </w:style>
  <w:style w:type="paragraph" w:customStyle="1" w:styleId="201">
    <w:name w:val="标题 4_1"/>
    <w:basedOn w:val="180"/>
    <w:next w:val="180"/>
    <w:qFormat/>
    <w:uiPriority w:val="99"/>
    <w:pPr>
      <w:keepNext/>
      <w:keepLines/>
      <w:spacing w:before="280" w:after="290" w:line="372" w:lineRule="auto"/>
      <w:outlineLvl w:val="3"/>
    </w:pPr>
    <w:rPr>
      <w:rFonts w:ascii="Cambria" w:hAnsi="Cambria" w:cs="Times New Roman"/>
      <w:b/>
      <w:bCs/>
      <w:kern w:val="0"/>
      <w:sz w:val="28"/>
      <w:szCs w:val="28"/>
    </w:rPr>
  </w:style>
  <w:style w:type="paragraph" w:customStyle="1" w:styleId="202">
    <w:name w:val="正文文本_0"/>
    <w:basedOn w:val="193"/>
    <w:qFormat/>
    <w:uiPriority w:val="99"/>
    <w:pPr>
      <w:adjustRightInd w:val="0"/>
      <w:spacing w:after="60" w:line="360" w:lineRule="atLeast"/>
      <w:ind w:left="72" w:leftChars="30" w:right="30" w:rightChars="30"/>
      <w:jc w:val="center"/>
      <w:textAlignment w:val="baseline"/>
    </w:pPr>
  </w:style>
  <w:style w:type="character" w:customStyle="1" w:styleId="203">
    <w:name w:val="hover3"/>
    <w:basedOn w:val="50"/>
    <w:qFormat/>
    <w:uiPriority w:val="99"/>
    <w:rPr>
      <w:rFonts w:cs="Times New Roman"/>
      <w:shd w:val="clear" w:color="auto" w:fill="9370DB"/>
    </w:rPr>
  </w:style>
  <w:style w:type="character" w:customStyle="1" w:styleId="204">
    <w:name w:val="hover1"/>
    <w:basedOn w:val="50"/>
    <w:qFormat/>
    <w:uiPriority w:val="99"/>
    <w:rPr>
      <w:rFonts w:cs="Times New Roman"/>
      <w:shd w:val="clear" w:color="auto" w:fill="9370DB"/>
    </w:rPr>
  </w:style>
  <w:style w:type="paragraph" w:customStyle="1" w:styleId="205">
    <w:name w:val="正文1"/>
    <w:qFormat/>
    <w:uiPriority w:val="99"/>
    <w:rPr>
      <w:rFonts w:ascii="Times New Roman" w:hAnsi="Times New Roman" w:eastAsia="宋体" w:cs="Times New Roman"/>
      <w:sz w:val="24"/>
      <w:szCs w:val="24"/>
      <w:lang w:val="en-US" w:eastAsia="zh-CN" w:bidi="ar-SA"/>
    </w:rPr>
  </w:style>
  <w:style w:type="character" w:customStyle="1" w:styleId="206">
    <w:name w:val="hover"/>
    <w:basedOn w:val="50"/>
    <w:qFormat/>
    <w:uiPriority w:val="99"/>
    <w:rPr>
      <w:rFonts w:cs="Times New Roman"/>
      <w:shd w:val="clear" w:color="auto" w:fill="9370DB"/>
    </w:rPr>
  </w:style>
  <w:style w:type="character" w:customStyle="1" w:styleId="207">
    <w:name w:val="批注文字 Char Char"/>
    <w:qFormat/>
    <w:uiPriority w:val="99"/>
    <w:rPr>
      <w:rFonts w:ascii="宋体" w:hAnsi="Times New Roman" w:eastAsia="宋体"/>
      <w:sz w:val="20"/>
    </w:rPr>
  </w:style>
  <w:style w:type="character" w:customStyle="1" w:styleId="208">
    <w:name w:val="Char Char21"/>
    <w:qFormat/>
    <w:uiPriority w:val="99"/>
    <w:rPr>
      <w:rFonts w:ascii="Arial" w:hAnsi="Arial" w:eastAsia="黑体"/>
      <w:b/>
      <w:sz w:val="32"/>
    </w:rPr>
  </w:style>
  <w:style w:type="character" w:customStyle="1" w:styleId="209">
    <w:name w:val="不明显参考1"/>
    <w:qFormat/>
    <w:uiPriority w:val="99"/>
    <w:rPr>
      <w:smallCaps/>
      <w:color w:val="auto"/>
      <w:u w:val="single"/>
    </w:rPr>
  </w:style>
  <w:style w:type="character" w:customStyle="1" w:styleId="210">
    <w:name w:val="Char Char20"/>
    <w:qFormat/>
    <w:uiPriority w:val="99"/>
    <w:rPr>
      <w:rFonts w:ascii="Times New Roman" w:hAnsi="Times New Roman" w:eastAsia="宋体"/>
      <w:b/>
      <w:sz w:val="32"/>
    </w:rPr>
  </w:style>
  <w:style w:type="character" w:customStyle="1" w:styleId="211">
    <w:name w:val="Char Char6"/>
    <w:qFormat/>
    <w:uiPriority w:val="99"/>
    <w:rPr>
      <w:rFonts w:eastAsia="宋体"/>
      <w:b/>
      <w:kern w:val="44"/>
      <w:sz w:val="44"/>
      <w:lang w:val="en-US" w:eastAsia="zh-CN"/>
    </w:rPr>
  </w:style>
  <w:style w:type="character" w:customStyle="1" w:styleId="212">
    <w:name w:val="Char Char18"/>
    <w:qFormat/>
    <w:uiPriority w:val="99"/>
    <w:rPr>
      <w:rFonts w:ascii="Times New Roman" w:hAnsi="Times New Roman" w:eastAsia="宋体"/>
      <w:b/>
      <w:sz w:val="28"/>
    </w:rPr>
  </w:style>
  <w:style w:type="character" w:customStyle="1" w:styleId="213">
    <w:name w:val="Comment Text Char1"/>
    <w:qFormat/>
    <w:uiPriority w:val="99"/>
    <w:rPr>
      <w:sz w:val="24"/>
    </w:rPr>
  </w:style>
  <w:style w:type="character" w:customStyle="1" w:styleId="214">
    <w:name w:val="批注文字 Char2"/>
    <w:qFormat/>
    <w:locked/>
    <w:uiPriority w:val="99"/>
    <w:rPr>
      <w:rFonts w:eastAsia="宋体"/>
      <w:kern w:val="2"/>
      <w:sz w:val="24"/>
      <w:lang w:val="en-US" w:eastAsia="zh-CN"/>
    </w:rPr>
  </w:style>
  <w:style w:type="character" w:customStyle="1" w:styleId="215">
    <w:name w:val="Char Char24"/>
    <w:qFormat/>
    <w:uiPriority w:val="99"/>
    <w:rPr>
      <w:rFonts w:eastAsia="宋体"/>
      <w:b/>
      <w:kern w:val="44"/>
      <w:sz w:val="44"/>
      <w:lang w:val="en-US" w:eastAsia="zh-CN"/>
    </w:rPr>
  </w:style>
  <w:style w:type="character" w:customStyle="1" w:styleId="216">
    <w:name w:val="Char Char9"/>
    <w:qFormat/>
    <w:uiPriority w:val="99"/>
    <w:rPr>
      <w:rFonts w:eastAsia="宋体"/>
      <w:b/>
      <w:kern w:val="44"/>
      <w:sz w:val="44"/>
      <w:lang w:val="en-US" w:eastAsia="zh-CN"/>
    </w:rPr>
  </w:style>
  <w:style w:type="character" w:customStyle="1" w:styleId="217">
    <w:name w:val="Heading 3 Char1"/>
    <w:qFormat/>
    <w:uiPriority w:val="99"/>
    <w:rPr>
      <w:rFonts w:eastAsia="宋体"/>
      <w:b/>
      <w:kern w:val="2"/>
      <w:sz w:val="32"/>
      <w:lang w:val="en-US" w:eastAsia="zh-CN"/>
    </w:rPr>
  </w:style>
  <w:style w:type="character" w:customStyle="1" w:styleId="218">
    <w:name w:val="Char Char22"/>
    <w:qFormat/>
    <w:uiPriority w:val="99"/>
    <w:rPr>
      <w:rFonts w:ascii="Times New Roman" w:hAnsi="Times New Roman" w:eastAsia="宋体"/>
      <w:b/>
      <w:kern w:val="44"/>
      <w:sz w:val="44"/>
    </w:rPr>
  </w:style>
  <w:style w:type="character" w:customStyle="1" w:styleId="219">
    <w:name w:val="明显参考1"/>
    <w:qFormat/>
    <w:uiPriority w:val="99"/>
    <w:rPr>
      <w:b/>
      <w:smallCaps/>
      <w:color w:val="auto"/>
      <w:spacing w:val="5"/>
      <w:u w:val="single"/>
    </w:rPr>
  </w:style>
  <w:style w:type="character" w:customStyle="1" w:styleId="220">
    <w:name w:val="明显强调1"/>
    <w:qFormat/>
    <w:uiPriority w:val="99"/>
    <w:rPr>
      <w:b/>
      <w:i/>
      <w:color w:val="4F81BD"/>
    </w:rPr>
  </w:style>
  <w:style w:type="character" w:customStyle="1" w:styleId="221">
    <w:name w:val="标题 Char2"/>
    <w:qFormat/>
    <w:uiPriority w:val="99"/>
    <w:rPr>
      <w:rFonts w:ascii="Cambria" w:hAnsi="Cambria" w:eastAsia="宋体"/>
      <w:b/>
      <w:sz w:val="32"/>
    </w:rPr>
  </w:style>
  <w:style w:type="character" w:customStyle="1" w:styleId="222">
    <w:name w:val="Char Char23"/>
    <w:qFormat/>
    <w:uiPriority w:val="99"/>
    <w:rPr>
      <w:rFonts w:eastAsia="宋体"/>
      <w:b/>
      <w:kern w:val="44"/>
      <w:sz w:val="44"/>
      <w:lang w:val="en-US" w:eastAsia="zh-CN"/>
    </w:rPr>
  </w:style>
  <w:style w:type="character" w:customStyle="1" w:styleId="223">
    <w:name w:val="Char Char91"/>
    <w:qFormat/>
    <w:uiPriority w:val="99"/>
    <w:rPr>
      <w:rFonts w:eastAsia="宋体"/>
      <w:b/>
      <w:kern w:val="44"/>
      <w:sz w:val="44"/>
      <w:lang w:val="en-US" w:eastAsia="zh-CN"/>
    </w:rPr>
  </w:style>
  <w:style w:type="character" w:customStyle="1" w:styleId="224">
    <w:name w:val="Char Char181"/>
    <w:qFormat/>
    <w:uiPriority w:val="99"/>
    <w:rPr>
      <w:b/>
      <w:kern w:val="44"/>
      <w:sz w:val="44"/>
    </w:rPr>
  </w:style>
  <w:style w:type="character" w:customStyle="1" w:styleId="225">
    <w:name w:val="Char Char19"/>
    <w:qFormat/>
    <w:uiPriority w:val="99"/>
    <w:rPr>
      <w:rFonts w:ascii="Arial" w:hAnsi="Arial" w:eastAsia="宋体"/>
      <w:b/>
      <w:sz w:val="28"/>
    </w:rPr>
  </w:style>
  <w:style w:type="character" w:customStyle="1" w:styleId="226">
    <w:name w:val="日期 Char1"/>
    <w:qFormat/>
    <w:uiPriority w:val="99"/>
    <w:rPr>
      <w:rFonts w:ascii="Times New Roman" w:hAnsi="Times New Roman" w:eastAsia="宋体"/>
      <w:sz w:val="24"/>
    </w:rPr>
  </w:style>
  <w:style w:type="character" w:customStyle="1" w:styleId="227">
    <w:name w:val="书籍标题1"/>
    <w:qFormat/>
    <w:uiPriority w:val="99"/>
    <w:rPr>
      <w:b/>
      <w:smallCaps/>
      <w:spacing w:val="5"/>
    </w:rPr>
  </w:style>
  <w:style w:type="character" w:customStyle="1" w:styleId="228">
    <w:name w:val="不明显强调1"/>
    <w:qFormat/>
    <w:uiPriority w:val="99"/>
    <w:rPr>
      <w:i/>
      <w:color w:val="808080"/>
    </w:rPr>
  </w:style>
  <w:style w:type="character" w:customStyle="1" w:styleId="229">
    <w:name w:val="textcontents"/>
    <w:qFormat/>
    <w:uiPriority w:val="99"/>
  </w:style>
  <w:style w:type="paragraph" w:customStyle="1" w:styleId="230">
    <w:name w:val="TOC 标题1"/>
    <w:basedOn w:val="3"/>
    <w:next w:val="1"/>
    <w:qFormat/>
    <w:uiPriority w:val="99"/>
    <w:pPr>
      <w:keepNext/>
      <w:keepLines/>
      <w:numPr>
        <w:numId w:val="0"/>
      </w:numPr>
      <w:tabs>
        <w:tab w:val="clear" w:pos="1080"/>
      </w:tabs>
      <w:overflowPunct/>
      <w:autoSpaceDE/>
      <w:autoSpaceDN/>
      <w:adjustRightInd/>
      <w:snapToGrid/>
      <w:spacing w:before="340" w:after="330" w:line="576" w:lineRule="auto"/>
      <w:textAlignment w:val="auto"/>
      <w:outlineLvl w:val="9"/>
    </w:pPr>
    <w:rPr>
      <w:rFonts w:ascii="Calibri" w:hAnsi="Calibri" w:eastAsia="黑体" w:cs="Calibri"/>
      <w:lang w:val="zh-CN"/>
    </w:rPr>
  </w:style>
  <w:style w:type="paragraph" w:customStyle="1" w:styleId="231">
    <w:name w:val="空半行"/>
    <w:basedOn w:val="1"/>
    <w:qFormat/>
    <w:uiPriority w:val="99"/>
    <w:pPr>
      <w:adjustRightInd w:val="0"/>
      <w:spacing w:line="120" w:lineRule="exact"/>
      <w:textAlignment w:val="baseline"/>
    </w:pPr>
    <w:rPr>
      <w:rFonts w:ascii="Calibri" w:hAnsi="Calibri" w:eastAsia="仿宋_GB2312"/>
      <w:color w:val="FFFFFF"/>
      <w:kern w:val="0"/>
      <w:sz w:val="30"/>
      <w:szCs w:val="30"/>
    </w:rPr>
  </w:style>
  <w:style w:type="paragraph" w:customStyle="1" w:styleId="232">
    <w:name w:val="p0"/>
    <w:basedOn w:val="1"/>
    <w:qFormat/>
    <w:uiPriority w:val="99"/>
    <w:pPr>
      <w:widowControl/>
    </w:pPr>
    <w:rPr>
      <w:rFonts w:ascii="Calibri" w:hAnsi="Calibri" w:cs="Calibri"/>
      <w:kern w:val="0"/>
      <w:szCs w:val="22"/>
    </w:rPr>
  </w:style>
  <w:style w:type="paragraph" w:customStyle="1" w:styleId="233">
    <w:name w:val="列出段落2"/>
    <w:basedOn w:val="1"/>
    <w:qFormat/>
    <w:uiPriority w:val="99"/>
    <w:pPr>
      <w:ind w:firstLine="420" w:firstLineChars="200"/>
    </w:pPr>
    <w:rPr>
      <w:rFonts w:ascii="Calibri" w:hAnsi="Calibri" w:cs="Calibri"/>
      <w:szCs w:val="22"/>
    </w:rPr>
  </w:style>
  <w:style w:type="paragraph" w:customStyle="1" w:styleId="234">
    <w:name w:val="修订2"/>
    <w:semiHidden/>
    <w:qFormat/>
    <w:uiPriority w:val="99"/>
    <w:rPr>
      <w:rFonts w:ascii="Times New Roman" w:hAnsi="Times New Roman" w:eastAsia="宋体" w:cs="Times New Roman"/>
      <w:kern w:val="2"/>
      <w:sz w:val="21"/>
      <w:szCs w:val="21"/>
      <w:lang w:val="en-US" w:eastAsia="zh-CN" w:bidi="ar-SA"/>
    </w:rPr>
  </w:style>
  <w:style w:type="paragraph" w:customStyle="1" w:styleId="235">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36">
    <w:name w:val="2-2ji"/>
    <w:basedOn w:val="4"/>
    <w:qFormat/>
    <w:uiPriority w:val="99"/>
    <w:pPr>
      <w:spacing w:before="0" w:after="0" w:line="360" w:lineRule="auto"/>
      <w:jc w:val="center"/>
    </w:pPr>
    <w:rPr>
      <w:rFonts w:ascii="宋体" w:hAnsi="宋体" w:cs="宋体"/>
      <w:sz w:val="36"/>
      <w:szCs w:val="36"/>
      <w:lang w:val="zh-CN"/>
    </w:rPr>
  </w:style>
  <w:style w:type="paragraph" w:customStyle="1" w:styleId="237">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8">
    <w:name w:val="flNote"/>
    <w:basedOn w:val="1"/>
    <w:qFormat/>
    <w:uiPriority w:val="99"/>
    <w:pPr>
      <w:adjustRightInd w:val="0"/>
      <w:spacing w:before="320" w:after="160" w:line="360" w:lineRule="atLeast"/>
      <w:jc w:val="center"/>
      <w:textAlignment w:val="baseline"/>
    </w:pPr>
    <w:rPr>
      <w:rFonts w:ascii="Arial" w:hAnsi="Calibri" w:eastAsia="黑体" w:cs="Arial"/>
      <w:kern w:val="0"/>
      <w:sz w:val="30"/>
      <w:szCs w:val="30"/>
    </w:rPr>
  </w:style>
  <w:style w:type="paragraph" w:customStyle="1" w:styleId="239">
    <w:name w:val="列出段落11"/>
    <w:basedOn w:val="1"/>
    <w:qFormat/>
    <w:uiPriority w:val="99"/>
    <w:pPr>
      <w:ind w:firstLine="420" w:firstLineChars="200"/>
    </w:pPr>
    <w:rPr>
      <w:rFonts w:ascii="Calibri" w:hAnsi="Calibri" w:cs="Calibri"/>
      <w:szCs w:val="22"/>
    </w:rPr>
  </w:style>
  <w:style w:type="paragraph" w:customStyle="1" w:styleId="240">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41">
    <w:name w:val="Char1"/>
    <w:basedOn w:val="1"/>
    <w:qFormat/>
    <w:uiPriority w:val="99"/>
    <w:pPr>
      <w:widowControl/>
      <w:spacing w:after="160" w:line="240" w:lineRule="exact"/>
      <w:jc w:val="left"/>
    </w:pPr>
    <w:rPr>
      <w:rFonts w:ascii="Calibri" w:hAnsi="Calibri"/>
      <w:szCs w:val="22"/>
    </w:rPr>
  </w:style>
  <w:style w:type="paragraph" w:customStyle="1" w:styleId="242">
    <w:name w:val="_Style 37"/>
    <w:basedOn w:val="1"/>
    <w:next w:val="1"/>
    <w:qFormat/>
    <w:uiPriority w:val="99"/>
    <w:rPr>
      <w:rFonts w:ascii="Calibri" w:hAnsi="Calibri"/>
      <w:szCs w:val="22"/>
    </w:rPr>
  </w:style>
  <w:style w:type="paragraph" w:customStyle="1" w:styleId="243">
    <w:name w:val="样式 标题 3 + (中文) 黑体 小四 非加粗 段前: 7.8 磅 段后: 0 磅 行距: 固定值 20 磅"/>
    <w:basedOn w:val="5"/>
    <w:qFormat/>
    <w:uiPriority w:val="99"/>
    <w:pPr>
      <w:spacing w:before="0" w:after="0" w:line="400" w:lineRule="exact"/>
    </w:pPr>
    <w:rPr>
      <w:rFonts w:eastAsia="黑体"/>
      <w:b w:val="0"/>
      <w:lang w:val="zh-CN"/>
    </w:rPr>
  </w:style>
  <w:style w:type="paragraph" w:customStyle="1" w:styleId="244">
    <w:name w:val="Normal_0"/>
    <w:next w:val="245"/>
    <w:qFormat/>
    <w:uiPriority w:val="99"/>
    <w:pPr>
      <w:widowControl w:val="0"/>
      <w:jc w:val="both"/>
    </w:pPr>
    <w:rPr>
      <w:rFonts w:ascii="Calibri" w:hAnsi="Calibri" w:eastAsia="宋体" w:cs="Times New Roman"/>
      <w:lang w:val="en-US" w:eastAsia="zh-CN" w:bidi="ar-SA"/>
    </w:rPr>
  </w:style>
  <w:style w:type="paragraph" w:customStyle="1" w:styleId="245">
    <w:name w:val="11111"/>
    <w:basedOn w:val="244"/>
    <w:next w:val="244"/>
    <w:qFormat/>
    <w:uiPriority w:val="99"/>
    <w:rPr>
      <w:rFonts w:ascii="宋体" w:hAnsi="宋体" w:cs="宋体"/>
      <w:sz w:val="24"/>
    </w:rPr>
  </w:style>
  <w:style w:type="paragraph" w:customStyle="1" w:styleId="246">
    <w:name w:val="正文_2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7">
    <w:name w:val="Normal_1"/>
    <w:qFormat/>
    <w:uiPriority w:val="99"/>
    <w:rPr>
      <w:rFonts w:ascii="Times New Roman" w:hAnsi="Times New Roman" w:eastAsia="宋体" w:cs="Times New Roman"/>
      <w:sz w:val="24"/>
      <w:szCs w:val="24"/>
      <w:lang w:val="en-US" w:eastAsia="zh-CN" w:bidi="ar-SA"/>
    </w:rPr>
  </w:style>
  <w:style w:type="character" w:customStyle="1" w:styleId="248">
    <w:name w:val="bjh-p"/>
    <w:basedOn w:val="50"/>
    <w:qFormat/>
    <w:uiPriority w:val="0"/>
  </w:style>
  <w:style w:type="paragraph" w:customStyle="1" w:styleId="249">
    <w:name w:val="表格文字"/>
    <w:basedOn w:val="1"/>
    <w:qFormat/>
    <w:uiPriority w:val="99"/>
    <w:pPr>
      <w:jc w:val="left"/>
    </w:pPr>
    <w:rPr>
      <w:bCs/>
      <w:spacing w:val="10"/>
      <w:sz w:val="24"/>
    </w:rPr>
  </w:style>
  <w:style w:type="paragraph" w:customStyle="1" w:styleId="250">
    <w:name w:val="PlainText"/>
    <w:basedOn w:val="1"/>
    <w:next w:val="251"/>
    <w:qFormat/>
    <w:uiPriority w:val="0"/>
    <w:pPr>
      <w:textAlignment w:val="baseline"/>
    </w:pPr>
    <w:rPr>
      <w:rFonts w:ascii="宋体" w:hAnsi="Courier New"/>
      <w:kern w:val="0"/>
      <w:sz w:val="20"/>
    </w:rPr>
  </w:style>
  <w:style w:type="paragraph" w:customStyle="1" w:styleId="251">
    <w:name w:val="Index8"/>
    <w:basedOn w:val="1"/>
    <w:next w:val="1"/>
    <w:qFormat/>
    <w:uiPriority w:val="0"/>
    <w:pPr>
      <w:ind w:left="2940"/>
      <w:textAlignment w:val="baseline"/>
    </w:pPr>
    <w:rPr>
      <w:szCs w:val="24"/>
    </w:rPr>
  </w:style>
  <w:style w:type="character" w:customStyle="1" w:styleId="252">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129</Pages>
  <Words>26751</Words>
  <Characters>28353</Characters>
  <Lines>564</Lines>
  <Paragraphs>158</Paragraphs>
  <TotalTime>29</TotalTime>
  <ScaleCrop>false</ScaleCrop>
  <LinksUpToDate>false</LinksUpToDate>
  <CharactersWithSpaces>28496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2024-09-26T01:48:00Z</dcterms:created>
  <dc:creator>NTKO</dc:creator>
  <cp:lastModifiedBy>朵朵</cp:lastModifiedBy>
  <cp:lastPrinted>2024-10-18T03:31:00Z</cp:lastPrinted>
  <dcterms:modified xsi:type="dcterms:W3CDTF">2026-07-13T07:57:28Z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D41BA5F8A58E4BA3B82AA6632CBD27A8_13</vt:lpwstr>
  </property>
  <property fmtid="{D5CDD505-2E9C-101B-9397-08002B2CF9AE}" pid="4" name="KSOTemplateDocerSaveRecord">
    <vt:lpwstr>eyJoZGlkIjoiMTRiZTI5YzIwNTg5YTU0ZWZlOWM4MjhiZWVjNDg1NzciLCJ1c2VySWQiOiIyMzE0MTQzNzMifQ==</vt:lpwstr>
  </property>
</Properties>
</file>