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34583">
      <w:pPr>
        <w:spacing w:line="360" w:lineRule="auto"/>
        <w:jc w:val="center"/>
        <w:rPr>
          <w:rFonts w:hint="eastAsia" w:ascii="华文新魏" w:eastAsia="华文新魏"/>
          <w:color w:val="auto"/>
          <w:sz w:val="84"/>
          <w:szCs w:val="84"/>
          <w:highlight w:val="none"/>
        </w:rPr>
      </w:pPr>
    </w:p>
    <w:p w14:paraId="561AB715">
      <w:pPr>
        <w:spacing w:line="360" w:lineRule="auto"/>
        <w:jc w:val="center"/>
        <w:rPr>
          <w:rFonts w:hint="eastAsia" w:ascii="华文新魏" w:eastAsia="华文新魏"/>
          <w:color w:val="auto"/>
          <w:sz w:val="84"/>
          <w:szCs w:val="84"/>
          <w:highlight w:val="none"/>
        </w:rPr>
      </w:pPr>
      <w:r>
        <w:rPr>
          <w:rFonts w:hint="eastAsia" w:ascii="华文新魏" w:eastAsia="华文新魏"/>
          <w:color w:val="auto"/>
          <w:sz w:val="84"/>
          <w:szCs w:val="84"/>
          <w:highlight w:val="none"/>
        </w:rPr>
        <w:t>广西国力招标有限公司</w:t>
      </w:r>
    </w:p>
    <w:p w14:paraId="62B1157D">
      <w:pPr>
        <w:spacing w:before="156" w:beforeLines="50"/>
        <w:jc w:val="center"/>
        <w:rPr>
          <w:rFonts w:hint="eastAsia" w:ascii="楷体" w:eastAsia="楷体"/>
          <w:color w:val="auto"/>
          <w:sz w:val="48"/>
          <w:szCs w:val="48"/>
          <w:highlight w:val="none"/>
        </w:rPr>
      </w:pPr>
    </w:p>
    <w:p w14:paraId="533F770F">
      <w:pPr>
        <w:spacing w:before="156" w:beforeLines="50"/>
        <w:jc w:val="center"/>
        <w:rPr>
          <w:rFonts w:hint="eastAsia" w:ascii="楷体" w:eastAsia="楷体"/>
          <w:color w:val="auto"/>
          <w:sz w:val="72"/>
          <w:szCs w:val="72"/>
          <w:highlight w:val="none"/>
        </w:rPr>
      </w:pPr>
      <w:r>
        <w:rPr>
          <w:rFonts w:hint="eastAsia" w:ascii="楷体" w:eastAsia="楷体"/>
          <w:color w:val="auto"/>
          <w:sz w:val="72"/>
          <w:szCs w:val="72"/>
          <w:highlight w:val="none"/>
        </w:rPr>
        <w:t>公开招标采购文件</w:t>
      </w:r>
    </w:p>
    <w:p w14:paraId="1CA11B09">
      <w:pPr>
        <w:widowControl w:val="0"/>
        <w:snapToGrid w:val="0"/>
        <w:spacing w:before="120" w:after="120" w:line="360" w:lineRule="auto"/>
        <w:jc w:val="both"/>
        <w:rPr>
          <w:rFonts w:hint="eastAsia" w:ascii="仿宋_GB2312" w:hAnsi="Times New Roman" w:eastAsia="仿宋_GB2312" w:cs="Times New Roman"/>
          <w:b/>
          <w:bCs/>
          <w:color w:val="auto"/>
          <w:kern w:val="2"/>
          <w:sz w:val="30"/>
          <w:szCs w:val="30"/>
          <w:highlight w:val="none"/>
          <w:lang w:val="en-US" w:eastAsia="zh-CN" w:bidi="ar-SA"/>
        </w:rPr>
      </w:pPr>
    </w:p>
    <w:p w14:paraId="640DFBB9">
      <w:pPr>
        <w:widowControl w:val="0"/>
        <w:snapToGrid w:val="0"/>
        <w:spacing w:before="120" w:after="120" w:line="360" w:lineRule="auto"/>
        <w:jc w:val="center"/>
        <w:rPr>
          <w:rFonts w:hint="eastAsia" w:ascii="仿宋_GB2312" w:hAnsi="Times New Roman" w:eastAsia="仿宋_GB2312" w:cs="Times New Roman"/>
          <w:b/>
          <w:bCs/>
          <w:color w:val="auto"/>
          <w:kern w:val="2"/>
          <w:sz w:val="30"/>
          <w:szCs w:val="30"/>
          <w:highlight w:val="none"/>
          <w:lang w:val="en-US" w:eastAsia="zh-CN" w:bidi="ar-SA"/>
        </w:rPr>
      </w:pPr>
      <w:r>
        <w:rPr>
          <w:rFonts w:ascii="仿宋_GB2312" w:hAnsi="Times New Roman" w:eastAsia="仿宋_GB2312" w:cs="Times New Roman"/>
          <w:b/>
          <w:bCs/>
          <w:color w:val="auto"/>
          <w:kern w:val="2"/>
          <w:sz w:val="30"/>
          <w:szCs w:val="30"/>
          <w:highlight w:val="none"/>
          <w:lang w:val="en-US" w:eastAsia="zh-CN" w:bidi="ar-SA"/>
        </w:rPr>
        <w:drawing>
          <wp:inline distT="0" distB="0" distL="114300" distR="114300">
            <wp:extent cx="2284730" cy="1624965"/>
            <wp:effectExtent l="0" t="0" r="1270" b="5715"/>
            <wp:docPr id="1" name="图片 3"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9470580411503450878247"/>
                    <pic:cNvPicPr>
                      <a:picLocks noChangeAspect="1"/>
                    </pic:cNvPicPr>
                  </pic:nvPicPr>
                  <pic:blipFill>
                    <a:blip r:embed="rId10"/>
                    <a:stretch>
                      <a:fillRect/>
                    </a:stretch>
                  </pic:blipFill>
                  <pic:spPr>
                    <a:xfrm>
                      <a:off x="0" y="0"/>
                      <a:ext cx="2284730" cy="1624965"/>
                    </a:xfrm>
                    <a:prstGeom prst="rect">
                      <a:avLst/>
                    </a:prstGeom>
                    <a:noFill/>
                    <a:ln>
                      <a:noFill/>
                    </a:ln>
                  </pic:spPr>
                </pic:pic>
              </a:graphicData>
            </a:graphic>
          </wp:inline>
        </w:drawing>
      </w:r>
    </w:p>
    <w:p w14:paraId="67D5B8A7">
      <w:pPr>
        <w:widowControl w:val="0"/>
        <w:snapToGrid w:val="0"/>
        <w:spacing w:before="120" w:after="120" w:line="800" w:lineRule="exact"/>
        <w:ind w:firstLine="1785" w:firstLineChars="496"/>
        <w:jc w:val="both"/>
        <w:rPr>
          <w:rFonts w:hint="eastAsia" w:ascii="宋体" w:hAnsi="Times New Roman" w:eastAsia="宋体" w:cs="Times New Roman"/>
          <w:b/>
          <w:bCs/>
          <w:color w:val="auto"/>
          <w:kern w:val="2"/>
          <w:sz w:val="36"/>
          <w:szCs w:val="36"/>
          <w:highlight w:val="none"/>
          <w:lang w:val="en-US" w:eastAsia="zh-CN" w:bidi="ar-SA"/>
        </w:rPr>
      </w:pPr>
      <w:r>
        <w:rPr>
          <w:rFonts w:hint="eastAsia" w:ascii="宋体" w:hAnsi="Times New Roman" w:eastAsia="宋体" w:cs="Times New Roman"/>
          <w:b/>
          <w:bCs/>
          <w:color w:val="auto"/>
          <w:kern w:val="2"/>
          <w:sz w:val="36"/>
          <w:szCs w:val="36"/>
          <w:highlight w:val="none"/>
          <w:lang w:val="en-US" w:eastAsia="zh-CN" w:bidi="ar-SA"/>
        </w:rPr>
        <w:t>采购项目编号：</w:t>
      </w:r>
      <w:r>
        <w:rPr>
          <w:rFonts w:hint="eastAsia" w:ascii="宋体" w:cs="Times New Roman"/>
          <w:b/>
          <w:bCs/>
          <w:color w:val="auto"/>
          <w:kern w:val="2"/>
          <w:sz w:val="36"/>
          <w:szCs w:val="36"/>
          <w:highlight w:val="none"/>
          <w:lang w:val="en-US" w:eastAsia="zh-CN" w:bidi="ar-SA"/>
        </w:rPr>
        <w:t>GXZC2026-G1-002196-GLZB</w:t>
      </w:r>
    </w:p>
    <w:p w14:paraId="6020958C">
      <w:pPr>
        <w:pBdr>
          <w:bottom w:val="thickThinSmallGap" w:color="auto" w:sz="24" w:space="1"/>
        </w:pBdr>
        <w:snapToGrid w:val="0"/>
        <w:spacing w:before="156" w:beforeLines="50" w:line="800" w:lineRule="exact"/>
        <w:ind w:firstLine="1080" w:firstLineChars="300"/>
        <w:rPr>
          <w:rFonts w:hint="eastAsia" w:ascii="宋体"/>
          <w:b/>
          <w:color w:val="auto"/>
          <w:sz w:val="36"/>
          <w:szCs w:val="36"/>
          <w:highlight w:val="none"/>
        </w:rPr>
      </w:pPr>
      <w:r>
        <w:rPr>
          <w:rFonts w:hint="eastAsia" w:ascii="宋体"/>
          <w:b/>
          <w:color w:val="auto"/>
          <w:sz w:val="36"/>
          <w:szCs w:val="36"/>
          <w:highlight w:val="none"/>
        </w:rPr>
        <w:t>采购项目名称：</w:t>
      </w:r>
      <w:r>
        <w:rPr>
          <w:rFonts w:hint="eastAsia" w:ascii="宋体"/>
          <w:b/>
          <w:color w:val="auto"/>
          <w:sz w:val="36"/>
          <w:szCs w:val="36"/>
          <w:highlight w:val="none"/>
          <w:lang w:eastAsia="zh-CN"/>
        </w:rPr>
        <w:t>有色金属及新材料检测人才培养基地</w:t>
      </w:r>
      <w:r>
        <w:rPr>
          <w:rFonts w:hint="eastAsia" w:ascii="宋体"/>
          <w:b/>
          <w:color w:val="auto"/>
          <w:sz w:val="36"/>
          <w:szCs w:val="36"/>
          <w:highlight w:val="none"/>
          <w:lang w:val="en-US" w:eastAsia="zh-CN"/>
        </w:rPr>
        <w:t xml:space="preserve"> </w:t>
      </w:r>
      <w:r>
        <w:rPr>
          <w:rFonts w:hint="eastAsia" w:ascii="宋体"/>
          <w:b/>
          <w:color w:val="auto"/>
          <w:sz w:val="36"/>
          <w:szCs w:val="36"/>
          <w:highlight w:val="none"/>
        </w:rPr>
        <w:t xml:space="preserve">     </w:t>
      </w:r>
    </w:p>
    <w:p w14:paraId="7951D29F">
      <w:pPr>
        <w:pBdr>
          <w:bottom w:val="thickThinSmallGap" w:color="auto" w:sz="24" w:space="1"/>
        </w:pBdr>
        <w:snapToGrid w:val="0"/>
        <w:spacing w:before="156" w:beforeLines="50" w:line="600" w:lineRule="exact"/>
        <w:jc w:val="center"/>
        <w:rPr>
          <w:rFonts w:hint="eastAsia" w:ascii="宋体"/>
          <w:b/>
          <w:color w:val="auto"/>
          <w:sz w:val="36"/>
          <w:szCs w:val="36"/>
          <w:highlight w:val="none"/>
        </w:rPr>
      </w:pPr>
      <w:r>
        <w:rPr>
          <w:rFonts w:hint="eastAsia"/>
          <w:b/>
          <w:bCs/>
          <w:color w:val="auto"/>
          <w:sz w:val="36"/>
          <w:szCs w:val="36"/>
          <w:highlight w:val="none"/>
        </w:rPr>
        <w:t>（GXGL2026M-G318-Z）</w:t>
      </w:r>
    </w:p>
    <w:p w14:paraId="3EC7EBF2">
      <w:pPr>
        <w:snapToGrid w:val="0"/>
        <w:spacing w:before="156" w:beforeLines="50" w:line="600" w:lineRule="exact"/>
        <w:ind w:firstLine="2100" w:firstLineChars="700"/>
        <w:rPr>
          <w:rFonts w:hint="eastAsia" w:ascii="宋体"/>
          <w:b/>
          <w:color w:val="auto"/>
          <w:sz w:val="30"/>
          <w:szCs w:val="72"/>
          <w:highlight w:val="none"/>
        </w:rPr>
      </w:pPr>
      <w:r>
        <w:rPr>
          <w:rFonts w:hint="eastAsia" w:ascii="宋体"/>
          <w:b/>
          <w:color w:val="auto"/>
          <w:sz w:val="30"/>
          <w:szCs w:val="72"/>
          <w:highlight w:val="none"/>
        </w:rPr>
        <w:t>采   购   人：</w:t>
      </w:r>
      <w:r>
        <w:rPr>
          <w:rFonts w:hint="eastAsia" w:ascii="宋体" w:hAnsi="宋体"/>
          <w:b/>
          <w:color w:val="auto"/>
          <w:sz w:val="30"/>
          <w:szCs w:val="72"/>
          <w:highlight w:val="none"/>
        </w:rPr>
        <w:t>广西机电职业技术学院</w:t>
      </w:r>
      <w:r>
        <w:rPr>
          <w:rFonts w:hint="eastAsia" w:ascii="宋体"/>
          <w:b/>
          <w:color w:val="auto"/>
          <w:sz w:val="30"/>
          <w:szCs w:val="72"/>
          <w:highlight w:val="none"/>
        </w:rPr>
        <w:t xml:space="preserve"> </w:t>
      </w:r>
    </w:p>
    <w:p w14:paraId="0990B941">
      <w:pPr>
        <w:snapToGrid w:val="0"/>
        <w:spacing w:before="156" w:beforeLines="50" w:line="600" w:lineRule="exact"/>
        <w:ind w:firstLine="2100" w:firstLineChars="700"/>
        <w:jc w:val="left"/>
        <w:rPr>
          <w:rFonts w:hint="eastAsia" w:ascii="宋体"/>
          <w:b/>
          <w:color w:val="auto"/>
          <w:sz w:val="30"/>
          <w:szCs w:val="72"/>
          <w:highlight w:val="none"/>
        </w:rPr>
      </w:pPr>
      <w:r>
        <w:rPr>
          <w:rFonts w:hint="eastAsia" w:ascii="宋体"/>
          <w:b/>
          <w:color w:val="auto"/>
          <w:sz w:val="30"/>
          <w:szCs w:val="72"/>
          <w:highlight w:val="none"/>
        </w:rPr>
        <w:t>采购代理机构：广西国力招标有限公司</w:t>
      </w:r>
    </w:p>
    <w:p w14:paraId="7D059115">
      <w:pPr>
        <w:snapToGrid w:val="0"/>
        <w:spacing w:before="156" w:beforeLines="50" w:line="600" w:lineRule="exact"/>
        <w:jc w:val="center"/>
        <w:rPr>
          <w:rFonts w:hint="eastAsia" w:ascii="宋体"/>
          <w:b/>
          <w:color w:val="auto"/>
          <w:sz w:val="30"/>
          <w:szCs w:val="72"/>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docGrid w:type="linesAndChars" w:linePitch="312" w:charSpace="0"/>
        </w:sectPr>
      </w:pPr>
      <w:r>
        <w:rPr>
          <w:rFonts w:hint="eastAsia" w:ascii="宋体"/>
          <w:b/>
          <w:color w:val="auto"/>
          <w:sz w:val="30"/>
          <w:szCs w:val="72"/>
          <w:highlight w:val="none"/>
        </w:rPr>
        <w:t>2026年</w:t>
      </w:r>
      <w:r>
        <w:rPr>
          <w:rFonts w:hint="eastAsia" w:ascii="宋体"/>
          <w:b/>
          <w:color w:val="auto"/>
          <w:sz w:val="30"/>
          <w:szCs w:val="72"/>
          <w:highlight w:val="none"/>
          <w:lang w:val="en-US" w:eastAsia="zh-CN"/>
        </w:rPr>
        <w:t>7</w:t>
      </w:r>
      <w:r>
        <w:rPr>
          <w:rFonts w:hint="eastAsia" w:ascii="宋体"/>
          <w:b/>
          <w:color w:val="auto"/>
          <w:sz w:val="30"/>
          <w:szCs w:val="72"/>
          <w:highlight w:val="none"/>
        </w:rPr>
        <w:t>月</w:t>
      </w:r>
    </w:p>
    <w:p w14:paraId="32422A19">
      <w:pPr>
        <w:jc w:val="center"/>
        <w:rPr>
          <w:rFonts w:hint="eastAsia"/>
          <w:color w:val="auto"/>
          <w:sz w:val="44"/>
          <w:szCs w:val="44"/>
          <w:highlight w:val="none"/>
        </w:rPr>
      </w:pPr>
    </w:p>
    <w:p w14:paraId="4B90153D">
      <w:pPr>
        <w:jc w:val="center"/>
        <w:rPr>
          <w:rFonts w:hint="eastAsia"/>
          <w:b/>
          <w:color w:val="auto"/>
          <w:sz w:val="44"/>
          <w:szCs w:val="44"/>
          <w:highlight w:val="none"/>
        </w:rPr>
      </w:pPr>
      <w:r>
        <w:rPr>
          <w:rFonts w:hint="eastAsia"/>
          <w:b/>
          <w:color w:val="auto"/>
          <w:sz w:val="44"/>
          <w:szCs w:val="44"/>
          <w:highlight w:val="none"/>
        </w:rPr>
        <w:t>目  录</w:t>
      </w:r>
    </w:p>
    <w:p w14:paraId="221DA70D">
      <w:pPr>
        <w:rPr>
          <w:rFonts w:hint="eastAsia"/>
          <w:color w:val="auto"/>
          <w:highlight w:val="none"/>
        </w:rPr>
      </w:pPr>
    </w:p>
    <w:p w14:paraId="654A317F">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ascii="仿宋_GB2312" w:hAnsi="Times New Roman" w:eastAsia="仿宋_GB2312" w:cs="Courier New"/>
          <w:bCs/>
          <w:caps/>
          <w:color w:val="auto"/>
          <w:kern w:val="2"/>
          <w:sz w:val="21"/>
          <w:szCs w:val="21"/>
          <w:highlight w:val="none"/>
          <w:lang w:val="en-US" w:eastAsia="zh-CN" w:bidi="ar-SA"/>
        </w:rPr>
        <w:fldChar w:fldCharType="begin"/>
      </w:r>
      <w:r>
        <w:rPr>
          <w:rFonts w:ascii="仿宋_GB2312" w:hAnsi="Times New Roman" w:eastAsia="仿宋_GB2312" w:cs="Courier New"/>
          <w:bCs/>
          <w:caps/>
          <w:color w:val="auto"/>
          <w:kern w:val="2"/>
          <w:sz w:val="21"/>
          <w:szCs w:val="21"/>
          <w:highlight w:val="none"/>
          <w:lang w:val="en-US" w:eastAsia="zh-CN" w:bidi="ar-SA"/>
        </w:rPr>
        <w:instrText xml:space="preserve"> </w:instrText>
      </w:r>
      <w:r>
        <w:rPr>
          <w:rFonts w:hint="eastAsia" w:ascii="仿宋_GB2312" w:hAnsi="Times New Roman" w:eastAsia="仿宋_GB2312" w:cs="Courier New"/>
          <w:bCs/>
          <w:caps/>
          <w:color w:val="auto"/>
          <w:kern w:val="2"/>
          <w:sz w:val="21"/>
          <w:szCs w:val="21"/>
          <w:highlight w:val="none"/>
          <w:lang w:val="en-US" w:eastAsia="zh-CN" w:bidi="ar-SA"/>
        </w:rPr>
        <w:instrText xml:space="preserve">TOC \o "1-3" \h \z \u</w:instrText>
      </w:r>
      <w:r>
        <w:rPr>
          <w:rFonts w:ascii="仿宋_GB2312" w:hAnsi="Times New Roman" w:eastAsia="仿宋_GB2312" w:cs="Courier New"/>
          <w:bCs/>
          <w:caps/>
          <w:color w:val="auto"/>
          <w:kern w:val="2"/>
          <w:sz w:val="21"/>
          <w:szCs w:val="21"/>
          <w:highlight w:val="none"/>
          <w:lang w:val="en-US" w:eastAsia="zh-CN" w:bidi="ar-SA"/>
        </w:rPr>
        <w:instrText xml:space="preserve"> </w:instrText>
      </w:r>
      <w:r>
        <w:rPr>
          <w:rFonts w:ascii="仿宋_GB2312" w:hAnsi="Times New Roman" w:eastAsia="仿宋_GB2312" w:cs="Courier New"/>
          <w:bCs/>
          <w:caps/>
          <w:color w:val="auto"/>
          <w:kern w:val="2"/>
          <w:sz w:val="21"/>
          <w:szCs w:val="21"/>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"_Toc476436431"</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第一章  公开招标公告</w:t>
      </w:r>
      <w:bookmarkStart w:id="0" w:name="_Hlt186443178"/>
      <w:bookmarkStart w:id="1" w:name="_Hlt42268174"/>
      <w:bookmarkStart w:id="2" w:name="_Hlt126916863"/>
      <w:bookmarkStart w:id="3" w:name="_Hlt91253895"/>
      <w:bookmarkStart w:id="4" w:name="_Hlt184388135"/>
      <w:bookmarkStart w:id="5" w:name="_Hlt126916862"/>
      <w:bookmarkStart w:id="6" w:name="_Hlt91253896"/>
      <w:bookmarkStart w:id="7" w:name="_Hlt42268173"/>
      <w:bookmarkStart w:id="8" w:name="_Hlt186443177"/>
      <w:r>
        <w:rPr>
          <w:rFonts w:hint="eastAsia" w:ascii="宋体" w:hAnsi="Times New Roman" w:eastAsia="宋体" w:cs="Courier New"/>
          <w:bCs/>
          <w:caps/>
          <w:color w:val="auto"/>
          <w:kern w:val="2"/>
          <w:sz w:val="28"/>
          <w:szCs w:val="28"/>
          <w:highlight w:val="none"/>
          <w:lang w:val="en-US" w:eastAsia="zh-CN" w:bidi="ar-SA"/>
        </w:rPr>
        <w:tab/>
      </w:r>
      <w:bookmarkEnd w:id="0"/>
      <w:bookmarkEnd w:id="1"/>
      <w:bookmarkEnd w:id="2"/>
      <w:bookmarkEnd w:id="3"/>
      <w:bookmarkEnd w:id="4"/>
      <w:bookmarkEnd w:id="5"/>
      <w:bookmarkEnd w:id="6"/>
      <w:bookmarkEnd w:id="7"/>
      <w:bookmarkEnd w:id="8"/>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_Toc476436431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2</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43DFA3C4">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"_Toc476436432"</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第二章  招标项目采购需求</w:t>
      </w:r>
      <w:r>
        <w:rPr>
          <w:rFonts w:hint="eastAsia" w:ascii="宋体" w:hAnsi="Times New Roman" w:eastAsia="宋体" w:cs="Courier New"/>
          <w:bCs/>
          <w:caps/>
          <w:color w:val="auto"/>
          <w:kern w:val="2"/>
          <w:sz w:val="28"/>
          <w:szCs w:val="28"/>
          <w:highlight w:val="none"/>
          <w:lang w:val="en-US" w:eastAsia="zh-CN" w:bidi="ar-SA"/>
        </w:rPr>
        <w:tab/>
      </w:r>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_Toc476436432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6</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55E01399">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"_Toc476436433"</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第三章  投标</w:t>
      </w:r>
      <w:bookmarkStart w:id="9" w:name="_Hlt489368815"/>
      <w:bookmarkStart w:id="10" w:name="_Hlt482277892"/>
      <w:bookmarkStart w:id="11" w:name="_Hlt489368816"/>
      <w:r>
        <w:rPr>
          <w:rFonts w:hint="eastAsia" w:ascii="宋体" w:hAnsi="Times New Roman" w:eastAsia="宋体" w:cs="Courier New"/>
          <w:bCs/>
          <w:caps/>
          <w:color w:val="auto"/>
          <w:kern w:val="2"/>
          <w:sz w:val="28"/>
          <w:szCs w:val="28"/>
          <w:highlight w:val="none"/>
          <w:lang w:val="en-US" w:eastAsia="zh-CN" w:bidi="ar-SA"/>
        </w:rPr>
        <w:t>人</w:t>
      </w:r>
      <w:bookmarkEnd w:id="9"/>
      <w:bookmarkEnd w:id="10"/>
      <w:bookmarkEnd w:id="11"/>
      <w:r>
        <w:rPr>
          <w:rFonts w:hint="eastAsia" w:ascii="宋体" w:hAnsi="Times New Roman" w:eastAsia="宋体" w:cs="Courier New"/>
          <w:bCs/>
          <w:caps/>
          <w:color w:val="auto"/>
          <w:kern w:val="2"/>
          <w:sz w:val="28"/>
          <w:szCs w:val="28"/>
          <w:highlight w:val="none"/>
          <w:lang w:val="en-US" w:eastAsia="zh-CN" w:bidi="ar-SA"/>
        </w:rPr>
        <w:t>须知</w:t>
      </w:r>
      <w:bookmarkStart w:id="12" w:name="_Hlt173424981"/>
      <w:bookmarkStart w:id="13" w:name="_Hlt173424980"/>
      <w:bookmarkStart w:id="14" w:name="_Hlt16003897"/>
      <w:bookmarkStart w:id="15" w:name="_Hlt16003898"/>
      <w:r>
        <w:rPr>
          <w:rFonts w:hint="eastAsia" w:ascii="宋体" w:hAnsi="Times New Roman" w:eastAsia="宋体" w:cs="Courier New"/>
          <w:bCs/>
          <w:caps/>
          <w:color w:val="auto"/>
          <w:kern w:val="2"/>
          <w:sz w:val="28"/>
          <w:szCs w:val="28"/>
          <w:highlight w:val="none"/>
          <w:lang w:val="en-US" w:eastAsia="zh-CN" w:bidi="ar-SA"/>
        </w:rPr>
        <w:tab/>
      </w:r>
      <w:bookmarkEnd w:id="12"/>
      <w:bookmarkEnd w:id="13"/>
      <w:bookmarkEnd w:id="14"/>
      <w:bookmarkEnd w:id="15"/>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_Toc476436433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30</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5D9DC0E3">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"_Toc476436434"</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第四章  评标方法及</w:t>
      </w:r>
      <w:bookmarkStart w:id="16" w:name="_Hlt476529840"/>
      <w:bookmarkStart w:id="17" w:name="_Hlt476529841"/>
      <w:r>
        <w:rPr>
          <w:rFonts w:hint="eastAsia" w:ascii="宋体" w:hAnsi="Times New Roman" w:eastAsia="宋体" w:cs="Courier New"/>
          <w:bCs/>
          <w:caps/>
          <w:color w:val="auto"/>
          <w:kern w:val="2"/>
          <w:sz w:val="28"/>
          <w:szCs w:val="28"/>
          <w:highlight w:val="none"/>
          <w:lang w:val="en-US" w:eastAsia="zh-CN" w:bidi="ar-SA"/>
        </w:rPr>
        <w:t>评</w:t>
      </w:r>
      <w:bookmarkEnd w:id="16"/>
      <w:bookmarkEnd w:id="17"/>
      <w:r>
        <w:rPr>
          <w:rFonts w:hint="eastAsia" w:ascii="宋体" w:hAnsi="Times New Roman" w:eastAsia="宋体" w:cs="Courier New"/>
          <w:bCs/>
          <w:caps/>
          <w:color w:val="auto"/>
          <w:kern w:val="2"/>
          <w:sz w:val="28"/>
          <w:szCs w:val="28"/>
          <w:highlight w:val="none"/>
          <w:lang w:val="en-US" w:eastAsia="zh-CN" w:bidi="ar-SA"/>
        </w:rPr>
        <w:t>分标准</w:t>
      </w:r>
      <w:r>
        <w:rPr>
          <w:rFonts w:hint="eastAsia" w:ascii="宋体" w:hAnsi="Times New Roman" w:eastAsia="宋体" w:cs="Courier New"/>
          <w:bCs/>
          <w:caps/>
          <w:color w:val="auto"/>
          <w:kern w:val="2"/>
          <w:sz w:val="28"/>
          <w:szCs w:val="28"/>
          <w:highlight w:val="none"/>
          <w:lang w:val="en-US" w:eastAsia="zh-CN" w:bidi="ar-SA"/>
        </w:rPr>
        <w:tab/>
      </w:r>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_Toc476436434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50</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6BDE93E4">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"_Toc476436435"</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第五章  政府采购合同主要条款</w:t>
      </w:r>
      <w:r>
        <w:rPr>
          <w:rFonts w:hint="eastAsia" w:ascii="宋体" w:hAnsi="Times New Roman" w:eastAsia="宋体" w:cs="Courier New"/>
          <w:bCs/>
          <w:caps/>
          <w:color w:val="auto"/>
          <w:kern w:val="2"/>
          <w:sz w:val="28"/>
          <w:szCs w:val="28"/>
          <w:highlight w:val="none"/>
          <w:lang w:val="en-US" w:eastAsia="zh-CN" w:bidi="ar-SA"/>
        </w:rPr>
        <w:tab/>
      </w:r>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_Toc476436435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55</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61666EA5">
      <w:pPr>
        <w:widowControl w:val="0"/>
        <w:tabs>
          <w:tab w:val="right" w:leader="dot" w:pos="9639"/>
        </w:tabs>
        <w:spacing w:before="120" w:after="120" w:line="600" w:lineRule="exact"/>
        <w:ind w:firstLine="0" w:firstLineChars="0"/>
        <w:jc w:val="left"/>
        <w:rPr>
          <w:rFonts w:hint="eastAsia" w:ascii="宋体" w:hAnsi="Times New Roman" w:eastAsia="宋体" w:cs="Times New Roman"/>
          <w:bCs w:val="0"/>
          <w:caps/>
          <w:color w:val="auto"/>
          <w:kern w:val="2"/>
          <w:sz w:val="28"/>
          <w:szCs w:val="28"/>
          <w:highlight w:val="none"/>
          <w:lang w:val="en-US" w:eastAsia="zh-CN" w:bidi="ar-SA"/>
        </w:rPr>
      </w:pPr>
      <w:r>
        <w:rPr>
          <w:rFonts w:hint="eastAsia" w:ascii="宋体" w:hAnsi="Times New Roman" w:eastAsia="宋体" w:cs="Courier New"/>
          <w:bCs/>
          <w:caps/>
          <w:color w:val="auto"/>
          <w:kern w:val="2"/>
          <w:sz w:val="28"/>
          <w:szCs w:val="28"/>
          <w:highlight w:val="none"/>
          <w:lang w:val="en-US" w:eastAsia="zh-CN" w:bidi="ar-SA"/>
        </w:rPr>
        <w:fldChar w:fldCharType="begin"/>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instrText xml:space="preserve">HYPERLINK \l "_Toc476436436"</w:instrText>
      </w:r>
      <w:r>
        <w:rPr>
          <w:rStyle w:val="25"/>
          <w:rFonts w:hint="eastAsia" w:ascii="宋体" w:hAnsi="Times New Roman" w:eastAsia="宋体" w:cs="Times New Roman"/>
          <w:bCs/>
          <w:caps/>
          <w:color w:val="auto"/>
          <w:kern w:val="2"/>
          <w:sz w:val="28"/>
          <w:szCs w:val="28"/>
          <w:highlight w:val="none"/>
          <w:lang w:val="en-US" w:eastAsia="zh-CN" w:bidi="ar-SA"/>
        </w:rPr>
        <w:instrText xml:space="preserve">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第六章　投标文件格式</w:t>
      </w:r>
      <w:r>
        <w:rPr>
          <w:rFonts w:hint="eastAsia" w:ascii="宋体" w:hAnsi="Times New Roman" w:eastAsia="宋体" w:cs="Courier New"/>
          <w:bCs/>
          <w:caps/>
          <w:color w:val="auto"/>
          <w:kern w:val="2"/>
          <w:sz w:val="28"/>
          <w:szCs w:val="28"/>
          <w:highlight w:val="none"/>
          <w:lang w:val="en-US" w:eastAsia="zh-CN" w:bidi="ar-SA"/>
        </w:rPr>
        <w:tab/>
      </w:r>
      <w:r>
        <w:rPr>
          <w:rFonts w:hint="eastAsia" w:ascii="宋体" w:hAnsi="Times New Roman" w:eastAsia="宋体" w:cs="Courier New"/>
          <w:bCs/>
          <w:caps/>
          <w:color w:val="auto"/>
          <w:kern w:val="2"/>
          <w:sz w:val="28"/>
          <w:szCs w:val="28"/>
          <w:highlight w:val="none"/>
          <w:lang w:val="en-US" w:eastAsia="zh-CN" w:bidi="ar-SA"/>
        </w:rPr>
        <w:fldChar w:fldCharType="begin"/>
      </w:r>
      <w:r>
        <w:rPr>
          <w:rFonts w:hint="eastAsia" w:ascii="宋体" w:hAnsi="Times New Roman" w:eastAsia="宋体" w:cs="Courier New"/>
          <w:bCs/>
          <w:caps/>
          <w:color w:val="auto"/>
          <w:kern w:val="2"/>
          <w:sz w:val="28"/>
          <w:szCs w:val="28"/>
          <w:highlight w:val="none"/>
          <w:lang w:val="en-US" w:eastAsia="zh-CN" w:bidi="ar-SA"/>
        </w:rPr>
        <w:instrText xml:space="preserve"> PAGEREF _Toc476436436 \h </w:instrText>
      </w:r>
      <w:r>
        <w:rPr>
          <w:rFonts w:hint="eastAsia" w:ascii="宋体" w:hAnsi="Times New Roman" w:eastAsia="宋体" w:cs="Courier New"/>
          <w:bCs/>
          <w:caps/>
          <w:color w:val="auto"/>
          <w:kern w:val="2"/>
          <w:sz w:val="28"/>
          <w:szCs w:val="28"/>
          <w:highlight w:val="none"/>
          <w:lang w:val="en-US" w:eastAsia="zh-CN" w:bidi="ar-SA"/>
        </w:rPr>
        <w:fldChar w:fldCharType="separate"/>
      </w:r>
      <w:r>
        <w:rPr>
          <w:rFonts w:hint="eastAsia" w:ascii="宋体" w:hAnsi="Times New Roman" w:eastAsia="宋体" w:cs="Courier New"/>
          <w:bCs/>
          <w:caps/>
          <w:color w:val="auto"/>
          <w:kern w:val="2"/>
          <w:sz w:val="28"/>
          <w:szCs w:val="28"/>
          <w:highlight w:val="none"/>
          <w:lang w:val="en-US" w:eastAsia="zh-CN" w:bidi="ar-SA"/>
        </w:rPr>
        <w:t>63</w:t>
      </w:r>
      <w:r>
        <w:rPr>
          <w:rFonts w:hint="eastAsia" w:ascii="宋体" w:hAnsi="Times New Roman" w:eastAsia="宋体" w:cs="Courier New"/>
          <w:bCs/>
          <w:caps/>
          <w:color w:val="auto"/>
          <w:kern w:val="2"/>
          <w:sz w:val="28"/>
          <w:szCs w:val="28"/>
          <w:highlight w:val="none"/>
          <w:lang w:val="en-US" w:eastAsia="zh-CN" w:bidi="ar-SA"/>
        </w:rPr>
        <w:fldChar w:fldCharType="end"/>
      </w:r>
      <w:r>
        <w:rPr>
          <w:rFonts w:hint="eastAsia" w:ascii="宋体" w:hAnsi="Times New Roman" w:eastAsia="宋体" w:cs="Courier New"/>
          <w:bCs/>
          <w:caps/>
          <w:color w:val="auto"/>
          <w:kern w:val="2"/>
          <w:sz w:val="28"/>
          <w:szCs w:val="28"/>
          <w:highlight w:val="none"/>
          <w:lang w:val="en-US" w:eastAsia="zh-CN" w:bidi="ar-SA"/>
        </w:rPr>
        <w:fldChar w:fldCharType="end"/>
      </w:r>
    </w:p>
    <w:p w14:paraId="16D22846">
      <w:pPr>
        <w:spacing w:line="600" w:lineRule="exact"/>
        <w:rPr>
          <w:rFonts w:hint="eastAsia"/>
          <w:color w:val="auto"/>
          <w:highlight w:val="none"/>
        </w:rPr>
      </w:pPr>
      <w:r>
        <w:rPr>
          <w:color w:val="auto"/>
          <w:highlight w:val="none"/>
        </w:rPr>
        <w:fldChar w:fldCharType="end"/>
      </w:r>
    </w:p>
    <w:p w14:paraId="05C220B7">
      <w:pPr>
        <w:rPr>
          <w:rFonts w:hint="eastAsia"/>
          <w:color w:val="auto"/>
          <w:highlight w:val="none"/>
        </w:rPr>
      </w:pPr>
    </w:p>
    <w:p w14:paraId="67A52180">
      <w:pPr>
        <w:rPr>
          <w:rFonts w:hint="eastAsia"/>
          <w:color w:val="auto"/>
          <w:highlight w:val="none"/>
        </w:rPr>
      </w:pPr>
    </w:p>
    <w:p w14:paraId="19BEA392">
      <w:pPr>
        <w:spacing w:line="400" w:lineRule="exact"/>
        <w:jc w:val="center"/>
        <w:rPr>
          <w:rFonts w:hint="eastAsia" w:ascii="宋体"/>
          <w:color w:val="auto"/>
          <w:sz w:val="32"/>
          <w:szCs w:val="32"/>
          <w:highlight w:val="none"/>
        </w:rPr>
      </w:pPr>
      <w:bookmarkStart w:id="110" w:name="_GoBack"/>
      <w:bookmarkEnd w:id="110"/>
      <w:r>
        <w:rPr>
          <w:rFonts w:hint="eastAsia" w:ascii="宋体"/>
          <w:color w:val="auto"/>
          <w:sz w:val="32"/>
          <w:szCs w:val="32"/>
          <w:highlight w:val="none"/>
        </w:rPr>
        <w:t xml:space="preserve"> </w:t>
      </w:r>
      <w:r>
        <w:rPr>
          <w:rFonts w:hint="eastAsia" w:ascii="宋体"/>
          <w:color w:val="auto"/>
          <w:sz w:val="32"/>
          <w:szCs w:val="32"/>
          <w:highlight w:val="none"/>
        </w:rPr>
        <w:br w:type="page"/>
      </w:r>
    </w:p>
    <w:p w14:paraId="045EEE95">
      <w:pPr>
        <w:spacing w:line="400" w:lineRule="exact"/>
        <w:jc w:val="center"/>
        <w:rPr>
          <w:rFonts w:hint="eastAsia" w:ascii="宋体"/>
          <w:color w:val="auto"/>
          <w:sz w:val="32"/>
          <w:szCs w:val="32"/>
          <w:highlight w:val="none"/>
        </w:rPr>
      </w:pPr>
    </w:p>
    <w:p w14:paraId="3AAEF9F2">
      <w:pPr>
        <w:spacing w:line="400" w:lineRule="exact"/>
        <w:jc w:val="center"/>
        <w:rPr>
          <w:rFonts w:hint="eastAsia" w:ascii="宋体"/>
          <w:color w:val="auto"/>
          <w:sz w:val="32"/>
          <w:szCs w:val="32"/>
          <w:highlight w:val="none"/>
        </w:rPr>
      </w:pPr>
    </w:p>
    <w:p w14:paraId="32AC4400">
      <w:pPr>
        <w:spacing w:line="400" w:lineRule="exact"/>
        <w:jc w:val="center"/>
        <w:rPr>
          <w:rFonts w:hint="eastAsia" w:ascii="宋体"/>
          <w:color w:val="auto"/>
          <w:sz w:val="32"/>
          <w:szCs w:val="32"/>
          <w:highlight w:val="none"/>
        </w:rPr>
      </w:pPr>
    </w:p>
    <w:p w14:paraId="494AC680">
      <w:pPr>
        <w:spacing w:line="400" w:lineRule="exact"/>
        <w:jc w:val="center"/>
        <w:rPr>
          <w:rFonts w:hint="eastAsia" w:ascii="宋体"/>
          <w:color w:val="auto"/>
          <w:sz w:val="32"/>
          <w:szCs w:val="32"/>
          <w:highlight w:val="none"/>
        </w:rPr>
      </w:pPr>
    </w:p>
    <w:p w14:paraId="7422DE37">
      <w:pPr>
        <w:spacing w:line="400" w:lineRule="exact"/>
        <w:jc w:val="center"/>
        <w:rPr>
          <w:rFonts w:hint="eastAsia" w:ascii="宋体"/>
          <w:color w:val="auto"/>
          <w:sz w:val="32"/>
          <w:szCs w:val="32"/>
          <w:highlight w:val="none"/>
        </w:rPr>
      </w:pPr>
    </w:p>
    <w:p w14:paraId="7D709C32">
      <w:pPr>
        <w:spacing w:line="400" w:lineRule="exact"/>
        <w:jc w:val="center"/>
        <w:rPr>
          <w:rFonts w:hint="eastAsia" w:ascii="宋体"/>
          <w:color w:val="auto"/>
          <w:sz w:val="32"/>
          <w:szCs w:val="32"/>
          <w:highlight w:val="none"/>
        </w:rPr>
      </w:pPr>
    </w:p>
    <w:p w14:paraId="178AE01E">
      <w:pPr>
        <w:spacing w:line="400" w:lineRule="exact"/>
        <w:jc w:val="center"/>
        <w:rPr>
          <w:rFonts w:hint="eastAsia" w:ascii="宋体"/>
          <w:color w:val="auto"/>
          <w:sz w:val="32"/>
          <w:szCs w:val="32"/>
          <w:highlight w:val="none"/>
        </w:rPr>
      </w:pPr>
    </w:p>
    <w:p w14:paraId="6E79CBD9">
      <w:pPr>
        <w:spacing w:line="400" w:lineRule="exact"/>
        <w:jc w:val="center"/>
        <w:rPr>
          <w:rFonts w:hint="eastAsia" w:ascii="宋体"/>
          <w:color w:val="auto"/>
          <w:sz w:val="32"/>
          <w:szCs w:val="32"/>
          <w:highlight w:val="none"/>
        </w:rPr>
      </w:pPr>
    </w:p>
    <w:p w14:paraId="37EE3D7D">
      <w:pPr>
        <w:spacing w:line="400" w:lineRule="exact"/>
        <w:jc w:val="center"/>
        <w:rPr>
          <w:rFonts w:hint="eastAsia" w:ascii="宋体"/>
          <w:color w:val="auto"/>
          <w:sz w:val="32"/>
          <w:szCs w:val="32"/>
          <w:highlight w:val="none"/>
        </w:rPr>
      </w:pPr>
    </w:p>
    <w:p w14:paraId="3E5588F3">
      <w:pPr>
        <w:spacing w:line="400" w:lineRule="exact"/>
        <w:jc w:val="center"/>
        <w:rPr>
          <w:rFonts w:hint="eastAsia" w:ascii="宋体"/>
          <w:color w:val="auto"/>
          <w:sz w:val="32"/>
          <w:szCs w:val="32"/>
          <w:highlight w:val="none"/>
        </w:rPr>
      </w:pPr>
    </w:p>
    <w:p w14:paraId="0E008BAE">
      <w:pPr>
        <w:spacing w:line="400" w:lineRule="exact"/>
        <w:jc w:val="center"/>
        <w:rPr>
          <w:rFonts w:hint="eastAsia" w:ascii="宋体"/>
          <w:color w:val="auto"/>
          <w:sz w:val="32"/>
          <w:szCs w:val="32"/>
          <w:highlight w:val="none"/>
        </w:rPr>
      </w:pPr>
    </w:p>
    <w:p w14:paraId="4E91F5ED">
      <w:pPr>
        <w:spacing w:line="400" w:lineRule="exact"/>
        <w:jc w:val="center"/>
        <w:rPr>
          <w:rFonts w:hint="eastAsia" w:ascii="宋体"/>
          <w:color w:val="auto"/>
          <w:sz w:val="32"/>
          <w:szCs w:val="32"/>
          <w:highlight w:val="none"/>
        </w:rPr>
      </w:pPr>
    </w:p>
    <w:p w14:paraId="17B5FDC1">
      <w:pPr>
        <w:spacing w:line="400" w:lineRule="exact"/>
        <w:jc w:val="center"/>
        <w:rPr>
          <w:rFonts w:hint="eastAsia" w:ascii="宋体"/>
          <w:color w:val="auto"/>
          <w:sz w:val="32"/>
          <w:szCs w:val="32"/>
          <w:highlight w:val="none"/>
        </w:rPr>
      </w:pPr>
    </w:p>
    <w:p w14:paraId="004520FA">
      <w:pPr>
        <w:spacing w:line="400" w:lineRule="exact"/>
        <w:jc w:val="center"/>
        <w:rPr>
          <w:rFonts w:hint="eastAsia" w:ascii="宋体"/>
          <w:color w:val="auto"/>
          <w:sz w:val="32"/>
          <w:szCs w:val="32"/>
          <w:highlight w:val="none"/>
        </w:rPr>
      </w:pPr>
    </w:p>
    <w:p w14:paraId="122445F2">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18" w:name="_Toc476436431"/>
      <w:bookmarkStart w:id="19" w:name="_Toc476436172"/>
      <w:r>
        <w:rPr>
          <w:rFonts w:hint="eastAsia" w:ascii="Arial" w:hAnsi="Arial" w:eastAsia="宋体" w:cs="Times New Roman"/>
          <w:b/>
          <w:bCs/>
          <w:color w:val="auto"/>
          <w:kern w:val="2"/>
          <w:sz w:val="44"/>
          <w:szCs w:val="44"/>
          <w:highlight w:val="none"/>
          <w:lang w:val="en-US" w:eastAsia="zh-CN" w:bidi="ar-SA"/>
        </w:rPr>
        <w:t>第一章  公开招标公告</w:t>
      </w:r>
      <w:bookmarkEnd w:id="18"/>
      <w:bookmarkEnd w:id="19"/>
    </w:p>
    <w:p w14:paraId="2017FA40">
      <w:pPr>
        <w:rPr>
          <w:rFonts w:hint="eastAsia"/>
          <w:color w:val="auto"/>
          <w:highlight w:val="none"/>
        </w:rPr>
      </w:pPr>
    </w:p>
    <w:p w14:paraId="53061711">
      <w:pPr>
        <w:rPr>
          <w:rFonts w:hint="eastAsia"/>
          <w:color w:val="auto"/>
          <w:highlight w:val="none"/>
        </w:rPr>
      </w:pPr>
    </w:p>
    <w:p w14:paraId="5A440598">
      <w:pPr>
        <w:jc w:val="center"/>
        <w:rPr>
          <w:rFonts w:hint="eastAsia" w:ascii="华文新魏" w:eastAsia="华文新魏"/>
          <w:color w:val="auto"/>
          <w:sz w:val="44"/>
          <w:szCs w:val="44"/>
          <w:highlight w:val="none"/>
        </w:rPr>
      </w:pPr>
      <w:r>
        <w:rPr>
          <w:color w:val="auto"/>
          <w:highlight w:val="none"/>
        </w:rPr>
        <w:br w:type="page"/>
      </w:r>
      <w:r>
        <w:rPr>
          <w:rFonts w:hint="eastAsia" w:ascii="华文新魏" w:eastAsia="华文新魏"/>
          <w:color w:val="auto"/>
          <w:sz w:val="44"/>
          <w:szCs w:val="44"/>
          <w:highlight w:val="none"/>
        </w:rPr>
        <w:t>广西国力招标有限公司</w:t>
      </w:r>
    </w:p>
    <w:p w14:paraId="71A7D632">
      <w:pPr>
        <w:jc w:val="center"/>
        <w:rPr>
          <w:rFonts w:hint="eastAsia" w:ascii="华文新魏" w:eastAsia="华文新魏"/>
          <w:color w:val="auto"/>
          <w:sz w:val="44"/>
          <w:szCs w:val="44"/>
          <w:highlight w:val="none"/>
        </w:rPr>
      </w:pPr>
      <w:r>
        <w:rPr>
          <w:rFonts w:hint="eastAsia" w:ascii="华文新魏" w:eastAsia="华文新魏"/>
          <w:color w:val="auto"/>
          <w:sz w:val="44"/>
          <w:szCs w:val="44"/>
          <w:highlight w:val="none"/>
        </w:rPr>
        <w:t>公开招标公告</w:t>
      </w:r>
    </w:p>
    <w:p w14:paraId="1F6756C1">
      <w:pPr>
        <w:rPr>
          <w:rFonts w:ascii="宋体" w:hAnsi="宋体"/>
          <w:color w:val="auto"/>
          <w:highlight w:val="none"/>
        </w:rPr>
      </w:pPr>
    </w:p>
    <w:p w14:paraId="66F44CFB">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0B46B77C">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有色金属及新材料检测人才培养基地</w:t>
      </w:r>
      <w:r>
        <w:rPr>
          <w:rFonts w:hint="eastAsia" w:ascii="宋体" w:hAnsi="宋体"/>
          <w:color w:val="auto"/>
          <w:szCs w:val="21"/>
          <w:highlight w:val="none"/>
          <w:u w:val="single"/>
        </w:rPr>
        <w:t xml:space="preserve"> </w:t>
      </w:r>
      <w:r>
        <w:rPr>
          <w:rFonts w:hint="eastAsia" w:ascii="宋体" w:hAnsi="宋体"/>
          <w:color w:val="auto"/>
          <w:szCs w:val="21"/>
          <w:highlight w:val="none"/>
        </w:rPr>
        <w:t>招标项目的潜在投标人应在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rPr>
        <w:t>获取招标文件，并于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 xml:space="preserve">日 </w:t>
      </w:r>
      <w:r>
        <w:rPr>
          <w:rFonts w:hint="eastAsia" w:ascii="宋体" w:hAnsi="宋体"/>
          <w:bCs/>
          <w:color w:val="auto"/>
          <w:szCs w:val="21"/>
          <w:highlight w:val="none"/>
          <w:u w:val="single"/>
        </w:rPr>
        <w:t>09点30分（</w:t>
      </w:r>
      <w:r>
        <w:rPr>
          <w:rFonts w:hint="eastAsia" w:ascii="宋体" w:hAnsi="宋体"/>
          <w:bCs/>
          <w:color w:val="auto"/>
          <w:szCs w:val="21"/>
          <w:highlight w:val="none"/>
        </w:rPr>
        <w:t>北京时间）前递交投标</w:t>
      </w:r>
      <w:r>
        <w:rPr>
          <w:rFonts w:ascii="宋体" w:hAnsi="宋体"/>
          <w:bCs/>
          <w:color w:val="auto"/>
          <w:szCs w:val="21"/>
          <w:highlight w:val="none"/>
        </w:rPr>
        <w:t>文件</w:t>
      </w:r>
      <w:r>
        <w:rPr>
          <w:rFonts w:hint="eastAsia" w:ascii="宋体" w:hAnsi="宋体"/>
          <w:color w:val="auto"/>
          <w:szCs w:val="21"/>
          <w:highlight w:val="none"/>
        </w:rPr>
        <w:t>。</w:t>
      </w:r>
    </w:p>
    <w:p w14:paraId="6FD2FA1A">
      <w:pPr>
        <w:spacing w:line="380" w:lineRule="exact"/>
        <w:rPr>
          <w:rFonts w:ascii="宋体" w:hAnsi="宋体"/>
          <w:color w:val="auto"/>
          <w:szCs w:val="21"/>
          <w:highlight w:val="none"/>
        </w:rPr>
      </w:pPr>
    </w:p>
    <w:p w14:paraId="1D0A52A2">
      <w:pPr>
        <w:spacing w:line="380" w:lineRule="exact"/>
        <w:rPr>
          <w:rFonts w:ascii="宋体" w:hAnsi="宋体"/>
          <w:b/>
          <w:color w:val="auto"/>
          <w:highlight w:val="none"/>
        </w:rPr>
      </w:pPr>
      <w:bookmarkStart w:id="20" w:name="_Toc35393621"/>
      <w:bookmarkStart w:id="21" w:name="_Toc28359002"/>
      <w:bookmarkStart w:id="22" w:name="_Toc35393790"/>
      <w:bookmarkStart w:id="23" w:name="_Toc28359079"/>
      <w:bookmarkStart w:id="24" w:name="_Hlk24379207"/>
      <w:r>
        <w:rPr>
          <w:rFonts w:hint="eastAsia" w:ascii="宋体" w:hAnsi="宋体"/>
          <w:b/>
          <w:color w:val="auto"/>
          <w:highlight w:val="none"/>
        </w:rPr>
        <w:t>一、项目基本情况</w:t>
      </w:r>
      <w:bookmarkEnd w:id="20"/>
      <w:bookmarkEnd w:id="21"/>
      <w:bookmarkEnd w:id="22"/>
      <w:bookmarkEnd w:id="23"/>
    </w:p>
    <w:bookmarkEnd w:id="24"/>
    <w:p w14:paraId="6289C045">
      <w:pPr>
        <w:widowControl/>
        <w:adjustRightInd w:val="0"/>
        <w:snapToGrid w:val="0"/>
        <w:spacing w:line="400" w:lineRule="exact"/>
        <w:jc w:val="left"/>
        <w:rPr>
          <w:rFonts w:hint="eastAsia" w:ascii="宋体" w:hAnsi="宋体" w:eastAsia="宋体" w:cs="宋体"/>
          <w:color w:val="auto"/>
          <w:kern w:val="0"/>
          <w:szCs w:val="21"/>
          <w:highlight w:val="none"/>
          <w:lang w:eastAsia="zh-CN"/>
        </w:rPr>
      </w:pPr>
      <w:r>
        <w:rPr>
          <w:rFonts w:ascii="宋体" w:hAnsi="宋体" w:cs="宋体"/>
          <w:color w:val="auto"/>
          <w:kern w:val="0"/>
          <w:szCs w:val="21"/>
          <w:highlight w:val="none"/>
        </w:rPr>
        <w:t>    项目编号：</w:t>
      </w:r>
      <w:r>
        <w:rPr>
          <w:rFonts w:hint="eastAsia" w:ascii="宋体"/>
          <w:color w:val="auto"/>
          <w:szCs w:val="21"/>
          <w:highlight w:val="none"/>
          <w:lang w:eastAsia="zh-CN"/>
        </w:rPr>
        <w:t>GXZC2026-G1-002196-GLZB</w:t>
      </w:r>
    </w:p>
    <w:p w14:paraId="36197F9F">
      <w:pPr>
        <w:widowControl/>
        <w:adjustRightInd w:val="0"/>
        <w:snapToGrid w:val="0"/>
        <w:spacing w:line="400" w:lineRule="exact"/>
        <w:jc w:val="left"/>
        <w:rPr>
          <w:rFonts w:ascii="宋体" w:hAnsi="宋体" w:cs="宋体"/>
          <w:color w:val="auto"/>
          <w:kern w:val="0"/>
          <w:szCs w:val="21"/>
          <w:highlight w:val="none"/>
        </w:rPr>
      </w:pPr>
      <w:r>
        <w:rPr>
          <w:rFonts w:ascii="宋体" w:hAnsi="宋体" w:cs="宋体"/>
          <w:color w:val="auto"/>
          <w:kern w:val="0"/>
          <w:szCs w:val="21"/>
          <w:highlight w:val="none"/>
        </w:rPr>
        <w:t>    项目名称：</w:t>
      </w:r>
      <w:r>
        <w:rPr>
          <w:rFonts w:hint="eastAsia" w:ascii="宋体" w:hAnsi="宋体" w:cs="宋体"/>
          <w:color w:val="auto"/>
          <w:kern w:val="0"/>
          <w:szCs w:val="21"/>
          <w:highlight w:val="none"/>
          <w:lang w:eastAsia="zh-CN"/>
        </w:rPr>
        <w:t>有色金属及新材料检测人才培养基地</w:t>
      </w:r>
      <w:r>
        <w:rPr>
          <w:rFonts w:hint="eastAsia" w:ascii="宋体" w:hAnsi="宋体" w:cs="宋体"/>
          <w:color w:val="auto"/>
          <w:kern w:val="0"/>
          <w:szCs w:val="21"/>
          <w:highlight w:val="none"/>
        </w:rPr>
        <w:t xml:space="preserve"> </w:t>
      </w:r>
    </w:p>
    <w:p w14:paraId="1763396C">
      <w:pPr>
        <w:widowControl/>
        <w:adjustRightInd w:val="0"/>
        <w:snapToGrid w:val="0"/>
        <w:spacing w:line="400" w:lineRule="exact"/>
        <w:jc w:val="left"/>
        <w:rPr>
          <w:rFonts w:hint="default" w:ascii="宋体" w:hAnsi="宋体" w:eastAsia="宋体" w:cs="宋体"/>
          <w:color w:val="auto"/>
          <w:kern w:val="0"/>
          <w:szCs w:val="21"/>
          <w:highlight w:val="none"/>
          <w:lang w:val="en-US" w:eastAsia="zh-CN"/>
        </w:rPr>
      </w:pPr>
      <w:r>
        <w:rPr>
          <w:rFonts w:ascii="宋体" w:hAnsi="宋体" w:cs="宋体"/>
          <w:color w:val="auto"/>
          <w:kern w:val="0"/>
          <w:szCs w:val="21"/>
          <w:highlight w:val="none"/>
        </w:rPr>
        <w:t>    预算总金额（元）：</w:t>
      </w:r>
      <w:r>
        <w:rPr>
          <w:rFonts w:hint="eastAsia" w:ascii="宋体" w:hAnsi="宋体" w:eastAsia="宋体" w:cs="宋体"/>
          <w:color w:val="auto"/>
          <w:kern w:val="0"/>
          <w:szCs w:val="21"/>
          <w:highlight w:val="none"/>
          <w:lang w:val="en-US" w:eastAsia="zh-CN"/>
        </w:rPr>
        <w:t>4860000.00</w:t>
      </w:r>
    </w:p>
    <w:p w14:paraId="406313EA">
      <w:pPr>
        <w:widowControl/>
        <w:adjustRightInd w:val="0"/>
        <w:snapToGrid w:val="0"/>
        <w:spacing w:line="400" w:lineRule="exact"/>
        <w:ind w:firstLine="615"/>
        <w:jc w:val="left"/>
        <w:rPr>
          <w:rFonts w:ascii="宋体" w:hAnsi="宋体" w:cs="宋体"/>
          <w:color w:val="auto"/>
          <w:kern w:val="0"/>
          <w:szCs w:val="21"/>
          <w:highlight w:val="none"/>
        </w:rPr>
      </w:pPr>
      <w:r>
        <w:rPr>
          <w:rFonts w:ascii="宋体" w:hAnsi="宋体" w:cs="宋体"/>
          <w:color w:val="auto"/>
          <w:kern w:val="0"/>
          <w:szCs w:val="21"/>
          <w:highlight w:val="none"/>
        </w:rPr>
        <w:t>采购需求：</w:t>
      </w:r>
    </w:p>
    <w:p w14:paraId="1D402D21">
      <w:pPr>
        <w:widowControl/>
        <w:spacing w:before="0" w:beforeAutospacing="0" w:after="0" w:afterAutospacing="0" w:line="380" w:lineRule="exact"/>
        <w:ind w:left="420" w:leftChars="200"/>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标项名称：</w:t>
      </w:r>
      <w:r>
        <w:rPr>
          <w:rFonts w:hint="eastAsia" w:ascii="宋体" w:hAnsi="宋体" w:cs="宋体"/>
          <w:color w:val="auto"/>
          <w:kern w:val="0"/>
          <w:szCs w:val="21"/>
          <w:highlight w:val="none"/>
          <w:lang w:eastAsia="zh-CN"/>
        </w:rPr>
        <w:t>有色金属及新材料检测人才培养基地</w:t>
      </w:r>
      <w:r>
        <w:rPr>
          <w:rFonts w:hint="eastAsia" w:ascii="宋体" w:hAnsi="宋体" w:cs="宋体"/>
          <w:color w:val="auto"/>
          <w:kern w:val="0"/>
          <w:szCs w:val="21"/>
          <w:highlight w:val="none"/>
        </w:rPr>
        <w:t xml:space="preserve"> </w:t>
      </w:r>
    </w:p>
    <w:p w14:paraId="037F7AB6">
      <w:pPr>
        <w:spacing w:line="380" w:lineRule="exact"/>
        <w:ind w:firstLine="420" w:firstLineChars="200"/>
        <w:rPr>
          <w:rFonts w:hint="eastAsia" w:ascii="宋体" w:hAnsi="宋体"/>
          <w:color w:val="auto"/>
          <w:highlight w:val="none"/>
        </w:rPr>
      </w:pPr>
      <w:r>
        <w:rPr>
          <w:rFonts w:hint="eastAsia" w:ascii="宋体" w:hAnsi="宋体"/>
          <w:color w:val="auto"/>
          <w:highlight w:val="none"/>
        </w:rPr>
        <w:t>数量：1</w:t>
      </w:r>
    </w:p>
    <w:p w14:paraId="5A24C172">
      <w:pPr>
        <w:spacing w:line="380" w:lineRule="exact"/>
        <w:ind w:firstLine="420" w:firstLineChars="200"/>
        <w:rPr>
          <w:rFonts w:ascii="宋体" w:hAnsi="宋体"/>
          <w:color w:val="auto"/>
          <w:highlight w:val="none"/>
        </w:rPr>
      </w:pPr>
      <w:r>
        <w:rPr>
          <w:rFonts w:hint="eastAsia" w:ascii="宋体" w:hAnsi="宋体"/>
          <w:color w:val="auto"/>
          <w:highlight w:val="none"/>
        </w:rPr>
        <w:t>预算金额（元）：</w:t>
      </w:r>
      <w:r>
        <w:rPr>
          <w:rFonts w:hint="eastAsia" w:ascii="宋体" w:hAnsi="宋体" w:eastAsia="宋体" w:cs="宋体"/>
          <w:color w:val="auto"/>
          <w:kern w:val="0"/>
          <w:szCs w:val="21"/>
          <w:highlight w:val="none"/>
          <w:lang w:val="en-US" w:eastAsia="zh-CN"/>
        </w:rPr>
        <w:t>4860000.00</w:t>
      </w:r>
    </w:p>
    <w:p w14:paraId="6470F0B2">
      <w:pPr>
        <w:spacing w:line="380" w:lineRule="exact"/>
        <w:ind w:firstLine="420" w:firstLineChars="200"/>
        <w:rPr>
          <w:rFonts w:hint="eastAsia" w:ascii="宋体" w:hAnsi="宋体"/>
          <w:color w:val="auto"/>
          <w:highlight w:val="none"/>
        </w:rPr>
      </w:pPr>
      <w:r>
        <w:rPr>
          <w:rFonts w:hint="eastAsia" w:ascii="宋体" w:hAnsi="宋体"/>
          <w:color w:val="auto"/>
          <w:highlight w:val="none"/>
        </w:rPr>
        <w:t>简要规格描述或项目基本概况介绍、用途：数字超声波探伤仪和辅材</w:t>
      </w:r>
      <w:r>
        <w:rPr>
          <w:rFonts w:hint="eastAsia" w:ascii="宋体" w:hAnsi="宋体"/>
          <w:color w:val="auto"/>
          <w:highlight w:val="none"/>
          <w:lang w:val="en-US" w:eastAsia="zh-CN"/>
        </w:rPr>
        <w:t>10</w:t>
      </w:r>
      <w:r>
        <w:rPr>
          <w:rFonts w:hint="eastAsia" w:ascii="宋体" w:hAnsi="宋体"/>
          <w:color w:val="auto"/>
          <w:highlight w:val="none"/>
        </w:rPr>
        <w:t>台</w:t>
      </w:r>
      <w:r>
        <w:rPr>
          <w:rFonts w:hint="eastAsia" w:ascii="宋体" w:hAnsi="宋体"/>
          <w:color w:val="auto"/>
          <w:highlight w:val="none"/>
          <w:lang w:eastAsia="zh-CN"/>
        </w:rPr>
        <w:t>、</w:t>
      </w:r>
      <w:r>
        <w:rPr>
          <w:rFonts w:hint="eastAsia" w:ascii="宋体" w:hAnsi="宋体"/>
          <w:color w:val="auto"/>
          <w:highlight w:val="none"/>
        </w:rPr>
        <w:t>超声波检测试块</w:t>
      </w:r>
      <w:r>
        <w:rPr>
          <w:rFonts w:hint="eastAsia" w:ascii="宋体" w:hAnsi="宋体"/>
          <w:color w:val="auto"/>
          <w:highlight w:val="none"/>
          <w:lang w:val="en-US" w:eastAsia="zh-CN"/>
        </w:rPr>
        <w:t>1</w:t>
      </w:r>
      <w:r>
        <w:rPr>
          <w:rFonts w:hint="eastAsia" w:ascii="宋体" w:hAnsi="宋体"/>
          <w:color w:val="auto"/>
          <w:highlight w:val="none"/>
        </w:rPr>
        <w:t>套</w:t>
      </w:r>
      <w:r>
        <w:rPr>
          <w:rFonts w:hint="eastAsia" w:ascii="宋体" w:hAnsi="宋体"/>
          <w:color w:val="auto"/>
          <w:highlight w:val="none"/>
          <w:lang w:eastAsia="zh-CN"/>
        </w:rPr>
        <w:t>、</w:t>
      </w:r>
      <w:r>
        <w:rPr>
          <w:rFonts w:hint="eastAsia" w:ascii="宋体" w:hAnsi="宋体"/>
          <w:color w:val="auto"/>
          <w:highlight w:val="none"/>
        </w:rPr>
        <w:t>可视化演示试块常规培训</w:t>
      </w:r>
      <w:r>
        <w:rPr>
          <w:rFonts w:hint="eastAsia" w:ascii="宋体" w:hAnsi="宋体"/>
          <w:color w:val="auto"/>
          <w:highlight w:val="none"/>
          <w:lang w:val="en-US" w:eastAsia="zh-CN"/>
        </w:rPr>
        <w:t>1</w:t>
      </w:r>
      <w:r>
        <w:rPr>
          <w:rFonts w:hint="eastAsia" w:ascii="宋体" w:hAnsi="宋体"/>
          <w:color w:val="auto"/>
          <w:highlight w:val="none"/>
        </w:rPr>
        <w:t>套</w:t>
      </w:r>
      <w:r>
        <w:rPr>
          <w:rFonts w:hint="eastAsia" w:ascii="宋体" w:hAnsi="宋体"/>
          <w:color w:val="auto"/>
          <w:highlight w:val="none"/>
          <w:lang w:eastAsia="zh-CN"/>
        </w:rPr>
        <w:t>、</w:t>
      </w:r>
      <w:r>
        <w:rPr>
          <w:rFonts w:hint="eastAsia" w:ascii="宋体" w:hAnsi="宋体"/>
          <w:color w:val="auto"/>
          <w:highlight w:val="none"/>
        </w:rPr>
        <w:t>MT和PT检测试块</w:t>
      </w:r>
      <w:r>
        <w:rPr>
          <w:rFonts w:hint="eastAsia" w:ascii="宋体" w:hAnsi="宋体"/>
          <w:color w:val="auto"/>
          <w:highlight w:val="none"/>
          <w:lang w:val="en-US" w:eastAsia="zh-CN"/>
        </w:rPr>
        <w:t>1</w:t>
      </w:r>
      <w:r>
        <w:rPr>
          <w:rFonts w:hint="eastAsia" w:ascii="宋体" w:hAnsi="宋体"/>
          <w:color w:val="auto"/>
          <w:highlight w:val="none"/>
        </w:rPr>
        <w:t>套</w:t>
      </w:r>
      <w:r>
        <w:rPr>
          <w:rFonts w:hint="eastAsia" w:ascii="宋体" w:hAnsi="宋体"/>
          <w:color w:val="auto"/>
          <w:highlight w:val="none"/>
          <w:lang w:eastAsia="zh-CN"/>
        </w:rPr>
        <w:t>、</w:t>
      </w:r>
      <w:r>
        <w:rPr>
          <w:rFonts w:hint="eastAsia" w:ascii="宋体" w:hAnsi="宋体"/>
          <w:color w:val="auto"/>
          <w:highlight w:val="none"/>
        </w:rPr>
        <w:t>磁粉探伤机</w:t>
      </w:r>
      <w:r>
        <w:rPr>
          <w:rFonts w:hint="eastAsia" w:ascii="宋体" w:hAnsi="宋体"/>
          <w:color w:val="auto"/>
          <w:highlight w:val="none"/>
          <w:lang w:val="en-US" w:eastAsia="zh-CN"/>
        </w:rPr>
        <w:t>10</w:t>
      </w:r>
      <w:r>
        <w:rPr>
          <w:rFonts w:hint="eastAsia" w:ascii="宋体" w:hAnsi="宋体"/>
          <w:color w:val="auto"/>
          <w:highlight w:val="none"/>
        </w:rPr>
        <w:t>台</w:t>
      </w:r>
      <w:r>
        <w:rPr>
          <w:rFonts w:hint="eastAsia" w:ascii="宋体" w:hAnsi="宋体"/>
          <w:color w:val="auto"/>
          <w:highlight w:val="none"/>
          <w:lang w:eastAsia="zh-CN"/>
        </w:rPr>
        <w:t>、</w:t>
      </w:r>
      <w:r>
        <w:rPr>
          <w:rFonts w:hint="eastAsia" w:ascii="宋体" w:hAnsi="宋体"/>
          <w:color w:val="auto"/>
          <w:highlight w:val="none"/>
        </w:rPr>
        <w:t>涡流检测设备</w:t>
      </w:r>
      <w:r>
        <w:rPr>
          <w:rFonts w:hint="eastAsia" w:ascii="宋体" w:hAnsi="宋体"/>
          <w:color w:val="auto"/>
          <w:highlight w:val="none"/>
          <w:lang w:val="en-US" w:eastAsia="zh-CN"/>
        </w:rPr>
        <w:t>1</w:t>
      </w:r>
      <w:r>
        <w:rPr>
          <w:rFonts w:hint="eastAsia" w:ascii="宋体" w:hAnsi="宋体"/>
          <w:color w:val="auto"/>
          <w:highlight w:val="none"/>
        </w:rPr>
        <w:t>台</w:t>
      </w:r>
      <w:r>
        <w:rPr>
          <w:rFonts w:hint="eastAsia" w:ascii="宋体" w:hAnsi="宋体"/>
          <w:color w:val="auto"/>
          <w:highlight w:val="none"/>
          <w:lang w:eastAsia="zh-CN"/>
        </w:rPr>
        <w:t>、</w:t>
      </w:r>
      <w:r>
        <w:rPr>
          <w:rFonts w:hint="eastAsia" w:ascii="宋体" w:hAnsi="宋体"/>
          <w:color w:val="auto"/>
          <w:highlight w:val="none"/>
        </w:rPr>
        <w:t>RT系统</w:t>
      </w:r>
      <w:r>
        <w:rPr>
          <w:rFonts w:hint="eastAsia" w:ascii="宋体" w:hAnsi="宋体"/>
          <w:color w:val="auto"/>
          <w:highlight w:val="none"/>
          <w:lang w:val="en-US" w:eastAsia="zh-CN"/>
        </w:rPr>
        <w:t>1</w:t>
      </w:r>
      <w:r>
        <w:rPr>
          <w:rFonts w:hint="eastAsia" w:ascii="宋体" w:hAnsi="宋体"/>
          <w:color w:val="auto"/>
          <w:highlight w:val="none"/>
        </w:rPr>
        <w:t>套</w:t>
      </w:r>
      <w:r>
        <w:rPr>
          <w:rFonts w:hint="eastAsia" w:ascii="宋体" w:eastAsia="宋体" w:cs="Arial"/>
          <w:color w:val="auto"/>
          <w:szCs w:val="21"/>
          <w:highlight w:val="none"/>
        </w:rPr>
        <w:t>等</w:t>
      </w:r>
      <w:r>
        <w:rPr>
          <w:rFonts w:hint="eastAsia" w:ascii="宋体" w:hAnsi="宋体"/>
          <w:color w:val="auto"/>
          <w:highlight w:val="none"/>
        </w:rPr>
        <w:t>。</w:t>
      </w:r>
      <w:r>
        <w:rPr>
          <w:rFonts w:hint="eastAsia" w:ascii="宋体" w:cs="Arial"/>
          <w:color w:val="auto"/>
          <w:szCs w:val="21"/>
          <w:highlight w:val="none"/>
        </w:rPr>
        <w:t>如需进一步了解详细内容，详见招标文件。</w:t>
      </w:r>
    </w:p>
    <w:p w14:paraId="5C2AEFBE">
      <w:pPr>
        <w:spacing w:line="380" w:lineRule="exact"/>
        <w:ind w:firstLine="420" w:firstLineChars="200"/>
        <w:rPr>
          <w:rFonts w:ascii="宋体" w:hAnsi="宋体"/>
          <w:color w:val="auto"/>
          <w:highlight w:val="none"/>
        </w:rPr>
      </w:pPr>
      <w:r>
        <w:rPr>
          <w:rFonts w:hint="eastAsia" w:ascii="宋体" w:hAnsi="宋体"/>
          <w:color w:val="auto"/>
          <w:highlight w:val="none"/>
        </w:rPr>
        <w:t>最高限价（如有）：</w:t>
      </w:r>
      <w:r>
        <w:rPr>
          <w:rFonts w:hint="eastAsia" w:ascii="宋体" w:hAnsi="宋体" w:eastAsia="宋体" w:cs="宋体"/>
          <w:color w:val="auto"/>
          <w:kern w:val="0"/>
          <w:szCs w:val="21"/>
          <w:highlight w:val="none"/>
          <w:lang w:val="en-US" w:eastAsia="zh-CN"/>
        </w:rPr>
        <w:t>4860000.00</w:t>
      </w:r>
      <w:r>
        <w:rPr>
          <w:rFonts w:hint="eastAsia" w:ascii="宋体" w:hAnsi="宋体"/>
          <w:color w:val="auto"/>
          <w:szCs w:val="21"/>
          <w:highlight w:val="none"/>
        </w:rPr>
        <w:t>元</w:t>
      </w:r>
    </w:p>
    <w:p w14:paraId="4BA6DC3F">
      <w:pPr>
        <w:spacing w:line="380" w:lineRule="exact"/>
        <w:ind w:firstLine="420" w:firstLineChars="200"/>
        <w:rPr>
          <w:rFonts w:ascii="宋体" w:hAnsi="宋体"/>
          <w:color w:val="auto"/>
          <w:highlight w:val="none"/>
        </w:rPr>
      </w:pPr>
      <w:r>
        <w:rPr>
          <w:rFonts w:hint="eastAsia" w:ascii="宋体" w:hAnsi="宋体"/>
          <w:color w:val="auto"/>
          <w:highlight w:val="none"/>
        </w:rPr>
        <w:t>合同履约期限：详见采购需求。</w:t>
      </w:r>
    </w:p>
    <w:p w14:paraId="0A9D125C">
      <w:pPr>
        <w:spacing w:line="380" w:lineRule="exact"/>
        <w:ind w:firstLine="420" w:firstLineChars="200"/>
        <w:rPr>
          <w:rFonts w:hint="eastAsia" w:ascii="宋体" w:hAnsi="宋体"/>
          <w:color w:val="auto"/>
          <w:highlight w:val="none"/>
        </w:rPr>
      </w:pPr>
      <w:r>
        <w:rPr>
          <w:rFonts w:hint="eastAsia" w:ascii="宋体" w:hAnsi="宋体"/>
          <w:color w:val="auto"/>
          <w:highlight w:val="none"/>
        </w:rPr>
        <w:t>本标项（否）接受联合体投标</w:t>
      </w:r>
    </w:p>
    <w:p w14:paraId="1313C90D">
      <w:pPr>
        <w:spacing w:line="380" w:lineRule="exact"/>
        <w:ind w:firstLine="420" w:firstLineChars="200"/>
        <w:rPr>
          <w:rFonts w:hint="eastAsia" w:ascii="宋体" w:hAnsi="宋体"/>
          <w:color w:val="auto"/>
          <w:highlight w:val="none"/>
        </w:rPr>
      </w:pPr>
      <w:r>
        <w:rPr>
          <w:rFonts w:hint="eastAsia" w:ascii="宋体" w:hAnsi="宋体"/>
          <w:color w:val="auto"/>
          <w:highlight w:val="none"/>
        </w:rPr>
        <w:t>备注：本项目为线上电子招标项目，有意向参与本项目的供应商应当做好参与全流程电子招投标交易的充分准备。</w:t>
      </w:r>
    </w:p>
    <w:p w14:paraId="4FE8B881">
      <w:pPr>
        <w:spacing w:line="380" w:lineRule="exact"/>
        <w:rPr>
          <w:rFonts w:ascii="宋体" w:hAnsi="宋体"/>
          <w:b/>
          <w:color w:val="auto"/>
          <w:highlight w:val="none"/>
        </w:rPr>
      </w:pPr>
      <w:bookmarkStart w:id="25" w:name="_Toc35393791"/>
      <w:bookmarkStart w:id="26" w:name="_Toc28359003"/>
      <w:bookmarkStart w:id="27" w:name="_Toc35393622"/>
      <w:bookmarkStart w:id="28" w:name="_Toc28359080"/>
      <w:r>
        <w:rPr>
          <w:rFonts w:hint="eastAsia" w:ascii="宋体" w:hAnsi="宋体"/>
          <w:b/>
          <w:color w:val="auto"/>
          <w:highlight w:val="none"/>
        </w:rPr>
        <w:t>二、申请人的资格要求：</w:t>
      </w:r>
      <w:bookmarkEnd w:id="25"/>
      <w:bookmarkEnd w:id="26"/>
      <w:bookmarkEnd w:id="27"/>
      <w:bookmarkEnd w:id="28"/>
    </w:p>
    <w:p w14:paraId="06B7E716">
      <w:pPr>
        <w:spacing w:line="380" w:lineRule="exact"/>
        <w:ind w:firstLine="420" w:firstLineChars="200"/>
        <w:rPr>
          <w:rFonts w:ascii="宋体" w:hAnsi="宋体"/>
          <w:color w:val="auto"/>
          <w:highlight w:val="none"/>
        </w:rPr>
      </w:pPr>
      <w:r>
        <w:rPr>
          <w:rFonts w:hint="eastAsia" w:ascii="宋体" w:hAnsi="宋体"/>
          <w:color w:val="auto"/>
          <w:highlight w:val="none"/>
        </w:rPr>
        <w:t>1.满足《中华人民共和国政府采购法》第二十二条规定；</w:t>
      </w:r>
    </w:p>
    <w:p w14:paraId="18F67FC9">
      <w:pPr>
        <w:spacing w:line="380" w:lineRule="exact"/>
        <w:ind w:firstLine="420" w:firstLineChars="200"/>
        <w:rPr>
          <w:rFonts w:hint="eastAsia" w:ascii="宋体" w:hAnsi="宋体"/>
          <w:color w:val="auto"/>
          <w:highlight w:val="none"/>
        </w:rPr>
      </w:pPr>
      <w:bookmarkStart w:id="29" w:name="_Toc28359004"/>
      <w:bookmarkStart w:id="30" w:name="_Toc28359081"/>
      <w:r>
        <w:rPr>
          <w:rFonts w:ascii="宋体" w:hAnsi="宋体"/>
          <w:color w:val="auto"/>
          <w:highlight w:val="none"/>
        </w:rPr>
        <w:t>2</w:t>
      </w:r>
      <w:r>
        <w:rPr>
          <w:rFonts w:hint="eastAsia" w:ascii="宋体" w:hAnsi="宋体"/>
          <w:color w:val="auto"/>
          <w:highlight w:val="none"/>
        </w:rPr>
        <w:t>.落实政府采购政策需满足的资格要求：</w:t>
      </w:r>
      <w:r>
        <w:rPr>
          <w:rFonts w:hint="eastAsia" w:ascii="宋体" w:hAnsi="宋体"/>
          <w:color w:val="auto"/>
          <w:highlight w:val="none"/>
          <w:lang w:val="en-US" w:eastAsia="zh-CN"/>
        </w:rPr>
        <w:t>无</w:t>
      </w:r>
      <w:r>
        <w:rPr>
          <w:rFonts w:hint="eastAsia" w:ascii="宋体" w:hAnsi="宋体"/>
          <w:color w:val="auto"/>
          <w:highlight w:val="none"/>
        </w:rPr>
        <w:t>；</w:t>
      </w:r>
    </w:p>
    <w:p w14:paraId="4A3544EE">
      <w:pPr>
        <w:spacing w:line="380" w:lineRule="exact"/>
        <w:ind w:firstLine="420" w:firstLineChars="200"/>
        <w:rPr>
          <w:rFonts w:ascii="宋体" w:hAnsi="宋体"/>
          <w:i/>
          <w:iCs/>
          <w:color w:val="auto"/>
          <w:highlight w:val="none"/>
          <w:u w:val="single"/>
        </w:rPr>
      </w:pPr>
      <w:r>
        <w:rPr>
          <w:rFonts w:hint="eastAsia" w:ascii="宋体" w:hAnsi="宋体"/>
          <w:color w:val="auto"/>
          <w:highlight w:val="none"/>
        </w:rPr>
        <w:t>3.本项目的特定资格要求：投标人须具备有效的《辐射安全许可证》。</w:t>
      </w:r>
    </w:p>
    <w:bookmarkEnd w:id="29"/>
    <w:bookmarkEnd w:id="30"/>
    <w:p w14:paraId="49ADC882">
      <w:pPr>
        <w:spacing w:line="380" w:lineRule="exact"/>
        <w:rPr>
          <w:rFonts w:ascii="宋体" w:hAnsi="宋体"/>
          <w:b/>
          <w:color w:val="auto"/>
          <w:highlight w:val="none"/>
        </w:rPr>
      </w:pPr>
      <w:bookmarkStart w:id="31" w:name="_Toc35393623"/>
      <w:bookmarkStart w:id="32" w:name="_Toc35393792"/>
      <w:r>
        <w:rPr>
          <w:rFonts w:hint="eastAsia" w:ascii="宋体" w:hAnsi="宋体"/>
          <w:b/>
          <w:color w:val="auto"/>
          <w:highlight w:val="none"/>
        </w:rPr>
        <w:t>三、获取招标文件</w:t>
      </w:r>
      <w:bookmarkEnd w:id="31"/>
      <w:bookmarkEnd w:id="32"/>
    </w:p>
    <w:p w14:paraId="24D06E5E">
      <w:pPr>
        <w:spacing w:line="380" w:lineRule="exact"/>
        <w:ind w:firstLine="420" w:firstLineChars="200"/>
        <w:rPr>
          <w:rFonts w:ascii="宋体" w:hAnsi="宋体"/>
          <w:color w:val="auto"/>
          <w:highlight w:val="none"/>
        </w:rPr>
      </w:pPr>
      <w:r>
        <w:rPr>
          <w:rFonts w:hint="eastAsia" w:ascii="宋体" w:hAnsi="宋体"/>
          <w:color w:val="auto"/>
          <w:highlight w:val="none"/>
        </w:rPr>
        <w:t>时间：</w:t>
      </w:r>
      <w:r>
        <w:rPr>
          <w:rFonts w:hint="eastAsia" w:ascii="宋体" w:hAnsi="宋体"/>
          <w:color w:val="auto"/>
          <w:highlight w:val="none"/>
          <w:u w:val="single"/>
        </w:rPr>
        <w:t>2026年</w:t>
      </w:r>
      <w:r>
        <w:rPr>
          <w:rFonts w:hint="eastAsia" w:ascii="宋体" w:hAnsi="宋体"/>
          <w:color w:val="auto"/>
          <w:highlight w:val="none"/>
          <w:u w:val="single"/>
          <w:lang w:val="en-US" w:eastAsia="zh-CN"/>
        </w:rPr>
        <w:t>7</w:t>
      </w:r>
      <w:r>
        <w:rPr>
          <w:rFonts w:hint="eastAsia" w:ascii="宋体" w:hAnsi="宋体"/>
          <w:color w:val="auto"/>
          <w:highlight w:val="none"/>
          <w:u w:val="single"/>
        </w:rPr>
        <w:t>月</w:t>
      </w:r>
      <w:r>
        <w:rPr>
          <w:rFonts w:hint="eastAsia" w:ascii="宋体" w:hAnsi="宋体"/>
          <w:color w:val="auto"/>
          <w:highlight w:val="none"/>
          <w:u w:val="single"/>
          <w:lang w:val="en-US" w:eastAsia="zh-CN"/>
        </w:rPr>
        <w:t>13</w:t>
      </w:r>
      <w:r>
        <w:rPr>
          <w:rFonts w:hint="eastAsia" w:ascii="宋体" w:hAnsi="宋体"/>
          <w:color w:val="auto"/>
          <w:highlight w:val="none"/>
          <w:u w:val="single"/>
        </w:rPr>
        <w:t>日</w:t>
      </w:r>
      <w:r>
        <w:rPr>
          <w:rFonts w:hint="eastAsia" w:ascii="宋体" w:hAnsi="宋体"/>
          <w:color w:val="auto"/>
          <w:highlight w:val="none"/>
        </w:rPr>
        <w:t>至</w:t>
      </w:r>
      <w:r>
        <w:rPr>
          <w:rFonts w:hint="eastAsia" w:ascii="宋体" w:hAnsi="宋体"/>
          <w:color w:val="auto"/>
          <w:highlight w:val="none"/>
          <w:u w:val="single"/>
        </w:rPr>
        <w:t>2026年</w:t>
      </w:r>
      <w:r>
        <w:rPr>
          <w:rFonts w:hint="eastAsia" w:ascii="宋体" w:hAnsi="宋体"/>
          <w:color w:val="auto"/>
          <w:highlight w:val="none"/>
          <w:u w:val="single"/>
          <w:lang w:val="en-US" w:eastAsia="zh-CN"/>
        </w:rPr>
        <w:t>7</w:t>
      </w:r>
      <w:r>
        <w:rPr>
          <w:rFonts w:hint="eastAsia" w:ascii="宋体" w:hAnsi="宋体"/>
          <w:color w:val="auto"/>
          <w:highlight w:val="none"/>
          <w:u w:val="single"/>
        </w:rPr>
        <w:t>月</w:t>
      </w:r>
      <w:r>
        <w:rPr>
          <w:rFonts w:hint="eastAsia" w:ascii="宋体" w:hAnsi="宋体"/>
          <w:color w:val="auto"/>
          <w:highlight w:val="none"/>
          <w:u w:val="single"/>
          <w:lang w:val="en-US" w:eastAsia="zh-CN"/>
        </w:rPr>
        <w:t>20</w:t>
      </w:r>
      <w:r>
        <w:rPr>
          <w:rFonts w:hint="eastAsia" w:ascii="宋体" w:hAnsi="宋体"/>
          <w:color w:val="auto"/>
          <w:highlight w:val="none"/>
          <w:u w:val="single"/>
        </w:rPr>
        <w:t>日</w:t>
      </w:r>
      <w:r>
        <w:rPr>
          <w:rFonts w:hint="eastAsia" w:ascii="宋体" w:hAnsi="宋体"/>
          <w:color w:val="auto"/>
          <w:highlight w:val="none"/>
        </w:rPr>
        <w:t>，每天上午</w:t>
      </w:r>
      <w:r>
        <w:rPr>
          <w:rFonts w:hint="eastAsia" w:ascii="宋体" w:hAnsi="宋体"/>
          <w:color w:val="auto"/>
          <w:highlight w:val="none"/>
          <w:u w:val="single"/>
        </w:rPr>
        <w:t>8时30分</w:t>
      </w:r>
      <w:r>
        <w:rPr>
          <w:rFonts w:hint="eastAsia" w:ascii="宋体" w:hAnsi="宋体"/>
          <w:color w:val="auto"/>
          <w:highlight w:val="none"/>
        </w:rPr>
        <w:t>至</w:t>
      </w:r>
      <w:r>
        <w:rPr>
          <w:rFonts w:hint="eastAsia" w:ascii="宋体" w:hAnsi="宋体"/>
          <w:color w:val="auto"/>
          <w:highlight w:val="none"/>
          <w:u w:val="single"/>
        </w:rPr>
        <w:t>11时59分</w:t>
      </w:r>
      <w:r>
        <w:rPr>
          <w:rFonts w:hint="eastAsia" w:ascii="宋体" w:hAnsi="宋体"/>
          <w:color w:val="auto"/>
          <w:highlight w:val="none"/>
        </w:rPr>
        <w:t>，下午</w:t>
      </w:r>
      <w:r>
        <w:rPr>
          <w:rFonts w:hint="eastAsia" w:ascii="宋体" w:hAnsi="宋体"/>
          <w:color w:val="auto"/>
          <w:highlight w:val="none"/>
          <w:u w:val="single"/>
        </w:rPr>
        <w:t>12时00分</w:t>
      </w:r>
      <w:r>
        <w:rPr>
          <w:rFonts w:hint="eastAsia" w:ascii="宋体" w:hAnsi="宋体"/>
          <w:color w:val="auto"/>
          <w:highlight w:val="none"/>
        </w:rPr>
        <w:t>至</w:t>
      </w:r>
      <w:r>
        <w:rPr>
          <w:rFonts w:hint="eastAsia" w:ascii="宋体" w:hAnsi="宋体"/>
          <w:color w:val="auto"/>
          <w:highlight w:val="none"/>
          <w:u w:val="single"/>
        </w:rPr>
        <w:t>18时00分</w:t>
      </w:r>
      <w:r>
        <w:rPr>
          <w:rFonts w:hint="eastAsia" w:ascii="宋体" w:hAnsi="宋体"/>
          <w:color w:val="auto"/>
          <w:highlight w:val="none"/>
        </w:rPr>
        <w:t>（北京时间，</w:t>
      </w:r>
      <w:r>
        <w:rPr>
          <w:rFonts w:ascii="宋体" w:hAnsi="宋体"/>
          <w:color w:val="auto"/>
          <w:highlight w:val="none"/>
        </w:rPr>
        <w:t>法定节假日</w:t>
      </w:r>
      <w:r>
        <w:rPr>
          <w:rFonts w:hint="eastAsia" w:ascii="宋体" w:hAnsi="宋体"/>
          <w:color w:val="auto"/>
          <w:highlight w:val="none"/>
        </w:rPr>
        <w:t>除外）</w:t>
      </w:r>
    </w:p>
    <w:p w14:paraId="1ADB650B">
      <w:pPr>
        <w:spacing w:line="380" w:lineRule="exact"/>
        <w:ind w:firstLine="420" w:firstLineChars="200"/>
        <w:rPr>
          <w:rFonts w:ascii="宋体" w:hAnsi="宋体"/>
          <w:color w:val="auto"/>
          <w:highlight w:val="none"/>
          <w:u w:val="single"/>
        </w:rPr>
      </w:pPr>
      <w:r>
        <w:rPr>
          <w:rFonts w:hint="eastAsia" w:ascii="宋体" w:hAnsi="宋体"/>
          <w:color w:val="auto"/>
          <w:highlight w:val="none"/>
        </w:rPr>
        <w:t>地点（网址）：广西政府采购云平台（https://www.gcy.zfcg.gxzf.gov.cn/）</w:t>
      </w:r>
    </w:p>
    <w:p w14:paraId="1842DB33">
      <w:pPr>
        <w:spacing w:line="380" w:lineRule="exact"/>
        <w:ind w:firstLine="420" w:firstLineChars="200"/>
        <w:rPr>
          <w:rFonts w:hint="eastAsia" w:ascii="宋体" w:hAnsi="宋体"/>
          <w:color w:val="auto"/>
          <w:highlight w:val="none"/>
        </w:rPr>
      </w:pPr>
      <w:r>
        <w:rPr>
          <w:rFonts w:hint="eastAsia" w:ascii="宋体" w:hAnsi="宋体"/>
          <w:color w:val="auto"/>
          <w:highlight w:val="none"/>
        </w:rPr>
        <w:t>方式：请登录广西政府采购云平台（https://www.gcy.zfcg.gxzf.gov.cn/）进行报名并获取采购文件；未注册的供应商可在广西政府采购云平台完成注册后再行报名。如在操作过程中遇到问题或需技术支持，请致电广西政府采购云平台客服热线：</w:t>
      </w:r>
      <w:r>
        <w:rPr>
          <w:rFonts w:ascii="宋体" w:hAnsi="宋体"/>
          <w:color w:val="auto"/>
          <w:highlight w:val="none"/>
        </w:rPr>
        <w:t>95763</w:t>
      </w:r>
      <w:r>
        <w:rPr>
          <w:rFonts w:hint="eastAsia" w:ascii="宋体" w:hAnsi="宋体"/>
          <w:color w:val="auto"/>
          <w:highlight w:val="none"/>
        </w:rPr>
        <w:t>。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37DCCCA1">
      <w:pPr>
        <w:spacing w:line="380" w:lineRule="exact"/>
        <w:ind w:firstLine="420" w:firstLineChars="200"/>
        <w:rPr>
          <w:rFonts w:hint="eastAsia" w:ascii="宋体" w:hAnsi="宋体"/>
          <w:color w:val="auto"/>
          <w:highlight w:val="none"/>
        </w:rPr>
      </w:pPr>
      <w:r>
        <w:rPr>
          <w:rFonts w:ascii="宋体" w:hAnsi="宋体" w:cs="宋体"/>
          <w:color w:val="auto"/>
          <w:kern w:val="0"/>
          <w:szCs w:val="21"/>
          <w:highlight w:val="none"/>
        </w:rPr>
        <w:t>售价（元）：</w:t>
      </w:r>
      <w:r>
        <w:rPr>
          <w:rFonts w:hint="eastAsia" w:ascii="宋体" w:hAnsi="宋体"/>
          <w:color w:val="auto"/>
          <w:highlight w:val="none"/>
        </w:rPr>
        <w:t>0</w:t>
      </w:r>
    </w:p>
    <w:p w14:paraId="0510A290">
      <w:pPr>
        <w:spacing w:line="380" w:lineRule="exact"/>
        <w:rPr>
          <w:rFonts w:ascii="宋体" w:hAnsi="宋体"/>
          <w:b/>
          <w:color w:val="auto"/>
          <w:highlight w:val="none"/>
        </w:rPr>
      </w:pPr>
      <w:bookmarkStart w:id="33" w:name="_Toc28359082"/>
      <w:bookmarkStart w:id="34" w:name="_Toc28359005"/>
      <w:bookmarkStart w:id="35" w:name="_Toc35393793"/>
      <w:bookmarkStart w:id="36" w:name="_Toc35393624"/>
      <w:r>
        <w:rPr>
          <w:rFonts w:hint="eastAsia" w:ascii="宋体" w:hAnsi="宋体"/>
          <w:b/>
          <w:color w:val="auto"/>
          <w:highlight w:val="none"/>
        </w:rPr>
        <w:t>四、提交投标文件</w:t>
      </w:r>
      <w:bookmarkEnd w:id="33"/>
      <w:bookmarkEnd w:id="34"/>
      <w:r>
        <w:rPr>
          <w:rFonts w:hint="eastAsia" w:ascii="宋体" w:hAnsi="宋体"/>
          <w:b/>
          <w:color w:val="auto"/>
          <w:highlight w:val="none"/>
        </w:rPr>
        <w:t>截止时间、开标时间和地点</w:t>
      </w:r>
      <w:bookmarkEnd w:id="35"/>
      <w:bookmarkEnd w:id="36"/>
    </w:p>
    <w:p w14:paraId="06C39666">
      <w:pPr>
        <w:spacing w:line="380" w:lineRule="exact"/>
        <w:ind w:firstLine="420" w:firstLineChars="200"/>
        <w:rPr>
          <w:rFonts w:hint="eastAsia" w:ascii="宋体" w:hAnsi="宋体"/>
          <w:bCs/>
          <w:color w:val="auto"/>
          <w:highlight w:val="none"/>
        </w:rPr>
      </w:pPr>
      <w:r>
        <w:rPr>
          <w:rFonts w:hint="eastAsia" w:ascii="宋体" w:hAnsi="宋体"/>
          <w:bCs/>
          <w:color w:val="auto"/>
          <w:highlight w:val="none"/>
        </w:rPr>
        <w:t>提交投标文件截止时间：2026年</w:t>
      </w:r>
      <w:r>
        <w:rPr>
          <w:rFonts w:hint="eastAsia" w:ascii="宋体" w:hAnsi="宋体"/>
          <w:bCs/>
          <w:color w:val="auto"/>
          <w:highlight w:val="none"/>
          <w:lang w:val="en-US" w:eastAsia="zh-CN"/>
        </w:rPr>
        <w:t>8</w:t>
      </w:r>
      <w:r>
        <w:rPr>
          <w:rFonts w:hint="eastAsia" w:ascii="宋体" w:hAnsi="宋体"/>
          <w:bCs/>
          <w:color w:val="auto"/>
          <w:highlight w:val="none"/>
        </w:rPr>
        <w:t>月</w:t>
      </w:r>
      <w:r>
        <w:rPr>
          <w:rFonts w:hint="eastAsia" w:ascii="宋体" w:hAnsi="宋体"/>
          <w:bCs/>
          <w:color w:val="auto"/>
          <w:highlight w:val="none"/>
          <w:lang w:val="en-US" w:eastAsia="zh-CN"/>
        </w:rPr>
        <w:t>3</w:t>
      </w:r>
      <w:r>
        <w:rPr>
          <w:rFonts w:hint="eastAsia" w:ascii="宋体" w:hAnsi="宋体"/>
          <w:bCs/>
          <w:color w:val="auto"/>
          <w:highlight w:val="none"/>
        </w:rPr>
        <w:t>日 09:30（北京时间）</w:t>
      </w:r>
    </w:p>
    <w:p w14:paraId="1A4BE30F">
      <w:pPr>
        <w:spacing w:line="380" w:lineRule="exact"/>
        <w:ind w:firstLine="420" w:firstLineChars="200"/>
        <w:rPr>
          <w:rFonts w:hint="eastAsia" w:ascii="宋体" w:hAnsi="宋体"/>
          <w:bCs/>
          <w:color w:val="auto"/>
          <w:highlight w:val="none"/>
        </w:rPr>
      </w:pPr>
      <w:r>
        <w:rPr>
          <w:rFonts w:hint="eastAsia" w:ascii="宋体" w:hAnsi="宋体"/>
          <w:bCs/>
          <w:color w:val="auto"/>
          <w:highlight w:val="none"/>
        </w:rPr>
        <w:t>投标地点（网址）：广西政府采购云平台（https://www.gcy.zfcg.gxzf.gov.cn/）（</w:t>
      </w:r>
      <w:r>
        <w:rPr>
          <w:rFonts w:hint="eastAsia" w:ascii="宋体" w:hAnsi="宋体"/>
          <w:color w:val="auto"/>
          <w:szCs w:val="21"/>
          <w:highlight w:val="none"/>
        </w:rPr>
        <w:t>本项目为全流程电子化项目，供</w:t>
      </w:r>
      <w:r>
        <w:rPr>
          <w:rFonts w:hint="eastAsia" w:ascii="宋体" w:hAnsi="宋体"/>
          <w:bCs/>
          <w:color w:val="auto"/>
          <w:highlight w:val="none"/>
        </w:rPr>
        <w:t>应商应派法定代表人或委托代理人准时在线出席电子开评标会议，随时关注开评标进度，如在开评标过程中有电子询标，应在规定的时间内对电子询标函进行澄清回复。）</w:t>
      </w:r>
    </w:p>
    <w:p w14:paraId="30467439">
      <w:pPr>
        <w:spacing w:line="380" w:lineRule="exact"/>
        <w:ind w:firstLine="420" w:firstLineChars="200"/>
        <w:rPr>
          <w:rFonts w:hint="eastAsia" w:ascii="宋体" w:hAnsi="宋体"/>
          <w:bCs/>
          <w:color w:val="auto"/>
          <w:highlight w:val="none"/>
        </w:rPr>
      </w:pPr>
      <w:r>
        <w:rPr>
          <w:rFonts w:hint="eastAsia" w:ascii="宋体" w:hAnsi="宋体"/>
          <w:bCs/>
          <w:color w:val="auto"/>
          <w:highlight w:val="none"/>
        </w:rPr>
        <w:t>开标时间：2026年</w:t>
      </w:r>
      <w:r>
        <w:rPr>
          <w:rFonts w:hint="eastAsia" w:ascii="宋体" w:hAnsi="宋体"/>
          <w:bCs/>
          <w:color w:val="auto"/>
          <w:highlight w:val="none"/>
          <w:lang w:val="en-US" w:eastAsia="zh-CN"/>
        </w:rPr>
        <w:t>8</w:t>
      </w:r>
      <w:r>
        <w:rPr>
          <w:rFonts w:hint="eastAsia" w:ascii="宋体" w:hAnsi="宋体"/>
          <w:bCs/>
          <w:color w:val="auto"/>
          <w:highlight w:val="none"/>
        </w:rPr>
        <w:t>月</w:t>
      </w:r>
      <w:r>
        <w:rPr>
          <w:rFonts w:hint="eastAsia" w:ascii="宋体" w:hAnsi="宋体"/>
          <w:bCs/>
          <w:color w:val="auto"/>
          <w:highlight w:val="none"/>
          <w:lang w:val="en-US" w:eastAsia="zh-CN"/>
        </w:rPr>
        <w:t>3</w:t>
      </w:r>
      <w:r>
        <w:rPr>
          <w:rFonts w:hint="eastAsia" w:ascii="宋体" w:hAnsi="宋体"/>
          <w:bCs/>
          <w:color w:val="auto"/>
          <w:highlight w:val="none"/>
        </w:rPr>
        <w:t>日  09:30（北京时间）</w:t>
      </w:r>
    </w:p>
    <w:p w14:paraId="3BF0615E">
      <w:pPr>
        <w:spacing w:line="380" w:lineRule="exact"/>
        <w:ind w:firstLine="420" w:firstLineChars="200"/>
        <w:rPr>
          <w:rFonts w:hint="eastAsia" w:ascii="宋体" w:hAnsi="宋体"/>
          <w:color w:val="auto"/>
          <w:highlight w:val="none"/>
        </w:rPr>
      </w:pPr>
      <w:r>
        <w:rPr>
          <w:rFonts w:hint="eastAsia" w:ascii="宋体" w:hAnsi="宋体"/>
          <w:bCs/>
          <w:color w:val="auto"/>
          <w:highlight w:val="none"/>
        </w:rPr>
        <w:t>开标地点：广西政府采购云平台电子开标大厅</w:t>
      </w:r>
    </w:p>
    <w:p w14:paraId="1A9716E2">
      <w:pPr>
        <w:spacing w:line="380" w:lineRule="exact"/>
        <w:rPr>
          <w:rFonts w:ascii="宋体" w:hAnsi="宋体"/>
          <w:b/>
          <w:color w:val="auto"/>
          <w:highlight w:val="none"/>
        </w:rPr>
      </w:pPr>
      <w:bookmarkStart w:id="37" w:name="_Toc35393625"/>
      <w:bookmarkStart w:id="38" w:name="_Toc28359007"/>
      <w:bookmarkStart w:id="39" w:name="_Toc28359084"/>
      <w:bookmarkStart w:id="40" w:name="_Toc35393794"/>
      <w:r>
        <w:rPr>
          <w:rFonts w:hint="eastAsia" w:ascii="宋体" w:hAnsi="宋体"/>
          <w:b/>
          <w:color w:val="auto"/>
          <w:highlight w:val="none"/>
        </w:rPr>
        <w:t>五、公告期限</w:t>
      </w:r>
      <w:bookmarkEnd w:id="37"/>
      <w:bookmarkEnd w:id="38"/>
      <w:bookmarkEnd w:id="39"/>
      <w:bookmarkEnd w:id="40"/>
    </w:p>
    <w:p w14:paraId="0BB5F596">
      <w:pPr>
        <w:spacing w:line="380" w:lineRule="exact"/>
        <w:ind w:firstLine="420" w:firstLineChars="200"/>
        <w:rPr>
          <w:rFonts w:ascii="宋体" w:hAnsi="宋体"/>
          <w:color w:val="auto"/>
          <w:kern w:val="0"/>
          <w:highlight w:val="none"/>
        </w:rPr>
      </w:pPr>
      <w:r>
        <w:rPr>
          <w:rFonts w:hint="eastAsia" w:ascii="宋体" w:hAnsi="宋体"/>
          <w:color w:val="auto"/>
          <w:kern w:val="0"/>
          <w:highlight w:val="none"/>
        </w:rPr>
        <w:t>自本公告发布之日起5个工作日。</w:t>
      </w:r>
    </w:p>
    <w:p w14:paraId="3AB08C0F">
      <w:pPr>
        <w:spacing w:line="380" w:lineRule="exact"/>
        <w:rPr>
          <w:rFonts w:ascii="宋体" w:hAnsi="宋体"/>
          <w:b/>
          <w:color w:val="auto"/>
          <w:highlight w:val="none"/>
        </w:rPr>
      </w:pPr>
      <w:bookmarkStart w:id="41" w:name="_Toc35393795"/>
      <w:bookmarkStart w:id="42" w:name="_Toc35393626"/>
      <w:r>
        <w:rPr>
          <w:rFonts w:hint="eastAsia" w:ascii="宋体" w:hAnsi="宋体"/>
          <w:b/>
          <w:color w:val="auto"/>
          <w:highlight w:val="none"/>
        </w:rPr>
        <w:t>六、其他补充事宜</w:t>
      </w:r>
      <w:bookmarkEnd w:id="41"/>
      <w:bookmarkEnd w:id="42"/>
    </w:p>
    <w:p w14:paraId="1737B630">
      <w:pPr>
        <w:snapToGrid w:val="0"/>
        <w:spacing w:line="350" w:lineRule="exact"/>
        <w:ind w:firstLine="420" w:firstLineChars="200"/>
        <w:rPr>
          <w:rFonts w:hint="eastAsia" w:ascii="宋体" w:hAnsi="宋体"/>
          <w:b/>
          <w:bCs/>
          <w:color w:val="auto"/>
          <w:szCs w:val="21"/>
          <w:highlight w:val="none"/>
        </w:rPr>
      </w:pPr>
      <w:r>
        <w:rPr>
          <w:rFonts w:hint="eastAsia" w:ascii="宋体" w:hAnsi="宋体"/>
          <w:b/>
          <w:bCs/>
          <w:color w:val="auto"/>
          <w:highlight w:val="none"/>
        </w:rPr>
        <w:t>1.</w:t>
      </w:r>
      <w:r>
        <w:rPr>
          <w:rFonts w:hint="eastAsia" w:ascii="宋体" w:hAnsi="宋体" w:cs="Arial"/>
          <w:b/>
          <w:bCs/>
          <w:color w:val="auto"/>
          <w:szCs w:val="21"/>
          <w:highlight w:val="none"/>
        </w:rPr>
        <w:t xml:space="preserve"> 投标保证金</w:t>
      </w:r>
      <w:r>
        <w:rPr>
          <w:rFonts w:hint="eastAsia" w:ascii="宋体" w:hAnsi="宋体"/>
          <w:b/>
          <w:bCs/>
          <w:color w:val="auto"/>
          <w:szCs w:val="21"/>
          <w:highlight w:val="none"/>
        </w:rPr>
        <w:t>（人民币）</w:t>
      </w:r>
      <w:r>
        <w:rPr>
          <w:rFonts w:hint="eastAsia" w:ascii="宋体" w:hAnsi="宋体" w:cs="Arial"/>
          <w:b/>
          <w:bCs/>
          <w:color w:val="auto"/>
          <w:szCs w:val="21"/>
          <w:highlight w:val="none"/>
        </w:rPr>
        <w:t>：</w:t>
      </w:r>
      <w:r>
        <w:rPr>
          <w:rFonts w:hint="eastAsia" w:ascii="宋体" w:hAnsi="宋体" w:cs="Arial"/>
          <w:b/>
          <w:bCs/>
          <w:color w:val="auto"/>
          <w:szCs w:val="21"/>
          <w:highlight w:val="none"/>
          <w:u w:val="single"/>
          <w:lang w:val="en-US" w:eastAsia="zh-CN"/>
        </w:rPr>
        <w:t>肆万捌仟元整</w:t>
      </w:r>
      <w:r>
        <w:rPr>
          <w:rFonts w:hint="eastAsia" w:ascii="宋体" w:hAnsi="宋体"/>
          <w:b/>
          <w:bCs/>
          <w:color w:val="auto"/>
          <w:highlight w:val="none"/>
          <w:u w:val="single"/>
          <w:lang w:val="en-US" w:eastAsia="zh-CN"/>
        </w:rPr>
        <w:t>（¥48,000.00）</w:t>
      </w:r>
      <w:r>
        <w:rPr>
          <w:rFonts w:hint="eastAsia" w:ascii="宋体" w:hAnsi="宋体"/>
          <w:b/>
          <w:bCs/>
          <w:color w:val="auto"/>
          <w:highlight w:val="none"/>
        </w:rPr>
        <w:t>元</w:t>
      </w:r>
      <w:r>
        <w:rPr>
          <w:rFonts w:hint="eastAsia" w:ascii="宋体" w:hAnsi="宋体"/>
          <w:b/>
          <w:bCs/>
          <w:color w:val="auto"/>
          <w:szCs w:val="21"/>
          <w:highlight w:val="none"/>
        </w:rPr>
        <w:t>。</w:t>
      </w:r>
      <w:r>
        <w:rPr>
          <w:rFonts w:hint="eastAsia" w:ascii="宋体" w:hAnsi="宋体"/>
          <w:b/>
          <w:bCs/>
          <w:color w:val="auto"/>
          <w:highlight w:val="none"/>
        </w:rPr>
        <w:t>（必须足额交纳）</w:t>
      </w:r>
    </w:p>
    <w:p w14:paraId="06A70BFF">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（1）投标保证金的交纳方式：支票、汇票、本票、网上银行或者银行、保险机构出具的保函等非现金形式。</w:t>
      </w:r>
    </w:p>
    <w:p w14:paraId="331518D8">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（2）采用银行转账方式的，投标人应于提交投标文件截止时间前将投标保证金交至以下账户：</w:t>
      </w:r>
    </w:p>
    <w:p w14:paraId="2494D7E7">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开户名称：广西国力招标有限公司</w:t>
      </w:r>
    </w:p>
    <w:p w14:paraId="001137C8">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开户银行：广西北部湾银行金凯支行（网银支付可选广西北部湾银行江南支行）</w:t>
      </w:r>
    </w:p>
    <w:p w14:paraId="0AE819DD">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银行账号：800109057455558</w:t>
      </w:r>
    </w:p>
    <w:p w14:paraId="1660E392">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银行行号：313611002043</w:t>
      </w:r>
    </w:p>
    <w:p w14:paraId="7AEEFBFE">
      <w:pPr>
        <w:snapToGrid w:val="0"/>
        <w:spacing w:line="350" w:lineRule="exact"/>
        <w:ind w:firstLine="420" w:firstLineChars="200"/>
        <w:rPr>
          <w:rFonts w:hint="eastAsia" w:ascii="宋体" w:hAnsi="宋体" w:cs="Arial"/>
          <w:color w:val="auto"/>
          <w:highlight w:val="none"/>
        </w:rPr>
      </w:pPr>
      <w:r>
        <w:rPr>
          <w:rFonts w:hint="eastAsia" w:ascii="宋体" w:hAnsi="宋体" w:cs="Arial"/>
          <w:color w:val="auto"/>
          <w:highlight w:val="none"/>
        </w:rPr>
        <w:t>（3）采用支票、汇票、本票或者保函等形式的，投标人应于提交投标文件截止时间前递交单独密封的支票、汇票、本票或者保函原件（电子保函除外）至我公司财务部。（财务部联系方式：地址：广西南宁市白沙大道53号松宇时代13楼；电话：0771-4915100、4915200）</w:t>
      </w:r>
    </w:p>
    <w:p w14:paraId="533620DB">
      <w:pPr>
        <w:spacing w:line="380" w:lineRule="exact"/>
        <w:ind w:firstLine="420" w:firstLineChars="200"/>
        <w:rPr>
          <w:rFonts w:hint="eastAsia" w:ascii="宋体" w:hAnsi="宋体" w:cs="Arial"/>
          <w:color w:val="auto"/>
          <w:highlight w:val="none"/>
        </w:rPr>
      </w:pPr>
      <w:r>
        <w:rPr>
          <w:rFonts w:hint="eastAsia" w:ascii="宋体" w:hAnsi="宋体" w:cs="Arial"/>
          <w:color w:val="auto"/>
          <w:highlight w:val="none"/>
        </w:rPr>
        <w:t>2.本项目需要落实的政府采购政策</w:t>
      </w:r>
    </w:p>
    <w:p w14:paraId="41BACE57">
      <w:pPr>
        <w:spacing w:line="380" w:lineRule="exact"/>
        <w:ind w:firstLine="420" w:firstLineChars="200"/>
        <w:rPr>
          <w:rFonts w:hint="eastAsia" w:ascii="宋体" w:hAnsi="宋体" w:cs="Arial"/>
          <w:color w:val="auto"/>
          <w:highlight w:val="none"/>
        </w:rPr>
      </w:pPr>
      <w:r>
        <w:rPr>
          <w:rFonts w:hint="eastAsia" w:ascii="宋体" w:hAnsi="宋体" w:cs="Arial"/>
          <w:color w:val="auto"/>
          <w:szCs w:val="21"/>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7785CE04">
      <w:pPr>
        <w:spacing w:line="380" w:lineRule="exact"/>
        <w:ind w:firstLine="420" w:firstLineChars="200"/>
        <w:rPr>
          <w:rFonts w:hint="eastAsia" w:ascii="宋体" w:hAnsi="宋体" w:cs="Arial"/>
          <w:color w:val="auto"/>
          <w:highlight w:val="none"/>
        </w:rPr>
      </w:pPr>
      <w:r>
        <w:rPr>
          <w:rFonts w:hint="eastAsia" w:ascii="宋体" w:hAnsi="宋体" w:cs="Arial"/>
          <w:color w:val="auto"/>
          <w:highlight w:val="none"/>
        </w:rPr>
        <w:t>3.网上公告媒体查询</w:t>
      </w:r>
    </w:p>
    <w:p w14:paraId="231F9F9E">
      <w:pPr>
        <w:spacing w:line="380" w:lineRule="exact"/>
        <w:ind w:firstLine="420" w:firstLineChars="200"/>
        <w:rPr>
          <w:rFonts w:hint="eastAsia" w:ascii="宋体" w:hAnsi="宋体" w:cs="Arial"/>
          <w:color w:val="auto"/>
          <w:highlight w:val="none"/>
        </w:rPr>
      </w:pPr>
      <w:r>
        <w:rPr>
          <w:rFonts w:hint="eastAsia" w:ascii="宋体" w:hAnsi="宋体" w:cs="Arial"/>
          <w:color w:val="auto"/>
          <w:highlight w:val="none"/>
        </w:rPr>
        <w:t>中国政府采购网（www.ccgp.gov.cn）、广西壮族自治区政府采购网（zfcg.gxzf.gov.cn）、广西壮族自治区公共资源交易中心网（gxggzy.gxzf.gov.cn）。</w:t>
      </w:r>
    </w:p>
    <w:p w14:paraId="2D7CC4FD">
      <w:pPr>
        <w:spacing w:line="380" w:lineRule="exact"/>
        <w:ind w:firstLine="420" w:firstLineChars="200"/>
        <w:rPr>
          <w:rFonts w:hint="eastAsia" w:ascii="宋体" w:hAnsi="宋体"/>
          <w:color w:val="auto"/>
          <w:highlight w:val="none"/>
        </w:rPr>
      </w:pPr>
      <w:r>
        <w:rPr>
          <w:rFonts w:hint="eastAsia" w:ascii="宋体" w:hAnsi="宋体"/>
          <w:color w:val="auto"/>
          <w:highlight w:val="none"/>
        </w:rPr>
        <w:t>4.其他注意事项</w:t>
      </w:r>
    </w:p>
    <w:p w14:paraId="26BD3037">
      <w:pPr>
        <w:spacing w:line="380" w:lineRule="exact"/>
        <w:ind w:firstLine="420" w:firstLineChars="200"/>
        <w:rPr>
          <w:rFonts w:hint="eastAsia" w:ascii="宋体" w:hAnsi="宋体"/>
          <w:color w:val="auto"/>
          <w:highlight w:val="none"/>
        </w:rPr>
      </w:pPr>
      <w:r>
        <w:rPr>
          <w:rFonts w:hint="eastAsia" w:ascii="宋体" w:hAnsi="宋体"/>
          <w:color w:val="auto"/>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w:t>
      </w:r>
      <w:r>
        <w:rPr>
          <w:rFonts w:ascii="宋体" w:hAnsi="宋体"/>
          <w:color w:val="auto"/>
          <w:highlight w:val="none"/>
        </w:rPr>
        <w:t>95763</w:t>
      </w:r>
      <w:r>
        <w:rPr>
          <w:rFonts w:hint="eastAsia" w:ascii="宋体" w:hAnsi="宋体"/>
          <w:color w:val="auto"/>
          <w:highlight w:val="none"/>
        </w:rPr>
        <w:t xml:space="preserve">。 </w:t>
      </w:r>
    </w:p>
    <w:p w14:paraId="123299D2">
      <w:pPr>
        <w:spacing w:line="380" w:lineRule="exact"/>
        <w:ind w:firstLine="420" w:firstLineChars="200"/>
        <w:rPr>
          <w:rFonts w:hint="eastAsia" w:ascii="宋体" w:hAnsi="宋体"/>
          <w:color w:val="auto"/>
          <w:highlight w:val="none"/>
        </w:rPr>
      </w:pPr>
      <w:r>
        <w:rPr>
          <w:rFonts w:hint="eastAsia" w:ascii="宋体" w:hAnsi="宋体"/>
          <w:color w:val="auto"/>
          <w:highlight w:val="none"/>
        </w:rPr>
        <w:t xml:space="preserve">（2）供应商应及时熟悉掌握电子标系统操作指南（见广西政府采购云平台电子卖场首页右上角—服务中心—帮助中心—项目采购）。 </w:t>
      </w:r>
    </w:p>
    <w:p w14:paraId="18260F69">
      <w:pPr>
        <w:spacing w:line="380" w:lineRule="exact"/>
        <w:ind w:firstLine="420" w:firstLineChars="200"/>
        <w:rPr>
          <w:rFonts w:hint="eastAsia" w:ascii="宋体" w:hAnsi="宋体"/>
          <w:color w:val="auto"/>
          <w:highlight w:val="none"/>
        </w:rPr>
      </w:pPr>
      <w:r>
        <w:rPr>
          <w:rFonts w:hint="eastAsia" w:ascii="宋体" w:hAnsi="宋体"/>
          <w:color w:val="auto"/>
          <w:highlight w:val="none"/>
        </w:rPr>
        <w:t xml:space="preserve">（3）供应商应及时完成CA申领和绑定（见广西壮族自治区政府采购网—办事服务—下载专区-政采云CA证书办理操作指南） </w:t>
      </w:r>
    </w:p>
    <w:p w14:paraId="5EC70359">
      <w:pPr>
        <w:spacing w:line="380" w:lineRule="exact"/>
        <w:ind w:firstLine="420" w:firstLineChars="200"/>
        <w:rPr>
          <w:rFonts w:hint="eastAsia" w:ascii="宋体" w:hAnsi="宋体"/>
          <w:color w:val="auto"/>
          <w:highlight w:val="none"/>
        </w:rPr>
      </w:pPr>
      <w:r>
        <w:rPr>
          <w:rFonts w:hint="eastAsia" w:ascii="宋体" w:hAnsi="宋体"/>
          <w:color w:val="auto"/>
          <w:highlight w:val="none"/>
        </w:rPr>
        <w:t xml:space="preserve">（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 </w:t>
      </w:r>
    </w:p>
    <w:p w14:paraId="686A9365">
      <w:pPr>
        <w:spacing w:line="380" w:lineRule="exact"/>
        <w:ind w:firstLine="420" w:firstLineChars="200"/>
        <w:rPr>
          <w:rFonts w:hint="eastAsia" w:ascii="宋体" w:hAnsi="宋体"/>
          <w:color w:val="auto"/>
          <w:highlight w:val="none"/>
        </w:rPr>
      </w:pPr>
      <w:r>
        <w:rPr>
          <w:rFonts w:hint="eastAsia" w:ascii="宋体" w:hAnsi="宋体"/>
          <w:color w:val="auto"/>
          <w:highlight w:val="none"/>
        </w:rPr>
        <w:t xml:space="preserve">（5）因未注册入库、未办理CA数字证书、CA证书故障、操作不当等原因造成无法投标或投标失败等后果由供应商自行承担。 </w:t>
      </w:r>
    </w:p>
    <w:p w14:paraId="08EABFEE">
      <w:pPr>
        <w:spacing w:line="380" w:lineRule="exact"/>
        <w:ind w:firstLine="420" w:firstLineChars="200"/>
        <w:rPr>
          <w:rFonts w:ascii="宋体" w:hAnsi="宋体"/>
          <w:color w:val="auto"/>
          <w:highlight w:val="none"/>
        </w:rPr>
      </w:pPr>
      <w:r>
        <w:rPr>
          <w:rFonts w:hint="eastAsia" w:ascii="宋体" w:hAnsi="宋体"/>
          <w:color w:val="auto"/>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2D6C086D">
      <w:pPr>
        <w:spacing w:line="380" w:lineRule="exact"/>
        <w:rPr>
          <w:rFonts w:ascii="宋体" w:hAnsi="宋体"/>
          <w:b/>
          <w:color w:val="auto"/>
          <w:highlight w:val="none"/>
        </w:rPr>
      </w:pPr>
      <w:bookmarkStart w:id="43" w:name="_Toc28359008"/>
      <w:bookmarkStart w:id="44" w:name="_Toc35393796"/>
      <w:bookmarkStart w:id="45" w:name="_Toc35393627"/>
      <w:bookmarkStart w:id="46" w:name="_Toc28359085"/>
      <w:r>
        <w:rPr>
          <w:rFonts w:hint="eastAsia" w:ascii="宋体" w:hAnsi="宋体"/>
          <w:b/>
          <w:color w:val="auto"/>
          <w:highlight w:val="none"/>
        </w:rPr>
        <w:t>七、对本次招标提出询问，请按</w:t>
      </w:r>
      <w:r>
        <w:rPr>
          <w:rFonts w:ascii="宋体" w:hAnsi="宋体"/>
          <w:b/>
          <w:color w:val="auto"/>
          <w:highlight w:val="none"/>
        </w:rPr>
        <w:t>以下方式</w:t>
      </w:r>
      <w:r>
        <w:rPr>
          <w:rFonts w:hint="eastAsia" w:ascii="宋体" w:hAnsi="宋体"/>
          <w:b/>
          <w:color w:val="auto"/>
          <w:highlight w:val="none"/>
        </w:rPr>
        <w:t>联系</w:t>
      </w:r>
      <w:bookmarkEnd w:id="43"/>
      <w:bookmarkEnd w:id="44"/>
      <w:bookmarkEnd w:id="45"/>
      <w:bookmarkEnd w:id="46"/>
    </w:p>
    <w:p w14:paraId="5C8A49A8">
      <w:pPr>
        <w:spacing w:line="380" w:lineRule="exact"/>
        <w:ind w:firstLine="420" w:firstLineChars="200"/>
        <w:rPr>
          <w:rFonts w:hint="eastAsia" w:ascii="宋体" w:hAnsi="宋体"/>
          <w:color w:val="auto"/>
          <w:highlight w:val="none"/>
        </w:rPr>
      </w:pPr>
      <w:r>
        <w:rPr>
          <w:rFonts w:hint="eastAsia" w:ascii="宋体" w:hAnsi="宋体"/>
          <w:color w:val="auto"/>
          <w:highlight w:val="none"/>
        </w:rPr>
        <w:t>1.采购人信息</w:t>
      </w:r>
    </w:p>
    <w:p w14:paraId="61978FD8">
      <w:pPr>
        <w:spacing w:line="380" w:lineRule="exact"/>
        <w:ind w:firstLine="420" w:firstLineChars="200"/>
        <w:rPr>
          <w:rFonts w:hint="eastAsia" w:ascii="宋体" w:hAnsi="宋体"/>
          <w:color w:val="auto"/>
          <w:highlight w:val="none"/>
        </w:rPr>
      </w:pPr>
      <w:r>
        <w:rPr>
          <w:rFonts w:hint="eastAsia" w:ascii="宋体" w:hAnsi="宋体"/>
          <w:color w:val="auto"/>
          <w:highlight w:val="none"/>
        </w:rPr>
        <w:t>名    称：广西机电职业技术学院</w:t>
      </w:r>
    </w:p>
    <w:p w14:paraId="24780BDC">
      <w:pPr>
        <w:spacing w:line="380" w:lineRule="exact"/>
        <w:ind w:firstLine="420" w:firstLineChars="200"/>
        <w:rPr>
          <w:rFonts w:hint="eastAsia" w:ascii="宋体" w:hAnsi="宋体"/>
          <w:color w:val="auto"/>
          <w:highlight w:val="none"/>
        </w:rPr>
      </w:pPr>
      <w:r>
        <w:rPr>
          <w:rFonts w:hint="eastAsia" w:ascii="宋体" w:hAnsi="宋体"/>
          <w:color w:val="auto"/>
          <w:highlight w:val="none"/>
        </w:rPr>
        <w:t>地    址：广西南宁市大学东路101号</w:t>
      </w:r>
    </w:p>
    <w:p w14:paraId="57B33243">
      <w:pPr>
        <w:spacing w:line="380" w:lineRule="exact"/>
        <w:ind w:firstLine="420" w:firstLineChars="200"/>
        <w:rPr>
          <w:rFonts w:hint="eastAsia" w:ascii="宋体" w:hAnsi="宋体"/>
          <w:color w:val="auto"/>
          <w:highlight w:val="none"/>
        </w:rPr>
      </w:pPr>
      <w:r>
        <w:rPr>
          <w:rFonts w:hint="eastAsia" w:ascii="宋体" w:hAnsi="宋体"/>
          <w:color w:val="auto"/>
          <w:highlight w:val="none"/>
        </w:rPr>
        <w:t>项目联系人：郑老师</w:t>
      </w:r>
    </w:p>
    <w:p w14:paraId="121232B9">
      <w:pPr>
        <w:spacing w:line="380" w:lineRule="exact"/>
        <w:ind w:firstLine="420" w:firstLineChars="200"/>
        <w:rPr>
          <w:rFonts w:hint="eastAsia" w:ascii="宋体" w:hAnsi="宋体"/>
          <w:color w:val="auto"/>
          <w:highlight w:val="none"/>
        </w:rPr>
      </w:pPr>
      <w:r>
        <w:rPr>
          <w:rFonts w:hint="eastAsia" w:ascii="宋体" w:hAnsi="宋体"/>
          <w:color w:val="auto"/>
          <w:highlight w:val="none"/>
        </w:rPr>
        <w:t>项目联系方式：0771-3276119</w:t>
      </w:r>
    </w:p>
    <w:p w14:paraId="398A6692">
      <w:pPr>
        <w:spacing w:line="380" w:lineRule="exact"/>
        <w:ind w:firstLine="420" w:firstLineChars="200"/>
        <w:rPr>
          <w:rFonts w:hint="eastAsia" w:ascii="宋体" w:hAnsi="宋体"/>
          <w:color w:val="auto"/>
          <w:highlight w:val="none"/>
        </w:rPr>
      </w:pPr>
    </w:p>
    <w:p w14:paraId="252D27C7">
      <w:pPr>
        <w:spacing w:line="380" w:lineRule="exact"/>
        <w:ind w:firstLine="420" w:firstLineChars="200"/>
        <w:rPr>
          <w:rFonts w:hint="eastAsia" w:ascii="宋体" w:hAnsi="宋体"/>
          <w:color w:val="auto"/>
          <w:highlight w:val="none"/>
        </w:rPr>
      </w:pPr>
      <w:r>
        <w:rPr>
          <w:rFonts w:hint="eastAsia" w:ascii="宋体" w:hAnsi="宋体"/>
          <w:color w:val="auto"/>
          <w:highlight w:val="none"/>
        </w:rPr>
        <w:t>2.采购代理机构信息</w:t>
      </w:r>
    </w:p>
    <w:p w14:paraId="083B46D5">
      <w:pPr>
        <w:spacing w:line="380" w:lineRule="exact"/>
        <w:ind w:firstLine="420" w:firstLineChars="200"/>
        <w:rPr>
          <w:rFonts w:hint="eastAsia" w:ascii="宋体" w:hAnsi="宋体"/>
          <w:color w:val="auto"/>
          <w:highlight w:val="none"/>
        </w:rPr>
      </w:pPr>
      <w:r>
        <w:rPr>
          <w:rFonts w:hint="eastAsia" w:ascii="宋体" w:hAnsi="宋体"/>
          <w:color w:val="auto"/>
          <w:highlight w:val="none"/>
        </w:rPr>
        <w:t>名    称：广西国力招标有限公司</w:t>
      </w:r>
    </w:p>
    <w:p w14:paraId="47DD1670">
      <w:pPr>
        <w:spacing w:line="380" w:lineRule="exact"/>
        <w:ind w:firstLine="420" w:firstLineChars="200"/>
        <w:rPr>
          <w:rFonts w:hint="eastAsia" w:ascii="宋体" w:hAnsi="宋体"/>
          <w:color w:val="auto"/>
          <w:highlight w:val="none"/>
        </w:rPr>
      </w:pPr>
      <w:r>
        <w:rPr>
          <w:rFonts w:hint="eastAsia" w:ascii="宋体" w:hAnsi="宋体"/>
          <w:color w:val="auto"/>
          <w:highlight w:val="none"/>
        </w:rPr>
        <w:t>地    址：广西南宁市白沙大道53号松宇时代13楼</w:t>
      </w:r>
    </w:p>
    <w:p w14:paraId="02C53AE3">
      <w:pP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项目联系人：李宁芳、李立英</w:t>
      </w:r>
      <w:r>
        <w:rPr>
          <w:rFonts w:hint="eastAsia" w:ascii="宋体" w:hAnsi="宋体"/>
          <w:color w:val="auto"/>
          <w:highlight w:val="none"/>
          <w:lang w:eastAsia="zh-CN"/>
        </w:rPr>
        <w:t>、</w:t>
      </w:r>
      <w:r>
        <w:rPr>
          <w:rFonts w:hint="eastAsia" w:ascii="宋体" w:hAnsi="宋体"/>
          <w:color w:val="auto"/>
          <w:highlight w:val="none"/>
          <w:lang w:val="en-US" w:eastAsia="zh-CN"/>
        </w:rPr>
        <w:t>罗铁</w:t>
      </w:r>
    </w:p>
    <w:p w14:paraId="64939078">
      <w:pPr>
        <w:spacing w:line="380" w:lineRule="exact"/>
        <w:ind w:firstLine="420" w:firstLineChars="200"/>
        <w:rPr>
          <w:rFonts w:ascii="宋体" w:hAnsi="宋体"/>
          <w:color w:val="auto"/>
          <w:highlight w:val="none"/>
          <w:u w:val="single"/>
        </w:rPr>
      </w:pPr>
      <w:r>
        <w:rPr>
          <w:rFonts w:hint="eastAsia" w:ascii="宋体" w:hAnsi="宋体"/>
          <w:color w:val="auto"/>
          <w:highlight w:val="none"/>
        </w:rPr>
        <w:t>项目联系方式：0771-4915558</w:t>
      </w:r>
    </w:p>
    <w:p w14:paraId="584F648A">
      <w:pPr>
        <w:spacing w:line="380" w:lineRule="exact"/>
        <w:ind w:firstLine="420" w:firstLineChars="200"/>
        <w:rPr>
          <w:rFonts w:hint="eastAsia" w:ascii="宋体" w:hAnsi="宋体"/>
          <w:color w:val="auto"/>
          <w:highlight w:val="none"/>
          <w:u w:val="single"/>
        </w:rPr>
      </w:pPr>
    </w:p>
    <w:p w14:paraId="5AE93EED">
      <w:pPr>
        <w:spacing w:line="380" w:lineRule="exact"/>
        <w:ind w:firstLine="420" w:firstLineChars="200"/>
        <w:rPr>
          <w:rFonts w:hint="eastAsia" w:ascii="宋体" w:hAnsi="宋体"/>
          <w:color w:val="auto"/>
          <w:highlight w:val="none"/>
          <w:u w:val="single"/>
        </w:rPr>
      </w:pPr>
    </w:p>
    <w:p w14:paraId="3B02E685">
      <w:pPr>
        <w:snapToGrid w:val="0"/>
        <w:spacing w:line="350" w:lineRule="exact"/>
        <w:ind w:left="238"/>
        <w:jc w:val="right"/>
        <w:rPr>
          <w:rFonts w:hint="eastAsia" w:ascii="宋体" w:hAnsi="宋体"/>
          <w:color w:val="auto"/>
          <w:highlight w:val="none"/>
        </w:rPr>
      </w:pPr>
      <w:r>
        <w:rPr>
          <w:rFonts w:hint="eastAsia" w:ascii="宋体" w:hAnsi="宋体"/>
          <w:color w:val="auto"/>
          <w:highlight w:val="none"/>
        </w:rPr>
        <w:t>广西国力招标有限公司</w:t>
      </w:r>
    </w:p>
    <w:p w14:paraId="363DB1BC">
      <w:pPr>
        <w:spacing w:line="380" w:lineRule="exact"/>
        <w:ind w:right="210" w:firstLine="420" w:firstLineChars="200"/>
        <w:jc w:val="right"/>
        <w:rPr>
          <w:rFonts w:ascii="宋体" w:hAnsi="宋体"/>
          <w:color w:val="auto"/>
          <w:highlight w:val="none"/>
          <w:u w:val="single"/>
        </w:rPr>
      </w:pPr>
      <w:r>
        <w:rPr>
          <w:rFonts w:hint="eastAsia" w:ascii="宋体" w:hAnsi="宋体" w:cs="Arial"/>
          <w:color w:val="auto"/>
          <w:highlight w:val="none"/>
        </w:rPr>
        <w:t>2026年</w:t>
      </w:r>
      <w:r>
        <w:rPr>
          <w:rFonts w:hint="eastAsia" w:ascii="宋体" w:hAnsi="宋体" w:cs="Arial"/>
          <w:color w:val="auto"/>
          <w:highlight w:val="none"/>
          <w:lang w:val="en-US" w:eastAsia="zh-CN"/>
        </w:rPr>
        <w:t>7</w:t>
      </w:r>
      <w:r>
        <w:rPr>
          <w:rFonts w:hint="eastAsia" w:ascii="宋体" w:hAnsi="宋体" w:cs="Arial"/>
          <w:color w:val="auto"/>
          <w:highlight w:val="none"/>
        </w:rPr>
        <w:t>月</w:t>
      </w:r>
      <w:r>
        <w:rPr>
          <w:rFonts w:hint="eastAsia" w:ascii="宋体" w:hAnsi="宋体" w:cs="Arial"/>
          <w:color w:val="auto"/>
          <w:highlight w:val="none"/>
          <w:lang w:val="en-US" w:eastAsia="zh-CN"/>
        </w:rPr>
        <w:t>13</w:t>
      </w:r>
      <w:r>
        <w:rPr>
          <w:rFonts w:hint="eastAsia" w:ascii="宋体" w:hAnsi="宋体" w:cs="Arial"/>
          <w:color w:val="auto"/>
          <w:highlight w:val="none"/>
        </w:rPr>
        <w:t>日</w:t>
      </w:r>
    </w:p>
    <w:p w14:paraId="6138E90D">
      <w:pPr>
        <w:jc w:val="center"/>
        <w:rPr>
          <w:rFonts w:hint="eastAsia" w:ascii="宋体" w:hAnsi="宋体"/>
          <w:color w:val="auto"/>
          <w:highlight w:val="none"/>
        </w:rPr>
      </w:pPr>
      <w:r>
        <w:rPr>
          <w:rFonts w:hint="eastAsia" w:ascii="宋体" w:hAnsi="宋体"/>
          <w:color w:val="auto"/>
          <w:highlight w:val="none"/>
        </w:rPr>
        <w:t xml:space="preserve"> </w:t>
      </w:r>
    </w:p>
    <w:p w14:paraId="3D7216AD">
      <w:pPr>
        <w:spacing w:line="400" w:lineRule="exact"/>
        <w:jc w:val="center"/>
        <w:rPr>
          <w:rFonts w:hint="eastAsia" w:ascii="宋体"/>
          <w:color w:val="auto"/>
          <w:sz w:val="32"/>
          <w:szCs w:val="32"/>
          <w:highlight w:val="none"/>
        </w:rPr>
      </w:pPr>
      <w:r>
        <w:rPr>
          <w:rFonts w:hint="eastAsia" w:ascii="宋体"/>
          <w:color w:val="auto"/>
          <w:sz w:val="32"/>
          <w:szCs w:val="32"/>
          <w:highlight w:val="none"/>
        </w:rPr>
        <w:br w:type="page"/>
      </w:r>
    </w:p>
    <w:p w14:paraId="0199F846">
      <w:pPr>
        <w:spacing w:line="400" w:lineRule="exact"/>
        <w:jc w:val="center"/>
        <w:rPr>
          <w:rFonts w:hint="eastAsia" w:ascii="宋体"/>
          <w:color w:val="auto"/>
          <w:sz w:val="32"/>
          <w:szCs w:val="32"/>
          <w:highlight w:val="none"/>
        </w:rPr>
      </w:pPr>
    </w:p>
    <w:p w14:paraId="5AE02BDF">
      <w:pPr>
        <w:spacing w:line="400" w:lineRule="exact"/>
        <w:jc w:val="center"/>
        <w:rPr>
          <w:rFonts w:hint="eastAsia" w:ascii="宋体"/>
          <w:color w:val="auto"/>
          <w:sz w:val="32"/>
          <w:szCs w:val="32"/>
          <w:highlight w:val="none"/>
        </w:rPr>
      </w:pPr>
    </w:p>
    <w:p w14:paraId="060CA504">
      <w:pPr>
        <w:spacing w:line="400" w:lineRule="exact"/>
        <w:jc w:val="center"/>
        <w:rPr>
          <w:rFonts w:hint="eastAsia" w:ascii="宋体"/>
          <w:color w:val="auto"/>
          <w:sz w:val="32"/>
          <w:szCs w:val="32"/>
          <w:highlight w:val="none"/>
        </w:rPr>
      </w:pPr>
    </w:p>
    <w:p w14:paraId="18457E04">
      <w:pPr>
        <w:spacing w:line="400" w:lineRule="exact"/>
        <w:jc w:val="center"/>
        <w:rPr>
          <w:rFonts w:hint="eastAsia" w:ascii="宋体"/>
          <w:color w:val="auto"/>
          <w:sz w:val="32"/>
          <w:szCs w:val="32"/>
          <w:highlight w:val="none"/>
        </w:rPr>
      </w:pPr>
    </w:p>
    <w:p w14:paraId="781C2DCC">
      <w:pPr>
        <w:spacing w:line="400" w:lineRule="exact"/>
        <w:jc w:val="center"/>
        <w:rPr>
          <w:rFonts w:hint="eastAsia" w:ascii="宋体"/>
          <w:color w:val="auto"/>
          <w:sz w:val="32"/>
          <w:szCs w:val="32"/>
          <w:highlight w:val="none"/>
        </w:rPr>
      </w:pPr>
    </w:p>
    <w:p w14:paraId="70520AA3">
      <w:pPr>
        <w:spacing w:line="400" w:lineRule="exact"/>
        <w:jc w:val="center"/>
        <w:rPr>
          <w:rFonts w:hint="eastAsia" w:ascii="宋体"/>
          <w:color w:val="auto"/>
          <w:sz w:val="32"/>
          <w:szCs w:val="32"/>
          <w:highlight w:val="none"/>
        </w:rPr>
      </w:pPr>
    </w:p>
    <w:p w14:paraId="61540E90">
      <w:pPr>
        <w:spacing w:line="400" w:lineRule="exact"/>
        <w:jc w:val="center"/>
        <w:rPr>
          <w:rFonts w:hint="eastAsia" w:ascii="宋体"/>
          <w:color w:val="auto"/>
          <w:sz w:val="32"/>
          <w:szCs w:val="32"/>
          <w:highlight w:val="none"/>
        </w:rPr>
      </w:pPr>
    </w:p>
    <w:p w14:paraId="6B79EC5D">
      <w:pPr>
        <w:spacing w:line="400" w:lineRule="exact"/>
        <w:jc w:val="center"/>
        <w:rPr>
          <w:rFonts w:hint="eastAsia" w:ascii="宋体"/>
          <w:color w:val="auto"/>
          <w:sz w:val="32"/>
          <w:szCs w:val="32"/>
          <w:highlight w:val="none"/>
        </w:rPr>
      </w:pPr>
    </w:p>
    <w:p w14:paraId="480FA57D">
      <w:pPr>
        <w:spacing w:line="400" w:lineRule="exact"/>
        <w:jc w:val="center"/>
        <w:rPr>
          <w:rFonts w:hint="eastAsia" w:ascii="宋体"/>
          <w:color w:val="auto"/>
          <w:sz w:val="32"/>
          <w:szCs w:val="32"/>
          <w:highlight w:val="none"/>
        </w:rPr>
      </w:pPr>
    </w:p>
    <w:p w14:paraId="6F4633CC">
      <w:pPr>
        <w:spacing w:line="400" w:lineRule="exact"/>
        <w:jc w:val="center"/>
        <w:rPr>
          <w:rFonts w:hint="eastAsia" w:ascii="宋体"/>
          <w:color w:val="auto"/>
          <w:sz w:val="32"/>
          <w:szCs w:val="32"/>
          <w:highlight w:val="none"/>
        </w:rPr>
      </w:pPr>
    </w:p>
    <w:p w14:paraId="0FB04D90">
      <w:pPr>
        <w:spacing w:line="400" w:lineRule="exact"/>
        <w:jc w:val="center"/>
        <w:rPr>
          <w:rFonts w:hint="eastAsia" w:ascii="宋体"/>
          <w:color w:val="auto"/>
          <w:sz w:val="32"/>
          <w:szCs w:val="32"/>
          <w:highlight w:val="none"/>
        </w:rPr>
      </w:pPr>
    </w:p>
    <w:p w14:paraId="4CD77717">
      <w:pPr>
        <w:spacing w:line="400" w:lineRule="exact"/>
        <w:rPr>
          <w:rFonts w:hint="eastAsia" w:ascii="宋体"/>
          <w:color w:val="auto"/>
          <w:sz w:val="32"/>
          <w:szCs w:val="32"/>
          <w:highlight w:val="none"/>
        </w:rPr>
      </w:pPr>
    </w:p>
    <w:p w14:paraId="3F56DA02">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47" w:name="_Toc476436173"/>
      <w:bookmarkStart w:id="48" w:name="_Toc476436432"/>
      <w:r>
        <w:rPr>
          <w:rFonts w:hint="eastAsia" w:ascii="Arial" w:hAnsi="Arial" w:eastAsia="宋体" w:cs="Times New Roman"/>
          <w:b/>
          <w:bCs/>
          <w:color w:val="auto"/>
          <w:kern w:val="2"/>
          <w:sz w:val="44"/>
          <w:szCs w:val="44"/>
          <w:highlight w:val="none"/>
          <w:lang w:val="en-US" w:eastAsia="zh-CN" w:bidi="ar-SA"/>
        </w:rPr>
        <w:t>第二章  招标项目采购需求</w:t>
      </w:r>
      <w:bookmarkEnd w:id="47"/>
      <w:bookmarkEnd w:id="48"/>
    </w:p>
    <w:p w14:paraId="4E9D822D">
      <w:pPr>
        <w:snapToGrid w:val="0"/>
        <w:spacing w:before="156" w:beforeLines="50" w:after="156" w:afterLines="50"/>
        <w:ind w:left="238"/>
        <w:jc w:val="center"/>
        <w:rPr>
          <w:rFonts w:hint="eastAsia" w:ascii="黑体" w:eastAsia="黑体"/>
          <w:color w:val="auto"/>
          <w:sz w:val="32"/>
          <w:szCs w:val="32"/>
          <w:highlight w:val="none"/>
        </w:rPr>
      </w:pPr>
    </w:p>
    <w:p w14:paraId="6BC73B3D">
      <w:pPr>
        <w:snapToGrid w:val="0"/>
        <w:spacing w:before="156" w:beforeLines="50" w:after="156" w:afterLines="50"/>
        <w:ind w:left="238"/>
        <w:jc w:val="center"/>
        <w:rPr>
          <w:rFonts w:hint="eastAsia" w:ascii="黑体" w:eastAsia="黑体"/>
          <w:color w:val="auto"/>
          <w:sz w:val="32"/>
          <w:szCs w:val="32"/>
          <w:highlight w:val="none"/>
        </w:rPr>
      </w:pPr>
    </w:p>
    <w:p w14:paraId="7FA65AAA">
      <w:pPr>
        <w:snapToGrid w:val="0"/>
        <w:spacing w:before="156" w:beforeLines="50" w:after="156" w:afterLines="50"/>
        <w:ind w:left="238"/>
        <w:jc w:val="center"/>
        <w:rPr>
          <w:rFonts w:hint="eastAsia" w:ascii="黑体" w:eastAsia="黑体"/>
          <w:color w:val="auto"/>
          <w:sz w:val="32"/>
          <w:szCs w:val="32"/>
          <w:highlight w:val="none"/>
        </w:rPr>
      </w:pPr>
    </w:p>
    <w:p w14:paraId="6BAD6698">
      <w:pPr>
        <w:snapToGrid w:val="0"/>
        <w:spacing w:before="156" w:beforeLines="50" w:after="156" w:afterLines="50"/>
        <w:ind w:left="238"/>
        <w:jc w:val="center"/>
        <w:rPr>
          <w:rFonts w:hint="eastAsia" w:ascii="黑体" w:eastAsia="黑体"/>
          <w:color w:val="auto"/>
          <w:sz w:val="32"/>
          <w:szCs w:val="32"/>
          <w:highlight w:val="none"/>
        </w:rPr>
      </w:pPr>
    </w:p>
    <w:p w14:paraId="55F1756A">
      <w:pPr>
        <w:snapToGrid w:val="0"/>
        <w:spacing w:before="156" w:beforeLines="50" w:after="156" w:afterLines="50"/>
        <w:ind w:left="238"/>
        <w:jc w:val="center"/>
        <w:rPr>
          <w:rFonts w:hint="eastAsia" w:ascii="黑体" w:eastAsia="黑体"/>
          <w:color w:val="auto"/>
          <w:sz w:val="32"/>
          <w:szCs w:val="32"/>
          <w:highlight w:val="none"/>
        </w:rPr>
      </w:pPr>
    </w:p>
    <w:p w14:paraId="5D1DAC47">
      <w:pPr>
        <w:snapToGrid w:val="0"/>
        <w:spacing w:before="156" w:beforeLines="50" w:after="156" w:afterLines="50"/>
        <w:ind w:left="238"/>
        <w:jc w:val="center"/>
        <w:rPr>
          <w:rFonts w:hint="eastAsia" w:ascii="黑体" w:eastAsia="黑体"/>
          <w:color w:val="auto"/>
          <w:sz w:val="32"/>
          <w:szCs w:val="32"/>
          <w:highlight w:val="none"/>
        </w:rPr>
      </w:pPr>
    </w:p>
    <w:p w14:paraId="19A0C347">
      <w:pPr>
        <w:spacing w:line="720" w:lineRule="auto"/>
        <w:jc w:val="center"/>
        <w:rPr>
          <w:rFonts w:hint="eastAsia"/>
          <w:b/>
          <w:color w:val="auto"/>
          <w:sz w:val="32"/>
          <w:szCs w:val="32"/>
          <w:highlight w:val="none"/>
        </w:rPr>
      </w:pPr>
      <w:r>
        <w:rPr>
          <w:rFonts w:hint="eastAsia" w:ascii="仿宋_GB2312" w:eastAsia="仿宋_GB2312"/>
          <w:bCs/>
          <w:color w:val="auto"/>
          <w:highlight w:val="none"/>
        </w:rPr>
        <w:br w:type="page"/>
      </w:r>
      <w:r>
        <w:rPr>
          <w:rFonts w:hint="eastAsia"/>
          <w:b/>
          <w:color w:val="auto"/>
          <w:sz w:val="32"/>
          <w:szCs w:val="32"/>
          <w:highlight w:val="none"/>
        </w:rPr>
        <w:t>招标项目采购需求</w:t>
      </w:r>
    </w:p>
    <w:p w14:paraId="0097487C">
      <w:pPr>
        <w:widowControl/>
        <w:spacing w:line="320" w:lineRule="exact"/>
        <w:rPr>
          <w:rFonts w:hint="eastAsia" w:ascii="宋体" w:cs="Arial"/>
          <w:b/>
          <w:bCs/>
          <w:color w:val="auto"/>
          <w:kern w:val="0"/>
          <w:sz w:val="32"/>
          <w:szCs w:val="32"/>
          <w:highlight w:val="none"/>
        </w:rPr>
      </w:pPr>
    </w:p>
    <w:p w14:paraId="7B0748D2">
      <w:pPr>
        <w:spacing w:line="276" w:lineRule="auto"/>
        <w:rPr>
          <w:rFonts w:hint="eastAsia" w:ascii="宋体"/>
          <w:color w:val="auto"/>
          <w:szCs w:val="21"/>
          <w:highlight w:val="none"/>
        </w:rPr>
      </w:pPr>
      <w:r>
        <w:rPr>
          <w:rFonts w:hint="eastAsia" w:ascii="宋体"/>
          <w:b/>
          <w:color w:val="auto"/>
          <w:szCs w:val="21"/>
          <w:highlight w:val="none"/>
        </w:rPr>
        <w:t>说明：</w:t>
      </w:r>
    </w:p>
    <w:p w14:paraId="76A5D658">
      <w:pPr>
        <w:spacing w:line="276" w:lineRule="auto"/>
        <w:ind w:firstLine="437"/>
        <w:rPr>
          <w:rFonts w:hint="eastAsia" w:ascii="宋体"/>
          <w:b w:val="0"/>
          <w:bCs w:val="0"/>
          <w:color w:val="auto"/>
          <w:szCs w:val="21"/>
          <w:highlight w:val="none"/>
        </w:rPr>
      </w:pPr>
      <w:r>
        <w:rPr>
          <w:rFonts w:hint="eastAsia" w:ascii="宋体"/>
          <w:b w:val="0"/>
          <w:bCs w:val="0"/>
          <w:color w:val="auto"/>
          <w:szCs w:val="21"/>
          <w:highlight w:val="none"/>
        </w:rPr>
        <w:t>一、本需求表中的品牌型号仅起参考作用，投标人可选用其他品牌型号替代，但这些替代的品牌型号要实质上相当于或优于参考品牌型号及其技术参数性能（配置）要求。本需求表中参考品牌型号及技术参数性能（配置）不明确或有误的，或投标人选用其他品牌型号替代的，请以详细、正确的品牌型号、技术参数性能配置填写投标报价表和技术响应表。技术响应表须按技术参数及性能（配置）要求一一对应响应。</w:t>
      </w:r>
    </w:p>
    <w:p w14:paraId="186F63EB">
      <w:pPr>
        <w:spacing w:line="276" w:lineRule="auto"/>
        <w:ind w:firstLine="437"/>
        <w:rPr>
          <w:rFonts w:hint="eastAsia" w:ascii="宋体"/>
          <w:b/>
          <w:bCs/>
          <w:color w:val="auto"/>
          <w:szCs w:val="21"/>
          <w:highlight w:val="none"/>
          <w:lang w:eastAsia="zh"/>
        </w:rPr>
      </w:pPr>
      <w:r>
        <w:rPr>
          <w:rFonts w:hint="eastAsia" w:ascii="宋体"/>
          <w:b/>
          <w:bCs/>
          <w:color w:val="auto"/>
          <w:szCs w:val="21"/>
          <w:highlight w:val="none"/>
        </w:rPr>
        <w:t>二、本需求表</w:t>
      </w:r>
      <w:r>
        <w:rPr>
          <w:rFonts w:hint="eastAsia" w:ascii="宋体" w:hAnsi="宋体"/>
          <w:b/>
          <w:color w:val="auto"/>
          <w:szCs w:val="21"/>
          <w:highlight w:val="none"/>
        </w:rPr>
        <w:t>中</w:t>
      </w:r>
      <w:r>
        <w:rPr>
          <w:rFonts w:hint="eastAsia" w:ascii="宋体"/>
          <w:b/>
          <w:color w:val="auto"/>
          <w:szCs w:val="21"/>
          <w:highlight w:val="none"/>
        </w:rPr>
        <w:t>标注“▲”的条款均为实质性要求或条件，投标人必须作出满足或者优于该要求和条件的承诺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，否则投标无效。</w:t>
      </w:r>
      <w:r>
        <w:rPr>
          <w:rFonts w:hint="eastAsia" w:ascii="宋体" w:hAnsi="宋体"/>
          <w:b/>
          <w:color w:val="auto"/>
          <w:szCs w:val="21"/>
          <w:highlight w:val="none"/>
        </w:rPr>
        <w:t>重要参数要求是指采购需求中带“●”的条款，</w:t>
      </w:r>
      <w:r>
        <w:rPr>
          <w:rFonts w:hint="eastAsia" w:ascii="宋体" w:hAnsi="宋体" w:cs="宋体"/>
          <w:b/>
          <w:color w:val="auto"/>
          <w:szCs w:val="21"/>
          <w:highlight w:val="none"/>
        </w:rPr>
        <w:t>作为评分内容；</w:t>
      </w:r>
      <w:r>
        <w:rPr>
          <w:rFonts w:hint="eastAsia" w:ascii="宋体" w:hAnsi="宋体"/>
          <w:b/>
          <w:color w:val="auto"/>
          <w:szCs w:val="21"/>
          <w:highlight w:val="none"/>
        </w:rPr>
        <w:t>重要参数要求</w:t>
      </w:r>
      <w:r>
        <w:rPr>
          <w:rFonts w:hint="eastAsia" w:ascii="宋体" w:hAnsi="宋体"/>
          <w:b/>
          <w:color w:val="auto"/>
          <w:szCs w:val="21"/>
          <w:highlight w:val="none"/>
          <w:lang w:val="en-US" w:eastAsia="zh-CN"/>
        </w:rPr>
        <w:t>如</w:t>
      </w:r>
      <w:r>
        <w:rPr>
          <w:rFonts w:hint="eastAsia" w:ascii="宋体" w:hAnsi="宋体"/>
          <w:b/>
          <w:color w:val="auto"/>
          <w:szCs w:val="21"/>
          <w:highlight w:val="none"/>
        </w:rPr>
        <w:t>响应为负偏离，不会导致投标被否决</w:t>
      </w:r>
      <w:r>
        <w:rPr>
          <w:rFonts w:hint="eastAsia" w:ascii="宋体" w:hAnsi="宋体"/>
          <w:b/>
          <w:strike w:val="0"/>
          <w:dstrike w:val="0"/>
          <w:color w:val="auto"/>
          <w:szCs w:val="21"/>
          <w:highlight w:val="none"/>
        </w:rPr>
        <w:t>。</w:t>
      </w:r>
      <w:r>
        <w:rPr>
          <w:rFonts w:hint="eastAsia" w:ascii="宋体" w:hAnsi="宋体"/>
          <w:b/>
          <w:color w:val="auto"/>
          <w:szCs w:val="21"/>
          <w:highlight w:val="none"/>
        </w:rPr>
        <w:t>无标识则表示为一般技术参数要求，</w:t>
      </w:r>
      <w:r>
        <w:rPr>
          <w:rFonts w:hint="eastAsia" w:ascii="宋体" w:hAnsi="宋体"/>
          <w:b/>
          <w:strike w:val="0"/>
          <w:dstrike w:val="0"/>
          <w:color w:val="auto"/>
          <w:szCs w:val="21"/>
          <w:highlight w:val="none"/>
        </w:rPr>
        <w:t>一般技术</w:t>
      </w:r>
      <w:r>
        <w:rPr>
          <w:rFonts w:hint="eastAsia" w:ascii="宋体" w:hAnsi="宋体"/>
          <w:b/>
          <w:strike w:val="0"/>
          <w:dstrike w:val="0"/>
          <w:color w:val="auto"/>
          <w:szCs w:val="21"/>
          <w:highlight w:val="none"/>
          <w:lang w:val="en-US" w:eastAsia="zh-CN"/>
        </w:rPr>
        <w:t>参数</w:t>
      </w:r>
      <w:r>
        <w:rPr>
          <w:rFonts w:hint="eastAsia" w:ascii="宋体"/>
          <w:b/>
          <w:bCs/>
          <w:strike w:val="0"/>
          <w:dstrike w:val="0"/>
          <w:color w:val="auto"/>
          <w:szCs w:val="21"/>
          <w:highlight w:val="none"/>
        </w:rPr>
        <w:t>允许负偏离数量</w:t>
      </w:r>
      <w:r>
        <w:rPr>
          <w:rFonts w:hint="eastAsia" w:ascii="宋体"/>
          <w:b/>
          <w:bCs/>
          <w:strike w:val="0"/>
          <w:dstrike w:val="0"/>
          <w:color w:val="auto"/>
          <w:szCs w:val="21"/>
          <w:highlight w:val="none"/>
          <w:lang w:val="en-US" w:eastAsia="zh-CN"/>
        </w:rPr>
        <w:t>为</w:t>
      </w:r>
      <w:r>
        <w:rPr>
          <w:rFonts w:hint="eastAsia" w:ascii="宋体"/>
          <w:b/>
          <w:bCs/>
          <w:strike w:val="0"/>
          <w:dstrike w:val="0"/>
          <w:color w:val="auto"/>
          <w:szCs w:val="21"/>
          <w:highlight w:val="none"/>
          <w:u w:val="single"/>
          <w:lang w:val="en-US" w:eastAsia="zh-CN"/>
        </w:rPr>
        <w:t xml:space="preserve"> 10 </w:t>
      </w:r>
      <w:r>
        <w:rPr>
          <w:rFonts w:hint="eastAsia" w:ascii="宋体"/>
          <w:b/>
          <w:bCs/>
          <w:strike w:val="0"/>
          <w:dstrike w:val="0"/>
          <w:color w:val="auto"/>
          <w:szCs w:val="21"/>
          <w:highlight w:val="none"/>
          <w:lang w:eastAsia="zh"/>
        </w:rPr>
        <w:t>项</w:t>
      </w:r>
      <w:r>
        <w:rPr>
          <w:rFonts w:hint="eastAsia" w:ascii="宋体"/>
          <w:b/>
          <w:bCs/>
          <w:strike w:val="0"/>
          <w:dstrike w:val="0"/>
          <w:color w:val="auto"/>
          <w:szCs w:val="21"/>
          <w:highlight w:val="none"/>
          <w:lang w:eastAsia="zh-CN"/>
        </w:rPr>
        <w:t>（</w:t>
      </w:r>
      <w:r>
        <w:rPr>
          <w:rFonts w:hint="eastAsia" w:ascii="宋体"/>
          <w:b/>
          <w:bCs/>
          <w:strike w:val="0"/>
          <w:dstrike w:val="0"/>
          <w:color w:val="auto"/>
          <w:szCs w:val="21"/>
          <w:highlight w:val="none"/>
          <w:lang w:val="en-US" w:eastAsia="zh-CN"/>
        </w:rPr>
        <w:t>含</w:t>
      </w:r>
      <w:r>
        <w:rPr>
          <w:rFonts w:hint="eastAsia" w:ascii="宋体"/>
          <w:b/>
          <w:bCs/>
          <w:strike w:val="0"/>
          <w:dstrike w:val="0"/>
          <w:color w:val="auto"/>
          <w:szCs w:val="21"/>
          <w:highlight w:val="none"/>
          <w:lang w:eastAsia="zh-CN"/>
        </w:rPr>
        <w:t>）。</w:t>
      </w:r>
    </w:p>
    <w:p w14:paraId="6B34A8A9">
      <w:pPr>
        <w:spacing w:line="276" w:lineRule="auto"/>
        <w:ind w:firstLine="437"/>
        <w:rPr>
          <w:rFonts w:hint="eastAsia" w:ascii="宋体"/>
          <w:b w:val="0"/>
          <w:bCs/>
          <w:color w:val="auto"/>
          <w:szCs w:val="21"/>
          <w:highlight w:val="none"/>
        </w:rPr>
      </w:pPr>
      <w:r>
        <w:rPr>
          <w:rFonts w:hint="eastAsia" w:ascii="宋体"/>
          <w:b w:val="0"/>
          <w:bCs/>
          <w:color w:val="auto"/>
          <w:szCs w:val="21"/>
          <w:highlight w:val="none"/>
        </w:rPr>
        <w:t>三、根据财库〔2019〕9号及财库〔2019〕19号文件规定，台式计算机，便携式计算机、平板式微型计算机，激光打印机，针式打印机，液晶显示器，制冷压缩机（冷水机组、水源热泵机组、溴化锂吸收式冷水机组），空调机组[多联式空调（热泵）机组（制冷量＞14000W），单元式空气调节机（制冷量＞14000W）]，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投标人的投标货物必须使用政府强制采购的节能产品，投标人必须在投标文件中提供由国家确定的认证机构出具的处于有效期之内的节能产品认证证书复印件（加盖投标人公章），否则相应投标无效。</w:t>
      </w:r>
    </w:p>
    <w:p w14:paraId="4AC65E90">
      <w:pPr>
        <w:spacing w:line="276" w:lineRule="auto"/>
        <w:ind w:firstLine="437"/>
        <w:rPr>
          <w:rFonts w:hint="eastAsia" w:ascii="宋体"/>
          <w:b w:val="0"/>
          <w:bCs/>
          <w:color w:val="auto"/>
          <w:szCs w:val="21"/>
          <w:highlight w:val="none"/>
        </w:rPr>
      </w:pPr>
      <w:r>
        <w:rPr>
          <w:rFonts w:hint="eastAsia" w:ascii="宋体"/>
          <w:b w:val="0"/>
          <w:bCs/>
          <w:color w:val="auto"/>
          <w:szCs w:val="21"/>
          <w:highlight w:val="none"/>
        </w:rPr>
        <w:t>四、凡在“技术参数及性能（配置）要求”中表述为“标配”或“标准配置”的设备，投标人应在投标报价明细表中将其标配参数详细列明，否则该投标无效。</w:t>
      </w:r>
    </w:p>
    <w:p w14:paraId="026320FD">
      <w:pPr>
        <w:spacing w:line="276" w:lineRule="auto"/>
        <w:ind w:firstLine="437"/>
        <w:rPr>
          <w:rFonts w:hint="eastAsia" w:ascii="宋体"/>
          <w:b w:val="0"/>
          <w:bCs/>
          <w:color w:val="auto"/>
          <w:szCs w:val="21"/>
          <w:highlight w:val="none"/>
        </w:rPr>
      </w:pPr>
      <w:r>
        <w:rPr>
          <w:rFonts w:hint="eastAsia" w:ascii="宋体"/>
          <w:b w:val="0"/>
          <w:bCs/>
          <w:color w:val="auto"/>
          <w:szCs w:val="21"/>
          <w:highlight w:val="none"/>
        </w:rPr>
        <w:t>五、招标文件中所要求提供的证明材料，如为英文文本的请提供中文翻译文本。</w:t>
      </w:r>
    </w:p>
    <w:p w14:paraId="476F2B5B">
      <w:pPr>
        <w:spacing w:line="276" w:lineRule="auto"/>
        <w:ind w:firstLine="437"/>
        <w:rPr>
          <w:rFonts w:hint="eastAsia" w:ascii="宋体"/>
          <w:b w:val="0"/>
          <w:bCs/>
          <w:color w:val="auto"/>
          <w:szCs w:val="21"/>
          <w:highlight w:val="none"/>
        </w:rPr>
      </w:pPr>
      <w:r>
        <w:rPr>
          <w:rFonts w:hint="eastAsia" w:ascii="宋体"/>
          <w:b w:val="0"/>
          <w:bCs/>
          <w:color w:val="auto"/>
          <w:szCs w:val="21"/>
          <w:highlight w:val="none"/>
        </w:rPr>
        <w:t>六、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149329CB">
      <w:pPr>
        <w:spacing w:line="276" w:lineRule="auto"/>
        <w:ind w:firstLine="437"/>
        <w:rPr>
          <w:rFonts w:hint="eastAsia" w:ascii="宋体"/>
          <w:b w:val="0"/>
          <w:bCs/>
          <w:color w:val="auto"/>
          <w:szCs w:val="21"/>
          <w:highlight w:val="none"/>
        </w:rPr>
      </w:pPr>
      <w:r>
        <w:rPr>
          <w:rFonts w:hint="eastAsia" w:ascii="宋体"/>
          <w:b w:val="0"/>
          <w:bCs/>
          <w:color w:val="auto"/>
          <w:szCs w:val="21"/>
          <w:highlight w:val="none"/>
        </w:rPr>
        <w:t>七、投标人所投标货物或服务如有国家相关标准、行业标准、地方标准或者其他标准、规范要求的按相关规定执行，若执行标准有修改或更新按最新版本执行。</w:t>
      </w:r>
    </w:p>
    <w:p w14:paraId="24A3379E">
      <w:pPr>
        <w:spacing w:line="400" w:lineRule="exact"/>
        <w:ind w:firstLine="435"/>
        <w:rPr>
          <w:rFonts w:hint="eastAsia" w:ascii="宋体" w:hAnsi="宋体"/>
          <w:color w:val="auto"/>
          <w:szCs w:val="21"/>
          <w:highlight w:val="none"/>
        </w:rPr>
      </w:pPr>
      <w:r>
        <w:rPr>
          <w:rFonts w:hint="eastAsia" w:ascii="宋体"/>
          <w:b/>
          <w:bCs/>
          <w:color w:val="auto"/>
          <w:sz w:val="28"/>
          <w:szCs w:val="28"/>
          <w:highlight w:val="none"/>
        </w:rPr>
        <w:t>采购预算：</w:t>
      </w:r>
      <w:r>
        <w:rPr>
          <w:rFonts w:hint="eastAsia" w:ascii="宋体" w:hAnsi="Times New Roman" w:eastAsia="宋体" w:cs="Times New Roman"/>
          <w:b/>
          <w:bCs/>
          <w:color w:val="auto"/>
          <w:sz w:val="28"/>
          <w:szCs w:val="28"/>
          <w:highlight w:val="none"/>
          <w:lang w:val="en-US" w:eastAsia="zh-CN"/>
        </w:rPr>
        <w:t>486</w:t>
      </w:r>
      <w:r>
        <w:rPr>
          <w:rFonts w:hint="eastAsia" w:ascii="宋体" w:hAnsi="Times New Roman" w:eastAsia="宋体" w:cs="Times New Roman"/>
          <w:b/>
          <w:bCs/>
          <w:color w:val="auto"/>
          <w:sz w:val="28"/>
          <w:szCs w:val="28"/>
          <w:highlight w:val="none"/>
        </w:rPr>
        <w:t>万元</w:t>
      </w:r>
      <w:r>
        <w:rPr>
          <w:rFonts w:hint="eastAsia" w:ascii="宋体" w:hAnsi="宋体"/>
          <w:color w:val="auto"/>
          <w:szCs w:val="21"/>
          <w:highlight w:val="none"/>
        </w:rPr>
        <w:t>（最高限价金额：</w:t>
      </w:r>
      <w:r>
        <w:rPr>
          <w:rFonts w:hint="eastAsia" w:ascii="宋体" w:hAnsi="宋体"/>
          <w:color w:val="auto"/>
          <w:szCs w:val="21"/>
          <w:highlight w:val="none"/>
          <w:lang w:val="en-US" w:eastAsia="zh-CN"/>
        </w:rPr>
        <w:t>486</w:t>
      </w:r>
      <w:r>
        <w:rPr>
          <w:rFonts w:hint="eastAsia" w:ascii="宋体" w:hAnsi="宋体"/>
          <w:color w:val="auto"/>
          <w:szCs w:val="21"/>
          <w:highlight w:val="none"/>
        </w:rPr>
        <w:t>万元）</w:t>
      </w:r>
    </w:p>
    <w:tbl>
      <w:tblPr>
        <w:tblStyle w:val="20"/>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922"/>
        <w:gridCol w:w="584"/>
        <w:gridCol w:w="437"/>
        <w:gridCol w:w="174"/>
        <w:gridCol w:w="5752"/>
        <w:gridCol w:w="1144"/>
      </w:tblGrid>
      <w:tr w14:paraId="4180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ABC1BB5">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项号</w:t>
            </w:r>
          </w:p>
        </w:tc>
        <w:tc>
          <w:tcPr>
            <w:tcW w:w="922" w:type="dxa"/>
            <w:noWrap w:val="0"/>
            <w:vAlign w:val="center"/>
          </w:tcPr>
          <w:p w14:paraId="523438C7">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货物名称</w:t>
            </w:r>
          </w:p>
        </w:tc>
        <w:tc>
          <w:tcPr>
            <w:tcW w:w="584" w:type="dxa"/>
            <w:noWrap w:val="0"/>
            <w:vAlign w:val="center"/>
          </w:tcPr>
          <w:p w14:paraId="36E625CA">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数量</w:t>
            </w:r>
          </w:p>
        </w:tc>
        <w:tc>
          <w:tcPr>
            <w:tcW w:w="611" w:type="dxa"/>
            <w:gridSpan w:val="2"/>
            <w:noWrap w:val="0"/>
            <w:vAlign w:val="center"/>
          </w:tcPr>
          <w:p w14:paraId="206667C0">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单位</w:t>
            </w:r>
          </w:p>
        </w:tc>
        <w:tc>
          <w:tcPr>
            <w:tcW w:w="5752" w:type="dxa"/>
            <w:noWrap w:val="0"/>
            <w:vAlign w:val="center"/>
          </w:tcPr>
          <w:p w14:paraId="3F19F69C">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技术参数及性能（配置）要求</w:t>
            </w:r>
          </w:p>
        </w:tc>
        <w:tc>
          <w:tcPr>
            <w:tcW w:w="1144" w:type="dxa"/>
            <w:noWrap w:val="0"/>
            <w:vAlign w:val="center"/>
          </w:tcPr>
          <w:p w14:paraId="6E0332D4">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采购标的对应的中小企业划分标准所属行业</w:t>
            </w:r>
          </w:p>
        </w:tc>
      </w:tr>
      <w:tr w14:paraId="3242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3BF47C35">
            <w:pPr>
              <w:keepNext w:val="0"/>
              <w:keepLines w:val="0"/>
              <w:pageBreakBefore w:val="0"/>
              <w:widowControl/>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922" w:type="dxa"/>
            <w:noWrap w:val="0"/>
            <w:vAlign w:val="center"/>
          </w:tcPr>
          <w:p w14:paraId="36EBE810">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数字超声波探伤仪和辅材</w:t>
            </w:r>
          </w:p>
        </w:tc>
        <w:tc>
          <w:tcPr>
            <w:tcW w:w="584" w:type="dxa"/>
            <w:noWrap w:val="0"/>
            <w:vAlign w:val="center"/>
          </w:tcPr>
          <w:p w14:paraId="1228901E">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p>
        </w:tc>
        <w:tc>
          <w:tcPr>
            <w:tcW w:w="611" w:type="dxa"/>
            <w:gridSpan w:val="2"/>
            <w:noWrap w:val="0"/>
            <w:vAlign w:val="center"/>
          </w:tcPr>
          <w:p w14:paraId="5A514B4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2F7E52B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1.频带范围：0.4—20MHz；</w:t>
            </w:r>
          </w:p>
          <w:p w14:paraId="0CF4178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2.采样频率/位数：≥160MHz（硬件实时采样）；</w:t>
            </w:r>
          </w:p>
          <w:p w14:paraId="55ADB47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3.探测范围：0—6000mm（钢中纵波）；</w:t>
            </w:r>
          </w:p>
          <w:p w14:paraId="6610F2A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4.增益范围：110dB，0.1，1.0，2.0，6.0步进</w:t>
            </w:r>
            <w:r>
              <w:rPr>
                <w:rFonts w:hint="eastAsia"/>
                <w:color w:val="auto"/>
                <w:highlight w:val="none"/>
                <w:lang w:eastAsia="zh-CN"/>
              </w:rPr>
              <w:t>（</w:t>
            </w:r>
            <w:r>
              <w:rPr>
                <w:rFonts w:hint="eastAsia" w:ascii="宋体" w:hAnsi="宋体" w:eastAsia="宋体" w:cs="宋体"/>
                <w:color w:val="auto"/>
                <w:sz w:val="21"/>
                <w:szCs w:val="21"/>
                <w:highlight w:val="none"/>
                <w:lang w:val="en-US" w:eastAsia="zh-CN"/>
              </w:rPr>
              <w:t>dB</w:t>
            </w:r>
            <w:r>
              <w:rPr>
                <w:rFonts w:hint="eastAsia"/>
                <w:color w:val="auto"/>
                <w:highlight w:val="none"/>
                <w:lang w:eastAsia="zh-CN"/>
              </w:rPr>
              <w:t>）</w:t>
            </w:r>
            <w:r>
              <w:rPr>
                <w:rFonts w:hint="eastAsia" w:ascii="宋体" w:hAnsi="宋体" w:eastAsia="宋体" w:cs="宋体"/>
                <w:color w:val="auto"/>
                <w:sz w:val="21"/>
                <w:szCs w:val="21"/>
                <w:highlight w:val="none"/>
                <w:lang w:val="en-US" w:eastAsia="zh-CN"/>
              </w:rPr>
              <w:t>；</w:t>
            </w:r>
          </w:p>
          <w:p w14:paraId="5DBFC17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5.声速范围：100—20000m/s；</w:t>
            </w:r>
          </w:p>
          <w:p w14:paraId="1B3F551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6.动态范围：≥30dB；</w:t>
            </w:r>
            <w:r>
              <w:rPr>
                <w:rFonts w:hint="eastAsia" w:ascii="宋体" w:hAnsi="宋体" w:eastAsia="宋体" w:cs="宋体"/>
                <w:color w:val="auto"/>
                <w:sz w:val="21"/>
                <w:szCs w:val="21"/>
                <w:highlight w:val="none"/>
                <w:lang w:val="en-US" w:eastAsia="zh-CN"/>
              </w:rPr>
              <w:tab/>
            </w:r>
          </w:p>
          <w:p w14:paraId="692BF85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7.垂直线性：≤2%；</w:t>
            </w:r>
            <w:r>
              <w:rPr>
                <w:rFonts w:hint="eastAsia" w:ascii="宋体" w:hAnsi="宋体" w:eastAsia="宋体" w:cs="宋体"/>
                <w:color w:val="auto"/>
                <w:sz w:val="21"/>
                <w:szCs w:val="21"/>
                <w:highlight w:val="none"/>
                <w:lang w:val="en-US" w:eastAsia="zh-CN"/>
              </w:rPr>
              <w:tab/>
            </w:r>
          </w:p>
          <w:p w14:paraId="159D23F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8.水平线性：≤0.1%；</w:t>
            </w:r>
            <w:r>
              <w:rPr>
                <w:rFonts w:hint="eastAsia" w:ascii="宋体" w:hAnsi="宋体" w:eastAsia="宋体" w:cs="宋体"/>
                <w:color w:val="auto"/>
                <w:sz w:val="21"/>
                <w:szCs w:val="21"/>
                <w:highlight w:val="none"/>
                <w:lang w:val="en-US" w:eastAsia="zh-CN"/>
              </w:rPr>
              <w:tab/>
            </w:r>
          </w:p>
          <w:p w14:paraId="2EE8B69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9.分辨力：≥32dB；</w:t>
            </w:r>
          </w:p>
          <w:p w14:paraId="4A4A099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10.灵敏度余量：≥65dB（200mm—Ф2平底孔，2.5PΦ20）；</w:t>
            </w:r>
          </w:p>
          <w:p w14:paraId="783793E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11.探头方式：单晶，双晶，穿透；</w:t>
            </w:r>
          </w:p>
          <w:p w14:paraId="6B505A2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12.衰减精度：≤±1dB/20dB；</w:t>
            </w:r>
          </w:p>
          <w:p w14:paraId="65B0A84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13.显示：5.7”TFT.LCD，640×480</w:t>
            </w:r>
            <w:r>
              <w:rPr>
                <w:rFonts w:ascii="Segoe UI" w:hAnsi="Segoe UI" w:eastAsia="Segoe UI" w:cs="Segoe UI"/>
                <w:i w:val="0"/>
                <w:iCs w:val="0"/>
                <w:caps w:val="0"/>
                <w:color w:val="auto"/>
                <w:spacing w:val="8"/>
                <w:sz w:val="21"/>
                <w:szCs w:val="21"/>
                <w:highlight w:val="none"/>
              </w:rPr>
              <w:t>px</w:t>
            </w:r>
            <w:r>
              <w:rPr>
                <w:rFonts w:hint="eastAsia" w:ascii="宋体" w:hAnsi="宋体" w:eastAsia="宋体" w:cs="宋体"/>
                <w:color w:val="auto"/>
                <w:sz w:val="21"/>
                <w:szCs w:val="21"/>
                <w:highlight w:val="none"/>
                <w:lang w:val="en-US" w:eastAsia="zh-CN"/>
              </w:rPr>
              <w:t>；</w:t>
            </w:r>
          </w:p>
          <w:p w14:paraId="41CAFB0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14.电源：16V.DC；220V.AC高性能锂电池；</w:t>
            </w:r>
          </w:p>
          <w:p w14:paraId="3778067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15.环境温度：（-20～50）℃；</w:t>
            </w:r>
          </w:p>
          <w:p w14:paraId="29655CD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16.工作时间：≥8小时（锂电池供电）；</w:t>
            </w:r>
          </w:p>
          <w:p w14:paraId="5F73604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17.通讯接口：USB、VGA；</w:t>
            </w:r>
          </w:p>
          <w:p w14:paraId="6CF8684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18.全中文轻触式键盘，具备数模两用功能；</w:t>
            </w:r>
          </w:p>
          <w:p w14:paraId="02B564D0">
            <w:pPr>
              <w:keepNext w:val="0"/>
              <w:keepLines w:val="0"/>
              <w:pageBreakBefore w:val="0"/>
              <w:kinsoku/>
              <w:wordWrap/>
              <w:overflowPunct/>
              <w:topLinePunct w:val="0"/>
              <w:bidi w:val="0"/>
              <w:spacing w:line="3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●19.探伤通道：≥10（独立）；</w:t>
            </w:r>
            <w:r>
              <w:rPr>
                <w:rFonts w:hint="eastAsia" w:ascii="宋体" w:hAnsi="宋体" w:eastAsia="宋体" w:cs="宋体"/>
                <w:b/>
                <w:bCs/>
                <w:color w:val="auto"/>
                <w:sz w:val="21"/>
                <w:szCs w:val="21"/>
                <w:highlight w:val="none"/>
                <w:lang w:val="en-US" w:eastAsia="zh-CN"/>
              </w:rPr>
              <w:t>（在投标文件中提供具有国家认可的第三方检测机构出具的该功能检测报告复印件或产品功能彩页或相关截图或技术白皮书等佐证材料，否则不予计分）</w:t>
            </w:r>
          </w:p>
          <w:p w14:paraId="1601200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20.具有全波、正半波、负半波、射频四种方式；</w:t>
            </w:r>
          </w:p>
          <w:p w14:paraId="14AEAF3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21.具有门内报警峰值记忆回波、包络波形冻结曲面修正等功能；</w:t>
            </w:r>
          </w:p>
          <w:p w14:paraId="2705400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22.DAC、AVG曲线自动生成，取样点不受限制，并可进行补偿与修正；</w:t>
            </w:r>
          </w:p>
          <w:p w14:paraId="5822CF8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23.仪器直接连接投影仪进行投影，可内置SD卡记录保存探伤数据；</w:t>
            </w:r>
          </w:p>
          <w:p w14:paraId="776252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24.可按日期工件编号和序号进行检索，处理打印及计算机数据通讯和管理；</w:t>
            </w:r>
          </w:p>
          <w:p w14:paraId="1200832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●25.仪器内置各行业探伤标准，具有GB/T11345-2023缺陷智能自动评定功能，仪器可自动生成缺陷的参考验收记录和评定等级示图，可显示单个缺陷长度和累计长度；</w:t>
            </w:r>
            <w:r>
              <w:rPr>
                <w:rFonts w:hint="eastAsia" w:ascii="宋体" w:hAnsi="宋体" w:eastAsia="宋体" w:cs="宋体"/>
                <w:b/>
                <w:bCs/>
                <w:color w:val="auto"/>
                <w:sz w:val="21"/>
                <w:szCs w:val="21"/>
                <w:highlight w:val="none"/>
                <w:lang w:val="en-US" w:eastAsia="zh-CN"/>
              </w:rPr>
              <w:t>（在投标文件中提供具有国家认可的第三方检测机构出具的该功能检测报告复印件或产品功能彩页或相关截图或技术白皮书等佐证材料，否则不予计分）</w:t>
            </w:r>
          </w:p>
          <w:p w14:paraId="229DF12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26.仪器具有按键背光灯设计，满足不同检测环境需求；</w:t>
            </w:r>
          </w:p>
          <w:p w14:paraId="11E4CD6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▲27.仪器须具备升级TOFD+PE同时扫查功能，升级后通道数≥3；</w:t>
            </w:r>
          </w:p>
          <w:p w14:paraId="3654063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28.超声波探头型号：5P9*9K2、5P9*9K2.5、5P13*13K2、2.5PФ14各10只，共40只；</w:t>
            </w:r>
          </w:p>
          <w:p w14:paraId="602EAB7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29.探头线Q9Q9共10根；</w:t>
            </w:r>
          </w:p>
          <w:p w14:paraId="52EE2C7F">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30.润滑油5W—40，4升装共10瓶。</w:t>
            </w:r>
          </w:p>
        </w:tc>
        <w:tc>
          <w:tcPr>
            <w:tcW w:w="1144" w:type="dxa"/>
            <w:noWrap w:val="0"/>
            <w:vAlign w:val="center"/>
          </w:tcPr>
          <w:p w14:paraId="6AFCD9CB">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4F70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38BC4BE1">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922" w:type="dxa"/>
            <w:noWrap w:val="0"/>
            <w:vAlign w:val="center"/>
          </w:tcPr>
          <w:p w14:paraId="37FF1BE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超声波检测试块</w:t>
            </w:r>
          </w:p>
        </w:tc>
        <w:tc>
          <w:tcPr>
            <w:tcW w:w="584" w:type="dxa"/>
            <w:noWrap w:val="0"/>
            <w:vAlign w:val="center"/>
          </w:tcPr>
          <w:p w14:paraId="208F89B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35DB554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62DE077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一、标准试块</w:t>
            </w:r>
          </w:p>
          <w:p w14:paraId="6BD1DF8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1.1.CSK-IA（数量：10块）；</w:t>
            </w:r>
          </w:p>
          <w:p w14:paraId="7B5BA67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1.2.RB-2（数量：10块）</w:t>
            </w:r>
          </w:p>
          <w:p w14:paraId="1789572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▲1.3.同类试块相同反射体dB值偏差不超过±2dB。</w:t>
            </w:r>
          </w:p>
          <w:p w14:paraId="25F6E92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二、UT焊缝试板</w:t>
            </w:r>
          </w:p>
          <w:p w14:paraId="3E22B48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板板对接焊缝试板：15块，长*宽*（高）≥300mm*300mm*（28mm、22mm、18mm）各5块。每块试板的缺陷数量≥3，缺陷距试板端部不少于30mm，两缺陷之间≥60mm，单个缺陷长度≤60mm，试板应包含有裂纹、夹渣、未焊透、未溶合、气孔等五种焊接缺陷，供货时每个试板需出具具有</w:t>
            </w:r>
            <w:r>
              <w:rPr>
                <w:rFonts w:hint="eastAsia"/>
                <w:color w:val="auto"/>
                <w:highlight w:val="none"/>
              </w:rPr>
              <w:t>国家认可的有资质的第三方检测机构</w:t>
            </w:r>
            <w:r>
              <w:rPr>
                <w:rFonts w:hint="eastAsia" w:ascii="宋体" w:hAnsi="宋体" w:eastAsia="宋体" w:cs="宋体"/>
                <w:color w:val="auto"/>
                <w:sz w:val="21"/>
                <w:szCs w:val="21"/>
                <w:highlight w:val="none"/>
                <w:lang w:val="en-US" w:eastAsia="zh-CN"/>
              </w:rPr>
              <w:t>的超声缺陷检测报告和射线检测报告；</w:t>
            </w:r>
          </w:p>
          <w:p w14:paraId="4B958CF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2.2.T型焊缝单V坡口试板：2块，</w:t>
            </w:r>
            <w:r>
              <w:rPr>
                <w:rFonts w:hint="eastAsia"/>
                <w:color w:val="auto"/>
                <w:highlight w:val="none"/>
                <w:lang w:val="en-US" w:eastAsia="zh-CN"/>
              </w:rPr>
              <w:t>单块试块的尺寸</w:t>
            </w:r>
            <w:r>
              <w:rPr>
                <w:rFonts w:hint="eastAsia" w:ascii="宋体" w:hAnsi="宋体" w:eastAsia="宋体" w:cs="宋体"/>
                <w:color w:val="auto"/>
                <w:sz w:val="21"/>
                <w:szCs w:val="21"/>
                <w:highlight w:val="none"/>
                <w:lang w:val="en-US" w:eastAsia="zh-CN"/>
              </w:rPr>
              <w:t>长*宽*高≥300mm*150mm*20mm，翼板长*宽*高≥300mm*150mm*20mm。每块试板的缺陷数量≥2个，缺陷距试板端部不少于30mm，两缺陷之间≥50mm，单个缺陷长度≤50mm，试板应包含有裂纹、夹渣、未焊透、未熔合、气孔等五种焊接缺陷，供货时每个试板需要提供具有</w:t>
            </w:r>
            <w:r>
              <w:rPr>
                <w:rFonts w:hint="eastAsia"/>
                <w:color w:val="auto"/>
                <w:highlight w:val="none"/>
              </w:rPr>
              <w:t>国家认可的有资质的第三方检测机构</w:t>
            </w:r>
            <w:r>
              <w:rPr>
                <w:rFonts w:hint="eastAsia" w:ascii="宋体" w:hAnsi="宋体" w:eastAsia="宋体" w:cs="宋体"/>
                <w:color w:val="auto"/>
                <w:sz w:val="21"/>
                <w:szCs w:val="21"/>
                <w:highlight w:val="none"/>
                <w:lang w:val="en-US" w:eastAsia="zh-CN"/>
              </w:rPr>
              <w:t>的射线检测报告；</w:t>
            </w:r>
          </w:p>
          <w:p w14:paraId="730FE39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2.3.每个试板左上角需刻上试块编号，需要电脑排刻，刻字面为检测面，每块试块均要焊接提手，提手焊接在离端面50mm处，提手用材料的直径≥Φ10mm，焊接表面无飞溅。</w:t>
            </w:r>
          </w:p>
          <w:p w14:paraId="67A6DCB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三、UT锻件试块</w:t>
            </w:r>
          </w:p>
          <w:p w14:paraId="19C52DD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3.1.UT锻件缺陷试块：10块，</w:t>
            </w:r>
            <w:r>
              <w:rPr>
                <w:rFonts w:hint="eastAsia"/>
                <w:color w:val="auto"/>
                <w:highlight w:val="none"/>
                <w:lang w:val="en-US" w:eastAsia="zh-CN"/>
              </w:rPr>
              <w:t>单块试块的尺寸</w:t>
            </w:r>
            <w:r>
              <w:rPr>
                <w:rFonts w:hint="eastAsia" w:ascii="宋体" w:hAnsi="宋体" w:eastAsia="宋体" w:cs="宋体"/>
                <w:color w:val="auto"/>
                <w:sz w:val="21"/>
                <w:szCs w:val="21"/>
                <w:highlight w:val="none"/>
                <w:lang w:val="en-US" w:eastAsia="zh-CN"/>
              </w:rPr>
              <w:t>直径*高≥Φ120mm*180mm；</w:t>
            </w:r>
          </w:p>
          <w:p w14:paraId="3F12BDE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3.2.UT薄板试块：5块，</w:t>
            </w:r>
            <w:r>
              <w:rPr>
                <w:rFonts w:hint="eastAsia"/>
                <w:color w:val="auto"/>
                <w:highlight w:val="none"/>
                <w:lang w:val="en-US" w:eastAsia="zh-CN"/>
              </w:rPr>
              <w:t>单块试块的尺寸</w:t>
            </w:r>
            <w:r>
              <w:rPr>
                <w:rFonts w:hint="eastAsia" w:ascii="宋体" w:hAnsi="宋体" w:eastAsia="宋体" w:cs="宋体"/>
                <w:color w:val="auto"/>
                <w:sz w:val="21"/>
                <w:szCs w:val="21"/>
                <w:highlight w:val="none"/>
                <w:lang w:val="en-US" w:eastAsia="zh-CN"/>
              </w:rPr>
              <w:t>长*宽*高≥400mm*300*10mm；</w:t>
            </w:r>
          </w:p>
          <w:p w14:paraId="572EB59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3.3.UT厚板试板块：5块，</w:t>
            </w:r>
            <w:r>
              <w:rPr>
                <w:rFonts w:hint="eastAsia"/>
                <w:color w:val="auto"/>
                <w:highlight w:val="none"/>
                <w:lang w:val="en-US" w:eastAsia="zh-CN"/>
              </w:rPr>
              <w:t>单块试块的尺寸</w:t>
            </w:r>
            <w:r>
              <w:rPr>
                <w:rFonts w:hint="eastAsia" w:ascii="宋体" w:hAnsi="宋体" w:eastAsia="宋体" w:cs="宋体"/>
                <w:color w:val="auto"/>
                <w:sz w:val="21"/>
                <w:szCs w:val="21"/>
                <w:highlight w:val="none"/>
                <w:lang w:val="en-US" w:eastAsia="zh-CN"/>
              </w:rPr>
              <w:t>长*宽*高≥400mm*300mm*30mm；</w:t>
            </w:r>
          </w:p>
          <w:p w14:paraId="3B05F0D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3.4.每个试块的平底孔缺陷数量≥2，缺陷直径在3mm—5mm之间，缺陷至表面深度在110mm—160mm之间，缺陷间距≥30mm，缺陷至锻件边缘大于10mm；</w:t>
            </w:r>
          </w:p>
          <w:p w14:paraId="6358988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3.5.试块底部需用黑色橡胶密封，试块两侧做固定提手，提手用材料直径≥Φ10mm，供货时试块需具有</w:t>
            </w:r>
            <w:r>
              <w:rPr>
                <w:rFonts w:hint="eastAsia"/>
                <w:color w:val="auto"/>
                <w:highlight w:val="none"/>
              </w:rPr>
              <w:t>国家认可的有资质的第三方检测机构</w:t>
            </w:r>
            <w:r>
              <w:rPr>
                <w:rFonts w:hint="eastAsia" w:ascii="宋体" w:hAnsi="宋体" w:eastAsia="宋体" w:cs="宋体"/>
                <w:color w:val="auto"/>
                <w:sz w:val="21"/>
                <w:szCs w:val="21"/>
                <w:highlight w:val="none"/>
                <w:lang w:val="en-US" w:eastAsia="zh-CN"/>
              </w:rPr>
              <w:t>的超声检测报告。</w:t>
            </w:r>
          </w:p>
          <w:p w14:paraId="48DE83F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四、UT管件试块</w:t>
            </w:r>
          </w:p>
          <w:p w14:paraId="12BFB27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4.1.UT管材试件：1块，直径*长*厚≥Φ150mm×300mm×10mm，设计缺陷≥3个，缺陷为槽或孔；</w:t>
            </w:r>
          </w:p>
          <w:p w14:paraId="1C43467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4.2.块试要焊接提手，提手焊接在离端面50mm处，提手用材料的直径≥Φ10mm，焊接表面无飞溅；</w:t>
            </w:r>
          </w:p>
          <w:p w14:paraId="03737462">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4.3.试块供货时需具有</w:t>
            </w:r>
            <w:r>
              <w:rPr>
                <w:rFonts w:hint="eastAsia"/>
                <w:color w:val="auto"/>
                <w:highlight w:val="none"/>
              </w:rPr>
              <w:t>国家认可的有资质的第三方检测机构</w:t>
            </w:r>
            <w:r>
              <w:rPr>
                <w:rFonts w:hint="eastAsia" w:ascii="宋体" w:hAnsi="宋体" w:eastAsia="宋体" w:cs="宋体"/>
                <w:color w:val="auto"/>
                <w:sz w:val="21"/>
                <w:szCs w:val="21"/>
                <w:highlight w:val="none"/>
                <w:lang w:val="en-US" w:eastAsia="zh-CN"/>
              </w:rPr>
              <w:t>的超声检测报告。</w:t>
            </w:r>
          </w:p>
        </w:tc>
        <w:tc>
          <w:tcPr>
            <w:tcW w:w="1144" w:type="dxa"/>
            <w:noWrap w:val="0"/>
            <w:vAlign w:val="center"/>
          </w:tcPr>
          <w:p w14:paraId="02CF32C8">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1586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4E8A96A4">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922" w:type="dxa"/>
            <w:noWrap w:val="0"/>
            <w:vAlign w:val="center"/>
          </w:tcPr>
          <w:p w14:paraId="66A3CDC1">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可视化演示试块常规培训</w:t>
            </w:r>
          </w:p>
        </w:tc>
        <w:tc>
          <w:tcPr>
            <w:tcW w:w="584" w:type="dxa"/>
            <w:noWrap w:val="0"/>
            <w:vAlign w:val="center"/>
          </w:tcPr>
          <w:p w14:paraId="22B7A3EF">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186678BA">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119E7E9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●1.试块3块：CSK-IA、CSK-IIA-1</w:t>
            </w:r>
            <w:r>
              <w:rPr>
                <w:rFonts w:hint="eastAsia"/>
                <w:color w:val="auto"/>
                <w:highlight w:val="none"/>
                <w:lang w:val="en-US" w:eastAsia="zh-CN"/>
              </w:rPr>
              <w:t>#</w:t>
            </w:r>
            <w:r>
              <w:rPr>
                <w:rFonts w:hint="eastAsia" w:ascii="宋体" w:hAnsi="宋体" w:eastAsia="宋体" w:cs="宋体"/>
                <w:color w:val="auto"/>
                <w:sz w:val="21"/>
                <w:szCs w:val="21"/>
                <w:highlight w:val="none"/>
                <w:lang w:val="en-US" w:eastAsia="zh-CN"/>
              </w:rPr>
              <w:t>、CS-1-5</w:t>
            </w:r>
            <w:r>
              <w:rPr>
                <w:rFonts w:hint="eastAsia"/>
                <w:color w:val="auto"/>
                <w:highlight w:val="none"/>
                <w:lang w:val="en-US" w:eastAsia="zh-CN"/>
              </w:rPr>
              <w:t>#</w:t>
            </w:r>
            <w:r>
              <w:rPr>
                <w:rFonts w:hint="eastAsia" w:ascii="宋体" w:hAnsi="宋体" w:eastAsia="宋体" w:cs="宋体"/>
                <w:color w:val="auto"/>
                <w:sz w:val="21"/>
                <w:szCs w:val="21"/>
                <w:highlight w:val="none"/>
                <w:lang w:val="en-US" w:eastAsia="zh-CN"/>
              </w:rPr>
              <w:t>；（在投标文件中提供具有国家认可的第三方检测机构出具的该功能检测报告复印件或产品功能彩页或相关截图或技术白皮书等佐证材料，否则不予计分）</w:t>
            </w:r>
          </w:p>
          <w:p w14:paraId="1C2A080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2.探头1套：直探头1个，斜探头1个；</w:t>
            </w:r>
          </w:p>
          <w:p w14:paraId="68A9B35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3.清洁套装1套：清洁布手套；</w:t>
            </w:r>
          </w:p>
          <w:p w14:paraId="6E3E50C5">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4.配备专用电源专用耦合剂，底座衬板等。</w:t>
            </w:r>
          </w:p>
        </w:tc>
        <w:tc>
          <w:tcPr>
            <w:tcW w:w="1144" w:type="dxa"/>
            <w:noWrap w:val="0"/>
            <w:vAlign w:val="center"/>
          </w:tcPr>
          <w:p w14:paraId="575E6844">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41E9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2A367A4">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922" w:type="dxa"/>
            <w:noWrap w:val="0"/>
            <w:vAlign w:val="center"/>
          </w:tcPr>
          <w:p w14:paraId="2D4914C3">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MT和PT检测试块</w:t>
            </w:r>
          </w:p>
        </w:tc>
        <w:tc>
          <w:tcPr>
            <w:tcW w:w="584" w:type="dxa"/>
            <w:noWrap w:val="0"/>
            <w:vAlign w:val="center"/>
          </w:tcPr>
          <w:p w14:paraId="20A2344A">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73DA5AC9">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769137F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1.MT（板板对接焊缝）试板：10块，</w:t>
            </w:r>
            <w:r>
              <w:rPr>
                <w:rFonts w:hint="eastAsia"/>
                <w:color w:val="auto"/>
                <w:highlight w:val="none"/>
                <w:lang w:val="en-US" w:eastAsia="zh-CN"/>
              </w:rPr>
              <w:t>单块试板的尺寸</w:t>
            </w:r>
            <w:r>
              <w:rPr>
                <w:rFonts w:hint="eastAsia" w:ascii="宋体" w:hAnsi="宋体" w:eastAsia="宋体" w:cs="宋体"/>
                <w:color w:val="auto"/>
                <w:sz w:val="21"/>
                <w:szCs w:val="21"/>
                <w:highlight w:val="none"/>
                <w:lang w:val="en-US" w:eastAsia="zh-CN"/>
              </w:rPr>
              <w:t>长*宽*高≥300*300*10mm，每块试板表面缺陷≥2个，供货时每块试板需提供MT检测报告；</w:t>
            </w:r>
          </w:p>
          <w:p w14:paraId="4A05B3B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2.PT（板板对接焊缝）试板：10块，</w:t>
            </w:r>
            <w:r>
              <w:rPr>
                <w:rFonts w:hint="eastAsia"/>
                <w:color w:val="auto"/>
                <w:highlight w:val="none"/>
                <w:lang w:val="en-US" w:eastAsia="zh-CN"/>
              </w:rPr>
              <w:t>单块试板的尺寸</w:t>
            </w:r>
            <w:r>
              <w:rPr>
                <w:rFonts w:hint="eastAsia" w:ascii="宋体" w:hAnsi="宋体" w:eastAsia="宋体" w:cs="宋体"/>
                <w:color w:val="auto"/>
                <w:sz w:val="21"/>
                <w:szCs w:val="21"/>
                <w:highlight w:val="none"/>
                <w:lang w:val="en-US" w:eastAsia="zh-CN"/>
              </w:rPr>
              <w:t>长*宽*高≥300*300*8mm，每块试板表面缺陷≥2个，供货时每块试板需提供PT检测报告；</w:t>
            </w:r>
          </w:p>
          <w:p w14:paraId="6FF17B2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3.MT锻件试块：10块，</w:t>
            </w:r>
            <w:r>
              <w:rPr>
                <w:rFonts w:hint="eastAsia"/>
                <w:color w:val="auto"/>
                <w:highlight w:val="none"/>
                <w:lang w:val="en-US" w:eastAsia="zh-CN"/>
              </w:rPr>
              <w:t>单块试</w:t>
            </w:r>
            <w:r>
              <w:rPr>
                <w:rFonts w:hint="eastAsia" w:ascii="宋体" w:hAnsi="宋体" w:eastAsia="宋体" w:cs="宋体"/>
                <w:color w:val="auto"/>
                <w:sz w:val="21"/>
                <w:szCs w:val="21"/>
                <w:highlight w:val="none"/>
                <w:lang w:val="en-US" w:eastAsia="zh-CN"/>
              </w:rPr>
              <w:t>块</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长*宽*高≥100*100*150mm，每个试块内部缺陷≥2个，表面缺陷≥2个，每个试块的内部缺陷需要提供超声检测报告，供货时每个试块的表面缺陷需提供MT检测报告；</w:t>
            </w:r>
          </w:p>
          <w:p w14:paraId="5A9FD22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4.MT铸件块：10块，</w:t>
            </w:r>
            <w:r>
              <w:rPr>
                <w:rFonts w:hint="eastAsia"/>
                <w:color w:val="auto"/>
                <w:highlight w:val="none"/>
                <w:lang w:val="en-US" w:eastAsia="zh-CN"/>
              </w:rPr>
              <w:t>单块试</w:t>
            </w:r>
            <w:r>
              <w:rPr>
                <w:rFonts w:hint="eastAsia" w:ascii="宋体" w:hAnsi="宋体" w:eastAsia="宋体" w:cs="宋体"/>
                <w:color w:val="auto"/>
                <w:sz w:val="21"/>
                <w:szCs w:val="21"/>
                <w:highlight w:val="none"/>
                <w:lang w:val="en-US" w:eastAsia="zh-CN"/>
              </w:rPr>
              <w:t>块</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直径*高度≥Φ50*200mm，每个试块内部缺陷≥2个，表面缺陷≥2个，每个试块的内部缺陷需要提供超声检测报告，供货时每个试块的表面缺陷需提供MT检测报告；</w:t>
            </w:r>
          </w:p>
          <w:p w14:paraId="5B73449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5.PT锻件试块：10块，</w:t>
            </w:r>
            <w:r>
              <w:rPr>
                <w:rFonts w:hint="eastAsia"/>
                <w:color w:val="auto"/>
                <w:highlight w:val="none"/>
                <w:lang w:val="en-US" w:eastAsia="zh-CN"/>
              </w:rPr>
              <w:t>单块试</w:t>
            </w:r>
            <w:r>
              <w:rPr>
                <w:rFonts w:hint="eastAsia" w:ascii="宋体" w:hAnsi="宋体" w:eastAsia="宋体" w:cs="宋体"/>
                <w:color w:val="auto"/>
                <w:sz w:val="21"/>
                <w:szCs w:val="21"/>
                <w:highlight w:val="none"/>
                <w:lang w:val="en-US" w:eastAsia="zh-CN"/>
              </w:rPr>
              <w:t>块</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直径*高度≥Φ50*200mm，每个试块内部缺陷≥2个，表面缺陷≥2个，每个试块的内部缺陷需要提供超声检测报告，供货时每个试块的表面缺陷需提供PT检测报告；</w:t>
            </w:r>
          </w:p>
          <w:p w14:paraId="4696C89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6.PT铸件试块：10块，</w:t>
            </w:r>
            <w:r>
              <w:rPr>
                <w:rFonts w:hint="eastAsia"/>
                <w:color w:val="auto"/>
                <w:highlight w:val="none"/>
                <w:lang w:val="en-US" w:eastAsia="zh-CN"/>
              </w:rPr>
              <w:t>单块试</w:t>
            </w:r>
            <w:r>
              <w:rPr>
                <w:rFonts w:hint="eastAsia" w:ascii="宋体" w:hAnsi="宋体" w:eastAsia="宋体" w:cs="宋体"/>
                <w:color w:val="auto"/>
                <w:sz w:val="21"/>
                <w:szCs w:val="21"/>
                <w:highlight w:val="none"/>
                <w:lang w:val="en-US" w:eastAsia="zh-CN"/>
              </w:rPr>
              <w:t>块</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直径*高度≥Φ50*200mm，每个试块内部缺陷≥2个，表面缺陷≥2个，每个试块的内部缺陷需要提供超声检测报告，供货时每个试块的表面缺陷需提供PT检测报告；</w:t>
            </w:r>
          </w:p>
          <w:p w14:paraId="0A72BCA8">
            <w:pPr>
              <w:keepNext w:val="0"/>
              <w:keepLines w:val="0"/>
              <w:pageBreakBefore w:val="0"/>
              <w:kinsoku/>
              <w:wordWrap/>
              <w:overflowPunct/>
              <w:topLinePunct w:val="0"/>
              <w:bidi w:val="0"/>
              <w:spacing w:line="34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7.每个试板单侧要焊接提手，每个试块两侧要固定提手，提手用材料直径≥Φ10mm，焊接表面无飞溅。</w:t>
            </w:r>
          </w:p>
        </w:tc>
        <w:tc>
          <w:tcPr>
            <w:tcW w:w="1144" w:type="dxa"/>
            <w:noWrap w:val="0"/>
            <w:vAlign w:val="center"/>
          </w:tcPr>
          <w:p w14:paraId="53578A1D">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6946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2FBB1183">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922" w:type="dxa"/>
            <w:noWrap w:val="0"/>
            <w:vAlign w:val="center"/>
          </w:tcPr>
          <w:p w14:paraId="2051847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磁粉探伤机</w:t>
            </w:r>
          </w:p>
        </w:tc>
        <w:tc>
          <w:tcPr>
            <w:tcW w:w="584" w:type="dxa"/>
            <w:noWrap w:val="0"/>
            <w:vAlign w:val="center"/>
          </w:tcPr>
          <w:p w14:paraId="66243D0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p>
        </w:tc>
        <w:tc>
          <w:tcPr>
            <w:tcW w:w="611" w:type="dxa"/>
            <w:gridSpan w:val="2"/>
            <w:noWrap w:val="0"/>
            <w:vAlign w:val="center"/>
          </w:tcPr>
          <w:p w14:paraId="08D8BDF9">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69C34F5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1.可220V直接供电，无需控制器；</w:t>
            </w:r>
          </w:p>
          <w:p w14:paraId="4D6D006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▲2.提升力：≥50N；</w:t>
            </w:r>
          </w:p>
          <w:p w14:paraId="1011EFF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3.灵敏度：≤A-15/100；</w:t>
            </w:r>
          </w:p>
          <w:p w14:paraId="2CA2B80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4.磁间距：50—200mm；</w:t>
            </w:r>
          </w:p>
          <w:p w14:paraId="6B5B400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5.白光照度：≥5500LUX；</w:t>
            </w:r>
          </w:p>
          <w:p w14:paraId="000E9CA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6.磁轭体积：≥200×150×50mm；</w:t>
            </w:r>
          </w:p>
          <w:p w14:paraId="7F4E12D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7.磁轭重量：≥1.6kg；</w:t>
            </w:r>
          </w:p>
          <w:p w14:paraId="49CB8BE5">
            <w:pPr>
              <w:keepNext w:val="0"/>
              <w:keepLines w:val="0"/>
              <w:pageBreakBefore w:val="0"/>
              <w:kinsoku/>
              <w:wordWrap/>
              <w:overflowPunct/>
              <w:topLinePunct w:val="0"/>
              <w:bidi w:val="0"/>
              <w:spacing w:line="34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8.供电电源：220V/50Hz/60Hz。</w:t>
            </w:r>
          </w:p>
        </w:tc>
        <w:tc>
          <w:tcPr>
            <w:tcW w:w="1144" w:type="dxa"/>
            <w:noWrap w:val="0"/>
            <w:vAlign w:val="center"/>
          </w:tcPr>
          <w:p w14:paraId="6092C346">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6D1B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4325F825">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922" w:type="dxa"/>
            <w:noWrap w:val="0"/>
            <w:vAlign w:val="center"/>
          </w:tcPr>
          <w:p w14:paraId="1C5C2A1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涡流检测设备</w:t>
            </w:r>
          </w:p>
        </w:tc>
        <w:tc>
          <w:tcPr>
            <w:tcW w:w="584" w:type="dxa"/>
            <w:noWrap w:val="0"/>
            <w:vAlign w:val="center"/>
          </w:tcPr>
          <w:p w14:paraId="4AA7051F">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6D4A383F">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2A28E02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1.通道数量：≥2个；</w:t>
            </w:r>
          </w:p>
          <w:p w14:paraId="5FF3DAE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▲2.碳钢裂纹检测精度：长×宽×深≤3mm×0.1mm×0.1mm；</w:t>
            </w:r>
          </w:p>
          <w:p w14:paraId="7E942A8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3.管材检测精度：≤0.4mm，通孔达到8dB（20mm内穿探头）；</w:t>
            </w:r>
          </w:p>
          <w:p w14:paraId="499BCFD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4.频率范围：1Hz～10MHz，步进≤1Hz；</w:t>
            </w:r>
          </w:p>
          <w:p w14:paraId="3FF3DD4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5.增益：0dB～90dB，步进≤0.1dB；</w:t>
            </w:r>
          </w:p>
          <w:p w14:paraId="7DE80EE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6.相位：0～350°，步进≤1Deg；</w:t>
            </w:r>
          </w:p>
          <w:p w14:paraId="79A310D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7.标定曲线：幅值相位当量；</w:t>
            </w:r>
          </w:p>
          <w:p w14:paraId="2357AFE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8.显示方式：阻抗时基直角坐标极坐标；</w:t>
            </w:r>
          </w:p>
          <w:p w14:paraId="357D975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9.扫描速度范围：1-100米/分；</w:t>
            </w:r>
          </w:p>
          <w:p w14:paraId="6FCA66E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10.数字滤波：高通频率（0Hz～20000Hz）、低通频率（0Hz～20000Hz）；</w:t>
            </w:r>
          </w:p>
          <w:p w14:paraId="38B7E73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11.检测参数编辑内容数量：≥100000组；</w:t>
            </w:r>
          </w:p>
          <w:p w14:paraId="2607CAB9">
            <w:pPr>
              <w:keepNext w:val="0"/>
              <w:keepLines w:val="0"/>
              <w:pageBreakBefore w:val="0"/>
              <w:kinsoku/>
              <w:wordWrap/>
              <w:overflowPunct/>
              <w:topLinePunct w:val="0"/>
              <w:bidi w:val="0"/>
              <w:spacing w:line="34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12.探头配置：搭配两个探头以上（不限于平板穿过式）。</w:t>
            </w:r>
          </w:p>
        </w:tc>
        <w:tc>
          <w:tcPr>
            <w:tcW w:w="1144" w:type="dxa"/>
            <w:noWrap w:val="0"/>
            <w:vAlign w:val="center"/>
          </w:tcPr>
          <w:p w14:paraId="4B714115">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4A38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08D29A7E">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p>
        </w:tc>
        <w:tc>
          <w:tcPr>
            <w:tcW w:w="922" w:type="dxa"/>
            <w:noWrap w:val="0"/>
            <w:vAlign w:val="center"/>
          </w:tcPr>
          <w:p w14:paraId="4D9ACB30">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RT系统</w:t>
            </w:r>
          </w:p>
        </w:tc>
        <w:tc>
          <w:tcPr>
            <w:tcW w:w="584" w:type="dxa"/>
            <w:noWrap w:val="0"/>
            <w:vAlign w:val="center"/>
          </w:tcPr>
          <w:p w14:paraId="19BFEB6F">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0680D20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0B85DDD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一、X射线探伤机</w:t>
            </w:r>
          </w:p>
          <w:p w14:paraId="506916D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▲1.1.最大管电压：≥225KV，连续可调，精度≤±1％，步长≤1KV；</w:t>
            </w:r>
          </w:p>
          <w:p w14:paraId="78B8011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▲1.2.最大管电流：≥8mA，连续可调，精度≤±1％，步长≤0.1mA；</w:t>
            </w:r>
          </w:p>
          <w:p w14:paraId="4E93988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1.3.最大穿透能力（数字成像状态下）：≥25mm（以Q235材料为例）；</w:t>
            </w:r>
          </w:p>
          <w:p w14:paraId="6D4A957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●1.4.X射线管额定功率：≥1800W；（在投标文件中提供具有国家认可的第三方检测机构出具的该功能检测报告复印件或产品功能彩页或相关截图或技术白皮书等佐证材料，否则不予计分）</w:t>
            </w:r>
          </w:p>
          <w:p w14:paraId="2F5A817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1.5.X射线管焦点尺寸：d≤0.4mm（小焦点）、d≤1.0mm（大焦点）；</w:t>
            </w:r>
          </w:p>
          <w:p w14:paraId="4361DDD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1.6.灯丝电流：≥4A；</w:t>
            </w:r>
          </w:p>
          <w:p w14:paraId="343D8E4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1.7.灯丝电压：≥7V；</w:t>
            </w:r>
          </w:p>
          <w:p w14:paraId="4EE08DF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1.8.固有过滤：≤0.8mm（Be）；</w:t>
            </w:r>
          </w:p>
          <w:p w14:paraId="1A9BC10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1.9.靶角：≥20°；</w:t>
            </w:r>
          </w:p>
          <w:p w14:paraId="280C24F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1.10.最大漏射线剂量：≤5mSv/h；</w:t>
            </w:r>
          </w:p>
          <w:p w14:paraId="7BA2097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1.11.冷却水流量：≥4L/min；</w:t>
            </w:r>
          </w:p>
          <w:p w14:paraId="064B45F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1.12.高频高压发生器频率：≥40KHz；</w:t>
            </w:r>
          </w:p>
          <w:p w14:paraId="02C6242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1.13.高频高压发生器输入功率：≥5kW；</w:t>
            </w:r>
          </w:p>
          <w:p w14:paraId="435E940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1.14.控制触摸屏：≥5.5寸。</w:t>
            </w:r>
          </w:p>
          <w:p w14:paraId="509656A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二、高分辨率数字平板成像系统</w:t>
            </w:r>
          </w:p>
          <w:p w14:paraId="7E58A57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2.1.探测器类型：非晶硅；</w:t>
            </w:r>
          </w:p>
          <w:p w14:paraId="2CA5CB9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2.2.像素尺寸：≥100μm；</w:t>
            </w:r>
          </w:p>
          <w:p w14:paraId="4C01967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2.3.分辨率：≥50Lp/cm；</w:t>
            </w:r>
          </w:p>
          <w:p w14:paraId="35D5C0B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2.4.像素矩阵：≥3000×2400；</w:t>
            </w:r>
          </w:p>
          <w:p w14:paraId="3552B85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●2.5.有效成像面积：≥300×250mm²；（在投标文件中提供具有国家认可的第三方检测机构出具的该功能检测报告复印件或产品功能彩页或相关截图或技术白皮书等佐证材料，否则不予计分）</w:t>
            </w:r>
          </w:p>
          <w:p w14:paraId="2347F26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2.6.A/D转换位数：≥16bit；</w:t>
            </w:r>
          </w:p>
          <w:p w14:paraId="2A6791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2.7.帧率：≥10fps(1×1)/20fps(2×2）；</w:t>
            </w:r>
          </w:p>
          <w:p w14:paraId="6BA1580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2.8.数据接口：万兆以太网。</w:t>
            </w:r>
          </w:p>
          <w:p w14:paraId="4414838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三、计算机图像处理系统</w:t>
            </w:r>
          </w:p>
          <w:p w14:paraId="5AD6826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3.1.CPU：≥十三代i5；</w:t>
            </w:r>
          </w:p>
          <w:p w14:paraId="7415E01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3.2.内存：≥8G；</w:t>
            </w:r>
          </w:p>
          <w:p w14:paraId="72159AC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3.3.硬盘：≥1T；</w:t>
            </w:r>
          </w:p>
          <w:p w14:paraId="5F8D0A4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3.4.显卡显存：≥2G；</w:t>
            </w:r>
          </w:p>
          <w:p w14:paraId="4093240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3.5.显示器：≥24寸高清显示器，支持DVD刻录。</w:t>
            </w:r>
          </w:p>
          <w:p w14:paraId="021836C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四、机械工装系统</w:t>
            </w:r>
          </w:p>
          <w:p w14:paraId="6563DAD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4.1.机械工装采用五轴运动结构，需采用伺服电机驱动，保证精确控制定位；</w:t>
            </w:r>
          </w:p>
          <w:p w14:paraId="3610AC5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4.2.机械行程：≥300mm*400mm*600mm（X轴*Y轴*Z轴）；</w:t>
            </w:r>
          </w:p>
          <w:p w14:paraId="5D713BA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4.3.载物台旋转角度：≥360°；</w:t>
            </w:r>
          </w:p>
          <w:p w14:paraId="1F45A56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4.4.载物台最大载重：≥50kg。</w:t>
            </w:r>
          </w:p>
          <w:p w14:paraId="11D0C4A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▲五、防护铅房</w:t>
            </w:r>
          </w:p>
          <w:p w14:paraId="75761C4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5.1.防护标准：可满足GBZ117-2022《工业X射线探伤卫生防护标准》；</w:t>
            </w:r>
          </w:p>
          <w:p w14:paraId="3104F26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5.2.铅房尺寸：长*宽*高≥1800mm*1500mm*2000mm，具体尺寸按检测工件尺寸及场地实际尺寸为准；</w:t>
            </w:r>
          </w:p>
          <w:p w14:paraId="337845B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5.3.在X射线机满负荷工作下，X射线的外泄剂量符合国家标准（在距离铅房30cm处，空气比释动能率≤0.5μGy/h）；</w:t>
            </w:r>
          </w:p>
          <w:p w14:paraId="34B9FE3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5.4.铅房外侧为钢－铅－钢夹层结构，内壁为方管焊接而成的框架；</w:t>
            </w:r>
          </w:p>
          <w:p w14:paraId="5D260A4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5.5.射线机高压开启时，铅门与射线机需设有联锁保护装置，只要铅门打开，系统可立刻停止射线发生，保证周围环境人员的安全；</w:t>
            </w:r>
          </w:p>
          <w:p w14:paraId="573E10D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5.6.在铅房外配备有固定式X射线剂量仪，可以实时对铅房外射线剂量进行监控；</w:t>
            </w:r>
          </w:p>
          <w:p w14:paraId="5246BA3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5.7.内部应设有照明及220V电源插座，插座数量≥8个；</w:t>
            </w:r>
          </w:p>
          <w:p w14:paraId="0A7FAD1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5.8.防护室内需装有2套不低于1080P的监控摄像机，用于监控室内的设备运行和产品检测状况。</w:t>
            </w:r>
          </w:p>
          <w:p w14:paraId="38D96DF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六、观片灯（10台）</w:t>
            </w:r>
          </w:p>
          <w:p w14:paraId="735B608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6.1.最高亮度：≥790000Lux；</w:t>
            </w:r>
          </w:p>
          <w:p w14:paraId="3F3B605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6.2.可观察胶片黑度：≤5.0；</w:t>
            </w:r>
          </w:p>
          <w:p w14:paraId="2042AE8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6.3.功耗：≤150W；</w:t>
            </w:r>
          </w:p>
          <w:p w14:paraId="25AD339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6.4.数码管显示范围：1.0</w:t>
            </w:r>
            <w:r>
              <w:rPr>
                <w:rFonts w:hint="default" w:ascii="Cambria" w:hAnsi="Cambria" w:eastAsia="宋体" w:cs="Cambria"/>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5.0；</w:t>
            </w:r>
          </w:p>
          <w:p w14:paraId="0809FAF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6.5.平均色温：≥8000K；</w:t>
            </w:r>
          </w:p>
          <w:p w14:paraId="37116FF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●6.6.最大观察屏面积：≥220mm*70mm；（在投标文件中提供具有国家认可的第三方检测机构出具的该功能检测报告复印件或产品功能彩页或相关截图或技术白皮书等佐证材料，否则不予计分）</w:t>
            </w:r>
          </w:p>
          <w:p w14:paraId="63C9F04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6.7.观察屏均匀度：≥0.8。</w:t>
            </w:r>
          </w:p>
          <w:p w14:paraId="5404B3A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七、射线模拟机</w:t>
            </w:r>
          </w:p>
          <w:p w14:paraId="554D56D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7.1.模拟射线管：定向陶瓷管；</w:t>
            </w:r>
          </w:p>
          <w:p w14:paraId="0B1BB03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7.2.模拟电压：150</w:t>
            </w:r>
            <w:r>
              <w:rPr>
                <w:rFonts w:hint="default" w:ascii="Cambria" w:hAnsi="Cambria" w:eastAsia="宋体" w:cs="Cambria"/>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250KV可调；</w:t>
            </w:r>
          </w:p>
          <w:p w14:paraId="2AF8934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7.3.模拟焦点尺寸：≤2.0mm×2.0mm；</w:t>
            </w:r>
          </w:p>
          <w:p w14:paraId="30FB609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7.4.模拟管电流：≤5mA。</w:t>
            </w:r>
          </w:p>
          <w:p w14:paraId="39C3D11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八、图像处理软件</w:t>
            </w:r>
          </w:p>
          <w:p w14:paraId="14874FA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8.1.支持静态/动态检测、电子拍片/点片；</w:t>
            </w:r>
          </w:p>
          <w:p w14:paraId="2B6147D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8.2.支持对被测工件的缺陷几何测量功能；</w:t>
            </w:r>
          </w:p>
          <w:p w14:paraId="01C19ED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8.3.支持视频存储/回放、多幅图像的存储和调出、图像放大和缩小及放大镜、图像一键增强、灰度显示功能、图像打印功能、边缘增强及负像功能等。</w:t>
            </w:r>
          </w:p>
          <w:p w14:paraId="5A5B3E88">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▲九、本系统为交钥匙工程，投标人负责全套设备的设计制造运输现场安装、调试、培训、验收以及设备涉及到合规运行的</w:t>
            </w:r>
            <w:r>
              <w:rPr>
                <w:rFonts w:hint="eastAsia" w:ascii="宋体" w:hAnsi="宋体" w:eastAsia="宋体" w:cs="宋体"/>
                <w:b/>
                <w:bCs/>
                <w:color w:val="auto"/>
                <w:sz w:val="21"/>
                <w:szCs w:val="21"/>
                <w:highlight w:val="none"/>
                <w:lang w:val="en-US" w:eastAsia="zh-CN"/>
              </w:rPr>
              <w:t>环评</w:t>
            </w:r>
            <w:r>
              <w:rPr>
                <w:rFonts w:hint="eastAsia" w:ascii="宋体" w:hAnsi="宋体" w:eastAsia="宋体" w:cs="宋体"/>
                <w:color w:val="auto"/>
                <w:sz w:val="21"/>
                <w:szCs w:val="21"/>
                <w:highlight w:val="none"/>
                <w:lang w:val="en-US" w:eastAsia="zh-CN"/>
              </w:rPr>
              <w:t>办理工作。</w:t>
            </w:r>
          </w:p>
        </w:tc>
        <w:tc>
          <w:tcPr>
            <w:tcW w:w="1144" w:type="dxa"/>
            <w:noWrap w:val="0"/>
            <w:vAlign w:val="center"/>
          </w:tcPr>
          <w:p w14:paraId="1E4589A3">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1082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83672AD">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8</w:t>
            </w:r>
          </w:p>
        </w:tc>
        <w:tc>
          <w:tcPr>
            <w:tcW w:w="922" w:type="dxa"/>
            <w:noWrap w:val="0"/>
            <w:vAlign w:val="center"/>
          </w:tcPr>
          <w:p w14:paraId="74A0B65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VT系统</w:t>
            </w:r>
          </w:p>
        </w:tc>
        <w:tc>
          <w:tcPr>
            <w:tcW w:w="584" w:type="dxa"/>
            <w:noWrap w:val="0"/>
            <w:vAlign w:val="center"/>
          </w:tcPr>
          <w:p w14:paraId="70FD9B8E">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611" w:type="dxa"/>
            <w:gridSpan w:val="2"/>
            <w:noWrap w:val="0"/>
            <w:vAlign w:val="center"/>
          </w:tcPr>
          <w:p w14:paraId="5A4A03D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48DADC2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一、白光照度计</w:t>
            </w:r>
          </w:p>
          <w:p w14:paraId="57F84F2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1.1.照度测量范围：0～100万Lux；</w:t>
            </w:r>
          </w:p>
          <w:p w14:paraId="7F86F8A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1.2.照度分辨率：≤0.1Lux；</w:t>
            </w:r>
          </w:p>
          <w:p w14:paraId="61E10B7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1.3.照度测量精度：≤士（3%H+2Lux）H为标准值。</w:t>
            </w:r>
          </w:p>
          <w:p w14:paraId="4A2B204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二、手电筒</w:t>
            </w:r>
          </w:p>
          <w:p w14:paraId="333EDE2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2.1.光照强度：≥32000LX；</w:t>
            </w:r>
          </w:p>
          <w:p w14:paraId="719EA47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2.2.最大续航：≥10小时；</w:t>
            </w:r>
          </w:p>
          <w:p w14:paraId="1ED7313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2.3.电池容量：≥4000MAh；</w:t>
            </w:r>
          </w:p>
          <w:p w14:paraId="4501B9E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2.4.支持伸缩变焦，无级调光。</w:t>
            </w:r>
          </w:p>
          <w:p w14:paraId="4D4DDD5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三、焊接检验尺</w:t>
            </w:r>
          </w:p>
          <w:p w14:paraId="08EAA10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3.1.最大焊接测量高度：≥15mm，示值允差：≤0.2mm；</w:t>
            </w:r>
          </w:p>
          <w:p w14:paraId="36F38C2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3.2.最大测量宽度：≥65mm，示值允差：≤0.2mm；</w:t>
            </w:r>
          </w:p>
          <w:p w14:paraId="4599E7E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3.3.最大焊缝咬边测量深度：≥5mm，示值允差：≤0.3mm；</w:t>
            </w:r>
          </w:p>
          <w:p w14:paraId="2C9BE43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3.4.焊缝坡口测量角度：80°~160°。</w:t>
            </w:r>
          </w:p>
          <w:p w14:paraId="7F1142C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四、钢直尺</w:t>
            </w:r>
          </w:p>
          <w:p w14:paraId="7A4DA03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4.1.材质：不锈钢；</w:t>
            </w:r>
          </w:p>
          <w:p w14:paraId="5E59433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4.2.最大测量长度：≥60cm；</w:t>
            </w:r>
          </w:p>
          <w:p w14:paraId="41E9B3D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4.3.尺身宽度：≥25mm；</w:t>
            </w:r>
          </w:p>
          <w:p w14:paraId="5CEC0AB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4.4.尺身厚度：≥1mm。</w:t>
            </w:r>
          </w:p>
          <w:p w14:paraId="3F5CC4B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五、游标卡尺</w:t>
            </w:r>
          </w:p>
          <w:p w14:paraId="3F8A9ED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5.1.量程：0-200mm；</w:t>
            </w:r>
          </w:p>
          <w:p w14:paraId="60D4AB3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5.2.材质：不锈钢；</w:t>
            </w:r>
          </w:p>
          <w:p w14:paraId="4E51AD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5.3.读数方式：数显读数；</w:t>
            </w:r>
          </w:p>
          <w:p w14:paraId="5AB8546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5.4.分度：≤0.02mm。</w:t>
            </w:r>
          </w:p>
          <w:p w14:paraId="7815B84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六、钢卷尺</w:t>
            </w:r>
          </w:p>
          <w:p w14:paraId="13DFDC1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6.1.最大量程：≥5米；</w:t>
            </w:r>
          </w:p>
          <w:p w14:paraId="7064B8D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6.2.尺带厚度：≥0.12mm；</w:t>
            </w:r>
          </w:p>
          <w:p w14:paraId="389535E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6.3.尺带宽度：≥25mm；</w:t>
            </w:r>
          </w:p>
          <w:p w14:paraId="7C17914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6.4.具备自锁功能。</w:t>
            </w:r>
          </w:p>
          <w:p w14:paraId="447A398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七、灰度识别卡</w:t>
            </w:r>
          </w:p>
          <w:p w14:paraId="26740CE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7.1.色阶：≥24阶；</w:t>
            </w:r>
          </w:p>
          <w:p w14:paraId="1B3BFC88">
            <w:pPr>
              <w:keepNext w:val="0"/>
              <w:keepLines w:val="0"/>
              <w:pageBreakBefore w:val="0"/>
              <w:kinsoku/>
              <w:wordWrap/>
              <w:overflowPunct/>
              <w:topLinePunct w:val="0"/>
              <w:bidi w:val="0"/>
              <w:spacing w:line="340" w:lineRule="exact"/>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7.2.尺寸：≥200mm*150mm。</w:t>
            </w:r>
          </w:p>
        </w:tc>
        <w:tc>
          <w:tcPr>
            <w:tcW w:w="1144" w:type="dxa"/>
            <w:noWrap w:val="0"/>
            <w:vAlign w:val="center"/>
          </w:tcPr>
          <w:p w14:paraId="5DCC1E94">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7A76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57B0DDD2">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9</w:t>
            </w:r>
          </w:p>
        </w:tc>
        <w:tc>
          <w:tcPr>
            <w:tcW w:w="922" w:type="dxa"/>
            <w:noWrap w:val="0"/>
            <w:vAlign w:val="center"/>
          </w:tcPr>
          <w:p w14:paraId="4E2CC85A">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金相制样操作平台</w:t>
            </w:r>
          </w:p>
        </w:tc>
        <w:tc>
          <w:tcPr>
            <w:tcW w:w="584" w:type="dxa"/>
            <w:noWrap w:val="0"/>
            <w:vAlign w:val="center"/>
          </w:tcPr>
          <w:p w14:paraId="094D84B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0425658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1384D7D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一、水池操作台（10台）</w:t>
            </w:r>
          </w:p>
          <w:p w14:paraId="461C2AA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采用四周钢架结构，长*宽*高≥100cm*75cm*85cm（两工位共用一个水池），每支钢架的长*宽*厚≥60mm*40mm*1.2mm，采用冷轧钢板焊接+部分螺丝固定成型，操作台表面有环氧树脂喷涂，腐蚀台面厚度≥12mm，可耐酸碱防腐蚀，台面需开一个水池方孔，一个下水圆孔，台面三面围边（防水）；</w:t>
            </w:r>
          </w:p>
          <w:p w14:paraId="7550D1E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1.2.实验室专用水槽：长*宽*高≥550mm*450mm*300mm；台下盆式安装，耐酸碱防腐蚀，带过滤网。</w:t>
            </w:r>
          </w:p>
          <w:p w14:paraId="1FEB9D5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二、抛光操作台（20台）</w:t>
            </w:r>
          </w:p>
          <w:p w14:paraId="44BEE7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采用四周钢架结构，长*宽*高≥70cm*40cm*65cm，台后留有设备管路安装孔，台面上开有上水孔，高低台之间及后侧都安装封板，全封闭设计；每支钢架的长*宽*厚≥60mm*40mm*1.2mm，采用冷轧钢板焊接+部分螺丝固定成型，操作台表面有环氧树脂喷涂；</w:t>
            </w:r>
          </w:p>
          <w:p w14:paraId="3296CB8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2.2.柜体用板厚≥18mm。</w:t>
            </w:r>
          </w:p>
          <w:p w14:paraId="7466C8B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三、手磨操作台（20台）</w:t>
            </w:r>
          </w:p>
          <w:p w14:paraId="42071E6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3.1.采用四周钢架结构，长*宽*高≥45cm*75cm*85cm，台面≥12mm，右侧台面上铺一层≥10mm钢化玻璃，每支钢架的长*宽*厚≥60mm*40mm*1.2mm，采用冷轧钢板焊接+部分螺丝固定成型，表面环氧树脂喷涂；</w:t>
            </w:r>
          </w:p>
          <w:p w14:paraId="37958F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3.2.柜体用板厚≥18mm，柜体采用独特的内镶嵌式，固定在框架内；</w:t>
            </w:r>
          </w:p>
          <w:p w14:paraId="4B6285A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3.3.抽屉使用三节滑轨，阻尼合页大弯拉手。</w:t>
            </w:r>
          </w:p>
          <w:p w14:paraId="27649A9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四、钢玻试剂架</w:t>
            </w:r>
          </w:p>
          <w:p w14:paraId="4B96BD3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4.1.采用5根立柱，表面环氧树脂喷涂，中间三根立柱每根立柱上含1个插座，外侧两根立柱不带插座，层板单层结构，层板为钢化玻璃；</w:t>
            </w:r>
          </w:p>
          <w:p w14:paraId="178DA6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4.2.两操作台之间用有机玻璃隔板，厚度≥5mm。</w:t>
            </w:r>
          </w:p>
          <w:p w14:paraId="44D0088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五、水电安装</w:t>
            </w:r>
          </w:p>
          <w:p w14:paraId="666DFCE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5.1.按实验室现场专业设计，上水管路采用PP-R材质，暗藏于操作台检修通道内，每个工位配置角阀，每个工位配置排水口，都安装在指定位检修位，用于接驳磨抛机；</w:t>
            </w:r>
          </w:p>
          <w:p w14:paraId="521DDFF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5.2.电路采用≥4平方的线，需要配有地线，管套保护，分路插座采用≥2.5平方的线。</w:t>
            </w:r>
          </w:p>
          <w:p w14:paraId="052B453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六、辅料</w:t>
            </w:r>
          </w:p>
          <w:p w14:paraId="25422CE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6.1.橡胶挤压式球20个：橡胶材质；</w:t>
            </w:r>
          </w:p>
          <w:p w14:paraId="635762C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6.2.钢化玻璃板20块：</w:t>
            </w:r>
            <w:r>
              <w:rPr>
                <w:rFonts w:hint="eastAsia"/>
                <w:color w:val="auto"/>
                <w:highlight w:val="none"/>
                <w:lang w:val="en-US" w:eastAsia="zh-CN"/>
              </w:rPr>
              <w:t>单块钢化玻璃的尺寸</w:t>
            </w:r>
            <w:r>
              <w:rPr>
                <w:rFonts w:hint="eastAsia" w:ascii="宋体" w:hAnsi="宋体" w:eastAsia="宋体" w:cs="宋体"/>
                <w:color w:val="auto"/>
                <w:sz w:val="21"/>
                <w:szCs w:val="21"/>
                <w:highlight w:val="none"/>
                <w:lang w:val="en-US" w:eastAsia="zh-CN"/>
              </w:rPr>
              <w:t>≥400*300*10mm；</w:t>
            </w:r>
          </w:p>
          <w:p w14:paraId="38A133B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6.3.防腐托盘20个：单个托盘</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≥35*25*4.5cm；</w:t>
            </w:r>
          </w:p>
          <w:p w14:paraId="088FCB4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6.4.滴瓶20个：单个滴瓶</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60ml；</w:t>
            </w:r>
          </w:p>
          <w:p w14:paraId="20D51DC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6.5.烧杯20个：单个烧杯</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500ml、250ml、150ml；</w:t>
            </w:r>
          </w:p>
          <w:p w14:paraId="5E0B663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6.6.洗瓶20个：单个洗瓶</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≥500ml；</w:t>
            </w:r>
          </w:p>
          <w:p w14:paraId="746C467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6.7.试样竹夹和木夹各20个：单个夹子</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≥20cm；</w:t>
            </w:r>
          </w:p>
          <w:p w14:paraId="343D97D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6.8.表面皿20个：单个表面皿</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≥Φ90mm；</w:t>
            </w:r>
          </w:p>
          <w:p w14:paraId="3EDF890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6.9.毛巾20块：单个毛巾</w:t>
            </w:r>
            <w:r>
              <w:rPr>
                <w:rFonts w:hint="eastAsia"/>
                <w:color w:val="auto"/>
                <w:highlight w:val="none"/>
                <w:lang w:val="en-US" w:eastAsia="zh-CN"/>
              </w:rPr>
              <w:t>的尺寸</w:t>
            </w:r>
            <w:r>
              <w:rPr>
                <w:rFonts w:hint="eastAsia" w:ascii="宋体" w:hAnsi="宋体" w:eastAsia="宋体" w:cs="宋体"/>
                <w:color w:val="auto"/>
                <w:sz w:val="21"/>
                <w:szCs w:val="21"/>
                <w:highlight w:val="none"/>
                <w:lang w:val="en-US" w:eastAsia="zh-CN"/>
              </w:rPr>
              <w:t>≥30*30cm。</w:t>
            </w:r>
          </w:p>
          <w:p w14:paraId="17029A80">
            <w:pPr>
              <w:pStyle w:val="6"/>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七、实验</w:t>
            </w:r>
            <w:r>
              <w:rPr>
                <w:rFonts w:hint="eastAsia" w:ascii="宋体" w:hAnsi="宋体" w:eastAsia="宋体" w:cs="宋体"/>
                <w:color w:val="auto"/>
                <w:kern w:val="2"/>
                <w:sz w:val="21"/>
                <w:szCs w:val="21"/>
                <w:highlight w:val="none"/>
                <w:lang w:val="en-US" w:eastAsia="zh-CN" w:bidi="ar-SA"/>
              </w:rPr>
              <w:t>室文化布展：根据学院的情况，制作展板挂图，单块板挂图尺寸长*宽≥100cm*80cm，材质为泡沫板，数量≥20块。</w:t>
            </w:r>
          </w:p>
        </w:tc>
        <w:tc>
          <w:tcPr>
            <w:tcW w:w="1144" w:type="dxa"/>
            <w:noWrap w:val="0"/>
            <w:vAlign w:val="center"/>
          </w:tcPr>
          <w:p w14:paraId="2F02ACE4">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3C3E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20101F3E">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p>
        </w:tc>
        <w:tc>
          <w:tcPr>
            <w:tcW w:w="922" w:type="dxa"/>
            <w:noWrap w:val="0"/>
            <w:vAlign w:val="center"/>
          </w:tcPr>
          <w:p w14:paraId="6F930AB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抛磨机</w:t>
            </w:r>
          </w:p>
        </w:tc>
        <w:tc>
          <w:tcPr>
            <w:tcW w:w="584" w:type="dxa"/>
            <w:noWrap w:val="0"/>
            <w:vAlign w:val="center"/>
          </w:tcPr>
          <w:p w14:paraId="1B7E966B">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w:t>
            </w:r>
          </w:p>
        </w:tc>
        <w:tc>
          <w:tcPr>
            <w:tcW w:w="611" w:type="dxa"/>
            <w:gridSpan w:val="2"/>
            <w:noWrap w:val="0"/>
            <w:vAlign w:val="center"/>
          </w:tcPr>
          <w:p w14:paraId="19515447">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台</w:t>
            </w:r>
          </w:p>
        </w:tc>
        <w:tc>
          <w:tcPr>
            <w:tcW w:w="5752" w:type="dxa"/>
            <w:noWrap w:val="0"/>
            <w:vAlign w:val="center"/>
          </w:tcPr>
          <w:p w14:paraId="3ADEBCB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●1.磨抛盘直径：≥Φ200mm，磨抛盘表面特氟龙处理；（在投标文件中提供具有国家认可的第三方检测机构出具的该功能检测报告复印件或产品功能彩页或相关截图或技术白皮书等佐证材料，否则不予计分）</w:t>
            </w:r>
          </w:p>
          <w:p w14:paraId="2A9C81D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2.磨抛盘转向：正反转可调节，磨抛盘可顺时针或逆时针转动；</w:t>
            </w:r>
          </w:p>
          <w:p w14:paraId="050C208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▲3.磨抛盘转速：0-1500r/min，旋钮可无级调速；另配按键，可定速4档调速；</w:t>
            </w:r>
          </w:p>
          <w:p w14:paraId="1F7E48B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4.限时加速功能：设备可在3秒内从0r/min加速至1500r/min；</w:t>
            </w:r>
          </w:p>
          <w:p w14:paraId="6E6D382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5.限时停止功能：设备可在3秒内从1500r/min至停止运行；</w:t>
            </w:r>
          </w:p>
          <w:p w14:paraId="0BBC297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6.防水防污功能：可手动升降并旋转360°；</w:t>
            </w:r>
          </w:p>
          <w:p w14:paraId="6C51447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7.最大摩擦力：≥60N；</w:t>
            </w:r>
          </w:p>
          <w:p w14:paraId="5EFE429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8.其他功能：具有急停功能，加水冷却功能；</w:t>
            </w:r>
          </w:p>
          <w:p w14:paraId="7515884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9.功率：≥0.75kW；</w:t>
            </w:r>
          </w:p>
          <w:p w14:paraId="463A4B21">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10.辅材：挡水片1块，带胶抛光布2张，带胶砂纸8张，进出水管2根，其他随机资料1套。</w:t>
            </w:r>
          </w:p>
        </w:tc>
        <w:tc>
          <w:tcPr>
            <w:tcW w:w="1144" w:type="dxa"/>
            <w:noWrap w:val="0"/>
            <w:vAlign w:val="center"/>
          </w:tcPr>
          <w:p w14:paraId="7D07E566">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7C6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56DFB98B">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w:t>
            </w:r>
          </w:p>
        </w:tc>
        <w:tc>
          <w:tcPr>
            <w:tcW w:w="922" w:type="dxa"/>
            <w:noWrap w:val="0"/>
            <w:vAlign w:val="center"/>
          </w:tcPr>
          <w:p w14:paraId="35142D45">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三目倒置金相显微镜</w:t>
            </w:r>
          </w:p>
        </w:tc>
        <w:tc>
          <w:tcPr>
            <w:tcW w:w="584" w:type="dxa"/>
            <w:noWrap w:val="0"/>
            <w:vAlign w:val="center"/>
          </w:tcPr>
          <w:p w14:paraId="639F79E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w:t>
            </w:r>
          </w:p>
        </w:tc>
        <w:tc>
          <w:tcPr>
            <w:tcW w:w="611" w:type="dxa"/>
            <w:gridSpan w:val="2"/>
            <w:noWrap w:val="0"/>
            <w:vAlign w:val="center"/>
          </w:tcPr>
          <w:p w14:paraId="2E3DC32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台</w:t>
            </w:r>
          </w:p>
        </w:tc>
        <w:tc>
          <w:tcPr>
            <w:tcW w:w="5752" w:type="dxa"/>
            <w:noWrap w:val="0"/>
            <w:vAlign w:val="center"/>
          </w:tcPr>
          <w:p w14:paraId="66C1ACB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●1.放大倍数：50X-500X；（在投标文件中提供具有国家认可的第三方检测机构出具的该功能检测报告复印件或产品功能彩页或相关截图或技术白皮书等佐证材料，否则不予计分）</w:t>
            </w:r>
          </w:p>
          <w:p w14:paraId="0884074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2.目镜：视场数≥20mm，其中一支目镜带尺；</w:t>
            </w:r>
          </w:p>
          <w:p w14:paraId="0F8345E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3.观察筒：铰链式三目，≥45°倾斜，固定式分光比：80%，20%，瞳距可调；</w:t>
            </w:r>
          </w:p>
          <w:p w14:paraId="23E7D7E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4.转换器：内定位物镜转换器，数量≥5孔；</w:t>
            </w:r>
          </w:p>
          <w:p w14:paraId="64CA68A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▲5.物镜：LMPlan5X/NA≥0.12/WD≥15.5mm，LMPlan10X/NA≥0.25/WD≥8.5mm，LMPlan20X/NA≥0.4/WD≥8.5mm，LMPlan50X/NA≥0.60/WD≥5mm；</w:t>
            </w:r>
          </w:p>
          <w:p w14:paraId="7F3E8B4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6.调焦机构：调节时转换器上下为之移动，而载物台高度不变，粗微同轴调焦；微调精度≤0.002mm，带粗调松紧调节装置，可调节粗调手轮的扭矩；</w:t>
            </w:r>
          </w:p>
          <w:p w14:paraId="5AA485A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载物台：三层机械移动平台，低手位XY方向同轴调节，平台面积长*宽≥180mm*150mm，移动范围：长*宽≥70mm*40mm；移动精度：≤0.1mm；样品压片，可拆下，金属载物台板（中心孔直径≤15mm），带旋转旋转提手，内嵌载物台可以360°旋转，机架带起偏镜和检偏镜插口，偏光观察时可一键进入光路；</w:t>
            </w:r>
          </w:p>
          <w:p w14:paraId="4E7E71B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8.反射照明系统：100V—240V宽电压输入，亮度连续可调；后置插入式灯箱连接；可变孔径光阑；可变视场光阑，中心可调；主电源开关与光亮度调节独立设计，高电压与低电压分开控制；</w:t>
            </w:r>
          </w:p>
          <w:p w14:paraId="588ED2A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9.左右两系统放大率差≤±0.5%，双目系统左右市场中心偏差上下≤0.05mm，左右外侧≤0.1mm，左右内侧≤0.01mm；</w:t>
            </w:r>
          </w:p>
          <w:p w14:paraId="32FEC66F">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10.物镜清晰圆直径：5X物镜≥18mm，10X物镜≥18mm，20X物镜≥17.5mm，50X物镜≥17.5mm，物镜放大率准确度≤±0.9%。</w:t>
            </w:r>
          </w:p>
        </w:tc>
        <w:tc>
          <w:tcPr>
            <w:tcW w:w="1144" w:type="dxa"/>
            <w:noWrap w:val="0"/>
            <w:vAlign w:val="center"/>
          </w:tcPr>
          <w:p w14:paraId="2797998F">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739A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01CCB51A">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p>
        </w:tc>
        <w:tc>
          <w:tcPr>
            <w:tcW w:w="922" w:type="dxa"/>
            <w:noWrap w:val="0"/>
            <w:vAlign w:val="center"/>
          </w:tcPr>
          <w:p w14:paraId="3E12C0C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演示摄像头</w:t>
            </w:r>
          </w:p>
        </w:tc>
        <w:tc>
          <w:tcPr>
            <w:tcW w:w="584" w:type="dxa"/>
            <w:noWrap w:val="0"/>
            <w:vAlign w:val="center"/>
          </w:tcPr>
          <w:p w14:paraId="3295F14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611" w:type="dxa"/>
            <w:gridSpan w:val="2"/>
            <w:noWrap w:val="0"/>
            <w:vAlign w:val="center"/>
          </w:tcPr>
          <w:p w14:paraId="5EB1D5B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316981B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1.摄像头：≥600万像素；</w:t>
            </w:r>
          </w:p>
          <w:p w14:paraId="04F4F67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2.传感器尺寸：≥1/1.5”；</w:t>
            </w:r>
          </w:p>
          <w:p w14:paraId="51121BA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3.最大帧率及最大分辨率：≥30fps@3070x2040；</w:t>
            </w:r>
          </w:p>
          <w:p w14:paraId="2AD8E97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4.软件功能：具有自动曝光、自动白平衡功能；</w:t>
            </w:r>
          </w:p>
          <w:p w14:paraId="0EADF5E4">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5.输出方式：USB3.0数码输出。</w:t>
            </w:r>
          </w:p>
        </w:tc>
        <w:tc>
          <w:tcPr>
            <w:tcW w:w="1144" w:type="dxa"/>
            <w:noWrap w:val="0"/>
            <w:vAlign w:val="center"/>
          </w:tcPr>
          <w:p w14:paraId="37A9B766">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2BFB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4CE1F46F">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p>
        </w:tc>
        <w:tc>
          <w:tcPr>
            <w:tcW w:w="922" w:type="dxa"/>
            <w:noWrap w:val="0"/>
            <w:vAlign w:val="center"/>
          </w:tcPr>
          <w:p w14:paraId="391EEFA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工业用数码</w:t>
            </w:r>
          </w:p>
          <w:p w14:paraId="548B1D22">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相机</w:t>
            </w:r>
          </w:p>
        </w:tc>
        <w:tc>
          <w:tcPr>
            <w:tcW w:w="584" w:type="dxa"/>
            <w:noWrap w:val="0"/>
            <w:vAlign w:val="center"/>
          </w:tcPr>
          <w:p w14:paraId="1EEC827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611" w:type="dxa"/>
            <w:gridSpan w:val="2"/>
            <w:noWrap w:val="0"/>
            <w:vAlign w:val="center"/>
          </w:tcPr>
          <w:p w14:paraId="1018F18E">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台</w:t>
            </w:r>
          </w:p>
        </w:tc>
        <w:tc>
          <w:tcPr>
            <w:tcW w:w="5752" w:type="dxa"/>
            <w:noWrap w:val="0"/>
            <w:vAlign w:val="center"/>
          </w:tcPr>
          <w:p w14:paraId="197BC9A1">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1.有效像素：≥2000万像素，CMOS 传感器尺寸≥ 1/2.0 英寸；</w:t>
            </w:r>
          </w:p>
          <w:p w14:paraId="7DA68C6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2.显示屏：≥3.0英寸LCD；</w:t>
            </w:r>
          </w:p>
          <w:p w14:paraId="4999E1A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3.光学变焦：≥12倍光学变焦；</w:t>
            </w:r>
          </w:p>
          <w:p w14:paraId="23FA83D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4.焦距范围：25–300mm，广角端≥25mm；</w:t>
            </w:r>
          </w:p>
          <w:p w14:paraId="02C54BC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5.数码变焦：≥48倍；</w:t>
            </w:r>
          </w:p>
          <w:p w14:paraId="338A2DE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6.最大分辨率：≥5180×3880；</w:t>
            </w:r>
          </w:p>
          <w:p w14:paraId="5EDDA9B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7.无线功能：内置Wi—Fi+NFC，支持手机直连遥控拍摄无线传输；</w:t>
            </w:r>
          </w:p>
          <w:p w14:paraId="70072FA6">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8.接口：USB2.0高速HDMI.输出A/V输出。</w:t>
            </w:r>
          </w:p>
        </w:tc>
        <w:tc>
          <w:tcPr>
            <w:tcW w:w="1144" w:type="dxa"/>
            <w:noWrap w:val="0"/>
            <w:vAlign w:val="center"/>
          </w:tcPr>
          <w:p w14:paraId="375C68C5">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787E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16048BB3">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p>
        </w:tc>
        <w:tc>
          <w:tcPr>
            <w:tcW w:w="922" w:type="dxa"/>
            <w:noWrap w:val="0"/>
            <w:vAlign w:val="center"/>
          </w:tcPr>
          <w:p w14:paraId="12EC834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超声相控阵检测仪</w:t>
            </w:r>
          </w:p>
        </w:tc>
        <w:tc>
          <w:tcPr>
            <w:tcW w:w="584" w:type="dxa"/>
            <w:noWrap w:val="0"/>
            <w:vAlign w:val="center"/>
          </w:tcPr>
          <w:p w14:paraId="21888F59">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29C91965">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44006FF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●一、通道参数（在投标文件中提供具有国家认可的第三方检测机构出具的该功能检测报告复印件或产品功能彩页或相关截图或技术白皮书等佐证材料，否则不予计分）</w:t>
            </w:r>
          </w:p>
          <w:p w14:paraId="772E722A">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1.1.PA模式：发射通道≥32，接收通道≥128；</w:t>
            </w:r>
          </w:p>
          <w:p w14:paraId="1B38182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1.2.TOFD模式：四通道。</w:t>
            </w:r>
          </w:p>
          <w:p w14:paraId="7FBF615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二、物理参数</w:t>
            </w:r>
          </w:p>
          <w:p w14:paraId="387CF31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2.1.显示屏：≥10寸，分辨率不低于1020×760高清彩色液晶触摸屏；</w:t>
            </w:r>
          </w:p>
          <w:p w14:paraId="70511A5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2.2.探头接口：相控阵探头接口；C5常规探头接口，支持一发一收及自发自收；</w:t>
            </w:r>
          </w:p>
          <w:p w14:paraId="7A460AB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2.3.I/O.接口：USB2.0/USB3.0接口；VGA；LAN；编码器接口（≥2个）；</w:t>
            </w:r>
          </w:p>
          <w:p w14:paraId="4ACFBB7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2.4.数据存储：内部：≥256G，可扩展；</w:t>
            </w:r>
          </w:p>
          <w:p w14:paraId="6B85E86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2.5.电源：≥14V锂离子电池组；</w:t>
            </w:r>
          </w:p>
          <w:p w14:paraId="61E3EAE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2.6.防护等级：≥IP65。</w:t>
            </w:r>
          </w:p>
          <w:p w14:paraId="01E8BCC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三、PA模式参数</w:t>
            </w:r>
          </w:p>
          <w:p w14:paraId="07C346C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3.1.重复频率：30Hz～30kHz；</w:t>
            </w:r>
          </w:p>
          <w:p w14:paraId="7199A6F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3.2电压：负方波20V～110V(PA模式）、20V～350V(TOFD/PE）；</w:t>
            </w:r>
          </w:p>
          <w:p w14:paraId="31D0007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3.3.脉冲宽度：20ns～1280ns，分辨率≤2.5ns；</w:t>
            </w:r>
          </w:p>
          <w:p w14:paraId="186BF43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3.4.延时精度：≤2.5ns；</w:t>
            </w:r>
          </w:p>
          <w:p w14:paraId="52BB802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3.5.接收延时.0us～1000us；</w:t>
            </w:r>
          </w:p>
          <w:p w14:paraId="47A7478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3.6.带宽：0.5MHz～20MHz；</w:t>
            </w:r>
          </w:p>
          <w:p w14:paraId="0B5F3B2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3.7.增益：≥120dB；</w:t>
            </w:r>
          </w:p>
          <w:p w14:paraId="43BE07B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3.8.滤波器：多档滤波器可选；</w:t>
            </w:r>
          </w:p>
          <w:p w14:paraId="40FEF51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3.9.检波：射频全波正半波负半波；</w:t>
            </w:r>
          </w:p>
          <w:p w14:paraId="162EF06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3.10.抑制：0～80%；</w:t>
            </w:r>
          </w:p>
          <w:p w14:paraId="086C817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3.11.扫描类型：支持A扫/线扫/扇扫/B扫/C扫/D扫/TOFD扫/3D等视图方式；</w:t>
            </w:r>
          </w:p>
          <w:p w14:paraId="21D7CB9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3.12.触发：时间编码器；</w:t>
            </w:r>
          </w:p>
          <w:p w14:paraId="11C73B5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3.13.角度范围：-89°～+89°；</w:t>
            </w:r>
          </w:p>
          <w:p w14:paraId="3947970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3.14.自动校准：TCG、ACG；</w:t>
            </w:r>
          </w:p>
          <w:p w14:paraId="6896FE8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3.15.检测范围：0.0mm～1000mm，增量：≤1mm；</w:t>
            </w:r>
          </w:p>
          <w:p w14:paraId="37F978D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3.16.测量闸门：AB；</w:t>
            </w:r>
          </w:p>
          <w:p w14:paraId="6394A6D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3.17.闸门起点：全范围；</w:t>
            </w:r>
          </w:p>
          <w:p w14:paraId="417BA18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3.18.闸门宽度：闸门起点到全范围；</w:t>
            </w:r>
          </w:p>
          <w:p w14:paraId="27AC11A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3.19.闸门高度：0%～.100%；</w:t>
            </w:r>
          </w:p>
          <w:p w14:paraId="24D8AF3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3.20.报警：声光；</w:t>
            </w:r>
          </w:p>
          <w:p w14:paraId="1A33F2A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3.21.显示读数：幅度声程水平垂直；</w:t>
            </w:r>
          </w:p>
          <w:p w14:paraId="4DA5325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3.22.测量分辨率：≤0.1mm。</w:t>
            </w:r>
          </w:p>
          <w:p w14:paraId="13E5F53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四、TOFD模块参数</w:t>
            </w:r>
          </w:p>
          <w:p w14:paraId="43A1591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4.1.系统带宽：0.8～20MHz；</w:t>
            </w:r>
          </w:p>
          <w:p w14:paraId="19928FF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4.2.采样频率：≥200MHz；</w:t>
            </w:r>
          </w:p>
          <w:p w14:paraId="0404E78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4.3.记录方法：原始数据完全记录，采样深度≥4096点；</w:t>
            </w:r>
          </w:p>
          <w:p w14:paraId="0B27353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4.4.脉冲前沿：≤8ns；</w:t>
            </w:r>
          </w:p>
          <w:p w14:paraId="6611421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4.5.脉冲宽度：50～1000ns连续可调.（步长≤10ns）；</w:t>
            </w:r>
          </w:p>
          <w:p w14:paraId="1A018BE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4.6.重复频率：每通道范围100～1000Hz可调；</w:t>
            </w:r>
          </w:p>
          <w:p w14:paraId="08B8DD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4.7.衰减精度：≤±1dB/20dB；</w:t>
            </w:r>
          </w:p>
          <w:p w14:paraId="6B5CA74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4.8.检波方式：正检波、负检波、全检波、射频波；</w:t>
            </w:r>
          </w:p>
          <w:p w14:paraId="7E0BD3E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4.9.频带宽度（-6dB）：0.5～5MHz、2～10MHz、4～15MHz、0.5～30MHz；</w:t>
            </w:r>
          </w:p>
          <w:p w14:paraId="2A427EC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4.10.触发方式：编码器触发（最高分辨率0.25mm，支持双路编码器）时间触发（最高分辨率5ms）编码器和磁性轮同轴；</w:t>
            </w:r>
          </w:p>
          <w:p w14:paraId="59E2C15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4.11支持平板对接焊缝检测、不等厚对接焊缝检测、角钢检测、腐蚀检测、管道检测、螺栓检测、TKY管节检测、B型套筒焊缝检测、吊钩检测、石油钻杆稳定（扶正）器检测、不锈钢检测、管道检测等仿真功能。仿真功能终身免费添加升级；</w:t>
            </w:r>
          </w:p>
          <w:p w14:paraId="2AE5C87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4.12支持螺栓3D仿真检测，支持螺栓应力超声检测功能，提供纵波单波+横纵波双波法检测模式；</w:t>
            </w:r>
          </w:p>
          <w:p w14:paraId="61E22C8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4.13按键背光设计，满足黑暗环境下检测需求；</w:t>
            </w:r>
          </w:p>
          <w:p w14:paraId="14EDB57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4.14离线软件可实现同时在一个软件界面中打开不同侧的检测图，两个图谱的测量线同步移动；</w:t>
            </w:r>
          </w:p>
          <w:p w14:paraId="4D72309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4.15离线软件可去除指定区域以外的显示信号，将非相关显示去除，降低评判难度；</w:t>
            </w:r>
          </w:p>
          <w:p w14:paraId="529EB106">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4.16离线软件支持缺陷智能自动识别，根据绝对灵敏度法或相对灵敏度法对缺陷进行自动测量，给出起始位置和终止位置最高波幅位置当量等信息。（在投标文件中提供具有国家认可的第三方检测机构出具的该功能检测报告复印件或产品功能彩页或相关截图或技术白皮书等佐证材料，否则不予计分）</w:t>
            </w:r>
          </w:p>
        </w:tc>
        <w:tc>
          <w:tcPr>
            <w:tcW w:w="1144" w:type="dxa"/>
            <w:noWrap w:val="0"/>
            <w:vAlign w:val="center"/>
          </w:tcPr>
          <w:p w14:paraId="193059FC">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3827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00DC874B">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p>
        </w:tc>
        <w:tc>
          <w:tcPr>
            <w:tcW w:w="922" w:type="dxa"/>
            <w:noWrap w:val="0"/>
            <w:vAlign w:val="center"/>
          </w:tcPr>
          <w:p w14:paraId="46B282E2">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TOFD超声检测仪</w:t>
            </w:r>
          </w:p>
        </w:tc>
        <w:tc>
          <w:tcPr>
            <w:tcW w:w="584" w:type="dxa"/>
            <w:noWrap w:val="0"/>
            <w:vAlign w:val="center"/>
          </w:tcPr>
          <w:p w14:paraId="14E0AA3E">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177097E9">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14FCAE29">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1.通道数：≥4通道；</w:t>
            </w:r>
          </w:p>
          <w:p w14:paraId="376853F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2.脉冲类型：负方波脉冲；</w:t>
            </w:r>
          </w:p>
          <w:p w14:paraId="233CDE3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3.脉冲前沿：≤8ns；</w:t>
            </w:r>
          </w:p>
          <w:p w14:paraId="48D8E42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4.发射电压：50V～350V多档可调；</w:t>
            </w:r>
          </w:p>
          <w:p w14:paraId="331F22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5.增益范围：0～120dB；</w:t>
            </w:r>
          </w:p>
          <w:p w14:paraId="01CEE00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6.脉冲宽度：30～1000ns连续可调；</w:t>
            </w:r>
          </w:p>
          <w:p w14:paraId="49ED4E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7.重复频率：每通道范围100～1000Hz可调；</w:t>
            </w:r>
          </w:p>
          <w:p w14:paraId="4817852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8.检波方式：硬件检波；</w:t>
            </w:r>
          </w:p>
          <w:p w14:paraId="414010C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9.采样频率：≥200MHz/10bits；</w:t>
            </w:r>
          </w:p>
          <w:p w14:paraId="0B5F454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10.带宽度（-6dB）：0.3MHz～40MHz；</w:t>
            </w:r>
          </w:p>
          <w:p w14:paraId="2CA0102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11.滤波器：≥30档可选；</w:t>
            </w:r>
          </w:p>
          <w:p w14:paraId="2B7C4BA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12.波形显示方式：射频波全波正半波负半波，FFT频谱；</w:t>
            </w:r>
          </w:p>
          <w:p w14:paraId="0149B52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13.采样深度：TOFD各通道最大支持≥4000点（原始数据全记录）；</w:t>
            </w:r>
          </w:p>
          <w:p w14:paraId="69AACE5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14.声速范围：300～10000m/s；</w:t>
            </w:r>
          </w:p>
          <w:p w14:paraId="6656638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15.声程范围：0～9000μs；</w:t>
            </w:r>
          </w:p>
          <w:p w14:paraId="373F64C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16.延时范围：0～9000μs；</w:t>
            </w:r>
          </w:p>
          <w:p w14:paraId="020B56D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17.触发方式：编码器触发（最大分辨率≤0.25mm）；</w:t>
            </w:r>
          </w:p>
          <w:p w14:paraId="554BBD9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18.时间触发（最大分辨率≤5ms）；</w:t>
            </w:r>
          </w:p>
          <w:p w14:paraId="1959B91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19.等效输入噪声：≤40×10—9V/Hz；</w:t>
            </w:r>
          </w:p>
          <w:p w14:paraId="6DFA482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20.衰减精度：≤±1dB/12dB；</w:t>
            </w:r>
          </w:p>
          <w:p w14:paraId="2E18A13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21.发射脉冲后盲区：≤2μs；</w:t>
            </w:r>
          </w:p>
          <w:p w14:paraId="0C54BF0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22.扫查长度：单次最大扫查长度可调，连续扫查长度≥1500mm.；</w:t>
            </w:r>
          </w:p>
          <w:p w14:paraId="2E3C8C7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工作模式：单通道/多通道脉冲反射法检测；单通道/多通道TOFD检测；脉冲反射法＋TOFD联合检测；（在投标文件中提供具有国家认可的第三方检测机构出具的该功能检测报告复印件或产品功能彩页或相关截图或技术白皮书等佐证材料，否则不予计分）</w:t>
            </w:r>
          </w:p>
          <w:p w14:paraId="54D6132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24.在线数据分析：多通道A扫波形同时回放；多通道数据全局图像浏览，通道选择细节缩放观察缺陷长度深度高度等尺寸参数的多通道联合定量分析；</w:t>
            </w:r>
          </w:p>
          <w:p w14:paraId="5958045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25.离线数据分析：多通道A扫波形同时回放；多通道数据全局图像浏览通道选择细节缩放；观察缺陷长度深度高度等尺寸参数的多通道联合定量分析具有图像增强，直通波处理，信号降噪，合成孔径聚焦（SAFT）；</w:t>
            </w:r>
          </w:p>
          <w:p w14:paraId="09479CD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26.数据报告：可根据NB/T47013.10标准生成检测报告；</w:t>
            </w:r>
          </w:p>
          <w:p w14:paraId="292E206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27.内存：≥64GB；</w:t>
            </w:r>
          </w:p>
          <w:p w14:paraId="320301E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28.接口：不限于LANHDMIUSB3.0；</w:t>
            </w:r>
          </w:p>
          <w:p w14:paraId="5586C72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29.显示：≥8″1024×768电容触摸屏；</w:t>
            </w:r>
          </w:p>
          <w:p w14:paraId="743DCF9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30.控制：触摸屏前面板键盘多功能旋钮；</w:t>
            </w:r>
          </w:p>
          <w:p w14:paraId="52F9C2B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31.电源：≥14V锂离子电池组，工作时间≥6小时；</w:t>
            </w:r>
          </w:p>
          <w:p w14:paraId="5B88E08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32.支持400mm6组TOFD同时扫查，满足厚度≥400mm焊缝检测需求；</w:t>
            </w:r>
          </w:p>
          <w:p w14:paraId="725A37C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33.内置Wifi及GPS模块，支持检测数据“云上传”和探伤工艺“云下载”；</w:t>
            </w:r>
          </w:p>
          <w:p w14:paraId="0C05887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34.支持≥30档数字滤波器，需覆盖0.3MHz-40MHz超宽频带；</w:t>
            </w:r>
          </w:p>
          <w:p w14:paraId="740E513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35.具有图像增强，直通波处理，信号降噪，合成孔径聚焦，三维缺陷定位等功能；</w:t>
            </w:r>
          </w:p>
          <w:p w14:paraId="5D89F792">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36.仪器键盘按键背光灯设计，满足不同环境检测要求。</w:t>
            </w:r>
          </w:p>
        </w:tc>
        <w:tc>
          <w:tcPr>
            <w:tcW w:w="1144" w:type="dxa"/>
            <w:noWrap w:val="0"/>
            <w:vAlign w:val="center"/>
          </w:tcPr>
          <w:p w14:paraId="73032DAE">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D49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4761F49E">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w:t>
            </w:r>
          </w:p>
        </w:tc>
        <w:tc>
          <w:tcPr>
            <w:tcW w:w="922" w:type="dxa"/>
            <w:noWrap w:val="0"/>
            <w:vAlign w:val="center"/>
          </w:tcPr>
          <w:p w14:paraId="1AABBD6A">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超声测厚仪</w:t>
            </w:r>
          </w:p>
        </w:tc>
        <w:tc>
          <w:tcPr>
            <w:tcW w:w="584" w:type="dxa"/>
            <w:noWrap w:val="0"/>
            <w:vAlign w:val="center"/>
          </w:tcPr>
          <w:p w14:paraId="04753561">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213CE307">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1DBACA3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1.测量范围：0.7—600mm（以钢材为例）；</w:t>
            </w:r>
          </w:p>
          <w:p w14:paraId="4F99E93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2.分辨率：≤0.01mm；</w:t>
            </w:r>
          </w:p>
          <w:p w14:paraId="21086CA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3.测量单位：公制与英制可选择；</w:t>
            </w:r>
          </w:p>
          <w:p w14:paraId="7AC4A2D5">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4.示值精度：≤±0.04mm(&lt;10mm时）；</w:t>
            </w:r>
          </w:p>
          <w:p w14:paraId="007BE71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5.声速范围：1000~9999m/s；</w:t>
            </w:r>
          </w:p>
          <w:p w14:paraId="0278B35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6.显示方法：高对比度的段码液晶显示，高亮度EL背光；</w:t>
            </w:r>
          </w:p>
          <w:p w14:paraId="573AA53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7.存储容量：≥2000个；</w:t>
            </w:r>
          </w:p>
          <w:p w14:paraId="1964CEA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8.工作模式：具有单点测厚和扫描测厚两种测厚工作模式；</w:t>
            </w:r>
          </w:p>
          <w:p w14:paraId="7E8D8E3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9.环境温度：操作温度-20</w:t>
            </w:r>
            <w:r>
              <w:rPr>
                <w:rFonts w:hint="default" w:ascii="Cambria" w:hAnsi="Cambria" w:eastAsia="宋体" w:cs="Cambria"/>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+50°C、存储温度：-30°C</w:t>
            </w:r>
            <w:r>
              <w:rPr>
                <w:rFonts w:hint="default" w:ascii="Cambria" w:hAnsi="Cambria" w:eastAsia="宋体" w:cs="Cambria"/>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+70°C、相对湿度：≤90%；；</w:t>
            </w:r>
          </w:p>
          <w:p w14:paraId="5B40065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10.测量周期：单点测量≥4次/秒扫描模式≥10次/秒；</w:t>
            </w:r>
          </w:p>
          <w:p w14:paraId="6801913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11.管材测量下限：≤Φ20mm×3.0mm(5MHz探头），≤Φ15mm×2.0mm(7MHz探头），显示值误差不超过±0.1mm；</w:t>
            </w:r>
          </w:p>
          <w:p w14:paraId="500B9C9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12.校准：≤4.0mm（钢）；</w:t>
            </w:r>
          </w:p>
          <w:p w14:paraId="31289F0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13.探头规格.：Φ6mm、Φ10mm、Φ12mm都提供；</w:t>
            </w:r>
          </w:p>
          <w:p w14:paraId="7664B84F">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14.操作时间：≥200h（连续操作）。</w:t>
            </w:r>
          </w:p>
        </w:tc>
        <w:tc>
          <w:tcPr>
            <w:tcW w:w="1144" w:type="dxa"/>
            <w:noWrap w:val="0"/>
            <w:vAlign w:val="center"/>
          </w:tcPr>
          <w:p w14:paraId="7FD2EE93">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38C5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1154693">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17</w:t>
            </w:r>
          </w:p>
        </w:tc>
        <w:tc>
          <w:tcPr>
            <w:tcW w:w="922" w:type="dxa"/>
            <w:noWrap w:val="0"/>
            <w:vAlign w:val="center"/>
          </w:tcPr>
          <w:p w14:paraId="74BAFEB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内窥镜</w:t>
            </w:r>
          </w:p>
        </w:tc>
        <w:tc>
          <w:tcPr>
            <w:tcW w:w="584" w:type="dxa"/>
            <w:noWrap w:val="0"/>
            <w:vAlign w:val="center"/>
          </w:tcPr>
          <w:p w14:paraId="6D7F03F0">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023F0A85">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45C9638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●1.显示屏：≥5寸工业高清触摸液晶屏；（在投标文件中提供具有国家认可的第三方检测机构出具的该功能检测报告复印件或产品功能彩页或相关截图或技术白皮书等佐证材料，否则不予计分）</w:t>
            </w:r>
          </w:p>
          <w:p w14:paraId="2DBBD11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2.功能：可进行拍照、录像、亮度调节、影像模式、色彩设置、图像旋转、画面冻结、图像放大、智能文件管理、报告生成、三维测量、AI自动识别；</w:t>
            </w:r>
          </w:p>
          <w:p w14:paraId="37ED49CF">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3.导向控制：快慢速、跟随锁定、步进、定点自由、自动复位、过载保护，多档速度可调；</w:t>
            </w:r>
          </w:p>
          <w:p w14:paraId="1951C09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4.内存：主机≥64G，支持外置存储卡；</w:t>
            </w:r>
          </w:p>
          <w:p w14:paraId="35A6EB9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5.数据I/O端口：支持HDMI视频信号接口、Type-C充电接口、U盘接口、升级扩展接口；</w:t>
            </w:r>
          </w:p>
          <w:p w14:paraId="58A9AB2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6.有效像素：≥100万；</w:t>
            </w:r>
          </w:p>
          <w:p w14:paraId="1686B11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7.镜头外径：≤6mm；</w:t>
            </w:r>
          </w:p>
          <w:p w14:paraId="118778D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8.管线长度：≥2米；</w:t>
            </w:r>
          </w:p>
          <w:p w14:paraId="46935FF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9.探头转向：具有电动摇杆360°全方位镜头导向；</w:t>
            </w:r>
          </w:p>
          <w:p w14:paraId="56E73CD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10.直视景深：8mm—80mm；</w:t>
            </w:r>
          </w:p>
          <w:p w14:paraId="5D46085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11.视场角：≥100°；</w:t>
            </w:r>
          </w:p>
          <w:p w14:paraId="6510E97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12.探头出光强度：≥100000Lux；</w:t>
            </w:r>
          </w:p>
          <w:p w14:paraId="466B7A6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13.测量信息：两点之间的距离、点与自定义的线之间的垂直距离、点与自定义的平面之间的直交深度/高度、线与自定义的平面之间的直交深度/高度、多个点的周长和面积的测量；</w:t>
            </w:r>
          </w:p>
          <w:p w14:paraId="6B64EA9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14..测量精度：≤0.01mm；</w:t>
            </w:r>
          </w:p>
          <w:p w14:paraId="7DFF1071">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15.支持缺陷部分AI识别、AI测量，具备3D建模功能，配备中文分析软件，具备自动生产报告和智能分析功能。</w:t>
            </w:r>
          </w:p>
        </w:tc>
        <w:tc>
          <w:tcPr>
            <w:tcW w:w="1144" w:type="dxa"/>
            <w:noWrap w:val="0"/>
            <w:vAlign w:val="center"/>
          </w:tcPr>
          <w:p w14:paraId="45F2CA51">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4A84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53EA62DE">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18</w:t>
            </w:r>
          </w:p>
        </w:tc>
        <w:tc>
          <w:tcPr>
            <w:tcW w:w="922" w:type="dxa"/>
            <w:noWrap w:val="0"/>
            <w:vAlign w:val="center"/>
          </w:tcPr>
          <w:p w14:paraId="2017B281">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便携式金相显微检测装备</w:t>
            </w:r>
          </w:p>
        </w:tc>
        <w:tc>
          <w:tcPr>
            <w:tcW w:w="584" w:type="dxa"/>
            <w:noWrap w:val="0"/>
            <w:vAlign w:val="center"/>
          </w:tcPr>
          <w:p w14:paraId="7D3EDD0B">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611" w:type="dxa"/>
            <w:gridSpan w:val="2"/>
            <w:noWrap w:val="0"/>
            <w:vAlign w:val="center"/>
          </w:tcPr>
          <w:p w14:paraId="126758D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4AFB6A26">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配备5倍、10倍、20倍、50倍物镜各一支；</w:t>
            </w:r>
          </w:p>
          <w:p w14:paraId="4E05752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物镜配置有磁吸接口，可快速更换倍数；</w:t>
            </w:r>
          </w:p>
          <w:p w14:paraId="1D4BCAF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镜体前端有防碰撞设计，保护物镜不直接接触观察面；</w:t>
            </w:r>
          </w:p>
          <w:p w14:paraId="2DCF425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整体光学放大倍数：50倍—1000倍；（在投标文件中提供具有国家认可的第三方检测机构出具的该功能检测报告复印件或产品功能彩页或相关截图或技术白皮书等佐证材料，否则不予计分）</w:t>
            </w:r>
          </w:p>
          <w:p w14:paraId="1FC5C42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目镜：</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23.2接口，配备10倍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12.5倍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20倍观察目镜；</w:t>
            </w:r>
          </w:p>
          <w:p w14:paraId="0C6543C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专用宏观镜头：手持宏观显微镜头，内置环形冷光照明，可配合无线采集器使用，观察宏观金相或断口裂纹等</w:t>
            </w:r>
            <w:r>
              <w:rPr>
                <w:rFonts w:hint="eastAsia" w:ascii="宋体" w:hAnsi="宋体" w:eastAsia="宋体" w:cs="宋体"/>
                <w:color w:val="auto"/>
                <w:sz w:val="21"/>
                <w:szCs w:val="21"/>
                <w:highlight w:val="none"/>
                <w:lang w:eastAsia="zh-CN"/>
              </w:rPr>
              <w:t>。</w:t>
            </w:r>
          </w:p>
          <w:p w14:paraId="508D6C6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四维光学镜体</w:t>
            </w:r>
          </w:p>
          <w:p w14:paraId="014393F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color w:val="auto"/>
                <w:sz w:val="21"/>
                <w:szCs w:val="21"/>
                <w:highlight w:val="none"/>
              </w:rPr>
              <w:t>针对背弧面焊缝热影响区设计，可三维XYZR位移，接触非接触双向使用；</w:t>
            </w:r>
          </w:p>
          <w:p w14:paraId="47B18F7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color w:val="auto"/>
                <w:sz w:val="21"/>
                <w:szCs w:val="21"/>
                <w:highlight w:val="none"/>
              </w:rPr>
              <w:t>位移范围：X≥25mm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Y≥35mm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Z≥25mm，R方向轴向±10°；</w:t>
            </w:r>
          </w:p>
          <w:p w14:paraId="02B6039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w:t>
            </w:r>
            <w:r>
              <w:rPr>
                <w:rFonts w:hint="eastAsia" w:ascii="宋体" w:hAnsi="宋体" w:eastAsia="宋体" w:cs="宋体"/>
                <w:color w:val="auto"/>
                <w:sz w:val="21"/>
                <w:szCs w:val="21"/>
                <w:highlight w:val="none"/>
              </w:rPr>
              <w:t>通断式双磁轨吸附，吸附≥30kg；</w:t>
            </w:r>
          </w:p>
          <w:p w14:paraId="12044C3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7.4.</w:t>
            </w:r>
            <w:r>
              <w:rPr>
                <w:rFonts w:hint="eastAsia" w:ascii="宋体" w:hAnsi="宋体" w:eastAsia="宋体" w:cs="宋体"/>
                <w:color w:val="auto"/>
                <w:sz w:val="21"/>
                <w:szCs w:val="21"/>
                <w:highlight w:val="none"/>
              </w:rPr>
              <w:t>支架底座配置磁极吸附方向可变，以适应不同尺寸管道吸附，最小吸附直径≥15mm，垂直倒置均可稳定吸附不可掉落</w:t>
            </w:r>
            <w:r>
              <w:rPr>
                <w:rFonts w:hint="eastAsia" w:ascii="宋体" w:hAnsi="宋体" w:eastAsia="宋体" w:cs="宋体"/>
                <w:color w:val="auto"/>
                <w:sz w:val="21"/>
                <w:szCs w:val="21"/>
                <w:highlight w:val="none"/>
                <w:lang w:eastAsia="zh-CN"/>
              </w:rPr>
              <w:t>。</w:t>
            </w:r>
          </w:p>
          <w:p w14:paraId="4EC5117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非磁吸材料万向支架：夹取管径不低于20mm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50mm范围，可万向旋转可XY方向位移；</w:t>
            </w:r>
          </w:p>
          <w:p w14:paraId="003B052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前置吸盘：吸盘内置永磁，可手持辅助固定到弧面或者内凹面等特殊位置；磁力源标号≥N38标准；</w:t>
            </w:r>
          </w:p>
          <w:p w14:paraId="6E7ED43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无线采集系统</w:t>
            </w:r>
          </w:p>
          <w:p w14:paraId="1A63872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10.1.</w:t>
            </w:r>
            <w:r>
              <w:rPr>
                <w:rFonts w:hint="eastAsia" w:ascii="宋体" w:hAnsi="宋体" w:eastAsia="宋体" w:cs="宋体"/>
                <w:color w:val="auto"/>
                <w:sz w:val="21"/>
                <w:szCs w:val="21"/>
                <w:highlight w:val="none"/>
              </w:rPr>
              <w:t>内置天线内置锂电池，充满电后可连续工作≥6</w:t>
            </w:r>
            <w:r>
              <w:rPr>
                <w:rFonts w:hint="eastAsia" w:ascii="宋体" w:hAnsi="宋体" w:eastAsia="宋体" w:cs="宋体"/>
                <w:color w:val="auto"/>
                <w:sz w:val="21"/>
                <w:szCs w:val="21"/>
                <w:highlight w:val="none"/>
                <w:lang w:val="en-US" w:eastAsia="zh-CN"/>
              </w:rPr>
              <w:t>h</w:t>
            </w:r>
            <w:r>
              <w:rPr>
                <w:rFonts w:hint="eastAsia" w:ascii="宋体" w:hAnsi="宋体" w:eastAsia="宋体" w:cs="宋体"/>
                <w:color w:val="auto"/>
                <w:sz w:val="21"/>
                <w:szCs w:val="21"/>
                <w:highlight w:val="none"/>
              </w:rPr>
              <w:t>，可有线无线双输出图像；</w:t>
            </w:r>
          </w:p>
          <w:p w14:paraId="7A378B1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10.2.</w:t>
            </w:r>
            <w:r>
              <w:rPr>
                <w:rFonts w:hint="eastAsia" w:ascii="宋体" w:hAnsi="宋体" w:eastAsia="宋体" w:cs="宋体"/>
                <w:color w:val="auto"/>
                <w:sz w:val="21"/>
                <w:szCs w:val="21"/>
                <w:highlight w:val="none"/>
              </w:rPr>
              <w:t>像素值≥1200</w:t>
            </w:r>
            <w:r>
              <w:rPr>
                <w:rFonts w:hint="eastAsia" w:ascii="宋体" w:hAnsi="宋体" w:eastAsia="宋体" w:cs="宋体"/>
                <w:color w:val="auto"/>
                <w:sz w:val="21"/>
                <w:szCs w:val="21"/>
                <w:highlight w:val="none"/>
                <w:lang w:eastAsia="zh-CN"/>
              </w:rPr>
              <w:t>万</w:t>
            </w:r>
            <w:r>
              <w:rPr>
                <w:rFonts w:hint="eastAsia" w:ascii="宋体" w:hAnsi="宋体" w:eastAsia="宋体" w:cs="宋体"/>
                <w:color w:val="auto"/>
                <w:sz w:val="21"/>
                <w:szCs w:val="21"/>
                <w:highlight w:val="none"/>
              </w:rPr>
              <w:t>像素，标准5G无线传输，可支持IOS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安卓（鸿蒙）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WINDOWS系统；</w:t>
            </w:r>
          </w:p>
          <w:p w14:paraId="2295B6E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10.3.</w:t>
            </w:r>
            <w:r>
              <w:rPr>
                <w:rFonts w:hint="eastAsia" w:ascii="宋体" w:hAnsi="宋体" w:eastAsia="宋体" w:cs="宋体"/>
                <w:color w:val="auto"/>
                <w:sz w:val="21"/>
                <w:szCs w:val="21"/>
                <w:highlight w:val="none"/>
              </w:rPr>
              <w:t>支持多点同时接收图像采集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采集器具有景</w:t>
            </w:r>
            <w:r>
              <w:rPr>
                <w:rFonts w:hint="eastAsia" w:ascii="宋体" w:hAnsi="宋体" w:eastAsia="宋体" w:cs="宋体"/>
                <w:color w:val="auto"/>
                <w:sz w:val="21"/>
                <w:szCs w:val="21"/>
                <w:highlight w:val="none"/>
                <w:lang w:eastAsia="zh-CN"/>
              </w:rPr>
              <w:t>溶</w:t>
            </w:r>
            <w:r>
              <w:rPr>
                <w:rFonts w:hint="eastAsia" w:ascii="宋体" w:hAnsi="宋体" w:eastAsia="宋体" w:cs="宋体"/>
                <w:color w:val="auto"/>
                <w:sz w:val="21"/>
                <w:szCs w:val="21"/>
                <w:highlight w:val="none"/>
              </w:rPr>
              <w:t>合功能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扫描不平面自动生成一张全景清晰照片；</w:t>
            </w:r>
          </w:p>
          <w:p w14:paraId="7FBE950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10.4.</w:t>
            </w:r>
            <w:r>
              <w:rPr>
                <w:rFonts w:hint="eastAsia" w:ascii="宋体" w:hAnsi="宋体" w:eastAsia="宋体" w:cs="宋体"/>
                <w:color w:val="auto"/>
                <w:sz w:val="21"/>
                <w:szCs w:val="21"/>
                <w:highlight w:val="none"/>
              </w:rPr>
              <w:t>可在线抓拍加载标尺并可以实时测量；</w:t>
            </w:r>
          </w:p>
          <w:p w14:paraId="655BE81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10.5.</w:t>
            </w:r>
            <w:r>
              <w:rPr>
                <w:rFonts w:hint="eastAsia" w:ascii="宋体" w:hAnsi="宋体" w:eastAsia="宋体" w:cs="宋体"/>
                <w:color w:val="auto"/>
                <w:sz w:val="21"/>
                <w:szCs w:val="21"/>
                <w:highlight w:val="none"/>
              </w:rPr>
              <w:t>采集器可无线采集以及有线采集，应对信号屏蔽环境图像捕获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专用APP可扫描自动识别出金相组织名称，并有球化评级功能</w:t>
            </w:r>
            <w:r>
              <w:rPr>
                <w:rFonts w:hint="eastAsia" w:ascii="宋体" w:hAnsi="宋体" w:eastAsia="宋体" w:cs="宋体"/>
                <w:color w:val="auto"/>
                <w:sz w:val="21"/>
                <w:szCs w:val="21"/>
                <w:highlight w:val="none"/>
                <w:lang w:eastAsia="zh-CN"/>
              </w:rPr>
              <w:t>。</w:t>
            </w:r>
          </w:p>
          <w:p w14:paraId="1D25A22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多功能金相制样细磨机</w:t>
            </w:r>
          </w:p>
          <w:p w14:paraId="08BF186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w:t>
            </w:r>
            <w:r>
              <w:rPr>
                <w:rFonts w:hint="eastAsia" w:ascii="宋体" w:hAnsi="宋体" w:eastAsia="宋体" w:cs="宋体"/>
                <w:color w:val="auto"/>
                <w:sz w:val="21"/>
                <w:szCs w:val="21"/>
                <w:highlight w:val="none"/>
              </w:rPr>
              <w:t>笔式打磨机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转速≥55000转/分，</w:t>
            </w:r>
            <w:r>
              <w:rPr>
                <w:rFonts w:hint="eastAsia" w:ascii="宋体" w:hAnsi="宋体" w:eastAsia="宋体" w:cs="宋体"/>
                <w:color w:val="auto"/>
                <w:sz w:val="21"/>
                <w:szCs w:val="21"/>
                <w:highlight w:val="none"/>
                <w:lang w:eastAsia="zh-CN"/>
              </w:rPr>
              <w:t>无级调速</w:t>
            </w:r>
            <w:r>
              <w:rPr>
                <w:rFonts w:hint="eastAsia" w:ascii="宋体" w:hAnsi="宋体" w:eastAsia="宋体" w:cs="宋体"/>
                <w:color w:val="auto"/>
                <w:sz w:val="21"/>
                <w:szCs w:val="21"/>
                <w:highlight w:val="none"/>
              </w:rPr>
              <w:t>能正反转，直流0-30V，交流220V均可使用，输入直流33.6V，输出0-30V，无极调节，可连续工作时间≥5</w:t>
            </w:r>
            <w:r>
              <w:rPr>
                <w:rFonts w:hint="eastAsia" w:ascii="宋体" w:hAnsi="宋体" w:eastAsia="宋体" w:cs="宋体"/>
                <w:color w:val="auto"/>
                <w:sz w:val="21"/>
                <w:szCs w:val="21"/>
                <w:highlight w:val="none"/>
                <w:lang w:val="en-US" w:eastAsia="zh-CN"/>
              </w:rPr>
              <w:t>h</w:t>
            </w:r>
            <w:r>
              <w:rPr>
                <w:rFonts w:hint="eastAsia" w:ascii="宋体" w:hAnsi="宋体" w:eastAsia="宋体" w:cs="宋体"/>
                <w:color w:val="auto"/>
                <w:sz w:val="21"/>
                <w:szCs w:val="21"/>
                <w:highlight w:val="none"/>
              </w:rPr>
              <w:t>；</w:t>
            </w:r>
          </w:p>
          <w:p w14:paraId="0ECEE03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11.2.</w:t>
            </w:r>
            <w:r>
              <w:rPr>
                <w:rFonts w:hint="eastAsia" w:ascii="宋体" w:hAnsi="宋体" w:eastAsia="宋体" w:cs="宋体"/>
                <w:color w:val="auto"/>
                <w:sz w:val="21"/>
                <w:szCs w:val="21"/>
                <w:highlight w:val="none"/>
              </w:rPr>
              <w:t>控制主机配置电解腐蚀装置，可稳定输出电流电压，电压输出0--30V（最小为0.01V），电流输出0-6A（最小0.01A）；</w:t>
            </w:r>
          </w:p>
          <w:p w14:paraId="1546F5B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11.3.</w:t>
            </w:r>
            <w:r>
              <w:rPr>
                <w:rFonts w:hint="eastAsia" w:ascii="宋体" w:hAnsi="宋体" w:eastAsia="宋体" w:cs="宋体"/>
                <w:color w:val="auto"/>
                <w:sz w:val="21"/>
                <w:szCs w:val="21"/>
                <w:highlight w:val="none"/>
              </w:rPr>
              <w:t>专用APP可无线控制调节电压电流输出；配置专用磁吸附搭铁装置及电解腐蚀工具</w:t>
            </w:r>
            <w:r>
              <w:rPr>
                <w:rFonts w:hint="eastAsia" w:ascii="宋体" w:hAnsi="宋体" w:eastAsia="宋体" w:cs="宋体"/>
                <w:color w:val="auto"/>
                <w:sz w:val="21"/>
                <w:szCs w:val="21"/>
                <w:highlight w:val="none"/>
                <w:lang w:eastAsia="zh-CN"/>
              </w:rPr>
              <w:t>。</w:t>
            </w:r>
          </w:p>
          <w:p w14:paraId="37F6834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充电式粗磨机：粗打磨工具，充电式大功率无线打磨机，配置至少三种专用磨盘，打磨过程无需水冷，2套电池及充电设备，快速打磨镜面</w:t>
            </w:r>
            <w:r>
              <w:rPr>
                <w:rFonts w:hint="eastAsia" w:ascii="宋体" w:hAnsi="宋体" w:eastAsia="宋体" w:cs="宋体"/>
                <w:color w:val="auto"/>
                <w:sz w:val="21"/>
                <w:szCs w:val="21"/>
                <w:highlight w:val="none"/>
                <w:lang w:eastAsia="zh-CN"/>
              </w:rPr>
              <w:t>；</w:t>
            </w:r>
          </w:p>
          <w:p w14:paraId="5FDDF33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图像采集终端：手持系统，≥8寸高清屏幕，不低于8G+256G的配置</w:t>
            </w:r>
            <w:r>
              <w:rPr>
                <w:rFonts w:hint="eastAsia" w:ascii="宋体" w:hAnsi="宋体" w:eastAsia="宋体" w:cs="宋体"/>
                <w:color w:val="auto"/>
                <w:sz w:val="21"/>
                <w:szCs w:val="21"/>
                <w:highlight w:val="none"/>
                <w:lang w:eastAsia="zh-CN"/>
              </w:rPr>
              <w:t>；</w:t>
            </w:r>
          </w:p>
          <w:p w14:paraId="241EB22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手持终端APP可进行现场辅助分析高低合金钢，组织球化老化级别并配有图谱功能，并能辅助出分析报告可以Word文档形式直接输出/保存</w:t>
            </w:r>
            <w:r>
              <w:rPr>
                <w:rFonts w:hint="eastAsia" w:ascii="宋体" w:hAnsi="宋体" w:eastAsia="宋体" w:cs="宋体"/>
                <w:color w:val="auto"/>
                <w:sz w:val="21"/>
                <w:szCs w:val="21"/>
                <w:highlight w:val="none"/>
                <w:lang w:eastAsia="zh-CN"/>
              </w:rPr>
              <w:t>；</w:t>
            </w:r>
          </w:p>
          <w:p w14:paraId="64B8E5F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金相分析软件：可评级对比图谱和加载标尺</w:t>
            </w:r>
            <w:r>
              <w:rPr>
                <w:rFonts w:hint="eastAsia" w:ascii="宋体" w:hAnsi="宋体" w:eastAsia="宋体" w:cs="宋体"/>
                <w:color w:val="auto"/>
                <w:sz w:val="21"/>
                <w:szCs w:val="21"/>
                <w:highlight w:val="none"/>
                <w:lang w:eastAsia="zh-CN"/>
              </w:rPr>
              <w:t>；</w:t>
            </w:r>
          </w:p>
          <w:p w14:paraId="25DA5D2C">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16.设备组装后整体高度≥200mm。</w:t>
            </w:r>
          </w:p>
        </w:tc>
        <w:tc>
          <w:tcPr>
            <w:tcW w:w="1144" w:type="dxa"/>
            <w:noWrap w:val="0"/>
            <w:vAlign w:val="center"/>
          </w:tcPr>
          <w:p w14:paraId="0B7FC089">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7463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136B9AC5">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19</w:t>
            </w:r>
          </w:p>
        </w:tc>
        <w:tc>
          <w:tcPr>
            <w:tcW w:w="922" w:type="dxa"/>
            <w:noWrap w:val="0"/>
            <w:vAlign w:val="center"/>
          </w:tcPr>
          <w:p w14:paraId="765ADD8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里氏硬度仪</w:t>
            </w:r>
          </w:p>
        </w:tc>
        <w:tc>
          <w:tcPr>
            <w:tcW w:w="584" w:type="dxa"/>
            <w:noWrap w:val="0"/>
            <w:vAlign w:val="center"/>
          </w:tcPr>
          <w:p w14:paraId="0EC3089B">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611" w:type="dxa"/>
            <w:gridSpan w:val="2"/>
            <w:noWrap w:val="0"/>
            <w:vAlign w:val="center"/>
          </w:tcPr>
          <w:p w14:paraId="203E7373">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784E8386">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1.测量范围：HLD.170–960、HRC.17.5–68.5、HB.30–650、HV.80–970；</w:t>
            </w:r>
          </w:p>
          <w:p w14:paraId="37E219A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2.测量方向：任意方向；</w:t>
            </w:r>
          </w:p>
          <w:p w14:paraId="3905D7C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3.示值误差：≤±6HLD（760±30HLD）；</w:t>
            </w:r>
          </w:p>
          <w:p w14:paraId="3E7B96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4.重复性：≤6HLD；</w:t>
            </w:r>
          </w:p>
          <w:p w14:paraId="4D2ABB1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5.显示：LCD≥128X60图形点阵液晶；</w:t>
            </w:r>
          </w:p>
          <w:p w14:paraId="3E8F3D5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6.数据存储：≥600组；</w:t>
            </w:r>
          </w:p>
          <w:p w14:paraId="32217283">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7.冲击装置：配备D型。</w:t>
            </w:r>
          </w:p>
        </w:tc>
        <w:tc>
          <w:tcPr>
            <w:tcW w:w="1144" w:type="dxa"/>
            <w:noWrap w:val="0"/>
            <w:vAlign w:val="center"/>
          </w:tcPr>
          <w:p w14:paraId="4D508109">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C70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073AB89A">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w:t>
            </w:r>
          </w:p>
        </w:tc>
        <w:tc>
          <w:tcPr>
            <w:tcW w:w="922" w:type="dxa"/>
            <w:noWrap w:val="0"/>
            <w:vAlign w:val="center"/>
          </w:tcPr>
          <w:p w14:paraId="52E3EB5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微机控制电子万能试验机</w:t>
            </w:r>
          </w:p>
        </w:tc>
        <w:tc>
          <w:tcPr>
            <w:tcW w:w="584" w:type="dxa"/>
            <w:noWrap w:val="0"/>
            <w:vAlign w:val="center"/>
          </w:tcPr>
          <w:p w14:paraId="29BC94A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438AFEC6">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5752" w:type="dxa"/>
            <w:noWrap w:val="0"/>
            <w:vAlign w:val="center"/>
          </w:tcPr>
          <w:p w14:paraId="42FAD2F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●1.最大试验力：≥200kN；（在投标文件中提供具有国家认可的第三方检测机构出具的该功能检测报告复印件或产品功能彩页或相关截图或技术白皮书等佐证材料，否则不予计分）</w:t>
            </w:r>
          </w:p>
          <w:p w14:paraId="2C68C1F3">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2.试验力测量范围：0.4%--100%FS；</w:t>
            </w:r>
          </w:p>
          <w:p w14:paraId="34DD71E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3.试验力示值精度：优于示值±0.5%；</w:t>
            </w:r>
          </w:p>
          <w:p w14:paraId="33914AF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4.试验力分辨力：1/500000（全程不分档）；</w:t>
            </w:r>
          </w:p>
          <w:p w14:paraId="296EB45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5.横梁位移测量精度：≤0.0025mm；</w:t>
            </w:r>
          </w:p>
          <w:p w14:paraId="52BFEC7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6.变形测量精度：±0.5%（在0.2—10mm范围内）；</w:t>
            </w:r>
          </w:p>
          <w:p w14:paraId="7AB20E9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7.试验速度：0.01—300mm/min，无级调速；</w:t>
            </w:r>
          </w:p>
          <w:p w14:paraId="0BB5B41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8.速度控制精度：±1%(0.001～10mm/min）、±0.5%(10～500mm/min）；</w:t>
            </w:r>
          </w:p>
          <w:p w14:paraId="1027197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9.恒力恒变形恒位移控制范围：0.2%—100%FS；</w:t>
            </w:r>
          </w:p>
          <w:p w14:paraId="06D5BFA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10.恒力恒变形恒位移控制精度：设定值&lt;10%FS时，设定值的±0.5%以内设定值≥10%FS时，设定值的±0.1%以内；</w:t>
            </w:r>
          </w:p>
          <w:p w14:paraId="5F3FF91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11.变形速率控制精度：速率&lt;0.05%FS时为±1.0%设定值内速率≥0.05%FS时为±0.5%设定值内；</w:t>
            </w:r>
          </w:p>
          <w:p w14:paraId="4D60DC0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12.试验空间：≥600mm.；</w:t>
            </w:r>
          </w:p>
          <w:p w14:paraId="5923EB1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13.夹具形式：楔形夹具体（可加持被检测工件厚度范围满足1mm～50mm），圆形夹具体（可加持被检测工件直径范围满足Φ5-20mm）；</w:t>
            </w:r>
          </w:p>
          <w:p w14:paraId="402FA17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14.压盘尺寸：≥φ100mm；</w:t>
            </w:r>
          </w:p>
          <w:p w14:paraId="154A7407">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15.整机电源：220V±10%,50Hz，功率：≥3kW。</w:t>
            </w:r>
          </w:p>
        </w:tc>
        <w:tc>
          <w:tcPr>
            <w:tcW w:w="1144" w:type="dxa"/>
            <w:noWrap w:val="0"/>
            <w:vAlign w:val="center"/>
          </w:tcPr>
          <w:p w14:paraId="61C74991">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4EB4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47758F9">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p>
        </w:tc>
        <w:tc>
          <w:tcPr>
            <w:tcW w:w="922" w:type="dxa"/>
            <w:noWrap w:val="0"/>
            <w:vAlign w:val="center"/>
          </w:tcPr>
          <w:p w14:paraId="5D1FEBF4">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智能检测自动化产线</w:t>
            </w:r>
          </w:p>
        </w:tc>
        <w:tc>
          <w:tcPr>
            <w:tcW w:w="584" w:type="dxa"/>
            <w:noWrap w:val="0"/>
            <w:vAlign w:val="center"/>
          </w:tcPr>
          <w:p w14:paraId="5906100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2E4828E8">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75E3C0D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一、视觉检测模块</w:t>
            </w:r>
          </w:p>
          <w:p w14:paraId="3D3815C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1.1.本模块为多品类工件检测前置环节，可完成对工件的表面缺陷视觉检测及尺寸测量；</w:t>
            </w:r>
          </w:p>
          <w:p w14:paraId="527D71F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1.2.工业相机：≥200万像素，分辨率≥1920×1080，帧率≥30fps，支持实时图像采集；</w:t>
            </w:r>
          </w:p>
          <w:p w14:paraId="42A2240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1.3.光源：环形LED光源，亮度无极可调，适配不同材质不同品类工件的表面检测；</w:t>
            </w:r>
          </w:p>
          <w:p w14:paraId="392BDA5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视觉检测软件要求：基于人工智能技术与可视化编程技术，采用组态流程定义设计，配备完善组件库，涵盖基本运算库硬件控制库图像处理算法库人工智能算法库UI控件显示库；具备柔性化可自定义通用化快速开发高可靠运行等性能；</w:t>
            </w:r>
          </w:p>
          <w:p w14:paraId="460926A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1.5.平台功能：应支持可视化编程模式，构建工业视觉专用检测教学平台，实现功能节点与UI控件的完整封装，并具备二者双向绑定机制；</w:t>
            </w:r>
          </w:p>
          <w:p w14:paraId="16ECDC6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1.6.平台组件：需配置涵盖基本运算硬件控制和图像处理人工智能等领域的全套功能模块；提供可灵活组态配置的UI组件，支持用户界面高度自定义编辑，便于教学任务开展；</w:t>
            </w:r>
          </w:p>
          <w:p w14:paraId="49B3CE2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1.7.教学适配：支持Modbus485、232等多种主流工业通信协议，兼容市面主流工业相机传感器等硬件设备接入集成；可针对不同现场应用场景，优化检测对象及整体检测流程，支持教学实训科研开源模式；</w:t>
            </w:r>
          </w:p>
          <w:p w14:paraId="18FC932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1.8.检测台面：采用可调节式设计，支持X/Y轴移动，便于调整检测位置，可放置不同规格的焊接件锻件铸件，操作简单，适配学生基础操作实训，可配合机器人手臂实现试样自动化转运。</w:t>
            </w:r>
          </w:p>
          <w:p w14:paraId="213BD70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1.9配备工件缺陷检测功能，可全自动识别多类工件瑕疵，高精度实时检测并联动产线自动分选不良品，同步完成检测数据记录与分析，满足自动化产线连续质控需求。</w:t>
            </w:r>
          </w:p>
          <w:p w14:paraId="237FCE9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1.10工件缺陷检测采用非外购标准化通用部件组装，</w:t>
            </w:r>
            <w:r>
              <w:rPr>
                <w:rFonts w:hint="eastAsia" w:ascii="宋体" w:hAnsi="宋体" w:cs="宋体"/>
                <w:color w:val="auto"/>
                <w:sz w:val="21"/>
                <w:szCs w:val="21"/>
                <w:highlight w:val="none"/>
                <w:lang w:val="en-US" w:eastAsia="zh-CN"/>
              </w:rPr>
              <w:t>对</w:t>
            </w:r>
            <w:r>
              <w:rPr>
                <w:rFonts w:hint="eastAsia" w:ascii="宋体" w:hAnsi="宋体" w:eastAsia="宋体" w:cs="宋体"/>
                <w:color w:val="auto"/>
                <w:sz w:val="21"/>
                <w:szCs w:val="21"/>
                <w:highlight w:val="none"/>
                <w:lang w:val="en-US" w:eastAsia="zh-CN"/>
              </w:rPr>
              <w:t>检测光路、定位工装、检测方法等</w:t>
            </w:r>
            <w:r>
              <w:rPr>
                <w:rFonts w:hint="eastAsia" w:ascii="宋体" w:hAnsi="宋体" w:cs="宋体"/>
                <w:color w:val="auto"/>
                <w:sz w:val="21"/>
                <w:szCs w:val="21"/>
                <w:highlight w:val="none"/>
                <w:lang w:val="en-US" w:eastAsia="zh-CN"/>
              </w:rPr>
              <w:t>具有</w:t>
            </w:r>
            <w:r>
              <w:rPr>
                <w:rFonts w:hint="eastAsia" w:ascii="宋体" w:hAnsi="宋体" w:eastAsia="宋体" w:cs="宋体"/>
                <w:color w:val="auto"/>
                <w:sz w:val="21"/>
                <w:szCs w:val="21"/>
                <w:highlight w:val="none"/>
                <w:lang w:val="en-US" w:eastAsia="zh-CN"/>
              </w:rPr>
              <w:t>针对性优化的核心技术，能解决工件微小瑕疵、反光干扰、多规格快速换型等实际产线痛点，产线误检、漏检、卡料停机概率更低，长期量产履约效果更有保障。</w:t>
            </w:r>
          </w:p>
          <w:p w14:paraId="510A84B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二、相控阵超声检测模块</w:t>
            </w:r>
          </w:p>
          <w:p w14:paraId="0D60232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●2.1.通道数：32:128通道；（在投标文件中提供具有国家认可的第三方检测机构出具的该功能检测报告复印件或产品功能彩页或相关截图或技术白皮书等佐证材料，否则不予计分）</w:t>
            </w:r>
          </w:p>
          <w:p w14:paraId="78FFBB6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2.2.频率范围：0.2MHz～21MHz；</w:t>
            </w:r>
          </w:p>
          <w:p w14:paraId="20E4290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2.3.显示模式：支持A扫、B扫、C扫、S扫等多种显示模式；</w:t>
            </w:r>
          </w:p>
          <w:p w14:paraId="1BBBEC0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2.4.操作界面：≥10英寸彩色触摸屏；</w:t>
            </w:r>
          </w:p>
          <w:p w14:paraId="731E157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2.5.数据处理：需支持检测数据实时存储查询导出（PDF/Excel格式），可标注缺陷信息，数据同步至集中操控中心；</w:t>
            </w:r>
          </w:p>
          <w:p w14:paraId="0EC0E90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2.6.校准功能：需支持声速校准灵敏度校准探头校准；</w:t>
            </w:r>
          </w:p>
          <w:p w14:paraId="5429F92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2.7.适配标准：符合GB/T 16825.1，JB/T 10559等相关标准；</w:t>
            </w:r>
          </w:p>
          <w:p w14:paraId="68BF81D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2.8.配备2.5MHz、5MHz线阵探头各1个，需覆盖不同厚度试样检测；</w:t>
            </w:r>
          </w:p>
          <w:p w14:paraId="19DAA0C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2.9.配备手动/自动一体化扫描台，扫描范围≥500mm*300mm*100mm（X轴*Y轴*Z轴）；扫描精度≤0.01mm；</w:t>
            </w:r>
          </w:p>
          <w:p w14:paraId="26D99B81">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2.10.模块需集成相控阵PAUT实时3D全聚焦TFM多模态全聚焦TFM等高端成像技术，TFM图像实时帧率100fps，聚焦点数100万点，支持A、B、C、D、3D和4D多种显示方式，支持高速自动化扫查；</w:t>
            </w:r>
          </w:p>
          <w:p w14:paraId="1C8044B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2.11.模块支持二次开发，可作为自动化检测系统集成配套的专</w:t>
            </w:r>
          </w:p>
          <w:p w14:paraId="4CB2C8A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用相控阵模块，高信噪比波形图像质量，能够满足多种自动化探伤应用需求，能承担锻件焊接件铸件等工件的内部缺陷精准成像检测实训，完成深度检测环节；</w:t>
            </w:r>
          </w:p>
          <w:p w14:paraId="69EB967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模块数据支持实时存储查询导出（PDF/Excel格式），可标注缺陷信息，数据同步至集中操控中心，便于学生整理实训报告和教师评估实训效果，支持声速校准灵敏度校准探头校准，操作简单，符合教学实训中参数调试的教学需求，设备针对专用检测模块须具备AI智能判伤功能，集成AI智能缺陷识别算法，快速准确完成缺陷定位定量分析。并在检测过程中实现实时语音播报检测结果，检测模块应提供基于三维超声场测量的自动场校准补偿功能，校准过程简单高效，校准结果要精确有效。</w:t>
            </w:r>
          </w:p>
          <w:p w14:paraId="5AF9A50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三、涡流+硬度筛选检测模块</w:t>
            </w:r>
          </w:p>
          <w:p w14:paraId="40CFF7E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●3.1.通道：物理通道≥8个/信号通道≥8个；（在投标文件中提供具有国家认可的第三方检测机构出具的该功能检测报告复印件或产品功能彩页或相关截图或技术白皮书等佐证材料，否则不予计分）</w:t>
            </w:r>
          </w:p>
          <w:p w14:paraId="78349B9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3.2.检测功能：可对金属表面及近表面缺陷探伤硬度分选，可同屏显示；</w:t>
            </w:r>
          </w:p>
          <w:p w14:paraId="791F1FC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3.3.频率范围：5Hz～12MHz，连续可调，可选配分选可单频8频率分选；</w:t>
            </w:r>
          </w:p>
          <w:p w14:paraId="7AB150D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3.4.增益范围：0.0dB～99.0DB连续可调，步进：0.1dB；可微调快捷提高/降低；</w:t>
            </w:r>
          </w:p>
          <w:p w14:paraId="21863C4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3.5.增益比：（X/Y）0.1～10.0；连续可调；</w:t>
            </w:r>
          </w:p>
          <w:p w14:paraId="49101A8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3.6.硬件放大系数：1dB～39.9dB连续可调，步进：0.1DB；</w:t>
            </w:r>
          </w:p>
          <w:p w14:paraId="14C45D8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3.7.探头驱动激励等级：1～16级可调；</w:t>
            </w:r>
          </w:p>
          <w:p w14:paraId="4CCBB51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3.8.滤波器：高通8级低通8级采样频率0-100000平衡滤波0-10000；</w:t>
            </w:r>
          </w:p>
          <w:p w14:paraId="78641A3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3.9.采用滤波方式能有效抑制现场干扰信号，保证检测的准确性和稳定性；</w:t>
            </w:r>
          </w:p>
          <w:p w14:paraId="225070A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3.10.模块需实现检测信号及数据多方面共享，数据的采集输出分析存储读取等功能全程智能处理。</w:t>
            </w:r>
          </w:p>
          <w:p w14:paraId="5D31903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四、转运模块</w:t>
            </w:r>
          </w:p>
          <w:p w14:paraId="2EBE44B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●4.1.机器人最大负载：≥10kg；（在投标文件中提供具有国家认可的第三方检测机构出具的该功能检测报告复印件或产品功能彩页或相关截图或技术白皮书等佐证材料，否则不予计分）</w:t>
            </w:r>
          </w:p>
          <w:p w14:paraId="201CEB2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4.2.机器人自由度：≥6；</w:t>
            </w:r>
          </w:p>
          <w:p w14:paraId="5724F9E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4.3.末端最大速度：≥3.8m/s；</w:t>
            </w:r>
          </w:p>
          <w:p w14:paraId="031F0C7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●4.4.有效工作半径：≥1300mm；（在投标文件中提供具有国家认可的第三方检测机构出具的该功能检测报告复印件或产品功能彩页或相关截图或技术白皮书等佐证材料，否则不予计分）</w:t>
            </w:r>
          </w:p>
          <w:p w14:paraId="7C1440F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4.5.重复定位精度：≤±0.03mm；</w:t>
            </w:r>
          </w:p>
          <w:p w14:paraId="5790FAD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4.6.重量：≤40kg；</w:t>
            </w:r>
          </w:p>
          <w:p w14:paraId="413B3EF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4.7.支持手动操控（适合基础操作实训）和自动编程操控（适合流程化实训），可通过集中操控中心实现参数设置和转运流程自定义，配备专属教学编程模块；</w:t>
            </w:r>
          </w:p>
          <w:p w14:paraId="3DB6FAB1">
            <w:pPr>
              <w:keepNext w:val="0"/>
              <w:keepLines w:val="0"/>
              <w:pageBreakBefore w:val="0"/>
              <w:widowControl/>
              <w:suppressLineNumbers w:val="0"/>
              <w:kinsoku/>
              <w:wordWrap/>
              <w:overflowPunct/>
              <w:topLinePunct w:val="0"/>
              <w:bidi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sz w:val="21"/>
                <w:szCs w:val="21"/>
                <w:highlight w:val="none"/>
                <w:lang w:val="en-US" w:eastAsia="zh-CN"/>
              </w:rPr>
              <w:t>4.8.本模块负责三个工位间的检测工件自动化转运，机器人末端根据检测工件定制化夹具。</w:t>
            </w:r>
          </w:p>
          <w:p w14:paraId="75CDB94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五、控制中心</w:t>
            </w:r>
          </w:p>
          <w:p w14:paraId="746617B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5.1.操控台：≥1000mm×800mm×1200mm；</w:t>
            </w:r>
          </w:p>
          <w:p w14:paraId="5EB075B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5.2.操作功能：整合视觉检测模块相控阵超声检测模块.涡流+硬度筛选检测模块的参数调试启动停止控制；转运模块的控制编程设置；整体自动化检测产线数据的集中采集、存储、查询、导出；</w:t>
            </w:r>
          </w:p>
          <w:p w14:paraId="4CBF955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5.3.控制系统：中文操作界面，简洁易懂，支持参数一键保存调用，内置教学模式，可分步操控各模块，便于教师指导学生操作，支持多用户权限设置（教师、学生）；</w:t>
            </w:r>
          </w:p>
          <w:p w14:paraId="4EF89FF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5.4.需支持与各模块设备无缝连接，实现检测数据转运数据实时同步，可导出PDF/Excel格式标准化检测报告，便于实训报告整理和教学效果评估。</w:t>
            </w:r>
          </w:p>
          <w:p w14:paraId="04EF184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六、安全防护</w:t>
            </w:r>
          </w:p>
          <w:p w14:paraId="6AD8BE5C">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6.1.安全防护系统实时监测产线运行状况，对可能出现的安全隐患进行预警和处理，保障操作人员和设备的安全；</w:t>
            </w:r>
          </w:p>
          <w:p w14:paraId="36CA0B2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6.2.各个模块配备安全限位装置，设置统一紧急停止按钮，设置防护围栏，避免实训过程中出现安全隐患。</w:t>
            </w:r>
          </w:p>
          <w:p w14:paraId="13B989C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七、实训项目</w:t>
            </w:r>
          </w:p>
          <w:p w14:paraId="72EDAC9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7.1.需支持视觉检测模块相控阵超声检测模块涡流+硬度筛选检测模块以及转运模块的独立实训操作；</w:t>
            </w:r>
          </w:p>
          <w:p w14:paraId="09515BB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7.2.通过操控中心实现各模块间协同联动操作，同步采集多模块多品类工件检测数据，整理综合实训数据，完成基础数据汇总分析；</w:t>
            </w:r>
          </w:p>
          <w:p w14:paraId="6A50941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7.3.产线可给定焊接件、锻件、铸件等多品类试样，要求学生通过集中操控中心控制全流程，完成检测转运分选操作，完成综合性实训任务；</w:t>
            </w:r>
          </w:p>
          <w:p w14:paraId="5DF5137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7.4.产线应具备插入自动化金相制样及观察模块，能够并入原有产线，实现硬件软件的功能一体化；</w:t>
            </w:r>
          </w:p>
          <w:p w14:paraId="180D8D8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7.5.根据产线各个环节模块的开源设计，对整条产线进行加装改造实现从实训到科研的进阶过程。</w:t>
            </w:r>
          </w:p>
          <w:p w14:paraId="69BC500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▲八、本产线为交钥匙工程，设备制造商负责产线的全套设计、制造、运输、现场安装、调试、培训等工作。</w:t>
            </w:r>
          </w:p>
          <w:p w14:paraId="158926B5">
            <w:pPr>
              <w:keepNext w:val="0"/>
              <w:keepLines w:val="0"/>
              <w:pageBreakBefore w:val="0"/>
              <w:kinsoku/>
              <w:wordWrap/>
              <w:overflowPunct/>
              <w:topLinePunct w:val="0"/>
              <w:bidi w:val="0"/>
              <w:spacing w:line="340" w:lineRule="exac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w:t>
            </w:r>
            <w:r>
              <w:rPr>
                <w:rFonts w:hint="eastAsia" w:ascii="宋体" w:hAnsi="宋体" w:eastAsia="宋体" w:cs="宋体"/>
                <w:bCs/>
                <w:i w:val="0"/>
                <w:iCs w:val="0"/>
                <w:caps w:val="0"/>
                <w:color w:val="auto"/>
                <w:spacing w:val="0"/>
                <w:sz w:val="21"/>
                <w:szCs w:val="21"/>
                <w:highlight w:val="none"/>
                <w:shd w:val="clear"/>
                <w:lang w:eastAsia="zh-Hans"/>
              </w:rPr>
              <w:t>本项目</w:t>
            </w:r>
            <w:r>
              <w:rPr>
                <w:rFonts w:hint="eastAsia" w:ascii="宋体" w:hAnsi="宋体" w:cs="宋体"/>
                <w:bCs/>
                <w:i w:val="0"/>
                <w:iCs w:val="0"/>
                <w:caps w:val="0"/>
                <w:color w:val="auto"/>
                <w:spacing w:val="0"/>
                <w:sz w:val="21"/>
                <w:szCs w:val="21"/>
                <w:highlight w:val="none"/>
                <w:shd w:val="clear"/>
                <w:lang w:val="en-US" w:eastAsia="zh-CN"/>
              </w:rPr>
              <w:t>中的</w:t>
            </w:r>
            <w:r>
              <w:rPr>
                <w:rFonts w:hint="eastAsia" w:ascii="宋体" w:hAnsi="宋体" w:eastAsia="宋体" w:cs="宋体"/>
                <w:bCs/>
                <w:i w:val="0"/>
                <w:iCs w:val="0"/>
                <w:caps w:val="0"/>
                <w:color w:val="auto"/>
                <w:spacing w:val="0"/>
                <w:sz w:val="21"/>
                <w:szCs w:val="21"/>
                <w:highlight w:val="none"/>
                <w:shd w:val="clear"/>
                <w:lang w:eastAsia="zh-Hans"/>
              </w:rPr>
              <w:t>“ 智能检测自动化产线”</w:t>
            </w:r>
            <w:r>
              <w:rPr>
                <w:rFonts w:hint="eastAsia" w:ascii="宋体" w:hAnsi="宋体" w:cs="宋体"/>
                <w:bCs/>
                <w:i w:val="0"/>
                <w:iCs w:val="0"/>
                <w:caps w:val="0"/>
                <w:color w:val="auto"/>
                <w:spacing w:val="0"/>
                <w:sz w:val="21"/>
                <w:szCs w:val="21"/>
                <w:highlight w:val="none"/>
                <w:shd w:val="clear"/>
                <w:lang w:val="en-US" w:eastAsia="zh-CN"/>
              </w:rPr>
              <w:t>需包含</w:t>
            </w:r>
            <w:r>
              <w:rPr>
                <w:rFonts w:hint="eastAsia" w:ascii="宋体" w:hAnsi="宋体" w:eastAsia="宋体" w:cs="宋体"/>
                <w:bCs/>
                <w:i w:val="0"/>
                <w:iCs w:val="0"/>
                <w:caps w:val="0"/>
                <w:color w:val="auto"/>
                <w:spacing w:val="0"/>
                <w:sz w:val="21"/>
                <w:szCs w:val="21"/>
                <w:highlight w:val="none"/>
                <w:shd w:val="clear"/>
                <w:lang w:eastAsia="zh-Hans"/>
              </w:rPr>
              <w:t>视觉检测，相控阵超声检测，涡流+硬度筛选检测，</w:t>
            </w:r>
            <w:r>
              <w:rPr>
                <w:rFonts w:hint="eastAsia" w:ascii="宋体" w:hAnsi="宋体" w:cs="宋体"/>
                <w:bCs/>
                <w:i w:val="0"/>
                <w:iCs w:val="0"/>
                <w:caps w:val="0"/>
                <w:color w:val="auto"/>
                <w:spacing w:val="0"/>
                <w:sz w:val="21"/>
                <w:szCs w:val="21"/>
                <w:highlight w:val="none"/>
                <w:shd w:val="clear"/>
                <w:lang w:val="en-US" w:eastAsia="zh-CN"/>
              </w:rPr>
              <w:t>但不限制以上的检测方法，可在以上方法上增加更多检测方法</w:t>
            </w:r>
            <w:r>
              <w:rPr>
                <w:rFonts w:hint="eastAsia" w:ascii="宋体" w:hAnsi="宋体" w:eastAsia="宋体" w:cs="宋体"/>
                <w:bCs/>
                <w:i w:val="0"/>
                <w:iCs w:val="0"/>
                <w:caps w:val="0"/>
                <w:color w:val="auto"/>
                <w:spacing w:val="0"/>
                <w:sz w:val="21"/>
                <w:szCs w:val="21"/>
                <w:highlight w:val="none"/>
                <w:shd w:val="clear"/>
                <w:lang w:eastAsia="zh-Hans"/>
              </w:rPr>
              <w:t>。</w:t>
            </w:r>
          </w:p>
        </w:tc>
        <w:tc>
          <w:tcPr>
            <w:tcW w:w="1144" w:type="dxa"/>
            <w:noWrap w:val="0"/>
            <w:vAlign w:val="center"/>
          </w:tcPr>
          <w:p w14:paraId="04ED0C1E">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14EA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0BB0AC53">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22</w:t>
            </w:r>
          </w:p>
        </w:tc>
        <w:tc>
          <w:tcPr>
            <w:tcW w:w="922" w:type="dxa"/>
            <w:noWrap w:val="0"/>
            <w:vAlign w:val="center"/>
          </w:tcPr>
          <w:p w14:paraId="2CFDFBC5">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高清摄像头</w:t>
            </w:r>
          </w:p>
        </w:tc>
        <w:tc>
          <w:tcPr>
            <w:tcW w:w="584" w:type="dxa"/>
            <w:noWrap w:val="0"/>
            <w:vAlign w:val="center"/>
          </w:tcPr>
          <w:p w14:paraId="5DC0882C">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611" w:type="dxa"/>
            <w:gridSpan w:val="2"/>
            <w:noWrap w:val="0"/>
            <w:vAlign w:val="center"/>
          </w:tcPr>
          <w:p w14:paraId="6A1F65D7">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个</w:t>
            </w:r>
          </w:p>
        </w:tc>
        <w:tc>
          <w:tcPr>
            <w:tcW w:w="5752" w:type="dxa"/>
            <w:noWrap w:val="0"/>
            <w:vAlign w:val="center"/>
          </w:tcPr>
          <w:p w14:paraId="6CDC08D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1.摄像头最低照度：c0.01Lux.@(F1.2,AGC.ON）；</w:t>
            </w:r>
          </w:p>
          <w:p w14:paraId="4A01B85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2.最大图像尺寸：≥1920*1080；</w:t>
            </w:r>
          </w:p>
          <w:p w14:paraId="0627C2D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3.焦距：≤4mm；</w:t>
            </w:r>
          </w:p>
          <w:p w14:paraId="0CABCB4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●4.摄像头像素：≥400万；（在投标文件中提供具有国家认可的第三方检测机构出具的该功能检测报告复印件或产品功能彩页或相关截图或技术白皮书等佐证材料，否则不予计分）</w:t>
            </w:r>
          </w:p>
          <w:p w14:paraId="64F9034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5.视场角：水平视场角≥80°，垂直视场角≥40°，对角视场角≥95°；</w:t>
            </w:r>
          </w:p>
          <w:p w14:paraId="70B18649">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6.补光距离：≥30米；</w:t>
            </w:r>
          </w:p>
          <w:p w14:paraId="72A53611">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7.供电方式：POE供电；</w:t>
            </w:r>
          </w:p>
          <w:p w14:paraId="5AAB9386">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8.支持移动侦测，异常报警。</w:t>
            </w:r>
          </w:p>
        </w:tc>
        <w:tc>
          <w:tcPr>
            <w:tcW w:w="1144" w:type="dxa"/>
            <w:noWrap w:val="0"/>
            <w:vAlign w:val="center"/>
          </w:tcPr>
          <w:p w14:paraId="22A2E95A">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0E9C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dxa"/>
            <w:noWrap w:val="0"/>
            <w:vAlign w:val="center"/>
          </w:tcPr>
          <w:p w14:paraId="70469334">
            <w:pPr>
              <w:keepNext w:val="0"/>
              <w:keepLines w:val="0"/>
              <w:pageBreakBefore w:val="0"/>
              <w:kinsoku/>
              <w:wordWrap/>
              <w:overflowPunct/>
              <w:topLinePunct w:val="0"/>
              <w:bidi w:val="0"/>
              <w:spacing w:line="34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23</w:t>
            </w:r>
          </w:p>
        </w:tc>
        <w:tc>
          <w:tcPr>
            <w:tcW w:w="922" w:type="dxa"/>
            <w:noWrap w:val="0"/>
            <w:vAlign w:val="center"/>
          </w:tcPr>
          <w:p w14:paraId="2D63889D">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iCs/>
                <w:color w:val="auto"/>
                <w:kern w:val="2"/>
                <w:sz w:val="21"/>
                <w:szCs w:val="21"/>
                <w:highlight w:val="none"/>
                <w:lang w:val="en-US" w:eastAsia="zh-CN" w:bidi="ar-SA"/>
              </w:rPr>
            </w:pPr>
            <w:r>
              <w:rPr>
                <w:rFonts w:hint="eastAsia" w:ascii="宋体" w:hAnsi="宋体" w:eastAsia="宋体" w:cs="宋体"/>
                <w:color w:val="auto"/>
                <w:sz w:val="21"/>
                <w:szCs w:val="21"/>
                <w:highlight w:val="none"/>
              </w:rPr>
              <w:t>音响系统</w:t>
            </w:r>
          </w:p>
        </w:tc>
        <w:tc>
          <w:tcPr>
            <w:tcW w:w="584" w:type="dxa"/>
            <w:noWrap w:val="0"/>
            <w:vAlign w:val="center"/>
          </w:tcPr>
          <w:p w14:paraId="655C306F">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611" w:type="dxa"/>
            <w:gridSpan w:val="2"/>
            <w:noWrap w:val="0"/>
            <w:vAlign w:val="center"/>
          </w:tcPr>
          <w:p w14:paraId="13249250">
            <w:pPr>
              <w:keepNext w:val="0"/>
              <w:keepLines w:val="0"/>
              <w:pageBreakBefore w:val="0"/>
              <w:kinsoku/>
              <w:wordWrap/>
              <w:overflowPunct/>
              <w:topLinePunct w:val="0"/>
              <w:bidi w:val="0"/>
              <w:adjustRightInd w:val="0"/>
              <w:snapToGrid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5752" w:type="dxa"/>
            <w:noWrap w:val="0"/>
            <w:vAlign w:val="center"/>
          </w:tcPr>
          <w:p w14:paraId="0098E6C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一、音响参数</w:t>
            </w:r>
          </w:p>
          <w:p w14:paraId="79976F47">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●1.1.功率：≥40W；（在投标文件中提供具有国家认可的第三方检测机构出具的该功能检测报告复印件或产品功能彩页或相关截图或技术白皮书等佐证材料，否则不予计分）</w:t>
            </w:r>
          </w:p>
          <w:p w14:paraId="1BC71D1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1.2.输入阻抗：≤4Ω；</w:t>
            </w:r>
          </w:p>
          <w:p w14:paraId="3A72955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1.3.谐波失真：≤0.03%；</w:t>
            </w:r>
          </w:p>
          <w:p w14:paraId="42D7881E">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1.4.频率响应：55~18KHz；</w:t>
            </w:r>
          </w:p>
          <w:p w14:paraId="09FA86C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1.5.低音单元：≥6.5寸+高音；</w:t>
            </w:r>
          </w:p>
          <w:p w14:paraId="3F7DC834">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1.6.输入电压：≥110V；</w:t>
            </w:r>
          </w:p>
          <w:p w14:paraId="303CBD7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1.7.灵敏度：≤90dB±3dB；</w:t>
            </w:r>
          </w:p>
          <w:p w14:paraId="57DDAD93">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1.8.配置数量：≥4个。</w:t>
            </w:r>
          </w:p>
          <w:p w14:paraId="24E90FA6">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二、功放参数</w:t>
            </w:r>
          </w:p>
          <w:p w14:paraId="09A8DEF2">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2.1.输出功率：≥80W；</w:t>
            </w:r>
          </w:p>
          <w:p w14:paraId="3EAD1C3F">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2.2.输出电压：≥100V；</w:t>
            </w:r>
          </w:p>
          <w:p w14:paraId="7C18689B">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2.3.辅助输出电平：≥900mV；</w:t>
            </w:r>
          </w:p>
          <w:p w14:paraId="0F5D38BA">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2.4.频率响应：60Hz-16KHz；</w:t>
            </w:r>
          </w:p>
          <w:p w14:paraId="064A22F0">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2.5.总谐调节范围：≤7.8%(1kHz，正常工作条件）；</w:t>
            </w:r>
          </w:p>
          <w:p w14:paraId="1BEEC3F5">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2.6.音调调节范围：≤±12dB；</w:t>
            </w:r>
          </w:p>
          <w:p w14:paraId="7988F060">
            <w:pPr>
              <w:keepNext w:val="0"/>
              <w:keepLines w:val="0"/>
              <w:pageBreakBefore w:val="0"/>
              <w:kinsoku/>
              <w:wordWrap/>
              <w:overflowPunct/>
              <w:topLinePunct w:val="0"/>
              <w:bidi w:val="0"/>
              <w:spacing w:line="3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2.7.信噪比：≥63dB。</w:t>
            </w:r>
          </w:p>
        </w:tc>
        <w:tc>
          <w:tcPr>
            <w:tcW w:w="1144" w:type="dxa"/>
            <w:noWrap w:val="0"/>
            <w:vAlign w:val="center"/>
          </w:tcPr>
          <w:p w14:paraId="66702037">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B1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4" w:type="dxa"/>
            <w:gridSpan w:val="7"/>
            <w:noWrap w:val="0"/>
            <w:vAlign w:val="center"/>
          </w:tcPr>
          <w:p w14:paraId="5170B982">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 w:val="24"/>
                <w:szCs w:val="24"/>
                <w:highlight w:val="none"/>
              </w:rPr>
              <w:t>商务要求</w:t>
            </w:r>
            <w:r>
              <w:rPr>
                <w:rFonts w:hint="eastAsia" w:ascii="宋体" w:hAnsi="宋体" w:eastAsia="宋体" w:cs="宋体"/>
                <w:b/>
                <w:bCs/>
                <w:color w:val="auto"/>
                <w:sz w:val="24"/>
                <w:szCs w:val="24"/>
                <w:highlight w:val="none"/>
                <w:lang w:val="en-US" w:eastAsia="zh-CN"/>
              </w:rPr>
              <w:t>表</w:t>
            </w:r>
          </w:p>
        </w:tc>
      </w:tr>
      <w:tr w14:paraId="6B1A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7004D1FB">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交货时间及地点</w:t>
            </w:r>
          </w:p>
        </w:tc>
        <w:tc>
          <w:tcPr>
            <w:tcW w:w="7070" w:type="dxa"/>
            <w:gridSpan w:val="3"/>
            <w:noWrap w:val="0"/>
            <w:vAlign w:val="center"/>
          </w:tcPr>
          <w:p w14:paraId="00AFC2D1">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1.交货/交付日期：自合同签订之日起</w:t>
            </w:r>
            <w:r>
              <w:rPr>
                <w:rFonts w:hint="eastAsia" w:ascii="宋体" w:hAnsi="宋体" w:eastAsia="宋体" w:cs="宋体"/>
                <w:color w:val="auto"/>
                <w:sz w:val="21"/>
                <w:szCs w:val="21"/>
                <w:highlight w:val="none"/>
                <w:u w:val="single"/>
                <w:lang w:eastAsia="zh-CN"/>
              </w:rPr>
              <w:t>45个日历天。</w:t>
            </w:r>
          </w:p>
          <w:p w14:paraId="0F8D015F">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2.交货地点：</w:t>
            </w:r>
            <w:r>
              <w:rPr>
                <w:rFonts w:hint="eastAsia" w:ascii="宋体" w:hAnsi="宋体" w:eastAsia="宋体" w:cs="宋体"/>
                <w:color w:val="auto"/>
                <w:sz w:val="21"/>
                <w:szCs w:val="21"/>
                <w:highlight w:val="none"/>
                <w:u w:val="single"/>
                <w:lang w:eastAsia="zh-CN"/>
              </w:rPr>
              <w:t>广西机电职业技术学院</w:t>
            </w:r>
            <w:r>
              <w:rPr>
                <w:rFonts w:hint="eastAsia" w:ascii="宋体" w:hAnsi="宋体" w:eastAsia="宋体" w:cs="宋体"/>
                <w:color w:val="auto"/>
                <w:sz w:val="21"/>
                <w:szCs w:val="21"/>
                <w:highlight w:val="none"/>
                <w:u w:val="single"/>
                <w:lang w:val="en-US" w:eastAsia="zh-CN"/>
              </w:rPr>
              <w:t>相思湖校区</w:t>
            </w:r>
            <w:r>
              <w:rPr>
                <w:rFonts w:hint="eastAsia" w:ascii="宋体" w:hAnsi="宋体" w:eastAsia="宋体" w:cs="宋体"/>
                <w:color w:val="auto"/>
                <w:sz w:val="21"/>
                <w:szCs w:val="21"/>
                <w:highlight w:val="none"/>
                <w:u w:val="single"/>
                <w:lang w:eastAsia="zh-CN"/>
              </w:rPr>
              <w:t>指定地点。</w:t>
            </w:r>
          </w:p>
        </w:tc>
      </w:tr>
      <w:tr w14:paraId="5BCB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5AA7467F">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质保期及售后服务要求</w:t>
            </w:r>
          </w:p>
        </w:tc>
        <w:tc>
          <w:tcPr>
            <w:tcW w:w="7070" w:type="dxa"/>
            <w:gridSpan w:val="3"/>
            <w:noWrap w:val="0"/>
            <w:vAlign w:val="center"/>
          </w:tcPr>
          <w:p w14:paraId="34F56694">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一、免费质保期要求</w:t>
            </w:r>
          </w:p>
          <w:p w14:paraId="1CFA4D80">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1.1.所有供货设备仪器配套试件集成系统整体免费质保期不少于1年，自设备全部安装调试完成验收合格正式交付使用之日起计算。</w:t>
            </w:r>
          </w:p>
          <w:p w14:paraId="765D9331">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1.2.质保期内非人为损坏产生的零部件更换维修调试校准上门服务等所有费用全部由中标供应商承担，采购人无需支付任何费用。</w:t>
            </w:r>
          </w:p>
          <w:p w14:paraId="4FDC7107">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1.3.质保期满后，供应商须长期提供原厂配件备品备件及耗材供应，配件价格实行优惠价，不得高于市场同期公开售价。</w:t>
            </w:r>
          </w:p>
          <w:p w14:paraId="7F229B12">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二、售后服务响应要求</w:t>
            </w:r>
          </w:p>
          <w:p w14:paraId="302C10AE">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2.1.售后响应时间：接到故障报修后，30分钟内响应，4小时内给出排查解决方案，24小时内安排专业技术人员上门现场维修处理。</w:t>
            </w:r>
          </w:p>
          <w:p w14:paraId="5EFD4014">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2.2.故障处置要求：一般故障当日修复，重大故障无法当场修复的，须在3个工作日内提供同规格备用设备，保障学校正常实训教学使用。</w:t>
            </w:r>
          </w:p>
          <w:p w14:paraId="37B6C6AE">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三、安装调试与培训服务</w:t>
            </w:r>
          </w:p>
          <w:p w14:paraId="51018ADD">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3.1.中标供应商负责免费完成所有设备卸货搬运就位安装接线调试整体联调，确保全部设备达到正常实训使用标准。</w:t>
            </w:r>
          </w:p>
          <w:p w14:paraId="7B6B6BC5">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3.2.免费为校方培训不少于</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名专业教师，培训内容包含设备操作参数设置缺陷判定日常校准简易故障排查和设备维护保养等，培训直至操作人员完全熟练独立使用。</w:t>
            </w:r>
          </w:p>
          <w:p w14:paraId="4CC3D5E6">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四、其他服务要求</w:t>
            </w:r>
          </w:p>
          <w:p w14:paraId="0243EAAB">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4.1.所有设备须符合国家行业标准和无损检测相关规范，满足院校实训教学技能考核职业等级考试使用要求。</w:t>
            </w:r>
          </w:p>
          <w:p w14:paraId="210F0178">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4.2.供货时随货提供齐全合法合规的供货资质产品质检报告和出厂检测证明等材料。</w:t>
            </w:r>
          </w:p>
          <w:p w14:paraId="7C43D85D">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4.3.严格按照校方指定时间完成全部供货安装验收，不得延误教学进度。</w:t>
            </w:r>
          </w:p>
        </w:tc>
      </w:tr>
      <w:tr w14:paraId="7074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68BE1224">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付款方式</w:t>
            </w:r>
          </w:p>
        </w:tc>
        <w:tc>
          <w:tcPr>
            <w:tcW w:w="7070" w:type="dxa"/>
            <w:gridSpan w:val="3"/>
            <w:noWrap w:val="0"/>
            <w:vAlign w:val="center"/>
          </w:tcPr>
          <w:p w14:paraId="3B4692AF">
            <w:pPr>
              <w:pStyle w:val="9"/>
              <w:keepNext w:val="0"/>
              <w:keepLines w:val="0"/>
              <w:pageBreakBefore w:val="0"/>
              <w:kinsoku/>
              <w:wordWrap/>
              <w:overflowPunct/>
              <w:topLinePunct w:val="0"/>
              <w:bidi w:val="0"/>
              <w:snapToGrid w:val="0"/>
              <w:spacing w:line="340" w:lineRule="exact"/>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购的设备全部到货完毕，经采购人组织到货验收合格后，采购人按合同金额的70%向中标供应商支付到货款；项目验收合格后10个工作日采购人向中标供应商支付合同全部余款。每次甲方付款前，乙方应向甲方开具等额有效的增值税专用发票，甲方未收到合格有效发票的，有权不予支付相应款项直至乙方提供合格发票，并不承担延迟付款责任。</w:t>
            </w:r>
          </w:p>
        </w:tc>
      </w:tr>
      <w:tr w14:paraId="7F6A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6B915F95">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履约保证金</w:t>
            </w:r>
          </w:p>
        </w:tc>
        <w:tc>
          <w:tcPr>
            <w:tcW w:w="7070" w:type="dxa"/>
            <w:gridSpan w:val="3"/>
            <w:noWrap w:val="0"/>
            <w:vAlign w:val="center"/>
          </w:tcPr>
          <w:p w14:paraId="1E0252FD">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1.履约保证金金额：按中标金额的</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%交纳（如</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lang w:eastAsia="zh-CN"/>
              </w:rPr>
              <w:t>供应商为中小企业的，按本项目</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lang w:eastAsia="zh-CN"/>
              </w:rPr>
              <w:t>金额的2%交纳）。</w:t>
            </w:r>
          </w:p>
          <w:p w14:paraId="07A3838E">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2.履约保证金递交方式：以电汇、转账、汇票、金溶机构或担保机构出具的保函等非现金形式提交。由中标人在中标通知书发出后10个工作日内按规定的金额直接缴入广西机电职业技术学院账户，</w:t>
            </w:r>
          </w:p>
          <w:p w14:paraId="47CB427D">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账户名称：广西机电职业技术学院；</w:t>
            </w:r>
          </w:p>
          <w:p w14:paraId="1EDC0308">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开户行：建设银行南宁分行大学路支行；</w:t>
            </w:r>
          </w:p>
          <w:p w14:paraId="1A85284E">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银行账号：4500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1604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8510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5050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3961</w:t>
            </w:r>
          </w:p>
          <w:p w14:paraId="17814CB8">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中标人须在签订合同之前按照本条规定的履约保证金金额、递交方式直接转入采购人账户，否则不予签订合同。项目竣工验收合格后一年退付（无息）。由中标人向履约保证金收取单位提供《采购项目合同验收书》《采购项目履约保证金退付意见书》，保证金收取单位在收到合格材料后，根据中标人相关违约处罚扣款后的实际数额在10个工作日内办理退还手续（不计利息）。若采购内容质保期各不相同的，也可按金额比例分次退付。</w:t>
            </w:r>
          </w:p>
          <w:p w14:paraId="3D01A0BB">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4.在履约保证金退还日期前，若中标人的开户名称、开户银行、账号有变动的，请以书面形式通知广西机电职业技术学院，否则由此产生的后果由中标人自负。</w:t>
            </w:r>
          </w:p>
          <w:p w14:paraId="3FB9B23F">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5.乙方采用保函形式缴纳履约保证金的，该保函需载明：</w:t>
            </w:r>
          </w:p>
          <w:p w14:paraId="22AA54AF">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（1）见索即付；</w:t>
            </w:r>
          </w:p>
          <w:p w14:paraId="523DE197">
            <w:pPr>
              <w:pStyle w:val="26"/>
              <w:keepNext w:val="0"/>
              <w:keepLines w:val="0"/>
              <w:pageBreakBefore w:val="0"/>
              <w:kinsoku/>
              <w:wordWrap/>
              <w:overflowPunct/>
              <w:topLinePunct w:val="0"/>
              <w:bidi w:val="0"/>
              <w:spacing w:after="0" w:line="3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2）收到采购人法定代表人或授权委托代理人签字确认并加盖公章的书面索赔通知后即应不争辩、不挑剔、不可撤销地向采购人支付索赔款，直至最高担保金额。（如乙方提供的保函未载明前述内容的，甲方可直接拒收该保函，乙方应以银行转账或其他能切实发挥履约担保作用的方式提供履约保证金）。</w:t>
            </w:r>
          </w:p>
        </w:tc>
      </w:tr>
      <w:tr w14:paraId="0B2A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6BBFF1CC">
            <w:pPr>
              <w:spacing w:line="360" w:lineRule="atLeast"/>
              <w:jc w:val="center"/>
              <w:rPr>
                <w:rFonts w:hint="default" w:ascii="宋体" w:hAnsi="宋体" w:eastAsia="宋体" w:cs="宋体"/>
                <w:color w:val="auto"/>
                <w:sz w:val="21"/>
                <w:szCs w:val="21"/>
                <w:highlight w:val="none"/>
                <w:lang w:val="en-US" w:eastAsia="zh-CN"/>
              </w:rPr>
            </w:pPr>
            <w:r>
              <w:rPr>
                <w:rFonts w:hint="eastAsia" w:ascii="宋体" w:hAnsi="宋体"/>
                <w:color w:val="auto"/>
                <w:szCs w:val="21"/>
                <w:highlight w:val="none"/>
              </w:rPr>
              <w:t>采购标的验收标准</w:t>
            </w:r>
          </w:p>
        </w:tc>
        <w:tc>
          <w:tcPr>
            <w:tcW w:w="7070" w:type="dxa"/>
            <w:gridSpan w:val="3"/>
            <w:noWrap w:val="0"/>
            <w:vAlign w:val="center"/>
          </w:tcPr>
          <w:p w14:paraId="72DFFBEB">
            <w:pPr>
              <w:pStyle w:val="9"/>
              <w:snapToGrid w:val="0"/>
              <w:spacing w:line="360" w:lineRule="exact"/>
              <w:outlineLvl w:val="0"/>
              <w:rPr>
                <w:rFonts w:hAnsi="宋体"/>
                <w:color w:val="auto"/>
                <w:kern w:val="0"/>
                <w:highlight w:val="none"/>
              </w:rPr>
            </w:pPr>
            <w:r>
              <w:rPr>
                <w:rFonts w:hint="eastAsia" w:hAnsi="宋体"/>
                <w:color w:val="auto"/>
                <w:highlight w:val="none"/>
              </w:rPr>
              <w:t>1.采购人可以根据采购项目具体情况自行组织验收，或者委托第三方机构或部门开展采购项目履约验收工作，验收过程中所产生的费用均由</w:t>
            </w:r>
            <w:r>
              <w:rPr>
                <w:rFonts w:hint="eastAsia" w:hAnsi="宋体"/>
                <w:color w:val="auto"/>
                <w:highlight w:val="none"/>
                <w:lang w:val="en-US" w:eastAsia="zh-CN"/>
              </w:rPr>
              <w:t>中标</w:t>
            </w:r>
            <w:r>
              <w:rPr>
                <w:rFonts w:hint="eastAsia" w:hAnsi="宋体"/>
                <w:color w:val="auto"/>
                <w:highlight w:val="none"/>
              </w:rPr>
              <w:t>人承担，供应商在投标报价时应考虑相关费用。</w:t>
            </w:r>
          </w:p>
          <w:p w14:paraId="4F4564ED">
            <w:pPr>
              <w:pStyle w:val="9"/>
              <w:snapToGrid w:val="0"/>
              <w:spacing w:line="360" w:lineRule="exact"/>
              <w:outlineLvl w:val="0"/>
              <w:rPr>
                <w:rFonts w:hint="eastAsia" w:hAnsi="宋体"/>
                <w:color w:val="auto"/>
                <w:highlight w:val="none"/>
              </w:rPr>
            </w:pPr>
            <w:r>
              <w:rPr>
                <w:rFonts w:hint="eastAsia" w:hAnsi="宋体"/>
                <w:color w:val="auto"/>
                <w:highlight w:val="none"/>
              </w:rPr>
              <w:t>2.在验收过程中发现</w:t>
            </w:r>
            <w:r>
              <w:rPr>
                <w:rFonts w:hint="eastAsia" w:hAnsi="宋体"/>
                <w:color w:val="auto"/>
                <w:highlight w:val="none"/>
                <w:lang w:val="en-US" w:eastAsia="zh-CN"/>
              </w:rPr>
              <w:t>中标</w:t>
            </w:r>
            <w:r>
              <w:rPr>
                <w:rFonts w:hint="eastAsia" w:hAnsi="宋体"/>
                <w:color w:val="auto"/>
                <w:highlight w:val="none"/>
              </w:rPr>
              <w:t>人有违约问题，可暂缓资金结算，待违约问题解决后，方可办理资金结算事宜。</w:t>
            </w:r>
          </w:p>
          <w:p w14:paraId="0CC37D52">
            <w:pPr>
              <w:spacing w:line="360" w:lineRule="atLeas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验收标准</w:t>
            </w:r>
          </w:p>
          <w:p w14:paraId="38B9EE80">
            <w:pPr>
              <w:spacing w:line="360" w:lineRule="atLeast"/>
              <w:rPr>
                <w:rFonts w:ascii="宋体" w:hAnsi="宋体"/>
                <w:color w:val="auto"/>
                <w:szCs w:val="21"/>
                <w:highlight w:val="none"/>
              </w:rPr>
            </w:pPr>
            <w:r>
              <w:rPr>
                <w:rFonts w:ascii="宋体" w:hAnsi="宋体"/>
                <w:color w:val="auto"/>
                <w:szCs w:val="21"/>
                <w:highlight w:val="none"/>
              </w:rPr>
              <w:t>3.1</w:t>
            </w:r>
            <w:r>
              <w:rPr>
                <w:rFonts w:hint="eastAsia" w:ascii="宋体" w:hAnsi="宋体"/>
                <w:color w:val="auto"/>
                <w:szCs w:val="21"/>
                <w:highlight w:val="none"/>
              </w:rPr>
              <w:t>供货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14:paraId="063503CF">
            <w:pPr>
              <w:spacing w:line="360" w:lineRule="atLeast"/>
              <w:rPr>
                <w:rFonts w:ascii="宋体" w:hAnsi="宋体"/>
                <w:color w:val="auto"/>
                <w:szCs w:val="21"/>
                <w:highlight w:val="none"/>
              </w:rPr>
            </w:pPr>
            <w:r>
              <w:rPr>
                <w:rFonts w:ascii="宋体" w:hAnsi="宋体"/>
                <w:color w:val="auto"/>
                <w:szCs w:val="21"/>
                <w:highlight w:val="none"/>
              </w:rPr>
              <w:t>3.2</w:t>
            </w:r>
            <w:r>
              <w:rPr>
                <w:rFonts w:ascii="宋体" w:hAnsi="宋体"/>
                <w:color w:val="auto"/>
                <w:szCs w:val="21"/>
                <w:highlight w:val="none"/>
                <w:lang w:val="en-US" w:eastAsia="zh-CN"/>
              </w:rPr>
              <w:t>中标供应商所提供的产品必须为原装正品、全新、完好无破损、未开箱状态，且完全符合国家、行业相关质量标准及本项目采购要求。设备到货安装前，采购人有权依据招标文件明确要求、投标文件响应承诺对设备参数、质量、配置等内容逐项现场核验；必要时，采购人可要求供应商对设备各项技术指标、功能效果进行现场演示，供应商须无条件配合。若核验发现产品质量、配置、技术指标不符合约定，或供应商无正当理由拒不配合现场演示、设备技术功能无法达到采购及合同约定标准的，视为供应商履约违约。采购人有权根据违约情形轻重，要求供应商限期整改、免费更换货品；存在重大违约、无法整改达标、严重影响项目使用的，采购人有权全额退货、解除对应履约条款。因供应商违约行为给采购人造成全部直接经济损失的，由中标供应商承担全额赔偿责任。同时，采购人有权将供应商违约履约情况报送同级政府采购监督管理部门依规处理。</w:t>
            </w:r>
          </w:p>
          <w:p w14:paraId="7C1F338B">
            <w:pPr>
              <w:spacing w:line="360" w:lineRule="atLeast"/>
              <w:rPr>
                <w:rFonts w:ascii="宋体" w:hAnsi="宋体"/>
                <w:color w:val="auto"/>
                <w:szCs w:val="21"/>
                <w:highlight w:val="none"/>
              </w:rPr>
            </w:pPr>
            <w:r>
              <w:rPr>
                <w:rFonts w:ascii="宋体" w:hAnsi="宋体"/>
                <w:color w:val="auto"/>
                <w:szCs w:val="21"/>
                <w:highlight w:val="none"/>
              </w:rPr>
              <w:t>3.3</w:t>
            </w:r>
            <w:r>
              <w:rPr>
                <w:rFonts w:hint="eastAsia" w:ascii="宋体" w:hAnsi="宋体"/>
                <w:color w:val="auto"/>
                <w:szCs w:val="21"/>
                <w:highlight w:val="none"/>
              </w:rPr>
              <w:t>验收方式和验收材料要求</w:t>
            </w:r>
          </w:p>
          <w:p w14:paraId="28DEACB7">
            <w:pPr>
              <w:spacing w:line="360" w:lineRule="atLeast"/>
              <w:rPr>
                <w:rFonts w:ascii="宋体" w:hAnsi="宋体"/>
                <w:color w:val="auto"/>
                <w:szCs w:val="21"/>
                <w:highlight w:val="none"/>
              </w:rPr>
            </w:pPr>
            <w:r>
              <w:rPr>
                <w:rFonts w:hint="eastAsia" w:ascii="宋体" w:hAnsi="宋体"/>
                <w:color w:val="auto"/>
                <w:szCs w:val="21"/>
                <w:highlight w:val="none"/>
              </w:rPr>
              <w:t>（1）采购人在项目完成且收到成交供应商验收申请后5个工作日内组织开展履约验收；</w:t>
            </w:r>
          </w:p>
          <w:p w14:paraId="6343A22D">
            <w:pPr>
              <w:spacing w:line="360" w:lineRule="atLeast"/>
              <w:rPr>
                <w:rFonts w:hint="eastAsia" w:ascii="宋体" w:hAnsi="宋体" w:eastAsia="宋体" w:cs="宋体"/>
                <w:color w:val="auto"/>
                <w:kern w:val="2"/>
                <w:sz w:val="21"/>
                <w:szCs w:val="21"/>
                <w:highlight w:val="none"/>
                <w:lang w:val="en-US" w:eastAsia="zh-CN" w:bidi="ar-SA"/>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成交供应商必须提供合格的验收材料，验收材料包括①验收申请书（原件）、②成交通知书复印件、③合同（包括附件加盖采购代理机构章的格式合同中规定的附件）复印件；④项目实施过程文件、⑤货物的证明文件、⑥货物的技术资料、⑦培训记录。</w:t>
            </w:r>
          </w:p>
        </w:tc>
      </w:tr>
      <w:tr w14:paraId="3C0F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26F0BBED">
            <w:pPr>
              <w:keepNext w:val="0"/>
              <w:keepLines w:val="0"/>
              <w:pageBreakBefore w:val="0"/>
              <w:kinsoku/>
              <w:wordWrap/>
              <w:overflowPunct/>
              <w:topLinePunct w:val="0"/>
              <w:bidi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7070" w:type="dxa"/>
            <w:gridSpan w:val="3"/>
            <w:noWrap w:val="0"/>
            <w:vAlign w:val="center"/>
          </w:tcPr>
          <w:p w14:paraId="20003D52">
            <w:pPr>
              <w:pStyle w:val="26"/>
              <w:keepNext w:val="0"/>
              <w:keepLines w:val="0"/>
              <w:pageBreakBefore w:val="0"/>
              <w:numPr>
                <w:ilvl w:val="0"/>
                <w:numId w:val="0"/>
              </w:numPr>
              <w:kinsoku/>
              <w:wordWrap/>
              <w:overflowPunct/>
              <w:topLinePunct w:val="0"/>
              <w:bidi w:val="0"/>
              <w:spacing w:after="0" w:line="34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本项目是综合性实训</w:t>
            </w:r>
            <w:r>
              <w:rPr>
                <w:rFonts w:hint="eastAsia" w:ascii="宋体" w:hAnsi="宋体" w:cs="宋体"/>
                <w:color w:val="auto"/>
                <w:kern w:val="0"/>
                <w:sz w:val="21"/>
                <w:szCs w:val="21"/>
                <w:highlight w:val="none"/>
                <w:lang w:val="en-US" w:eastAsia="zh-CN" w:bidi="ar-SA"/>
              </w:rPr>
              <w:t>平台</w:t>
            </w:r>
            <w:r>
              <w:rPr>
                <w:rFonts w:hint="eastAsia" w:ascii="宋体" w:hAnsi="宋体" w:eastAsia="宋体" w:cs="宋体"/>
                <w:color w:val="auto"/>
                <w:kern w:val="0"/>
                <w:sz w:val="21"/>
                <w:szCs w:val="21"/>
                <w:highlight w:val="none"/>
                <w:lang w:val="en-US" w:eastAsia="zh-CN" w:bidi="ar-SA"/>
              </w:rPr>
              <w:t>建设，投标人应配备</w:t>
            </w:r>
            <w:r>
              <w:rPr>
                <w:rFonts w:hint="eastAsia" w:ascii="宋体" w:hAnsi="宋体" w:cs="宋体"/>
                <w:color w:val="auto"/>
                <w:kern w:val="0"/>
                <w:sz w:val="21"/>
                <w:szCs w:val="21"/>
                <w:highlight w:val="none"/>
                <w:lang w:val="en-US" w:eastAsia="zh-CN" w:bidi="ar-SA"/>
              </w:rPr>
              <w:t>具有机械类</w:t>
            </w:r>
            <w:r>
              <w:rPr>
                <w:rFonts w:hint="eastAsia" w:ascii="宋体" w:hAnsi="宋体"/>
                <w:color w:val="auto"/>
                <w:sz w:val="21"/>
                <w:szCs w:val="21"/>
                <w:highlight w:val="none"/>
                <w:lang w:val="en-US" w:eastAsia="zh-CN"/>
              </w:rPr>
              <w:t>或</w:t>
            </w:r>
            <w:r>
              <w:rPr>
                <w:rFonts w:hint="eastAsia" w:ascii="宋体" w:hAnsi="宋体"/>
                <w:color w:val="auto"/>
                <w:sz w:val="21"/>
                <w:szCs w:val="21"/>
                <w:highlight w:val="none"/>
              </w:rPr>
              <w:t>材料类</w:t>
            </w:r>
            <w:r>
              <w:rPr>
                <w:rFonts w:hint="eastAsia" w:ascii="宋体" w:hAnsi="宋体"/>
                <w:color w:val="auto"/>
                <w:sz w:val="21"/>
                <w:szCs w:val="21"/>
                <w:highlight w:val="none"/>
                <w:lang w:val="en-US" w:eastAsia="zh-CN"/>
              </w:rPr>
              <w:t>或</w:t>
            </w:r>
            <w:r>
              <w:rPr>
                <w:rFonts w:hint="eastAsia" w:ascii="宋体" w:hAnsi="宋体" w:eastAsia="宋体" w:cs="宋体"/>
                <w:color w:val="auto"/>
                <w:kern w:val="0"/>
                <w:sz w:val="21"/>
                <w:szCs w:val="21"/>
                <w:highlight w:val="none"/>
                <w:lang w:val="en-US" w:eastAsia="zh-CN" w:bidi="ar-SA"/>
              </w:rPr>
              <w:t>机电智能化集成全周期技术管控能力的技术（售后）人员，精通智能机电设备安装、自动化控制系统调试、多系统对接与融合等关键技术，熟练掌握机电智能化实施规范、集成标准及调试工艺，有效解决项目实施过程中的各类机电集成、智能系统联动技术问题，全面保障本项目各机电智能化系统稳定运行。</w:t>
            </w:r>
          </w:p>
        </w:tc>
      </w:tr>
      <w:tr w14:paraId="7916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524" w:type="dxa"/>
            <w:gridSpan w:val="7"/>
            <w:noWrap w:val="0"/>
            <w:vAlign w:val="center"/>
          </w:tcPr>
          <w:p w14:paraId="6B66FB18">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其他说明</w:t>
            </w:r>
          </w:p>
        </w:tc>
      </w:tr>
      <w:tr w14:paraId="57FA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30B47D96">
            <w:pPr>
              <w:keepNext w:val="0"/>
              <w:keepLines w:val="0"/>
              <w:pageBreakBefore w:val="0"/>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7070" w:type="dxa"/>
            <w:gridSpan w:val="3"/>
            <w:noWrap w:val="0"/>
            <w:vAlign w:val="center"/>
          </w:tcPr>
          <w:p w14:paraId="10EAA587">
            <w:pPr>
              <w:keepNext w:val="0"/>
              <w:keepLines w:val="0"/>
              <w:pageBreakBefore w:val="0"/>
              <w:kinsoku/>
              <w:wordWrap/>
              <w:overflowPunct/>
              <w:topLinePunct w:val="0"/>
              <w:bidi w:val="0"/>
              <w:spacing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□本表的第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b/>
                <w:bCs/>
                <w:color w:val="auto"/>
                <w:sz w:val="21"/>
                <w:szCs w:val="21"/>
                <w:highlight w:val="none"/>
              </w:rPr>
              <w:t>其他货物不接受进口产品参与投标</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否则作无效标处理。</w:t>
            </w:r>
          </w:p>
          <w:p w14:paraId="681412D0">
            <w:pPr>
              <w:keepNext w:val="0"/>
              <w:keepLines w:val="0"/>
              <w:pageBreakBefore w:val="0"/>
              <w:tabs>
                <w:tab w:val="left" w:pos="180"/>
                <w:tab w:val="left" w:pos="1620"/>
              </w:tabs>
              <w:kinsoku/>
              <w:wordWrap/>
              <w:overflowPunct/>
              <w:topLinePunct w:val="0"/>
              <w:bidi w:val="0"/>
              <w:spacing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货物所涉及的货物不接受进口产品（即通过中国海关报关验放进入中国境内且产自关境外的产品）参与投标，</w:t>
            </w:r>
            <w:r>
              <w:rPr>
                <w:rFonts w:hint="eastAsia" w:ascii="宋体" w:hAnsi="宋体" w:eastAsia="宋体" w:cs="宋体"/>
                <w:b/>
                <w:color w:val="auto"/>
                <w:sz w:val="21"/>
                <w:szCs w:val="21"/>
                <w:highlight w:val="none"/>
              </w:rPr>
              <w:t>如有进口产品参与投标的作无效标处理</w:t>
            </w:r>
            <w:r>
              <w:rPr>
                <w:rFonts w:hint="eastAsia" w:ascii="宋体" w:hAnsi="宋体" w:eastAsia="宋体" w:cs="宋体"/>
                <w:color w:val="auto"/>
                <w:sz w:val="21"/>
                <w:szCs w:val="21"/>
                <w:highlight w:val="none"/>
              </w:rPr>
              <w:t>。</w:t>
            </w:r>
          </w:p>
        </w:tc>
      </w:tr>
      <w:tr w14:paraId="43B9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4" w:type="dxa"/>
            <w:gridSpan w:val="4"/>
            <w:noWrap w:val="0"/>
            <w:vAlign w:val="center"/>
          </w:tcPr>
          <w:p w14:paraId="7234AF2E">
            <w:pPr>
              <w:keepNext w:val="0"/>
              <w:keepLines w:val="0"/>
              <w:pageBreakBefore w:val="0"/>
              <w:tabs>
                <w:tab w:val="left" w:pos="180"/>
                <w:tab w:val="left" w:pos="1620"/>
              </w:tabs>
              <w:kinsoku/>
              <w:wordWrap/>
              <w:overflowPunct/>
              <w:topLinePunct w:val="0"/>
              <w:bidi w:val="0"/>
              <w:spacing w:line="3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w:t>
            </w:r>
          </w:p>
        </w:tc>
        <w:tc>
          <w:tcPr>
            <w:tcW w:w="7070" w:type="dxa"/>
            <w:gridSpan w:val="3"/>
            <w:noWrap w:val="0"/>
            <w:vAlign w:val="center"/>
          </w:tcPr>
          <w:p w14:paraId="048DA71D">
            <w:pPr>
              <w:keepNext w:val="0"/>
              <w:keepLines w:val="0"/>
              <w:pageBreakBefore w:val="0"/>
              <w:kinsoku/>
              <w:wordWrap/>
              <w:overflowPunct/>
              <w:topLinePunct w:val="0"/>
              <w:bidi w:val="0"/>
              <w:spacing w:line="34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本项目核心产品为</w:t>
            </w:r>
            <w:r>
              <w:rPr>
                <w:rFonts w:hint="eastAsia" w:ascii="宋体" w:hAnsi="宋体" w:eastAsia="宋体" w:cs="宋体"/>
                <w:b/>
                <w:bCs w:val="0"/>
                <w:color w:val="auto"/>
                <w:sz w:val="21"/>
                <w:szCs w:val="21"/>
                <w:highlight w:val="none"/>
                <w:u w:val="single"/>
              </w:rPr>
              <w:t>第</w:t>
            </w:r>
            <w:r>
              <w:rPr>
                <w:rFonts w:hint="eastAsia" w:ascii="宋体" w:hAnsi="宋体" w:eastAsia="宋体" w:cs="宋体"/>
                <w:b/>
                <w:bCs w:val="0"/>
                <w:color w:val="auto"/>
                <w:sz w:val="21"/>
                <w:szCs w:val="21"/>
                <w:highlight w:val="none"/>
                <w:u w:val="single"/>
                <w:lang w:val="en-US" w:eastAsia="zh-CN"/>
              </w:rPr>
              <w:t>21</w:t>
            </w:r>
            <w:r>
              <w:rPr>
                <w:rFonts w:hint="eastAsia" w:ascii="宋体" w:hAnsi="宋体" w:eastAsia="宋体" w:cs="宋体"/>
                <w:b/>
                <w:bCs w:val="0"/>
                <w:color w:val="auto"/>
                <w:sz w:val="21"/>
                <w:szCs w:val="21"/>
                <w:highlight w:val="none"/>
                <w:u w:val="single"/>
              </w:rPr>
              <w:t>项货物“</w:t>
            </w:r>
            <w:r>
              <w:rPr>
                <w:rFonts w:hint="eastAsia" w:ascii="宋体" w:hAnsi="宋体" w:eastAsia="宋体" w:cs="宋体"/>
                <w:b/>
                <w:bCs w:val="0"/>
                <w:color w:val="auto"/>
                <w:sz w:val="21"/>
                <w:szCs w:val="21"/>
                <w:highlight w:val="none"/>
                <w:u w:val="single"/>
                <w:lang w:val="en-US" w:eastAsia="zh-CN"/>
              </w:rPr>
              <w:t xml:space="preserve"> </w:t>
            </w:r>
            <w:r>
              <w:rPr>
                <w:rFonts w:hint="eastAsia" w:ascii="宋体" w:hAnsi="宋体" w:eastAsia="宋体" w:cs="宋体"/>
                <w:b/>
                <w:bCs w:val="0"/>
                <w:color w:val="auto"/>
                <w:sz w:val="21"/>
                <w:szCs w:val="21"/>
                <w:highlight w:val="none"/>
                <w:u w:val="single"/>
              </w:rPr>
              <w:t>智能检测自动化产线”</w:t>
            </w:r>
            <w:r>
              <w:rPr>
                <w:rFonts w:hint="eastAsia" w:ascii="宋体" w:hAnsi="宋体" w:eastAsia="宋体" w:cs="宋体"/>
                <w:color w:val="auto"/>
                <w:sz w:val="21"/>
                <w:szCs w:val="21"/>
                <w:highlight w:val="none"/>
              </w:rPr>
              <w:t>。</w:t>
            </w:r>
          </w:p>
          <w:p w14:paraId="60007CEB">
            <w:pPr>
              <w:keepNext w:val="0"/>
              <w:keepLines w:val="0"/>
              <w:pageBreakBefore w:val="0"/>
              <w:kinsoku/>
              <w:wordWrap/>
              <w:overflowPunct/>
              <w:topLinePunct w:val="0"/>
              <w:autoSpaceDE w:val="0"/>
              <w:autoSpaceDN w:val="0"/>
              <w:bidi w:val="0"/>
              <w:snapToGrid w:val="0"/>
              <w:spacing w:line="3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tbl>
    <w:p w14:paraId="360221AB">
      <w:pPr>
        <w:widowControl/>
        <w:spacing w:line="360" w:lineRule="exact"/>
        <w:jc w:val="left"/>
        <w:textAlignment w:val="center"/>
        <w:rPr>
          <w:rFonts w:hint="eastAsia" w:ascii="宋体" w:hAnsi="宋体" w:cs="宋体"/>
          <w:color w:val="auto"/>
          <w:szCs w:val="21"/>
          <w:highlight w:val="none"/>
        </w:rPr>
      </w:pPr>
    </w:p>
    <w:p w14:paraId="12B4FDF9">
      <w:pPr>
        <w:widowControl/>
        <w:spacing w:line="360" w:lineRule="exact"/>
        <w:jc w:val="center"/>
        <w:textAlignment w:val="center"/>
        <w:rPr>
          <w:color w:val="auto"/>
          <w:sz w:val="24"/>
          <w:highlight w:val="none"/>
        </w:rPr>
      </w:pPr>
      <w:r>
        <w:rPr>
          <w:rFonts w:hint="eastAsia" w:ascii="宋体" w:hAnsi="宋体" w:cs="宋体"/>
          <w:b/>
          <w:bCs/>
          <w:color w:val="auto"/>
          <w:szCs w:val="21"/>
          <w:highlight w:val="none"/>
        </w:rPr>
        <w:br w:type="page"/>
      </w:r>
    </w:p>
    <w:p w14:paraId="1223D5EB">
      <w:pPr>
        <w:rPr>
          <w:rFonts w:hint="eastAsia" w:ascii="宋体"/>
          <w:b/>
          <w:color w:val="auto"/>
          <w:sz w:val="32"/>
          <w:szCs w:val="32"/>
          <w:highlight w:val="none"/>
        </w:rPr>
      </w:pPr>
    </w:p>
    <w:p w14:paraId="03830772">
      <w:pPr>
        <w:snapToGrid w:val="0"/>
        <w:spacing w:line="400" w:lineRule="exact"/>
        <w:jc w:val="center"/>
        <w:rPr>
          <w:rFonts w:hint="eastAsia" w:ascii="宋体"/>
          <w:b/>
          <w:color w:val="auto"/>
          <w:sz w:val="32"/>
          <w:szCs w:val="32"/>
          <w:highlight w:val="none"/>
        </w:rPr>
      </w:pPr>
    </w:p>
    <w:p w14:paraId="04CF7FF6">
      <w:pPr>
        <w:snapToGrid w:val="0"/>
        <w:spacing w:line="400" w:lineRule="exact"/>
        <w:jc w:val="center"/>
        <w:rPr>
          <w:rFonts w:hint="eastAsia" w:ascii="宋体"/>
          <w:b/>
          <w:color w:val="auto"/>
          <w:sz w:val="32"/>
          <w:szCs w:val="32"/>
          <w:highlight w:val="none"/>
        </w:rPr>
      </w:pPr>
    </w:p>
    <w:p w14:paraId="65FA8EFB">
      <w:pPr>
        <w:snapToGrid w:val="0"/>
        <w:spacing w:line="400" w:lineRule="exact"/>
        <w:jc w:val="center"/>
        <w:rPr>
          <w:rFonts w:hint="eastAsia" w:ascii="宋体"/>
          <w:b/>
          <w:color w:val="auto"/>
          <w:sz w:val="32"/>
          <w:szCs w:val="32"/>
          <w:highlight w:val="none"/>
        </w:rPr>
      </w:pPr>
    </w:p>
    <w:p w14:paraId="5FADC3D2">
      <w:pPr>
        <w:snapToGrid w:val="0"/>
        <w:spacing w:line="400" w:lineRule="exact"/>
        <w:jc w:val="center"/>
        <w:rPr>
          <w:rFonts w:hint="eastAsia" w:ascii="宋体"/>
          <w:b/>
          <w:color w:val="auto"/>
          <w:sz w:val="32"/>
          <w:szCs w:val="32"/>
          <w:highlight w:val="none"/>
        </w:rPr>
      </w:pPr>
    </w:p>
    <w:p w14:paraId="0DABABA4">
      <w:pPr>
        <w:snapToGrid w:val="0"/>
        <w:spacing w:line="400" w:lineRule="exact"/>
        <w:jc w:val="center"/>
        <w:rPr>
          <w:rFonts w:hint="eastAsia" w:ascii="宋体"/>
          <w:b/>
          <w:color w:val="auto"/>
          <w:sz w:val="32"/>
          <w:szCs w:val="32"/>
          <w:highlight w:val="none"/>
        </w:rPr>
      </w:pPr>
    </w:p>
    <w:p w14:paraId="0FD2FC0B">
      <w:pPr>
        <w:snapToGrid w:val="0"/>
        <w:spacing w:line="400" w:lineRule="exact"/>
        <w:jc w:val="center"/>
        <w:rPr>
          <w:rFonts w:hint="eastAsia" w:ascii="宋体"/>
          <w:b/>
          <w:color w:val="auto"/>
          <w:sz w:val="32"/>
          <w:szCs w:val="32"/>
          <w:highlight w:val="none"/>
        </w:rPr>
      </w:pPr>
    </w:p>
    <w:p w14:paraId="0215E637">
      <w:pPr>
        <w:snapToGrid w:val="0"/>
        <w:spacing w:line="400" w:lineRule="exact"/>
        <w:jc w:val="center"/>
        <w:rPr>
          <w:rFonts w:hint="eastAsia" w:ascii="宋体"/>
          <w:b/>
          <w:color w:val="auto"/>
          <w:sz w:val="32"/>
          <w:szCs w:val="32"/>
          <w:highlight w:val="none"/>
        </w:rPr>
      </w:pPr>
    </w:p>
    <w:p w14:paraId="4FF4D34B">
      <w:pPr>
        <w:snapToGrid w:val="0"/>
        <w:spacing w:line="400" w:lineRule="exact"/>
        <w:jc w:val="center"/>
        <w:rPr>
          <w:rFonts w:hint="eastAsia" w:ascii="宋体"/>
          <w:b/>
          <w:color w:val="auto"/>
          <w:sz w:val="32"/>
          <w:szCs w:val="32"/>
          <w:highlight w:val="none"/>
        </w:rPr>
      </w:pPr>
    </w:p>
    <w:p w14:paraId="2CDFA8AD">
      <w:pPr>
        <w:snapToGrid w:val="0"/>
        <w:spacing w:line="400" w:lineRule="exact"/>
        <w:jc w:val="center"/>
        <w:rPr>
          <w:rFonts w:hint="eastAsia" w:ascii="宋体"/>
          <w:b/>
          <w:color w:val="auto"/>
          <w:sz w:val="32"/>
          <w:szCs w:val="32"/>
          <w:highlight w:val="none"/>
        </w:rPr>
      </w:pPr>
    </w:p>
    <w:p w14:paraId="5B12CA61">
      <w:pPr>
        <w:snapToGrid w:val="0"/>
        <w:spacing w:line="400" w:lineRule="exact"/>
        <w:jc w:val="center"/>
        <w:rPr>
          <w:rFonts w:hint="eastAsia" w:ascii="宋体"/>
          <w:b/>
          <w:color w:val="auto"/>
          <w:sz w:val="32"/>
          <w:szCs w:val="32"/>
          <w:highlight w:val="none"/>
        </w:rPr>
      </w:pPr>
    </w:p>
    <w:p w14:paraId="61ACF8E8">
      <w:pPr>
        <w:snapToGrid w:val="0"/>
        <w:spacing w:line="400" w:lineRule="exact"/>
        <w:jc w:val="center"/>
        <w:rPr>
          <w:rFonts w:hint="eastAsia" w:ascii="宋体"/>
          <w:b/>
          <w:color w:val="auto"/>
          <w:sz w:val="32"/>
          <w:szCs w:val="32"/>
          <w:highlight w:val="none"/>
        </w:rPr>
      </w:pPr>
    </w:p>
    <w:p w14:paraId="5DF771B1">
      <w:pPr>
        <w:snapToGrid w:val="0"/>
        <w:spacing w:line="400" w:lineRule="exact"/>
        <w:rPr>
          <w:rFonts w:hint="eastAsia" w:ascii="宋体"/>
          <w:b/>
          <w:color w:val="auto"/>
          <w:sz w:val="32"/>
          <w:szCs w:val="32"/>
          <w:highlight w:val="none"/>
        </w:rPr>
      </w:pPr>
    </w:p>
    <w:p w14:paraId="0283F7C5">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49" w:name="_Toc476436174"/>
      <w:bookmarkStart w:id="50" w:name="_Toc476436433"/>
      <w:r>
        <w:rPr>
          <w:rFonts w:hint="eastAsia" w:ascii="Arial" w:hAnsi="Arial" w:eastAsia="宋体" w:cs="Times New Roman"/>
          <w:b/>
          <w:bCs/>
          <w:color w:val="auto"/>
          <w:kern w:val="2"/>
          <w:sz w:val="44"/>
          <w:szCs w:val="44"/>
          <w:highlight w:val="none"/>
          <w:lang w:val="en-US" w:eastAsia="zh-CN" w:bidi="ar-SA"/>
        </w:rPr>
        <w:t>第三章  投标人须知</w:t>
      </w:r>
      <w:bookmarkEnd w:id="49"/>
      <w:bookmarkEnd w:id="50"/>
    </w:p>
    <w:p w14:paraId="45F38C63">
      <w:pPr>
        <w:snapToGrid w:val="0"/>
        <w:jc w:val="center"/>
        <w:rPr>
          <w:rFonts w:hint="eastAsia" w:ascii="黑体" w:eastAsia="黑体"/>
          <w:color w:val="auto"/>
          <w:sz w:val="32"/>
          <w:szCs w:val="32"/>
          <w:highlight w:val="none"/>
        </w:rPr>
      </w:pPr>
    </w:p>
    <w:p w14:paraId="7598CB67">
      <w:pPr>
        <w:snapToGrid w:val="0"/>
        <w:jc w:val="center"/>
        <w:rPr>
          <w:rFonts w:hint="eastAsia" w:ascii="黑体" w:eastAsia="黑体"/>
          <w:color w:val="auto"/>
          <w:sz w:val="32"/>
          <w:szCs w:val="32"/>
          <w:highlight w:val="none"/>
        </w:rPr>
      </w:pPr>
    </w:p>
    <w:p w14:paraId="08B066B6">
      <w:pPr>
        <w:snapToGrid w:val="0"/>
        <w:jc w:val="center"/>
        <w:rPr>
          <w:rFonts w:hint="eastAsia" w:ascii="黑体" w:eastAsia="黑体"/>
          <w:color w:val="auto"/>
          <w:sz w:val="32"/>
          <w:szCs w:val="32"/>
          <w:highlight w:val="none"/>
        </w:rPr>
      </w:pPr>
    </w:p>
    <w:p w14:paraId="5AFC37AF">
      <w:pPr>
        <w:snapToGrid w:val="0"/>
        <w:jc w:val="center"/>
        <w:rPr>
          <w:rFonts w:hint="eastAsia" w:ascii="黑体" w:eastAsia="黑体"/>
          <w:color w:val="auto"/>
          <w:sz w:val="32"/>
          <w:szCs w:val="32"/>
          <w:highlight w:val="none"/>
        </w:rPr>
      </w:pPr>
    </w:p>
    <w:p w14:paraId="751DF6FD">
      <w:pPr>
        <w:snapToGrid w:val="0"/>
        <w:jc w:val="center"/>
        <w:rPr>
          <w:rFonts w:hint="eastAsia" w:ascii="黑体" w:eastAsia="黑体"/>
          <w:color w:val="auto"/>
          <w:sz w:val="32"/>
          <w:szCs w:val="32"/>
          <w:highlight w:val="none"/>
        </w:rPr>
      </w:pPr>
    </w:p>
    <w:p w14:paraId="44442589">
      <w:pPr>
        <w:snapToGrid w:val="0"/>
        <w:jc w:val="center"/>
        <w:rPr>
          <w:rFonts w:hint="eastAsia" w:ascii="黑体" w:eastAsia="黑体"/>
          <w:color w:val="auto"/>
          <w:sz w:val="32"/>
          <w:szCs w:val="32"/>
          <w:highlight w:val="none"/>
        </w:rPr>
      </w:pPr>
    </w:p>
    <w:p w14:paraId="79ACD637">
      <w:pPr>
        <w:snapToGrid w:val="0"/>
        <w:jc w:val="center"/>
        <w:rPr>
          <w:rFonts w:hint="eastAsia" w:ascii="黑体" w:eastAsia="黑体"/>
          <w:color w:val="auto"/>
          <w:sz w:val="32"/>
          <w:szCs w:val="32"/>
          <w:highlight w:val="none"/>
        </w:rPr>
      </w:pPr>
    </w:p>
    <w:p w14:paraId="340ABC71">
      <w:pPr>
        <w:snapToGrid w:val="0"/>
        <w:jc w:val="center"/>
        <w:rPr>
          <w:rFonts w:hint="eastAsia" w:ascii="黑体" w:eastAsia="黑体"/>
          <w:color w:val="auto"/>
          <w:sz w:val="32"/>
          <w:szCs w:val="32"/>
          <w:highlight w:val="none"/>
        </w:rPr>
      </w:pPr>
    </w:p>
    <w:p w14:paraId="0006E4D4">
      <w:pPr>
        <w:snapToGrid w:val="0"/>
        <w:jc w:val="center"/>
        <w:rPr>
          <w:rFonts w:hint="eastAsia" w:ascii="黑体" w:eastAsia="黑体"/>
          <w:color w:val="auto"/>
          <w:sz w:val="32"/>
          <w:szCs w:val="32"/>
          <w:highlight w:val="none"/>
        </w:rPr>
      </w:pPr>
    </w:p>
    <w:p w14:paraId="59911BC5">
      <w:pPr>
        <w:snapToGrid w:val="0"/>
        <w:jc w:val="center"/>
        <w:rPr>
          <w:rFonts w:hint="eastAsia" w:ascii="黑体" w:eastAsia="黑体"/>
          <w:color w:val="auto"/>
          <w:sz w:val="32"/>
          <w:szCs w:val="32"/>
          <w:highlight w:val="none"/>
        </w:rPr>
      </w:pPr>
    </w:p>
    <w:p w14:paraId="7B7A5C79">
      <w:pPr>
        <w:snapToGrid w:val="0"/>
        <w:jc w:val="center"/>
        <w:rPr>
          <w:rFonts w:hint="eastAsia" w:ascii="黑体" w:eastAsia="黑体"/>
          <w:color w:val="auto"/>
          <w:sz w:val="32"/>
          <w:szCs w:val="32"/>
          <w:highlight w:val="none"/>
        </w:rPr>
      </w:pPr>
    </w:p>
    <w:p w14:paraId="57226184">
      <w:pPr>
        <w:snapToGrid w:val="0"/>
        <w:jc w:val="center"/>
        <w:rPr>
          <w:rFonts w:hint="eastAsia" w:ascii="黑体" w:eastAsia="黑体"/>
          <w:color w:val="auto"/>
          <w:sz w:val="32"/>
          <w:szCs w:val="32"/>
          <w:highlight w:val="none"/>
        </w:rPr>
      </w:pPr>
    </w:p>
    <w:p w14:paraId="567C11ED">
      <w:pPr>
        <w:snapToGrid w:val="0"/>
        <w:jc w:val="center"/>
        <w:rPr>
          <w:rFonts w:hint="eastAsia" w:ascii="黑体" w:eastAsia="黑体"/>
          <w:color w:val="auto"/>
          <w:sz w:val="32"/>
          <w:szCs w:val="32"/>
          <w:highlight w:val="none"/>
        </w:rPr>
      </w:pPr>
    </w:p>
    <w:p w14:paraId="57ECEB06">
      <w:pPr>
        <w:spacing w:line="720" w:lineRule="auto"/>
        <w:jc w:val="center"/>
        <w:rPr>
          <w:rFonts w:hint="eastAsia"/>
          <w:b/>
          <w:color w:val="auto"/>
          <w:sz w:val="32"/>
          <w:szCs w:val="32"/>
          <w:highlight w:val="none"/>
        </w:rPr>
      </w:pPr>
      <w:r>
        <w:rPr>
          <w:rFonts w:hint="eastAsia" w:ascii="仿宋_GB2312" w:eastAsia="仿宋_GB2312"/>
          <w:color w:val="auto"/>
          <w:highlight w:val="none"/>
        </w:rPr>
        <w:br w:type="page"/>
      </w:r>
      <w:r>
        <w:rPr>
          <w:rFonts w:hint="eastAsia"/>
          <w:b/>
          <w:color w:val="auto"/>
          <w:sz w:val="32"/>
          <w:szCs w:val="32"/>
          <w:highlight w:val="none"/>
        </w:rPr>
        <w:t>投标</w:t>
      </w:r>
      <w:bookmarkStart w:id="51" w:name="_Toc254970526"/>
      <w:bookmarkStart w:id="52" w:name="_Toc254970667"/>
      <w:r>
        <w:rPr>
          <w:rFonts w:hint="eastAsia"/>
          <w:b/>
          <w:color w:val="auto"/>
          <w:sz w:val="32"/>
          <w:szCs w:val="32"/>
          <w:highlight w:val="none"/>
        </w:rPr>
        <w:t>人须知及前附表</w:t>
      </w:r>
      <w:bookmarkEnd w:id="51"/>
      <w:bookmarkEnd w:id="52"/>
    </w:p>
    <w:tbl>
      <w:tblPr>
        <w:tblStyle w:val="20"/>
        <w:tblW w:w="951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71"/>
      </w:tblGrid>
      <w:tr w14:paraId="41931B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ED185D1">
            <w:pPr>
              <w:snapToGrid w:val="0"/>
              <w:spacing w:line="360" w:lineRule="exact"/>
              <w:jc w:val="center"/>
              <w:rPr>
                <w:rFonts w:hint="eastAsia" w:ascii="宋体"/>
                <w:color w:val="auto"/>
                <w:szCs w:val="21"/>
                <w:highlight w:val="none"/>
              </w:rPr>
            </w:pPr>
            <w:r>
              <w:rPr>
                <w:rFonts w:hint="eastAsia" w:ascii="宋体"/>
                <w:color w:val="auto"/>
                <w:szCs w:val="21"/>
                <w:highlight w:val="none"/>
              </w:rPr>
              <w:t>序号</w:t>
            </w:r>
          </w:p>
        </w:tc>
        <w:tc>
          <w:tcPr>
            <w:tcW w:w="8871" w:type="dxa"/>
            <w:tcBorders>
              <w:top w:val="single" w:color="auto" w:sz="4" w:space="0"/>
              <w:left w:val="single" w:color="auto" w:sz="4" w:space="0"/>
              <w:bottom w:val="single" w:color="auto" w:sz="4" w:space="0"/>
              <w:right w:val="single" w:color="auto" w:sz="4" w:space="0"/>
            </w:tcBorders>
            <w:noWrap w:val="0"/>
            <w:vAlign w:val="center"/>
          </w:tcPr>
          <w:p w14:paraId="6329BCA8">
            <w:pPr>
              <w:snapToGrid w:val="0"/>
              <w:spacing w:line="360" w:lineRule="exact"/>
              <w:jc w:val="center"/>
              <w:rPr>
                <w:rFonts w:hint="eastAsia" w:ascii="宋体"/>
                <w:color w:val="auto"/>
                <w:szCs w:val="21"/>
                <w:highlight w:val="none"/>
              </w:rPr>
            </w:pPr>
            <w:r>
              <w:rPr>
                <w:rFonts w:hint="eastAsia" w:ascii="宋体"/>
                <w:color w:val="auto"/>
                <w:szCs w:val="21"/>
                <w:highlight w:val="none"/>
              </w:rPr>
              <w:t>内容、要求</w:t>
            </w:r>
          </w:p>
        </w:tc>
      </w:tr>
      <w:tr w14:paraId="25258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E7AA0D5">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74E6A1AD">
            <w:pPr>
              <w:snapToGrid w:val="0"/>
              <w:spacing w:line="360" w:lineRule="exact"/>
              <w:rPr>
                <w:rFonts w:hint="eastAsia" w:ascii="宋体"/>
                <w:color w:val="auto"/>
                <w:szCs w:val="21"/>
                <w:highlight w:val="none"/>
              </w:rPr>
            </w:pPr>
            <w:r>
              <w:rPr>
                <w:rFonts w:hint="eastAsia" w:ascii="宋体"/>
                <w:color w:val="auto"/>
                <w:szCs w:val="21"/>
                <w:highlight w:val="none"/>
              </w:rPr>
              <w:t>采购项目名称：</w:t>
            </w:r>
            <w:r>
              <w:rPr>
                <w:rFonts w:hint="eastAsia" w:ascii="宋体"/>
                <w:color w:val="auto"/>
                <w:szCs w:val="21"/>
                <w:highlight w:val="none"/>
                <w:lang w:eastAsia="zh-CN"/>
              </w:rPr>
              <w:t>有色金属及新材料检测人才培养基地</w:t>
            </w:r>
            <w:r>
              <w:rPr>
                <w:rFonts w:hint="eastAsia" w:ascii="宋体"/>
                <w:color w:val="auto"/>
                <w:szCs w:val="21"/>
                <w:highlight w:val="none"/>
              </w:rPr>
              <w:t xml:space="preserve">  </w:t>
            </w:r>
          </w:p>
          <w:p w14:paraId="482D8CE8">
            <w:pPr>
              <w:snapToGrid w:val="0"/>
              <w:spacing w:line="360" w:lineRule="exact"/>
              <w:rPr>
                <w:rFonts w:hint="eastAsia" w:ascii="宋体" w:eastAsia="宋体"/>
                <w:color w:val="auto"/>
                <w:szCs w:val="21"/>
                <w:highlight w:val="none"/>
                <w:lang w:eastAsia="zh-CN"/>
              </w:rPr>
            </w:pPr>
            <w:r>
              <w:rPr>
                <w:rFonts w:hint="eastAsia" w:ascii="宋体"/>
                <w:color w:val="auto"/>
                <w:szCs w:val="21"/>
                <w:highlight w:val="none"/>
              </w:rPr>
              <w:t>采购项目编号：</w:t>
            </w:r>
            <w:r>
              <w:rPr>
                <w:rFonts w:hint="eastAsia" w:ascii="宋体"/>
                <w:color w:val="auto"/>
                <w:szCs w:val="21"/>
                <w:highlight w:val="none"/>
                <w:lang w:eastAsia="zh-CN"/>
              </w:rPr>
              <w:t>GXZC2026-G1-002196-GLZB</w:t>
            </w:r>
          </w:p>
        </w:tc>
      </w:tr>
      <w:tr w14:paraId="6A1B9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03E5DFA">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659B5C6A">
            <w:pPr>
              <w:snapToGrid w:val="0"/>
              <w:spacing w:line="360" w:lineRule="exact"/>
              <w:rPr>
                <w:rFonts w:hint="eastAsia" w:ascii="宋体"/>
                <w:color w:val="auto"/>
                <w:szCs w:val="21"/>
                <w:highlight w:val="none"/>
              </w:rPr>
            </w:pPr>
            <w:r>
              <w:rPr>
                <w:rFonts w:hint="eastAsia" w:ascii="宋体"/>
                <w:color w:val="auto"/>
                <w:szCs w:val="21"/>
                <w:highlight w:val="none"/>
              </w:rPr>
              <w:t>投标报价及费用：1、本项目投标应以人民币报价；2、不论投标结果如何，投标人均应自行承担所有与投标有关的全部费用；3、本项目的代理服务费按投标人须知第九条规定的（货物类）标准采用差额定率累进计费方式计算，由中标人向采购代理机构支付。</w:t>
            </w:r>
          </w:p>
        </w:tc>
      </w:tr>
      <w:tr w14:paraId="0CBC7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E9C1220">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1B8765F5">
            <w:pPr>
              <w:snapToGrid w:val="0"/>
              <w:spacing w:line="360" w:lineRule="exact"/>
              <w:rPr>
                <w:rFonts w:hint="eastAsia"/>
                <w:b/>
                <w:color w:val="auto"/>
                <w:highlight w:val="none"/>
              </w:rPr>
            </w:pPr>
            <w:r>
              <w:rPr>
                <w:rFonts w:hint="eastAsia" w:ascii="宋体"/>
                <w:color w:val="auto"/>
                <w:szCs w:val="21"/>
                <w:highlight w:val="none"/>
              </w:rPr>
              <w:t>投标保证金（人民币）：详见本项目公开招标公告。</w:t>
            </w:r>
          </w:p>
          <w:p w14:paraId="0B0A81E4">
            <w:pPr>
              <w:snapToGrid w:val="0"/>
              <w:spacing w:line="360" w:lineRule="exact"/>
              <w:rPr>
                <w:rFonts w:hint="eastAsia" w:ascii="宋体"/>
                <w:color w:val="auto"/>
                <w:szCs w:val="21"/>
                <w:highlight w:val="none"/>
              </w:rPr>
            </w:pPr>
            <w:r>
              <w:rPr>
                <w:rFonts w:hint="eastAsia"/>
                <w:color w:val="auto"/>
                <w:highlight w:val="none"/>
              </w:rPr>
              <w:t>投标保证金必须根据招标公告的要求进行缴纳，否则视为无效投标保证金。本项目不接受现金形式或从个人账户转出的投标保证金。</w:t>
            </w:r>
          </w:p>
        </w:tc>
      </w:tr>
      <w:tr w14:paraId="7E559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AE227C3">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267E3D9C">
            <w:pPr>
              <w:snapToGrid w:val="0"/>
              <w:spacing w:line="360" w:lineRule="exact"/>
              <w:rPr>
                <w:rFonts w:hint="eastAsia" w:ascii="宋体"/>
                <w:color w:val="auto"/>
                <w:szCs w:val="21"/>
                <w:highlight w:val="none"/>
              </w:rPr>
            </w:pPr>
            <w:r>
              <w:rPr>
                <w:rFonts w:hint="eastAsia" w:ascii="宋体"/>
                <w:color w:val="auto"/>
                <w:szCs w:val="21"/>
                <w:highlight w:val="none"/>
              </w:rPr>
              <w:t>现场踏勘：</w:t>
            </w:r>
            <w:r>
              <w:rPr>
                <w:rFonts w:hint="eastAsia" w:ascii="宋体"/>
                <w:color w:val="auto"/>
                <w:szCs w:val="21"/>
                <w:highlight w:val="none"/>
                <w:u w:val="single"/>
              </w:rPr>
              <w:t xml:space="preserve">             无           </w:t>
            </w:r>
            <w:r>
              <w:rPr>
                <w:rFonts w:hint="eastAsia" w:ascii="宋体"/>
                <w:color w:val="auto"/>
                <w:szCs w:val="21"/>
                <w:highlight w:val="none"/>
              </w:rPr>
              <w:t>。</w:t>
            </w:r>
          </w:p>
        </w:tc>
      </w:tr>
      <w:tr w14:paraId="2F69F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B84DDF0">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4BFDD44A">
            <w:pPr>
              <w:snapToGrid w:val="0"/>
              <w:spacing w:line="360" w:lineRule="exact"/>
              <w:rPr>
                <w:rFonts w:hint="eastAsia" w:ascii="宋体"/>
                <w:color w:val="auto"/>
                <w:szCs w:val="21"/>
                <w:highlight w:val="none"/>
              </w:rPr>
            </w:pPr>
            <w:r>
              <w:rPr>
                <w:rFonts w:hint="eastAsia" w:ascii="宋体"/>
                <w:color w:val="auto"/>
                <w:szCs w:val="21"/>
                <w:highlight w:val="none"/>
              </w:rPr>
              <w:t>演示时间及地点：</w:t>
            </w:r>
            <w:r>
              <w:rPr>
                <w:rFonts w:hint="eastAsia" w:ascii="宋体"/>
                <w:color w:val="auto"/>
                <w:szCs w:val="21"/>
                <w:highlight w:val="none"/>
                <w:u w:val="single"/>
              </w:rPr>
              <w:t xml:space="preserve">         无         </w:t>
            </w:r>
            <w:r>
              <w:rPr>
                <w:rFonts w:hint="eastAsia" w:ascii="宋体"/>
                <w:color w:val="auto"/>
                <w:szCs w:val="21"/>
                <w:highlight w:val="none"/>
              </w:rPr>
              <w:t>。</w:t>
            </w:r>
          </w:p>
        </w:tc>
      </w:tr>
      <w:tr w14:paraId="64BB4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226A73E">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480AFFCE">
            <w:pPr>
              <w:snapToGrid w:val="0"/>
              <w:spacing w:line="360" w:lineRule="exact"/>
              <w:rPr>
                <w:rFonts w:hint="eastAsia" w:ascii="宋体"/>
                <w:color w:val="auto"/>
                <w:szCs w:val="21"/>
                <w:highlight w:val="none"/>
              </w:rPr>
            </w:pPr>
            <w:r>
              <w:rPr>
                <w:rFonts w:hint="eastAsia" w:ascii="宋体"/>
                <w:color w:val="auto"/>
                <w:szCs w:val="21"/>
                <w:highlight w:val="none"/>
              </w:rPr>
              <w:t>答疑、澄清：投标人如认为招标文件表述不清晰、有误或有不合理要求的，应以书面形式要求采购人或者本公司作出书面答疑、澄清；</w:t>
            </w:r>
          </w:p>
          <w:p w14:paraId="253AE949">
            <w:pPr>
              <w:snapToGrid w:val="0"/>
              <w:spacing w:line="360" w:lineRule="exact"/>
              <w:rPr>
                <w:rFonts w:hint="eastAsia" w:ascii="宋体"/>
                <w:color w:val="auto"/>
                <w:szCs w:val="21"/>
                <w:highlight w:val="none"/>
              </w:rPr>
            </w:pPr>
            <w:r>
              <w:rPr>
                <w:rFonts w:hint="eastAsia" w:ascii="宋体"/>
                <w:color w:val="auto"/>
                <w:szCs w:val="21"/>
                <w:highlight w:val="none"/>
              </w:rPr>
              <w:t>询问、质疑：投标人如认为招标文件存在歧视性、排他性或者其他违法内容的，按投标人须知“一、总则（九）询问、质疑和投诉”中的要求向采购人或者本公司提出书面询问、质疑。</w:t>
            </w:r>
          </w:p>
          <w:p w14:paraId="2BC58E5A">
            <w:pPr>
              <w:snapToGrid w:val="0"/>
              <w:spacing w:line="360" w:lineRule="exact"/>
              <w:rPr>
                <w:rFonts w:hint="eastAsia" w:ascii="宋体"/>
                <w:color w:val="auto"/>
                <w:szCs w:val="21"/>
                <w:highlight w:val="none"/>
              </w:rPr>
            </w:pPr>
            <w:r>
              <w:rPr>
                <w:rFonts w:hint="eastAsia" w:ascii="宋体"/>
                <w:color w:val="auto"/>
                <w:szCs w:val="21"/>
                <w:highlight w:val="none"/>
              </w:rPr>
              <w:t>答疑、澄清内容是招标文件的组成部份，本公司将以书面形式送达所有已报名的投标人；本公司可以视采购具体情况，延长招标文件或者资格预审文件提供期限，并在财政部门指定的政府采购信息发布媒体上发布公告。</w:t>
            </w:r>
          </w:p>
        </w:tc>
      </w:tr>
      <w:tr w14:paraId="350C4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5C423BD">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7DD61397">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投标文件形式：投标供应商应准备电子投标文件。</w:t>
            </w:r>
          </w:p>
          <w:p w14:paraId="0761DF52">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电子投标文件是指通过“广西政府采购云平台电子投标客户端”完成投标文件编制后生成并加密的数据电文形式的电子加密投标文件。</w:t>
            </w:r>
          </w:p>
        </w:tc>
      </w:tr>
      <w:tr w14:paraId="454774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381B208">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55DE9FDA">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投标文件的编制：供应商应先安装“广西政府采购云平台电子投标客户端”，并按照本招标文件和“广西政府采购云平台”的要求，通过“广西政府采购云平台电子投标客户端”编制并加密投标文件。</w:t>
            </w:r>
          </w:p>
        </w:tc>
      </w:tr>
      <w:tr w14:paraId="16C61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9D4AE76">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7EF36AA7">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投标文件的盖章：投标文件中所涉及的加盖公章均采用CA电子签章。</w:t>
            </w:r>
          </w:p>
        </w:tc>
      </w:tr>
      <w:tr w14:paraId="3EA42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283C6CCF">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0EC99C80">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14:paraId="5F81F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191DA5DE">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7274ECFD">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投标文件份数：电子加密投标文件在线上传提交一份。</w:t>
            </w:r>
          </w:p>
        </w:tc>
      </w:tr>
      <w:tr w14:paraId="4DB22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6CCD921">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2F8FC90F">
            <w:pPr>
              <w:autoSpaceDE w:val="0"/>
              <w:autoSpaceDN w:val="0"/>
              <w:snapToGrid w:val="0"/>
              <w:spacing w:line="360" w:lineRule="exact"/>
              <w:textAlignment w:val="bottom"/>
              <w:rPr>
                <w:rFonts w:ascii="宋体"/>
                <w:color w:val="auto"/>
                <w:szCs w:val="21"/>
                <w:highlight w:val="none"/>
              </w:rPr>
            </w:pPr>
            <w:r>
              <w:rPr>
                <w:rFonts w:hint="eastAsia" w:ascii="宋体"/>
                <w:color w:val="auto"/>
                <w:szCs w:val="21"/>
                <w:highlight w:val="none"/>
              </w:rPr>
              <w:t>投标文件的上传和提交：本项目通过“</w:t>
            </w:r>
            <w:r>
              <w:rPr>
                <w:rFonts w:hint="eastAsia" w:ascii="宋体" w:hAnsi="宋体"/>
                <w:bCs/>
                <w:color w:val="auto"/>
                <w:highlight w:val="none"/>
              </w:rPr>
              <w:t>广西政府采购云平台</w:t>
            </w:r>
            <w:r>
              <w:rPr>
                <w:rFonts w:hint="eastAsia" w:ascii="宋体"/>
                <w:color w:val="auto"/>
                <w:szCs w:val="21"/>
                <w:highlight w:val="none"/>
              </w:rPr>
              <w:t>”</w:t>
            </w:r>
            <w:r>
              <w:rPr>
                <w:rFonts w:ascii="宋体"/>
                <w:color w:val="auto"/>
                <w:szCs w:val="21"/>
                <w:highlight w:val="none"/>
              </w:rPr>
              <w:t>实行在线投标响应（电子投标），投标供应商应当在投标截止时间前，将生成的</w:t>
            </w:r>
            <w:r>
              <w:rPr>
                <w:rFonts w:hint="eastAsia" w:ascii="宋体"/>
                <w:color w:val="auto"/>
                <w:szCs w:val="21"/>
                <w:highlight w:val="none"/>
              </w:rPr>
              <w:t>“</w:t>
            </w:r>
            <w:r>
              <w:rPr>
                <w:rFonts w:ascii="宋体"/>
                <w:color w:val="auto"/>
                <w:szCs w:val="21"/>
                <w:highlight w:val="none"/>
              </w:rPr>
              <w:t>电子加密投标文件</w:t>
            </w:r>
            <w:r>
              <w:rPr>
                <w:rFonts w:hint="eastAsia" w:ascii="宋体"/>
                <w:color w:val="auto"/>
                <w:szCs w:val="21"/>
                <w:highlight w:val="none"/>
              </w:rPr>
              <w:t>”</w:t>
            </w:r>
            <w:r>
              <w:rPr>
                <w:rFonts w:ascii="宋体"/>
                <w:color w:val="auto"/>
                <w:szCs w:val="21"/>
                <w:highlight w:val="none"/>
              </w:rPr>
              <w:t>上传提交至“</w:t>
            </w:r>
            <w:r>
              <w:rPr>
                <w:rFonts w:hint="eastAsia" w:ascii="宋体" w:hAnsi="宋体"/>
                <w:color w:val="auto"/>
                <w:highlight w:val="none"/>
              </w:rPr>
              <w:t>广西政府采购云平台</w:t>
            </w:r>
            <w:r>
              <w:rPr>
                <w:rFonts w:hint="eastAsia" w:ascii="宋体"/>
                <w:color w:val="auto"/>
                <w:szCs w:val="21"/>
                <w:highlight w:val="none"/>
              </w:rPr>
              <w:t>”</w:t>
            </w:r>
            <w:r>
              <w:rPr>
                <w:rFonts w:ascii="宋体"/>
                <w:color w:val="auto"/>
                <w:szCs w:val="21"/>
                <w:highlight w:val="none"/>
              </w:rPr>
              <w:t>。</w:t>
            </w:r>
          </w:p>
          <w:p w14:paraId="5B6B6B45">
            <w:pPr>
              <w:autoSpaceDE w:val="0"/>
              <w:autoSpaceDN w:val="0"/>
              <w:snapToGrid w:val="0"/>
              <w:spacing w:line="360" w:lineRule="exact"/>
              <w:textAlignment w:val="bottom"/>
              <w:rPr>
                <w:rFonts w:ascii="宋体"/>
                <w:color w:val="auto"/>
                <w:szCs w:val="21"/>
                <w:highlight w:val="none"/>
              </w:rPr>
            </w:pPr>
            <w:r>
              <w:rPr>
                <w:rFonts w:hint="eastAsia" w:ascii="宋体"/>
                <w:color w:val="auto"/>
                <w:szCs w:val="21"/>
                <w:highlight w:val="none"/>
              </w:rPr>
              <w:t>“电子加密投标文件”的上传、提交：</w:t>
            </w:r>
          </w:p>
          <w:p w14:paraId="564E508B">
            <w:pPr>
              <w:autoSpaceDE w:val="0"/>
              <w:autoSpaceDN w:val="0"/>
              <w:snapToGrid w:val="0"/>
              <w:spacing w:line="360" w:lineRule="exact"/>
              <w:textAlignment w:val="bottom"/>
              <w:rPr>
                <w:rFonts w:ascii="宋体"/>
                <w:color w:val="auto"/>
                <w:szCs w:val="21"/>
                <w:highlight w:val="none"/>
              </w:rPr>
            </w:pPr>
            <w:r>
              <w:rPr>
                <w:rFonts w:hint="eastAsia" w:ascii="宋体"/>
                <w:color w:val="auto"/>
                <w:szCs w:val="21"/>
                <w:highlight w:val="none"/>
              </w:rPr>
              <w:t>a.投标供应商应在投标截止时间前将“电子加密投标文件”成功上传提交至“</w:t>
            </w:r>
            <w:r>
              <w:rPr>
                <w:rFonts w:hint="eastAsia" w:ascii="宋体" w:hAnsi="宋体"/>
                <w:color w:val="auto"/>
                <w:highlight w:val="none"/>
              </w:rPr>
              <w:t>广西政府采购云平台</w:t>
            </w:r>
            <w:r>
              <w:rPr>
                <w:rFonts w:hint="eastAsia" w:ascii="宋体"/>
                <w:color w:val="auto"/>
                <w:szCs w:val="21"/>
                <w:highlight w:val="none"/>
              </w:rPr>
              <w:t>”，否则投标无效。</w:t>
            </w:r>
          </w:p>
          <w:p w14:paraId="21A498C6">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b.“电子加密投标文件”成功上传提交后，供应商可自行打印投标文件接收回执。</w:t>
            </w:r>
          </w:p>
        </w:tc>
      </w:tr>
      <w:tr w14:paraId="727D5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95E90DE">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3C1F2CA9">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电子加密投标文件的解密：</w:t>
            </w:r>
          </w:p>
          <w:p w14:paraId="600BA97C">
            <w:pPr>
              <w:autoSpaceDE w:val="0"/>
              <w:autoSpaceDN w:val="0"/>
              <w:snapToGrid w:val="0"/>
              <w:spacing w:line="360" w:lineRule="exact"/>
              <w:textAlignment w:val="bottom"/>
              <w:rPr>
                <w:rFonts w:hint="eastAsia" w:ascii="宋体"/>
                <w:color w:val="auto"/>
                <w:szCs w:val="21"/>
                <w:highlight w:val="none"/>
              </w:rPr>
            </w:pPr>
            <w:r>
              <w:rPr>
                <w:rFonts w:hint="eastAsia" w:ascii="宋体"/>
                <w:color w:val="auto"/>
                <w:szCs w:val="21"/>
                <w:highlight w:val="none"/>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5CCCB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A9BEB28">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6D0D4C1B">
            <w:pPr>
              <w:snapToGrid w:val="0"/>
              <w:spacing w:line="360" w:lineRule="exact"/>
              <w:rPr>
                <w:rFonts w:hint="eastAsia" w:ascii="宋体"/>
                <w:color w:val="auto"/>
                <w:szCs w:val="21"/>
                <w:highlight w:val="none"/>
              </w:rPr>
            </w:pPr>
            <w:r>
              <w:rPr>
                <w:rFonts w:hint="eastAsia" w:ascii="宋体"/>
                <w:color w:val="auto"/>
                <w:szCs w:val="21"/>
                <w:highlight w:val="none"/>
              </w:rPr>
              <w:t>提交投标文件截止时间、开标时间和地点：</w:t>
            </w:r>
            <w:r>
              <w:rPr>
                <w:rFonts w:hint="eastAsia" w:ascii="宋体"/>
                <w:b/>
                <w:color w:val="auto"/>
                <w:szCs w:val="21"/>
                <w:highlight w:val="none"/>
              </w:rPr>
              <w:t>详见本项目公开招标公告。</w:t>
            </w:r>
          </w:p>
        </w:tc>
      </w:tr>
      <w:tr w14:paraId="5C15C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FC1CFA6">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49D3ECEB">
            <w:pPr>
              <w:tabs>
                <w:tab w:val="left" w:pos="180"/>
                <w:tab w:val="left" w:pos="1620"/>
              </w:tabs>
              <w:spacing w:line="400" w:lineRule="exact"/>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现场踏勘：无。</w:t>
            </w:r>
          </w:p>
        </w:tc>
      </w:tr>
      <w:tr w14:paraId="5599DC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75EE58ED">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16DD34D1">
            <w:pPr>
              <w:autoSpaceDE w:val="0"/>
              <w:autoSpaceDN w:val="0"/>
              <w:snapToGrid w:val="0"/>
              <w:spacing w:line="360" w:lineRule="exact"/>
              <w:textAlignment w:val="bottom"/>
              <w:rPr>
                <w:rFonts w:hint="eastAsia" w:ascii="宋体" w:hAnsi="Times New Roman" w:eastAsia="宋体" w:cs="Times New Roman"/>
                <w:color w:val="auto"/>
                <w:kern w:val="2"/>
                <w:sz w:val="21"/>
                <w:szCs w:val="21"/>
                <w:highlight w:val="none"/>
                <w:lang w:val="en-US" w:eastAsia="zh-CN" w:bidi="ar-SA"/>
              </w:rPr>
            </w:pPr>
            <w:r>
              <w:rPr>
                <w:rFonts w:hint="eastAsia" w:ascii="宋体"/>
                <w:color w:val="auto"/>
                <w:szCs w:val="21"/>
                <w:highlight w:val="none"/>
              </w:rPr>
              <w:t>评标方法：综合评分法。</w:t>
            </w:r>
          </w:p>
        </w:tc>
      </w:tr>
      <w:tr w14:paraId="37731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0F8B41B8">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3702A98C">
            <w:pPr>
              <w:autoSpaceDE w:val="0"/>
              <w:autoSpaceDN w:val="0"/>
              <w:snapToGrid w:val="0"/>
              <w:spacing w:line="360" w:lineRule="exact"/>
              <w:textAlignment w:val="bottom"/>
              <w:rPr>
                <w:rFonts w:hint="eastAsia" w:ascii="宋体" w:hAnsi="Times New Roman" w:eastAsia="宋体" w:cs="Times New Roman"/>
                <w:color w:val="auto"/>
                <w:kern w:val="2"/>
                <w:sz w:val="21"/>
                <w:szCs w:val="21"/>
                <w:highlight w:val="none"/>
                <w:lang w:val="en-US" w:eastAsia="zh-CN" w:bidi="ar-SA"/>
              </w:rPr>
            </w:pPr>
            <w:r>
              <w:rPr>
                <w:rFonts w:hint="eastAsia" w:ascii="宋体"/>
                <w:color w:val="auto"/>
                <w:szCs w:val="21"/>
                <w:highlight w:val="none"/>
              </w:rPr>
              <w:t>中标公告及中标通知书：采购代理机构在采购人依法确认中标人后二个工作日内发布中标公告和中标通知书，中标公告发布于财政部门指定的政府采购信息发布媒体。</w:t>
            </w:r>
          </w:p>
        </w:tc>
      </w:tr>
      <w:tr w14:paraId="55446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3F2EA044">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690B568B">
            <w:pPr>
              <w:autoSpaceDE w:val="0"/>
              <w:autoSpaceDN w:val="0"/>
              <w:snapToGrid w:val="0"/>
              <w:spacing w:line="360" w:lineRule="exact"/>
              <w:textAlignment w:val="bottom"/>
              <w:rPr>
                <w:rFonts w:hint="eastAsia" w:ascii="宋体" w:hAnsi="Times New Roman" w:eastAsia="宋体" w:cs="Times New Roman"/>
                <w:color w:val="auto"/>
                <w:kern w:val="2"/>
                <w:sz w:val="21"/>
                <w:szCs w:val="21"/>
                <w:highlight w:val="none"/>
                <w:lang w:val="en-US" w:eastAsia="zh-CN" w:bidi="ar-SA"/>
              </w:rPr>
            </w:pPr>
            <w:r>
              <w:rPr>
                <w:rFonts w:hint="eastAsia" w:ascii="宋体"/>
                <w:color w:val="auto"/>
                <w:szCs w:val="21"/>
                <w:highlight w:val="none"/>
              </w:rPr>
              <w:t>采购资金来源：</w:t>
            </w:r>
            <w:r>
              <w:rPr>
                <w:rFonts w:hint="eastAsia"/>
                <w:color w:val="auto"/>
                <w:highlight w:val="none"/>
              </w:rPr>
              <w:t>财政性资金</w:t>
            </w:r>
            <w:r>
              <w:rPr>
                <w:rFonts w:hint="eastAsia" w:ascii="宋体"/>
                <w:color w:val="auto"/>
                <w:szCs w:val="21"/>
                <w:highlight w:val="none"/>
              </w:rPr>
              <w:t>。</w:t>
            </w:r>
          </w:p>
        </w:tc>
      </w:tr>
      <w:tr w14:paraId="7FF0F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5E0896C7">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13BC168F">
            <w:pPr>
              <w:snapToGrid w:val="0"/>
              <w:spacing w:line="360" w:lineRule="exact"/>
              <w:rPr>
                <w:rFonts w:hint="eastAsia" w:ascii="宋体" w:hAnsi="Times New Roman" w:eastAsia="宋体" w:cs="Times New Roman"/>
                <w:color w:val="auto"/>
                <w:kern w:val="2"/>
                <w:sz w:val="21"/>
                <w:szCs w:val="21"/>
                <w:highlight w:val="none"/>
                <w:lang w:val="en-US" w:eastAsia="zh-CN" w:bidi="ar-SA"/>
              </w:rPr>
            </w:pPr>
            <w:r>
              <w:rPr>
                <w:rFonts w:hint="eastAsia" w:ascii="宋体"/>
                <w:color w:val="auto"/>
                <w:szCs w:val="21"/>
                <w:highlight w:val="none"/>
              </w:rPr>
              <w:t>付款方式：</w:t>
            </w:r>
            <w:r>
              <w:rPr>
                <w:rFonts w:hint="eastAsia" w:ascii="宋体" w:hAnsi="宋体" w:cs="宋体"/>
                <w:color w:val="auto"/>
                <w:kern w:val="0"/>
                <w:szCs w:val="21"/>
                <w:highlight w:val="none"/>
              </w:rPr>
              <w:t>见招标项目采购需求。</w:t>
            </w:r>
          </w:p>
        </w:tc>
      </w:tr>
      <w:tr w14:paraId="02C28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4DCF40AA">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7355C20E">
            <w:pPr>
              <w:snapToGrid w:val="0"/>
              <w:spacing w:line="360" w:lineRule="exact"/>
              <w:rPr>
                <w:rFonts w:hint="eastAsia" w:ascii="宋体" w:hAnsi="Times New Roman" w:eastAsia="宋体" w:cs="Times New Roman"/>
                <w:color w:val="auto"/>
                <w:kern w:val="2"/>
                <w:sz w:val="21"/>
                <w:szCs w:val="21"/>
                <w:highlight w:val="none"/>
                <w:lang w:val="en-US" w:eastAsia="zh-CN" w:bidi="ar-SA"/>
              </w:rPr>
            </w:pPr>
            <w:r>
              <w:rPr>
                <w:rFonts w:hint="eastAsia" w:ascii="宋体"/>
                <w:color w:val="auto"/>
                <w:szCs w:val="21"/>
                <w:highlight w:val="none"/>
              </w:rPr>
              <w:t>投标文件有效期：</w:t>
            </w:r>
            <w:r>
              <w:rPr>
                <w:rFonts w:hint="eastAsia" w:ascii="宋体" w:cs="Arial"/>
                <w:color w:val="auto"/>
                <w:szCs w:val="21"/>
                <w:highlight w:val="none"/>
                <w:u w:val="single"/>
              </w:rPr>
              <w:t xml:space="preserve"> 60</w:t>
            </w:r>
            <w:r>
              <w:rPr>
                <w:rFonts w:hint="eastAsia" w:ascii="宋体" w:cs="Arial"/>
                <w:color w:val="auto"/>
                <w:szCs w:val="21"/>
                <w:highlight w:val="none"/>
              </w:rPr>
              <w:t>天。</w:t>
            </w:r>
          </w:p>
        </w:tc>
      </w:tr>
      <w:tr w14:paraId="10074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14:paraId="676213C8">
            <w:pPr>
              <w:numPr>
                <w:ilvl w:val="0"/>
                <w:numId w:val="1"/>
              </w:numPr>
              <w:snapToGrid w:val="0"/>
              <w:spacing w:line="360" w:lineRule="exact"/>
              <w:jc w:val="center"/>
              <w:rPr>
                <w:rFonts w:hint="eastAsia" w:ascii="宋体"/>
                <w:color w:val="auto"/>
                <w:szCs w:val="21"/>
                <w:highlight w:val="none"/>
              </w:rPr>
            </w:pPr>
          </w:p>
        </w:tc>
        <w:tc>
          <w:tcPr>
            <w:tcW w:w="8871" w:type="dxa"/>
            <w:tcBorders>
              <w:top w:val="single" w:color="auto" w:sz="4" w:space="0"/>
              <w:left w:val="single" w:color="auto" w:sz="4" w:space="0"/>
              <w:bottom w:val="single" w:color="auto" w:sz="4" w:space="0"/>
              <w:right w:val="single" w:color="auto" w:sz="4" w:space="0"/>
            </w:tcBorders>
            <w:noWrap w:val="0"/>
            <w:vAlign w:val="center"/>
          </w:tcPr>
          <w:p w14:paraId="297F98F3">
            <w:pPr>
              <w:snapToGrid w:val="0"/>
              <w:spacing w:line="36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本招标文件解释权属广西国力招标有限公司。</w:t>
            </w:r>
          </w:p>
        </w:tc>
      </w:tr>
    </w:tbl>
    <w:p w14:paraId="5AA32A26">
      <w:pPr>
        <w:spacing w:line="720" w:lineRule="auto"/>
        <w:jc w:val="center"/>
        <w:rPr>
          <w:b/>
          <w:color w:val="auto"/>
          <w:sz w:val="32"/>
          <w:szCs w:val="32"/>
          <w:highlight w:val="none"/>
        </w:rPr>
      </w:pPr>
    </w:p>
    <w:p w14:paraId="78502B0C">
      <w:pPr>
        <w:spacing w:line="720" w:lineRule="auto"/>
        <w:jc w:val="center"/>
        <w:rPr>
          <w:rFonts w:hint="eastAsia"/>
          <w:b/>
          <w:color w:val="auto"/>
          <w:sz w:val="32"/>
          <w:szCs w:val="32"/>
          <w:highlight w:val="none"/>
        </w:rPr>
      </w:pPr>
      <w:r>
        <w:rPr>
          <w:rFonts w:hint="eastAsia"/>
          <w:b/>
          <w:color w:val="auto"/>
          <w:sz w:val="32"/>
          <w:szCs w:val="32"/>
          <w:highlight w:val="none"/>
        </w:rPr>
        <w:br w:type="page"/>
      </w:r>
      <w:r>
        <w:rPr>
          <w:rFonts w:hint="eastAsia"/>
          <w:b/>
          <w:color w:val="auto"/>
          <w:sz w:val="32"/>
          <w:szCs w:val="32"/>
          <w:highlight w:val="none"/>
        </w:rPr>
        <w:t>投标人须知</w:t>
      </w:r>
    </w:p>
    <w:p w14:paraId="529C512F">
      <w:pPr>
        <w:widowControl w:val="0"/>
        <w:snapToGrid w:val="0"/>
        <w:spacing w:before="120" w:after="120" w:line="38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一、总  则</w:t>
      </w:r>
      <w:bookmarkStart w:id="53" w:name="_Toc254970527"/>
      <w:bookmarkStart w:id="54" w:name="_Toc254970668"/>
    </w:p>
    <w:p w14:paraId="79DC9B1D">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（一） 适用范围</w:t>
      </w:r>
      <w:bookmarkEnd w:id="53"/>
      <w:bookmarkEnd w:id="54"/>
    </w:p>
    <w:p w14:paraId="56E51092">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本招标文件适用于</w:t>
      </w:r>
      <w:r>
        <w:rPr>
          <w:rFonts w:hint="eastAsia" w:ascii="宋体" w:hAnsi="Times New Roman" w:eastAsia="宋体" w:cs="Times New Roman"/>
          <w:bCs/>
          <w:color w:val="auto"/>
          <w:kern w:val="2"/>
          <w:sz w:val="21"/>
          <w:szCs w:val="21"/>
          <w:highlight w:val="none"/>
          <w:lang w:val="en-US" w:eastAsia="zh-CN" w:bidi="ar-SA"/>
        </w:rPr>
        <w:t>本</w:t>
      </w:r>
      <w:r>
        <w:rPr>
          <w:rFonts w:hint="eastAsia" w:ascii="宋体" w:hAnsi="Times New Roman" w:eastAsia="宋体" w:cs="Times New Roman"/>
          <w:color w:val="auto"/>
          <w:kern w:val="2"/>
          <w:sz w:val="21"/>
          <w:szCs w:val="21"/>
          <w:highlight w:val="none"/>
          <w:lang w:val="en-US" w:eastAsia="zh-CN" w:bidi="ar-SA"/>
        </w:rPr>
        <w:t>项目的招标、投标、评标、定标、验收、合同履约、付款等行为（法律、法规另有规定的，从其规定）。</w:t>
      </w:r>
      <w:bookmarkStart w:id="55" w:name="_Toc254970528"/>
      <w:bookmarkStart w:id="56" w:name="_Toc254970669"/>
    </w:p>
    <w:p w14:paraId="075D5D8A">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（二）定义</w:t>
      </w:r>
      <w:bookmarkEnd w:id="55"/>
      <w:bookmarkEnd w:id="56"/>
    </w:p>
    <w:p w14:paraId="0AA813F3">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“采购人”系指组织本次招标的采购单位。</w:t>
      </w:r>
    </w:p>
    <w:p w14:paraId="0357DF6B">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“采购代理机构”系指广西国力招标有限公司（以下简称“本公司”）。</w:t>
      </w:r>
    </w:p>
    <w:p w14:paraId="5B7ACF2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“投标人”系指响应招标、参加投标竞争的法人、其他组织或者自然人。</w:t>
      </w:r>
    </w:p>
    <w:p w14:paraId="28553FB3">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4.“产品”系指供方按招标文件规定，须向采购人提供的一切设备、保险、税金、备品备件、工具、手册及其它有关技术资料和材料。</w:t>
      </w:r>
    </w:p>
    <w:p w14:paraId="4CB8AB46">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5．“服务”系指招标文件规定投标人须承担的安装、调试、技术协助、校准、培训、技术指导以及其他类似的义务。</w:t>
      </w:r>
    </w:p>
    <w:p w14:paraId="4D68283E">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6.“项目”系指投标人按招标文件规定向采购人提供的产品和服务。</w:t>
      </w:r>
    </w:p>
    <w:p w14:paraId="7F0988E3">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7.“书面形式”包括信函、传真、电报等。</w:t>
      </w:r>
    </w:p>
    <w:p w14:paraId="768C1246">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8.“▲”系指实质性要求条款。</w:t>
      </w:r>
      <w:bookmarkStart w:id="57" w:name="_Toc254970529"/>
      <w:bookmarkStart w:id="58" w:name="_Toc254970670"/>
    </w:p>
    <w:p w14:paraId="62685BDC">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9.“允许偏离的技术、性能指标或者辅助功能项目”系指不带“▲”的非实质性要求的技术指标、主要功能项目条款。</w:t>
      </w:r>
    </w:p>
    <w:p w14:paraId="3E711E2C">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（三）招标方式</w:t>
      </w:r>
      <w:bookmarkEnd w:id="57"/>
      <w:bookmarkEnd w:id="58"/>
    </w:p>
    <w:p w14:paraId="66F102F7">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公开招标方式。</w:t>
      </w:r>
      <w:bookmarkStart w:id="59" w:name="_Toc254970671"/>
      <w:bookmarkStart w:id="60" w:name="_Toc254970530"/>
    </w:p>
    <w:p w14:paraId="6D52789F">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（四）投标委托</w:t>
      </w:r>
      <w:bookmarkEnd w:id="59"/>
      <w:bookmarkEnd w:id="60"/>
    </w:p>
    <w:p w14:paraId="074341D1">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如投标人代表不是法定代表人(负责人)，须有法定代表人(负责人)出具的授权委托书（格式见第六章《投标文件格式》）。</w:t>
      </w:r>
      <w:bookmarkStart w:id="61" w:name="_Toc254970672"/>
      <w:bookmarkStart w:id="62" w:name="_Toc254970531"/>
    </w:p>
    <w:p w14:paraId="0D283F2F">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（五）投标费用</w:t>
      </w:r>
      <w:bookmarkEnd w:id="61"/>
      <w:bookmarkEnd w:id="62"/>
    </w:p>
    <w:p w14:paraId="41E317C1">
      <w:pPr>
        <w:widowControl w:val="0"/>
        <w:snapToGrid w:val="0"/>
        <w:spacing w:before="120" w:after="120"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投标人均应自行承担所有与投标有关的全部费用（招标文件有相关的规定除外）。</w:t>
      </w:r>
    </w:p>
    <w:p w14:paraId="762577BC">
      <w:pPr>
        <w:widowControl w:val="0"/>
        <w:snapToGrid w:val="0"/>
        <w:spacing w:before="120" w:after="120"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（六）联合体投标</w:t>
      </w:r>
    </w:p>
    <w:p w14:paraId="45CD7BA3">
      <w:pPr>
        <w:snapToGrid w:val="0"/>
        <w:spacing w:line="360" w:lineRule="exact"/>
        <w:ind w:firstLine="420" w:firstLineChars="200"/>
        <w:jc w:val="left"/>
        <w:rPr>
          <w:rFonts w:hint="eastAsia" w:ascii="宋体" w:hAnsi="宋体"/>
          <w:color w:val="auto"/>
          <w:highlight w:val="none"/>
        </w:rPr>
      </w:pPr>
      <w:r>
        <w:rPr>
          <w:rFonts w:hint="eastAsia" w:hAnsi="宋体"/>
          <w:color w:val="auto"/>
          <w:highlight w:val="none"/>
        </w:rPr>
        <w:t>本项目明确不接受联合体形式投标，本招标文件所有相关联合体要求及格式文件均不适用。投标人以联合体形式参加投标的，投标无效。</w:t>
      </w:r>
    </w:p>
    <w:p w14:paraId="7BD34D7C">
      <w:pPr>
        <w:widowControl w:val="0"/>
        <w:snapToGrid w:val="0"/>
        <w:spacing w:before="120" w:after="120" w:line="360" w:lineRule="exact"/>
        <w:ind w:firstLine="420" w:firstLineChars="200"/>
        <w:jc w:val="both"/>
        <w:rPr>
          <w:rFonts w:hint="eastAsia" w:ascii="宋体" w:hAnsi="Times New Roman" w:eastAsia="宋体" w:cs="宋体"/>
          <w:b/>
          <w:color w:val="auto"/>
          <w:kern w:val="0"/>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（七）</w:t>
      </w:r>
      <w:r>
        <w:rPr>
          <w:rFonts w:hint="eastAsia" w:ascii="宋体" w:hAnsi="Times New Roman" w:eastAsia="宋体" w:cs="宋体"/>
          <w:b/>
          <w:color w:val="auto"/>
          <w:kern w:val="0"/>
          <w:sz w:val="21"/>
          <w:szCs w:val="21"/>
          <w:highlight w:val="none"/>
          <w:lang w:val="en-US" w:eastAsia="zh-CN" w:bidi="ar-SA"/>
        </w:rPr>
        <w:t>转包与分包</w:t>
      </w:r>
    </w:p>
    <w:p w14:paraId="4BC37AD2">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1.本项目不允许转包。</w:t>
      </w:r>
    </w:p>
    <w:p w14:paraId="3DCB5BEB">
      <w:pPr>
        <w:snapToGrid w:val="0"/>
        <w:spacing w:line="360" w:lineRule="exact"/>
        <w:ind w:firstLine="420" w:firstLineChars="200"/>
        <w:jc w:val="left"/>
        <w:rPr>
          <w:rFonts w:hint="eastAsia"/>
          <w:bCs/>
          <w:color w:val="auto"/>
          <w:highlight w:val="none"/>
        </w:rPr>
      </w:pPr>
      <w:r>
        <w:rPr>
          <w:rFonts w:hint="eastAsia" w:ascii="宋体" w:hAnsi="宋体"/>
          <w:color w:val="auto"/>
          <w:highlight w:val="none"/>
        </w:rPr>
        <w:t>2.本项目不允许</w:t>
      </w:r>
      <w:r>
        <w:rPr>
          <w:rFonts w:hint="eastAsia" w:ascii="宋体" w:hAnsi="宋体"/>
          <w:color w:val="auto"/>
          <w:highlight w:val="none"/>
          <w:lang w:val="en-US" w:eastAsia="zh-CN"/>
        </w:rPr>
        <w:t>违法</w:t>
      </w:r>
      <w:r>
        <w:rPr>
          <w:rFonts w:hint="eastAsia" w:ascii="宋体" w:hAnsi="宋体"/>
          <w:color w:val="auto"/>
          <w:highlight w:val="none"/>
        </w:rPr>
        <w:t>分包。</w:t>
      </w:r>
      <w:bookmarkStart w:id="63" w:name="_Toc254970532"/>
      <w:bookmarkStart w:id="64" w:name="_Toc254970673"/>
    </w:p>
    <w:p w14:paraId="28B28187">
      <w:pPr>
        <w:snapToGrid w:val="0"/>
        <w:spacing w:line="360" w:lineRule="exact"/>
        <w:ind w:firstLine="420" w:firstLineChars="200"/>
        <w:jc w:val="left"/>
        <w:rPr>
          <w:rFonts w:hint="eastAsia"/>
          <w:b/>
          <w:color w:val="auto"/>
          <w:highlight w:val="none"/>
        </w:rPr>
      </w:pPr>
      <w:r>
        <w:rPr>
          <w:rFonts w:hint="eastAsia"/>
          <w:b/>
          <w:color w:val="auto"/>
          <w:highlight w:val="none"/>
        </w:rPr>
        <w:t>（八）特别说明：</w:t>
      </w:r>
      <w:bookmarkEnd w:id="63"/>
      <w:bookmarkEnd w:id="64"/>
    </w:p>
    <w:p w14:paraId="27F00408">
      <w:pPr>
        <w:widowControl w:val="0"/>
        <w:snapToGrid w:val="0"/>
        <w:spacing w:before="120" w:after="120" w:line="37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bookmarkStart w:id="65" w:name="_Toc254970674"/>
      <w:bookmarkStart w:id="66" w:name="_Toc254970533"/>
      <w:r>
        <w:rPr>
          <w:rFonts w:hint="eastAsia" w:ascii="宋体" w:hAnsi="Times New Roman" w:eastAsia="宋体" w:cs="Times New Roman"/>
          <w:color w:val="auto"/>
          <w:kern w:val="2"/>
          <w:sz w:val="21"/>
          <w:szCs w:val="21"/>
          <w:highlight w:val="none"/>
          <w:lang w:val="en-US" w:eastAsia="zh-CN" w:bidi="ar-SA"/>
        </w:rPr>
        <w:t>▲1.单位负责人为同一人或者存在直接控股、管理关系的不同供应商，不得参加同一合同项下的政府采购活动。</w:t>
      </w:r>
    </w:p>
    <w:p w14:paraId="73F40770">
      <w:pPr>
        <w:widowControl w:val="0"/>
        <w:snapToGrid w:val="0"/>
        <w:spacing w:before="120" w:after="120" w:line="37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5EB434E8">
      <w:pPr>
        <w:widowControl w:val="0"/>
        <w:snapToGrid w:val="0"/>
        <w:spacing w:before="120" w:after="120" w:line="37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非单一产品采购项目中，多家投标人提供的招标文件中载明的核心产品品牌相同的，视为提供相同品牌产品。</w:t>
      </w:r>
    </w:p>
    <w:p w14:paraId="55EE61EC">
      <w:pPr>
        <w:widowControl w:val="0"/>
        <w:snapToGrid w:val="0"/>
        <w:spacing w:before="120" w:after="120" w:line="37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▲3.投标人应仔细阅读招标文件的所有内容，按照招标文件的要求提交投标文件，并对所提供的全部资料的真实性承担法律责任。</w:t>
      </w:r>
    </w:p>
    <w:p w14:paraId="259D4867">
      <w:pPr>
        <w:widowControl w:val="0"/>
        <w:snapToGrid w:val="0"/>
        <w:spacing w:before="120" w:after="120" w:line="370" w:lineRule="exact"/>
        <w:ind w:firstLine="420" w:firstLineChars="200"/>
        <w:jc w:val="both"/>
        <w:rPr>
          <w:rFonts w:hint="eastAsia" w:ascii="宋体" w:hAnsi="宋体"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▲4.投标人在投标活动中提供任何虚假材料、互相串通投标，其投标无效，并报监管部门查处。</w:t>
      </w:r>
    </w:p>
    <w:p w14:paraId="2CC0A916">
      <w:pPr>
        <w:widowControl w:val="0"/>
        <w:snapToGrid w:val="0"/>
        <w:spacing w:before="120" w:after="120" w:line="360" w:lineRule="exact"/>
        <w:ind w:firstLine="420" w:firstLineChars="200"/>
        <w:jc w:val="both"/>
        <w:rPr>
          <w:rFonts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kern w:val="2"/>
          <w:sz w:val="21"/>
          <w:szCs w:val="21"/>
          <w:highlight w:val="none"/>
          <w:lang w:val="en-US" w:eastAsia="zh-CN" w:bidi="ar-SA"/>
        </w:rPr>
        <w:t>（九）</w:t>
      </w:r>
      <w:bookmarkEnd w:id="65"/>
      <w:bookmarkEnd w:id="66"/>
      <w:r>
        <w:rPr>
          <w:rFonts w:hint="eastAsia" w:ascii="宋体" w:hAnsi="Times New Roman" w:eastAsia="宋体" w:cs="Times New Roman"/>
          <w:b/>
          <w:color w:val="auto"/>
          <w:kern w:val="2"/>
          <w:sz w:val="21"/>
          <w:szCs w:val="21"/>
          <w:highlight w:val="none"/>
          <w:lang w:val="en-US" w:eastAsia="zh-CN" w:bidi="ar-SA"/>
        </w:rPr>
        <w:t>询问、质疑和投诉</w:t>
      </w:r>
    </w:p>
    <w:p w14:paraId="545DD9D4">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1.投标人对政府采购活动事项有疑问的，可以向采购人、采购代理机构提出询问。</w:t>
      </w:r>
    </w:p>
    <w:p w14:paraId="73C6AFAB">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投标人认为招标文件、招标过程或中标结果使自己的合法权益受到损害的，应当在知道或者应知其权益受到损害之日起七个工作日内，以书面形式向采购人、采购代理机构提出质疑，投标人在法定质疑期内必须一次性提出针对同一采购程序环节的质疑。具体计算时间如下：</w:t>
      </w:r>
    </w:p>
    <w:p w14:paraId="138CF096">
      <w:pPr>
        <w:snapToGrid w:val="0"/>
        <w:spacing w:line="360" w:lineRule="exact"/>
        <w:ind w:firstLine="420" w:firstLineChars="200"/>
        <w:jc w:val="left"/>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对可以质疑的采购文件提出质疑的，为收到采购文件之日或者采购文件公告期限届满之日</w:t>
      </w:r>
      <w:r>
        <w:rPr>
          <w:rFonts w:ascii="宋体" w:hAnsi="宋体"/>
          <w:color w:val="auto"/>
          <w:highlight w:val="none"/>
        </w:rPr>
        <w:t>；</w:t>
      </w:r>
    </w:p>
    <w:p w14:paraId="4B9855DB">
      <w:pPr>
        <w:snapToGrid w:val="0"/>
        <w:spacing w:line="360" w:lineRule="exact"/>
        <w:ind w:firstLine="420" w:firstLineChars="200"/>
        <w:jc w:val="left"/>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对采购过程提出质疑的，为各采购程序环节结束之日</w:t>
      </w:r>
      <w:r>
        <w:rPr>
          <w:rFonts w:ascii="宋体" w:hAnsi="宋体"/>
          <w:color w:val="auto"/>
          <w:highlight w:val="none"/>
        </w:rPr>
        <w:t>；</w:t>
      </w:r>
    </w:p>
    <w:p w14:paraId="32D02CF0">
      <w:pPr>
        <w:snapToGrid w:val="0"/>
        <w:spacing w:line="360" w:lineRule="exact"/>
        <w:ind w:firstLine="420" w:firstLineChars="200"/>
        <w:jc w:val="left"/>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3</w:t>
      </w:r>
      <w:r>
        <w:rPr>
          <w:rFonts w:ascii="宋体" w:hAnsi="宋体"/>
          <w:color w:val="auto"/>
          <w:highlight w:val="none"/>
        </w:rPr>
        <w:t>）对中标结果提出质疑的，为中标结果公告期限届满之日。</w:t>
      </w:r>
    </w:p>
    <w:p w14:paraId="56A9FC5C">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投标人对采购人、采购代理机构的质疑答复不满意或者采购人、采购代理机构未在规定时间内作出答复的，可以在答复期满后十五个工作日内向同级采购监管部门投诉。</w:t>
      </w:r>
    </w:p>
    <w:p w14:paraId="792022E6">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67" w:name="_Toc254970675"/>
      <w:bookmarkStart w:id="68" w:name="_Toc254970534"/>
    </w:p>
    <w:p w14:paraId="467FC654">
      <w:pPr>
        <w:snapToGrid w:val="0"/>
        <w:spacing w:line="360" w:lineRule="exact"/>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供应商提出质疑应当提交质疑函和必要的证明材料。质疑函应当包括下列内容：</w:t>
      </w:r>
    </w:p>
    <w:p w14:paraId="1A850B5A">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（1）供应商的姓名或者名称、地址、邮编、联系人及联系电话；</w:t>
      </w:r>
    </w:p>
    <w:p w14:paraId="62733534">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（2）质疑项目的名称、编号；</w:t>
      </w:r>
    </w:p>
    <w:p w14:paraId="16585A83">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（3）具体、明确的质疑事项和与质疑事项相关的请求；</w:t>
      </w:r>
    </w:p>
    <w:p w14:paraId="31259457">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（4）事实依据；</w:t>
      </w:r>
    </w:p>
    <w:p w14:paraId="7BE673F2">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（5）必要的法律依据；</w:t>
      </w:r>
    </w:p>
    <w:p w14:paraId="61DE8E2E">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（6）提出质疑的日期。</w:t>
      </w:r>
    </w:p>
    <w:p w14:paraId="6204D4CA">
      <w:pPr>
        <w:snapToGrid w:val="0"/>
        <w:spacing w:line="360" w:lineRule="exact"/>
        <w:ind w:firstLine="420" w:firstLineChars="200"/>
        <w:jc w:val="left"/>
        <w:rPr>
          <w:rFonts w:ascii="宋体" w:hAnsi="宋体"/>
          <w:color w:val="auto"/>
          <w:highlight w:val="none"/>
        </w:rPr>
      </w:pPr>
      <w:r>
        <w:rPr>
          <w:rFonts w:hint="eastAsia" w:ascii="宋体" w:hAnsi="宋体"/>
          <w:color w:val="auto"/>
          <w:highlight w:val="none"/>
        </w:rPr>
        <w:t>供应商为自然人的，应当由本人签字；供应商为法人或者其他组织的，应当由法定代表人、主要负责人，或者其授权代表签字或者盖章，并加盖公章。</w:t>
      </w:r>
    </w:p>
    <w:p w14:paraId="6EDF8A52">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代理人提出质疑和投诉，应当提交供应商签署的授权委托书。</w:t>
      </w:r>
    </w:p>
    <w:p w14:paraId="5851D113">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5.采购人、采购代理机构认为供应商质疑不成立，或者成立但未对中标结果构成影响的，继续开展采购活动；认为供应商质疑成立且影响或者可能影响中标结果的，按照下列情况处理：</w:t>
      </w:r>
    </w:p>
    <w:p w14:paraId="1EAF1A28">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101CEA5">
      <w:pPr>
        <w:snapToGrid w:val="0"/>
        <w:spacing w:line="360" w:lineRule="exact"/>
        <w:ind w:firstLine="420" w:firstLineChars="200"/>
        <w:jc w:val="left"/>
        <w:rPr>
          <w:rFonts w:ascii="宋体" w:hAnsi="宋体"/>
          <w:color w:val="auto"/>
          <w:highlight w:val="none"/>
        </w:rPr>
      </w:pPr>
      <w:r>
        <w:rPr>
          <w:rFonts w:hint="eastAsia" w:ascii="宋体" w:hAnsi="宋体"/>
          <w:color w:val="auto"/>
          <w:highlight w:val="none"/>
        </w:rPr>
        <w:t>（二）对采购过程、中标结果提出的质疑，合格供应商符合法定数量时，可以从合格的中标候选人中另行确定中标供应商的，应当依法根据中标候选人推荐原则另行确定中标供应商；否则应当重新开展采购活动。</w:t>
      </w:r>
    </w:p>
    <w:p w14:paraId="2E0F7D1C">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质疑答复导致中标结果改变的，采购人或者采购代理机构应当将有关情况书面报告本级财政部门。</w:t>
      </w:r>
    </w:p>
    <w:p w14:paraId="325FEC8D">
      <w:pPr>
        <w:snapToGrid w:val="0"/>
        <w:spacing w:line="360" w:lineRule="exact"/>
        <w:ind w:firstLine="420"/>
        <w:jc w:val="left"/>
        <w:rPr>
          <w:rFonts w:hint="eastAsia" w:ascii="宋体" w:hAnsi="宋体"/>
          <w:color w:val="auto"/>
          <w:highlight w:val="none"/>
        </w:rPr>
      </w:pPr>
      <w:r>
        <w:rPr>
          <w:rFonts w:hint="eastAsia" w:ascii="宋体" w:hAnsi="宋体"/>
          <w:color w:val="auto"/>
          <w:highlight w:val="none"/>
        </w:rPr>
        <w:t>①质疑联系部门及电话为：广西国力招标有限公司                      0771-4915558</w:t>
      </w:r>
    </w:p>
    <w:p w14:paraId="4020A71B">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通讯地址：广西南宁市白沙大道53号松宇时代13楼</w:t>
      </w:r>
    </w:p>
    <w:p w14:paraId="02F56554">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②投诉联系部门及电话为：广西壮族自治区财政厅政府采购监督管理处    0771-5331544</w:t>
      </w:r>
    </w:p>
    <w:p w14:paraId="462EE43B">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通讯地址：广西南宁市桃源路69号</w:t>
      </w:r>
    </w:p>
    <w:p w14:paraId="22C63B4B">
      <w:pPr>
        <w:snapToGrid w:val="0"/>
        <w:spacing w:line="360" w:lineRule="exact"/>
        <w:ind w:firstLine="420" w:firstLineChars="200"/>
        <w:jc w:val="left"/>
        <w:rPr>
          <w:rFonts w:hint="eastAsia"/>
          <w:bCs/>
          <w:color w:val="auto"/>
          <w:highlight w:val="none"/>
        </w:rPr>
      </w:pPr>
    </w:p>
    <w:p w14:paraId="5BEB8EA9">
      <w:pPr>
        <w:widowControl w:val="0"/>
        <w:snapToGrid w:val="0"/>
        <w:spacing w:line="36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二、招标文件</w:t>
      </w:r>
      <w:bookmarkEnd w:id="67"/>
      <w:bookmarkEnd w:id="68"/>
    </w:p>
    <w:p w14:paraId="25130C15">
      <w:pPr>
        <w:widowControl w:val="0"/>
        <w:snapToGrid w:val="0"/>
        <w:spacing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（一）招标文件的构成</w:t>
      </w:r>
    </w:p>
    <w:p w14:paraId="1ECDDE62">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1.公开招标公告；</w:t>
      </w:r>
    </w:p>
    <w:p w14:paraId="0DA0E40B">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2.招标项目采购需求</w:t>
      </w:r>
    </w:p>
    <w:p w14:paraId="1CAFBFA8">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3.投标人须知；</w:t>
      </w:r>
    </w:p>
    <w:p w14:paraId="055A010B">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4.评标方法及评分标准；</w:t>
      </w:r>
    </w:p>
    <w:p w14:paraId="16211D06">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5.政府采购合同主要条款；</w:t>
      </w:r>
    </w:p>
    <w:p w14:paraId="05FD59E3">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6.投标文件格式。</w:t>
      </w:r>
    </w:p>
    <w:p w14:paraId="158F67C8">
      <w:pPr>
        <w:widowControl w:val="0"/>
        <w:snapToGrid w:val="0"/>
        <w:spacing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（二）投标人的风险</w:t>
      </w:r>
    </w:p>
    <w:p w14:paraId="442030BE">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14:paraId="152224AF">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14:paraId="3B87726C">
      <w:pPr>
        <w:widowControl w:val="0"/>
        <w:snapToGrid w:val="0"/>
        <w:spacing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（三）招标文件的澄清与修改</w:t>
      </w:r>
    </w:p>
    <w:p w14:paraId="0FBF140A">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1.投标人应认真阅读本招标文件，发现其中有误或有不合理要求的，</w:t>
      </w:r>
      <w:r>
        <w:rPr>
          <w:rFonts w:hint="eastAsia" w:ascii="宋体" w:hAnsi="宋体"/>
          <w:bCs/>
          <w:color w:val="auto"/>
          <w:highlight w:val="none"/>
        </w:rPr>
        <w:t>投标人</w:t>
      </w:r>
      <w:r>
        <w:rPr>
          <w:rFonts w:hint="eastAsia" w:ascii="宋体" w:hAnsi="宋体"/>
          <w:b/>
          <w:bCs/>
          <w:color w:val="auto"/>
          <w:highlight w:val="none"/>
        </w:rPr>
        <w:t>应当</w:t>
      </w:r>
      <w:r>
        <w:rPr>
          <w:rFonts w:hint="eastAsia" w:ascii="宋体" w:hAnsi="宋体"/>
          <w:bCs/>
          <w:color w:val="auto"/>
          <w:highlight w:val="none"/>
        </w:rPr>
        <w:t>在</w:t>
      </w:r>
      <w:r>
        <w:rPr>
          <w:rFonts w:hint="eastAsia" w:ascii="宋体" w:hAnsi="宋体"/>
          <w:bCs/>
          <w:color w:val="auto"/>
          <w:highlight w:val="none"/>
          <w:u w:val="single"/>
        </w:rPr>
        <w:t>“采购文件：第三章 《投标人须知及前附表》序号6”规定的时间</w:t>
      </w:r>
      <w:r>
        <w:rPr>
          <w:rFonts w:hint="eastAsia" w:ascii="宋体" w:hAnsi="宋体"/>
          <w:bCs/>
          <w:color w:val="auto"/>
          <w:highlight w:val="none"/>
        </w:rPr>
        <w:t>前以书面形式要求</w:t>
      </w:r>
      <w:r>
        <w:rPr>
          <w:rFonts w:ascii="宋体" w:hAnsi="宋体"/>
          <w:color w:val="auto"/>
          <w:highlight w:val="none"/>
        </w:rPr>
        <w:t>采购人或者采购代理机构</w:t>
      </w:r>
      <w:r>
        <w:rPr>
          <w:rFonts w:hint="eastAsia" w:ascii="宋体" w:hAnsi="宋体"/>
          <w:color w:val="auto"/>
          <w:highlight w:val="none"/>
        </w:rPr>
        <w:t>答疑、澄清</w:t>
      </w:r>
      <w:r>
        <w:rPr>
          <w:rFonts w:hint="eastAsia" w:ascii="宋体" w:hAnsi="宋体"/>
          <w:bCs/>
          <w:color w:val="auto"/>
          <w:highlight w:val="none"/>
        </w:rPr>
        <w:t>。</w:t>
      </w:r>
      <w:r>
        <w:rPr>
          <w:rFonts w:hint="eastAsia" w:ascii="宋体" w:hAnsi="宋体"/>
          <w:color w:val="auto"/>
          <w:highlight w:val="none"/>
        </w:rPr>
        <w:t>采购代理机构对已发出的招标文件进行必要澄清、答复、修改或补充的内容</w:t>
      </w:r>
      <w:r>
        <w:rPr>
          <w:rFonts w:hint="eastAsia" w:ascii="宋体" w:hAnsi="宋体"/>
          <w:b/>
          <w:color w:val="auto"/>
          <w:highlight w:val="none"/>
        </w:rPr>
        <w:t>可能影响投标文件编制的</w:t>
      </w:r>
      <w:r>
        <w:rPr>
          <w:rFonts w:hint="eastAsia" w:ascii="宋体" w:hAnsi="宋体"/>
          <w:color w:val="auto"/>
          <w:highlight w:val="none"/>
        </w:rPr>
        <w:t>，应当在招标文件要求提交投标文件截止时间15日前，在财政部门指定的政府采购信息发布媒体上发布更正公告，并以书面形式通知所有招标文件收受人。</w:t>
      </w:r>
    </w:p>
    <w:p w14:paraId="7C957C34">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2.招标文件澄清、答复、修改、补充的内容为招标文件的组成部分。当招标文件与招标文件的答复、澄清、修改、补充通知就同一内容的表述不一致时，以最后发出的书面文件为准。</w:t>
      </w:r>
    </w:p>
    <w:p w14:paraId="34BA28F6">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3.招标文件的澄清、答复、修改、补充都应该通过本采购代理机构以法定形式发布，采购人非通过本机构，不得擅自澄清、答复、修改、补充招标文件。</w:t>
      </w:r>
    </w:p>
    <w:p w14:paraId="448F8623">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4.采购代理机构可以视采购具体情况，延长招标文件或者资格预审文件提供期限，并在财政部门指定的政府采购信息发布媒体上发布公告。</w:t>
      </w:r>
    </w:p>
    <w:p w14:paraId="2BE2528B">
      <w:pPr>
        <w:widowControl w:val="0"/>
        <w:snapToGrid w:val="0"/>
        <w:spacing w:line="360" w:lineRule="exact"/>
        <w:jc w:val="both"/>
        <w:rPr>
          <w:rFonts w:hint="eastAsia" w:ascii="宋体" w:hAnsi="Times New Roman" w:eastAsia="宋体" w:cs="Times New Roman"/>
          <w:color w:val="auto"/>
          <w:kern w:val="2"/>
          <w:sz w:val="21"/>
          <w:szCs w:val="21"/>
          <w:highlight w:val="none"/>
          <w:lang w:val="en-US" w:eastAsia="zh-CN" w:bidi="ar-SA"/>
        </w:rPr>
      </w:pPr>
      <w:bookmarkStart w:id="69" w:name="_Toc254970676"/>
      <w:bookmarkStart w:id="70" w:name="_Toc254970535"/>
    </w:p>
    <w:p w14:paraId="673C8386">
      <w:pPr>
        <w:widowControl w:val="0"/>
        <w:snapToGrid w:val="0"/>
        <w:spacing w:line="36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三、投标文件的编制</w:t>
      </w:r>
      <w:bookmarkEnd w:id="69"/>
      <w:bookmarkEnd w:id="70"/>
      <w:bookmarkStart w:id="71" w:name="_Toc254970536"/>
      <w:bookmarkStart w:id="72" w:name="_Toc254970677"/>
    </w:p>
    <w:p w14:paraId="3929363A">
      <w:pPr>
        <w:snapToGrid w:val="0"/>
        <w:spacing w:line="360" w:lineRule="exact"/>
        <w:ind w:firstLine="308" w:firstLineChars="147"/>
        <w:jc w:val="left"/>
        <w:rPr>
          <w:rFonts w:hint="eastAsia" w:ascii="宋体" w:hAnsi="宋体"/>
          <w:b/>
          <w:color w:val="auto"/>
          <w:highlight w:val="none"/>
        </w:rPr>
      </w:pPr>
      <w:r>
        <w:rPr>
          <w:rFonts w:hint="eastAsia" w:ascii="宋体" w:hAnsi="宋体"/>
          <w:b/>
          <w:color w:val="auto"/>
          <w:highlight w:val="none"/>
        </w:rPr>
        <w:t>（一）投标文件的组成</w:t>
      </w:r>
      <w:bookmarkEnd w:id="71"/>
      <w:bookmarkEnd w:id="72"/>
      <w:r>
        <w:rPr>
          <w:rFonts w:hint="eastAsia" w:ascii="宋体" w:hAnsi="宋体"/>
          <w:b/>
          <w:color w:val="auto"/>
          <w:highlight w:val="none"/>
        </w:rPr>
        <w:t>（以下要求“必须提供”的，请按要求在投标文件中提供，否则作投标无效处理；其他如有请提供）</w:t>
      </w:r>
    </w:p>
    <w:p w14:paraId="2C55EDE4">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投标文件由资格文件、商务技术文件、报价文件</w:t>
      </w:r>
      <w:r>
        <w:rPr>
          <w:rFonts w:hint="eastAsia" w:ascii="宋体" w:hAnsi="宋体"/>
          <w:b/>
          <w:color w:val="auto"/>
          <w:highlight w:val="none"/>
        </w:rPr>
        <w:t>三部分</w:t>
      </w:r>
      <w:r>
        <w:rPr>
          <w:rFonts w:hint="eastAsia" w:ascii="宋体" w:hAnsi="宋体"/>
          <w:color w:val="auto"/>
          <w:highlight w:val="none"/>
        </w:rPr>
        <w:t>组成。</w:t>
      </w:r>
      <w:r>
        <w:rPr>
          <w:rFonts w:hint="eastAsia" w:ascii="宋体"/>
          <w:b/>
          <w:color w:val="auto"/>
          <w:szCs w:val="21"/>
          <w:highlight w:val="none"/>
        </w:rPr>
        <w:t>（扫描件或其他电子文件）</w:t>
      </w:r>
    </w:p>
    <w:p w14:paraId="1B802B5B">
      <w:pPr>
        <w:snapToGrid w:val="0"/>
        <w:spacing w:before="156" w:beforeLines="50"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14:paraId="66DF7E2F">
      <w:pPr>
        <w:snapToGrid w:val="0"/>
        <w:spacing w:line="360" w:lineRule="exact"/>
        <w:ind w:firstLine="411"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有效的主体资格证明文件；</w:t>
      </w:r>
    </w:p>
    <w:p w14:paraId="64D0A093">
      <w:pPr>
        <w:spacing w:line="370" w:lineRule="exact"/>
        <w:rPr>
          <w:rFonts w:hint="eastAsia" w:ascii="宋体" w:hAnsi="宋体"/>
          <w:b/>
          <w:color w:val="auto"/>
          <w:highlight w:val="none"/>
        </w:rPr>
      </w:pPr>
      <w:r>
        <w:rPr>
          <w:rFonts w:hint="eastAsia"/>
          <w:b/>
          <w:color w:val="auto"/>
          <w:highlight w:val="none"/>
        </w:rPr>
        <w:t xml:space="preserve">    </w:t>
      </w:r>
      <w:r>
        <w:rPr>
          <w:rFonts w:hint="eastAsia" w:ascii="宋体" w:hAnsi="宋体"/>
          <w:color w:val="auto"/>
          <w:highlight w:val="none"/>
        </w:rPr>
        <w:t xml:space="preserve"> ①投标人有效的“主体资格证明文件”（如营业执照、事业单位法人证书、执业许可证、自然人身份证等）</w:t>
      </w:r>
      <w:r>
        <w:rPr>
          <w:rFonts w:hint="eastAsia" w:hAnsi="宋体"/>
          <w:color w:val="auto"/>
          <w:highlight w:val="none"/>
        </w:rPr>
        <w:t>复印件</w:t>
      </w:r>
      <w:r>
        <w:rPr>
          <w:rFonts w:hint="eastAsia" w:ascii="宋体" w:hAnsi="宋体"/>
          <w:color w:val="auto"/>
          <w:highlight w:val="none"/>
        </w:rPr>
        <w:t>，同时要加盖单位公章；</w:t>
      </w:r>
      <w:r>
        <w:rPr>
          <w:rFonts w:hint="eastAsia" w:ascii="宋体" w:hAnsi="宋体"/>
          <w:b/>
          <w:color w:val="auto"/>
          <w:highlight w:val="none"/>
        </w:rPr>
        <w:t>（必须提供）</w:t>
      </w:r>
    </w:p>
    <w:p w14:paraId="26A4C406">
      <w:pPr>
        <w:spacing w:line="370" w:lineRule="exact"/>
        <w:ind w:firstLine="420" w:firstLineChars="200"/>
        <w:rPr>
          <w:rFonts w:hint="eastAsia" w:ascii="宋体" w:hAnsi="宋体"/>
          <w:b/>
          <w:color w:val="auto"/>
          <w:highlight w:val="none"/>
        </w:rPr>
      </w:pPr>
      <w:r>
        <w:rPr>
          <w:rFonts w:hint="eastAsia" w:ascii="宋体" w:hAnsi="宋体"/>
          <w:color w:val="auto"/>
          <w:highlight w:val="none"/>
          <w:lang w:val="en-US" w:eastAsia="zh-CN"/>
        </w:rPr>
        <w:t>②</w:t>
      </w:r>
      <w:r>
        <w:rPr>
          <w:rFonts w:hint="eastAsia" w:ascii="宋体" w:hAnsi="宋体"/>
          <w:color w:val="auto"/>
          <w:highlight w:val="none"/>
        </w:rPr>
        <w:t>投标人须具备有效的《辐射安全许可证》</w:t>
      </w:r>
      <w:r>
        <w:rPr>
          <w:rFonts w:hint="eastAsia" w:ascii="宋体" w:hAnsi="宋体"/>
          <w:color w:val="auto"/>
          <w:highlight w:val="none"/>
          <w:lang w:eastAsia="zh-CN"/>
        </w:rPr>
        <w:t>；</w:t>
      </w:r>
      <w:r>
        <w:rPr>
          <w:rFonts w:hint="eastAsia" w:ascii="宋体" w:hAnsi="宋体"/>
          <w:b/>
          <w:color w:val="auto"/>
          <w:highlight w:val="none"/>
        </w:rPr>
        <w:t>（必须提供）</w:t>
      </w:r>
    </w:p>
    <w:p w14:paraId="251656B9">
      <w:pPr>
        <w:spacing w:line="370" w:lineRule="exact"/>
        <w:rPr>
          <w:rFonts w:ascii="宋体" w:hAnsi="宋体"/>
          <w:color w:val="auto"/>
          <w:szCs w:val="21"/>
          <w:highlight w:val="none"/>
        </w:rPr>
      </w:pPr>
      <w:r>
        <w:rPr>
          <w:rFonts w:hint="eastAsia"/>
          <w:b/>
          <w:color w:val="auto"/>
          <w:highlight w:val="none"/>
        </w:rPr>
        <w:t xml:space="preserve">   </w:t>
      </w:r>
      <w:r>
        <w:rPr>
          <w:rFonts w:hint="eastAsia"/>
          <w:color w:val="auto"/>
          <w:highlight w:val="none"/>
        </w:rPr>
        <w:t xml:space="preserve"> </w:t>
      </w:r>
      <w:r>
        <w:rPr>
          <w:rFonts w:hint="eastAsia" w:ascii="宋体" w:hAnsi="宋体"/>
          <w:color w:val="auto"/>
          <w:szCs w:val="21"/>
          <w:highlight w:val="none"/>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b/>
          <w:color w:val="auto"/>
          <w:szCs w:val="21"/>
          <w:highlight w:val="none"/>
        </w:rPr>
        <w:t>（必须提供，新成立单位按实际提供）</w:t>
      </w:r>
    </w:p>
    <w:p w14:paraId="6C87FCA5">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b/>
          <w:color w:val="auto"/>
          <w:szCs w:val="21"/>
          <w:highlight w:val="none"/>
        </w:rPr>
        <w:t>（必须提供，新成立单位按实际提供）</w:t>
      </w:r>
    </w:p>
    <w:p w14:paraId="2E45658D">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（4）</w:t>
      </w:r>
      <w:r>
        <w:rPr>
          <w:rFonts w:ascii="宋体" w:hAnsi="宋体"/>
          <w:color w:val="auto"/>
          <w:szCs w:val="21"/>
          <w:highlight w:val="none"/>
        </w:rPr>
        <w:t>财务状况报告</w:t>
      </w:r>
      <w:r>
        <w:rPr>
          <w:rFonts w:hint="eastAsia" w:ascii="宋体" w:hAnsi="宋体"/>
          <w:color w:val="auto"/>
          <w:szCs w:val="21"/>
          <w:highlight w:val="none"/>
        </w:rPr>
        <w:t>。</w:t>
      </w:r>
      <w:r>
        <w:rPr>
          <w:rFonts w:hint="eastAsia" w:ascii="宋体" w:hAnsi="宋体"/>
          <w:b/>
          <w:color w:val="auto"/>
          <w:szCs w:val="21"/>
          <w:highlight w:val="none"/>
        </w:rPr>
        <w:t>（格式自拟，必须提供）</w:t>
      </w:r>
    </w:p>
    <w:p w14:paraId="4FEE22A2">
      <w:pPr>
        <w:snapToGrid w:val="0"/>
        <w:spacing w:line="360" w:lineRule="exact"/>
        <w:ind w:firstLine="411" w:firstLineChars="196"/>
        <w:jc w:val="left"/>
        <w:rPr>
          <w:rFonts w:hint="eastAsia" w:ascii="宋体" w:hAnsi="宋体" w:cs="宋体"/>
          <w:b/>
          <w:color w:val="auto"/>
          <w:kern w:val="0"/>
          <w:szCs w:val="21"/>
          <w:highlight w:val="none"/>
        </w:rPr>
      </w:pPr>
      <w:r>
        <w:rPr>
          <w:rFonts w:hint="eastAsia" w:ascii="宋体" w:hAnsi="宋体" w:cs="宋体"/>
          <w:color w:val="auto"/>
          <w:kern w:val="0"/>
          <w:szCs w:val="21"/>
          <w:highlight w:val="none"/>
        </w:rPr>
        <w:t>（5）</w:t>
      </w:r>
      <w:r>
        <w:rPr>
          <w:rFonts w:ascii="宋体" w:hAnsi="宋体"/>
          <w:color w:val="auto"/>
          <w:szCs w:val="21"/>
          <w:highlight w:val="none"/>
        </w:rPr>
        <w:t>具备履行合同所必需的设备和专业技术能力的证明材料</w:t>
      </w:r>
      <w:r>
        <w:rPr>
          <w:rFonts w:hint="eastAsia" w:ascii="宋体" w:hAnsi="宋体" w:cs="宋体"/>
          <w:color w:val="auto"/>
          <w:kern w:val="0"/>
          <w:szCs w:val="21"/>
          <w:highlight w:val="none"/>
        </w:rPr>
        <w:t>。</w:t>
      </w:r>
      <w:r>
        <w:rPr>
          <w:rFonts w:hint="eastAsia" w:ascii="宋体" w:hAnsi="宋体"/>
          <w:b/>
          <w:color w:val="auto"/>
          <w:szCs w:val="21"/>
          <w:highlight w:val="none"/>
        </w:rPr>
        <w:t>（内容、格式自拟，必须提供</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可提供承诺函</w:t>
      </w:r>
      <w:r>
        <w:rPr>
          <w:rFonts w:hint="eastAsia" w:ascii="宋体" w:hAnsi="宋体"/>
          <w:b/>
          <w:color w:val="auto"/>
          <w:szCs w:val="21"/>
          <w:highlight w:val="none"/>
        </w:rPr>
        <w:t>）</w:t>
      </w:r>
    </w:p>
    <w:p w14:paraId="1FE0130E">
      <w:pPr>
        <w:snapToGrid w:val="0"/>
        <w:spacing w:line="360" w:lineRule="exact"/>
        <w:ind w:firstLine="411" w:firstLineChars="196"/>
        <w:jc w:val="left"/>
        <w:rPr>
          <w:rFonts w:hint="eastAsia" w:ascii="宋体" w:hAnsi="宋体"/>
          <w:color w:val="auto"/>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参加政府采购活动前三年内在经营活动中没有重大违法记录和不良信用记录的书面声明。（</w:t>
      </w:r>
      <w:r>
        <w:rPr>
          <w:rFonts w:hint="eastAsia" w:ascii="宋体" w:hAnsi="宋体"/>
          <w:b/>
          <w:color w:val="auto"/>
          <w:szCs w:val="21"/>
          <w:highlight w:val="none"/>
        </w:rPr>
        <w:t>格式自拟，必须提供</w:t>
      </w:r>
      <w:r>
        <w:rPr>
          <w:rFonts w:hint="eastAsia" w:ascii="宋体" w:hAnsi="宋体"/>
          <w:color w:val="auto"/>
          <w:szCs w:val="21"/>
          <w:highlight w:val="none"/>
        </w:rPr>
        <w:t>）</w:t>
      </w:r>
    </w:p>
    <w:p w14:paraId="4A688923">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注：采购人或采购代理机构在资格审查结束前对供应商进行信用查询</w:t>
      </w:r>
    </w:p>
    <w:p w14:paraId="4E5C9230">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查询渠道：“信用中国”网站(www.creditchina.gov.cn) 、中国政府采购网(www.ccgp.gov.cn)</w:t>
      </w:r>
    </w:p>
    <w:p w14:paraId="0042A3ED">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查询截止时间：资格审查结束前。</w:t>
      </w:r>
    </w:p>
    <w:p w14:paraId="04284B6F">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b/>
          <w:color w:val="auto"/>
          <w:szCs w:val="21"/>
          <w:highlight w:val="none"/>
        </w:rPr>
        <w:t>查询记录和证据留存方式：在查询网站中直接打印查询记录，打印材料作为评审资料保存。</w:t>
      </w:r>
    </w:p>
    <w:p w14:paraId="7ABC0150">
      <w:pPr>
        <w:widowControl w:val="0"/>
        <w:snapToGrid w:val="0"/>
        <w:spacing w:line="360" w:lineRule="exact"/>
        <w:ind w:firstLine="420" w:firstLineChars="200"/>
        <w:jc w:val="left"/>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54BDE9F4">
      <w:pPr>
        <w:widowControl w:val="0"/>
        <w:snapToGrid w:val="0"/>
        <w:spacing w:line="380" w:lineRule="exact"/>
        <w:ind w:firstLine="420" w:firstLineChars="200"/>
        <w:jc w:val="left"/>
        <w:rPr>
          <w:rFonts w:ascii="宋体" w:hAnsi="宋体" w:eastAsia="宋体" w:cs="宋体"/>
          <w:b/>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投标人直接控股、管理关系信息表（格式后附）；（</w:t>
      </w:r>
      <w:r>
        <w:rPr>
          <w:rFonts w:hint="eastAsia" w:ascii="宋体" w:hAnsi="宋体" w:eastAsia="宋体" w:cs="宋体"/>
          <w:b/>
          <w:bCs/>
          <w:color w:val="auto"/>
          <w:kern w:val="2"/>
          <w:sz w:val="21"/>
          <w:szCs w:val="21"/>
          <w:highlight w:val="none"/>
          <w:lang w:val="en-US" w:eastAsia="zh-CN" w:bidi="ar-SA"/>
        </w:rPr>
        <w:t>必须提供，否则作无效投标处理</w:t>
      </w:r>
      <w:r>
        <w:rPr>
          <w:rFonts w:hint="eastAsia" w:ascii="宋体" w:hAnsi="宋体" w:eastAsia="宋体" w:cs="宋体"/>
          <w:color w:val="auto"/>
          <w:kern w:val="2"/>
          <w:sz w:val="21"/>
          <w:szCs w:val="21"/>
          <w:highlight w:val="none"/>
          <w:lang w:val="en-US" w:eastAsia="zh-CN" w:bidi="ar-SA"/>
        </w:rPr>
        <w:t>）</w:t>
      </w:r>
    </w:p>
    <w:p w14:paraId="58C561A1">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投标人参加本项目无围标串标行为的承诺；（</w:t>
      </w:r>
      <w:r>
        <w:rPr>
          <w:rFonts w:hint="eastAsia" w:ascii="宋体" w:hAnsi="宋体" w:cs="宋体"/>
          <w:b/>
          <w:bCs/>
          <w:color w:val="auto"/>
          <w:szCs w:val="21"/>
          <w:highlight w:val="none"/>
        </w:rPr>
        <w:t>必须提供，否则作无效投标处理</w:t>
      </w:r>
      <w:r>
        <w:rPr>
          <w:rFonts w:hint="eastAsia" w:ascii="宋体" w:hAnsi="宋体" w:cs="宋体"/>
          <w:color w:val="auto"/>
          <w:szCs w:val="21"/>
          <w:highlight w:val="none"/>
        </w:rPr>
        <w:t>）</w:t>
      </w:r>
    </w:p>
    <w:p w14:paraId="73158D12">
      <w:pPr>
        <w:spacing w:line="380" w:lineRule="exact"/>
        <w:ind w:firstLine="420" w:firstLineChars="200"/>
        <w:rPr>
          <w:rFonts w:hint="eastAsia" w:ascii="宋体" w:hAnsi="宋体" w:eastAsia="宋体" w:cs="宋体"/>
          <w:b/>
          <w:bCs/>
          <w:color w:val="auto"/>
          <w:szCs w:val="21"/>
          <w:highlight w:val="none"/>
        </w:rPr>
      </w:pPr>
    </w:p>
    <w:p w14:paraId="6F289BC6">
      <w:pPr>
        <w:widowControl w:val="0"/>
        <w:snapToGrid w:val="0"/>
        <w:spacing w:line="360" w:lineRule="exact"/>
        <w:ind w:firstLine="420" w:firstLineChars="200"/>
        <w:jc w:val="left"/>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2.商务技术文件：</w:t>
      </w:r>
    </w:p>
    <w:p w14:paraId="2860D758">
      <w:pPr>
        <w:widowControl w:val="0"/>
        <w:snapToGrid w:val="0"/>
        <w:spacing w:line="360" w:lineRule="exact"/>
        <w:ind w:firstLine="420" w:firstLineChars="200"/>
        <w:jc w:val="left"/>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2.1商务文件：</w:t>
      </w:r>
    </w:p>
    <w:p w14:paraId="08A7940D">
      <w:pPr>
        <w:snapToGrid w:val="0"/>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投标保证金的提交凭证</w:t>
      </w:r>
      <w:r>
        <w:rPr>
          <w:rFonts w:hint="eastAsia" w:ascii="宋体" w:hAnsi="宋体"/>
          <w:color w:val="auto"/>
          <w:highlight w:val="none"/>
        </w:rPr>
        <w:t>；</w:t>
      </w:r>
      <w:r>
        <w:rPr>
          <w:rFonts w:hint="eastAsia" w:ascii="宋体" w:hAnsi="宋体"/>
          <w:b/>
          <w:color w:val="auto"/>
          <w:highlight w:val="none"/>
        </w:rPr>
        <w:t>（必须提供）</w:t>
      </w:r>
    </w:p>
    <w:p w14:paraId="23EE423F">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（2）投标声明书 (格式见第六章)；</w:t>
      </w:r>
      <w:r>
        <w:rPr>
          <w:rFonts w:hint="eastAsia" w:ascii="宋体"/>
          <w:b/>
          <w:color w:val="auto"/>
          <w:szCs w:val="21"/>
          <w:highlight w:val="none"/>
        </w:rPr>
        <w:t>（必须提供）</w:t>
      </w:r>
    </w:p>
    <w:p w14:paraId="158C13D8">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（3）法定代表人(负责人)授权委托书和委托代理人身份证正、反面复印件（格式见第六章)</w:t>
      </w:r>
      <w:r>
        <w:rPr>
          <w:rFonts w:hint="eastAsia" w:ascii="宋体"/>
          <w:b/>
          <w:color w:val="auto"/>
          <w:szCs w:val="21"/>
          <w:highlight w:val="none"/>
        </w:rPr>
        <w:t>（委托时必须提供）</w:t>
      </w:r>
      <w:r>
        <w:rPr>
          <w:rFonts w:hint="eastAsia" w:ascii="宋体"/>
          <w:color w:val="auto"/>
          <w:szCs w:val="21"/>
          <w:highlight w:val="none"/>
        </w:rPr>
        <w:t>；</w:t>
      </w:r>
    </w:p>
    <w:p w14:paraId="1E45DCDD">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（4）法定代表人(负责人)身份证明书（格式见第六章)、法定代表人</w:t>
      </w:r>
      <w:r>
        <w:rPr>
          <w:rFonts w:hint="eastAsia" w:ascii="宋体" w:cs="Arial"/>
          <w:color w:val="auto"/>
          <w:szCs w:val="21"/>
          <w:highlight w:val="none"/>
        </w:rPr>
        <w:t>（负责人）</w:t>
      </w:r>
      <w:r>
        <w:rPr>
          <w:rFonts w:hint="eastAsia" w:ascii="宋体"/>
          <w:color w:val="auto"/>
          <w:szCs w:val="21"/>
          <w:highlight w:val="none"/>
        </w:rPr>
        <w:t>有效身份证正反面复印件</w:t>
      </w:r>
      <w:r>
        <w:rPr>
          <w:rFonts w:hint="eastAsia" w:ascii="宋体"/>
          <w:b/>
          <w:color w:val="auto"/>
          <w:szCs w:val="21"/>
          <w:highlight w:val="none"/>
        </w:rPr>
        <w:t>（必须提供）</w:t>
      </w:r>
      <w:r>
        <w:rPr>
          <w:rFonts w:hint="eastAsia" w:ascii="宋体"/>
          <w:color w:val="auto"/>
          <w:szCs w:val="21"/>
          <w:highlight w:val="none"/>
        </w:rPr>
        <w:t xml:space="preserve">； </w:t>
      </w:r>
    </w:p>
    <w:p w14:paraId="439CA25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（5）产品销售许可证复印件；</w:t>
      </w:r>
    </w:p>
    <w:p w14:paraId="24BD3238">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（6）安全生产许可证复印件、产品代理资格证明文件复印件；</w:t>
      </w:r>
    </w:p>
    <w:p w14:paraId="468A4C42">
      <w:pPr>
        <w:snapToGrid w:val="0"/>
        <w:spacing w:line="360" w:lineRule="exact"/>
        <w:ind w:firstLine="411" w:firstLineChars="196"/>
        <w:jc w:val="left"/>
        <w:rPr>
          <w:rFonts w:hint="eastAsia" w:ascii="宋体"/>
          <w:b/>
          <w:color w:val="auto"/>
          <w:szCs w:val="21"/>
          <w:highlight w:val="none"/>
        </w:rPr>
      </w:pPr>
      <w:r>
        <w:rPr>
          <w:rFonts w:hint="eastAsia" w:ascii="宋体"/>
          <w:color w:val="auto"/>
          <w:szCs w:val="21"/>
          <w:highlight w:val="none"/>
        </w:rPr>
        <w:t>（7）商务响应表（格式见第六章）；</w:t>
      </w:r>
      <w:r>
        <w:rPr>
          <w:rFonts w:hint="eastAsia" w:ascii="宋体"/>
          <w:b/>
          <w:color w:val="auto"/>
          <w:szCs w:val="21"/>
          <w:highlight w:val="none"/>
        </w:rPr>
        <w:t>（必须提供）</w:t>
      </w:r>
    </w:p>
    <w:p w14:paraId="598A669C">
      <w:pPr>
        <w:snapToGrid w:val="0"/>
        <w:spacing w:line="360" w:lineRule="exact"/>
        <w:ind w:firstLine="411" w:firstLineChars="196"/>
        <w:jc w:val="left"/>
        <w:rPr>
          <w:rFonts w:hint="eastAsia" w:ascii="宋体"/>
          <w:b/>
          <w:color w:val="auto"/>
          <w:szCs w:val="21"/>
          <w:highlight w:val="none"/>
        </w:rPr>
      </w:pPr>
      <w:r>
        <w:rPr>
          <w:rFonts w:hint="eastAsia" w:ascii="宋体"/>
          <w:color w:val="auto"/>
          <w:szCs w:val="21"/>
          <w:highlight w:val="none"/>
        </w:rPr>
        <w:t>（8）招标项目采购需求中要求必须提供的材料等；</w:t>
      </w:r>
      <w:r>
        <w:rPr>
          <w:rFonts w:hint="eastAsia"/>
          <w:color w:val="auto"/>
          <w:highlight w:val="none"/>
        </w:rPr>
        <w:t>（招标项目采购需求中要求必须提供的材料，据实提供）</w:t>
      </w:r>
    </w:p>
    <w:p w14:paraId="0D488538">
      <w:pPr>
        <w:snapToGrid w:val="0"/>
        <w:spacing w:line="360" w:lineRule="exact"/>
        <w:ind w:firstLine="411" w:firstLineChars="196"/>
        <w:jc w:val="left"/>
        <w:rPr>
          <w:rFonts w:hint="eastAsia" w:ascii="宋体"/>
          <w:b/>
          <w:color w:val="auto"/>
          <w:szCs w:val="21"/>
          <w:highlight w:val="none"/>
        </w:rPr>
      </w:pPr>
      <w:r>
        <w:rPr>
          <w:rFonts w:hint="eastAsia" w:ascii="宋体"/>
          <w:color w:val="auto"/>
          <w:szCs w:val="21"/>
          <w:highlight w:val="none"/>
        </w:rPr>
        <w:t>（9）具备法律、行政法规规定的其他条件的证明材料。</w:t>
      </w:r>
      <w:r>
        <w:rPr>
          <w:rFonts w:hint="eastAsia" w:ascii="宋体"/>
          <w:b/>
          <w:color w:val="auto"/>
          <w:szCs w:val="21"/>
          <w:highlight w:val="none"/>
        </w:rPr>
        <w:t>(如有规定,则必须提供)</w:t>
      </w:r>
    </w:p>
    <w:p w14:paraId="5A1EB8C4">
      <w:pPr>
        <w:snapToGrid w:val="0"/>
        <w:spacing w:line="360" w:lineRule="exact"/>
        <w:ind w:firstLine="411" w:firstLineChars="196"/>
        <w:jc w:val="left"/>
        <w:rPr>
          <w:rFonts w:hint="eastAsia" w:ascii="宋体"/>
          <w:b/>
          <w:bCs/>
          <w:color w:val="auto"/>
          <w:szCs w:val="21"/>
          <w:highlight w:val="none"/>
        </w:rPr>
      </w:pPr>
      <w:r>
        <w:rPr>
          <w:rFonts w:hint="eastAsia" w:ascii="宋体"/>
          <w:b/>
          <w:bCs/>
          <w:color w:val="auto"/>
          <w:szCs w:val="21"/>
          <w:highlight w:val="none"/>
        </w:rPr>
        <w:t xml:space="preserve">可作为投标人资信评分的资质证明材料（可选）  </w:t>
      </w:r>
    </w:p>
    <w:p w14:paraId="3CB4A029">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（10）类似成功案例的业绩（投标人同类项目实施情况一览表、合同扫描件等，格式可自行调整）；</w:t>
      </w:r>
    </w:p>
    <w:p w14:paraId="5EC27A8A">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（11）其他特殊资质证书；</w:t>
      </w:r>
    </w:p>
    <w:p w14:paraId="6B44B455">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（12）节能环保产品或政府强制采购节能产品认证证书；</w:t>
      </w:r>
    </w:p>
    <w:p w14:paraId="7A20DFD5">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（13）投标人质量管理和质量保证体系等方面的认证证书；</w:t>
      </w:r>
    </w:p>
    <w:p w14:paraId="3CFB472E">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（14）投标人认为可以证明其能力或业绩的其他材料；</w:t>
      </w:r>
    </w:p>
    <w:p w14:paraId="003289CD">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（15）投标人关于产品生产时间、升级或者更新淘汰计划、配件供应以及本单位债务纠纷、违法违规记录等方面的情况（内容见投标声明书）；</w:t>
      </w:r>
    </w:p>
    <w:p w14:paraId="5A143597">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（16）投标人情况介绍。</w:t>
      </w:r>
    </w:p>
    <w:p w14:paraId="7EB5D21E">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（17）投标人认为需要提供的其他材料。</w:t>
      </w:r>
    </w:p>
    <w:p w14:paraId="5733FA18">
      <w:pPr>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中小企业声明函。</w:t>
      </w:r>
      <w:r>
        <w:rPr>
          <w:rFonts w:hint="eastAsia" w:ascii="宋体" w:hAnsi="宋体" w:eastAsia="宋体" w:cs="宋体"/>
          <w:b/>
          <w:bCs/>
          <w:color w:val="auto"/>
          <w:szCs w:val="21"/>
          <w:highlight w:val="none"/>
        </w:rPr>
        <w:t>（按最新相关政策执行，格式见第六章，</w:t>
      </w:r>
      <w:r>
        <w:rPr>
          <w:rFonts w:hint="eastAsia" w:ascii="宋体" w:hAnsi="宋体" w:eastAsia="宋体" w:cs="宋体"/>
          <w:b/>
          <w:bCs/>
          <w:color w:val="auto"/>
          <w:szCs w:val="21"/>
          <w:highlight w:val="none"/>
          <w:lang w:val="en-US" w:eastAsia="zh-CN"/>
        </w:rPr>
        <w:t>如有请</w:t>
      </w:r>
      <w:r>
        <w:rPr>
          <w:rFonts w:hint="eastAsia" w:ascii="宋体" w:hAnsi="宋体" w:eastAsia="宋体" w:cs="宋体"/>
          <w:b/>
          <w:bCs/>
          <w:color w:val="auto"/>
          <w:szCs w:val="21"/>
          <w:highlight w:val="none"/>
        </w:rPr>
        <w:t>提供）</w:t>
      </w:r>
    </w:p>
    <w:p w14:paraId="10E6E85C">
      <w:pPr>
        <w:snapToGrid w:val="0"/>
        <w:spacing w:line="360" w:lineRule="exact"/>
        <w:ind w:firstLine="411" w:firstLineChars="196"/>
        <w:jc w:val="left"/>
        <w:rPr>
          <w:b/>
          <w:bCs/>
          <w:color w:val="auto"/>
          <w:highlight w:val="none"/>
        </w:rPr>
      </w:pPr>
      <w:r>
        <w:rPr>
          <w:rFonts w:hint="eastAsia" w:ascii="宋体"/>
          <w:color w:val="auto"/>
          <w:szCs w:val="21"/>
          <w:highlight w:val="none"/>
        </w:rPr>
        <w:t>（</w:t>
      </w:r>
      <w:r>
        <w:rPr>
          <w:rFonts w:hint="eastAsia" w:ascii="宋体"/>
          <w:color w:val="auto"/>
          <w:szCs w:val="21"/>
          <w:highlight w:val="none"/>
          <w:lang w:val="en-US" w:eastAsia="zh-CN"/>
        </w:rPr>
        <w:t>19</w:t>
      </w:r>
      <w:r>
        <w:rPr>
          <w:rFonts w:hint="eastAsia" w:ascii="宋体"/>
          <w:color w:val="auto"/>
          <w:szCs w:val="21"/>
          <w:highlight w:val="none"/>
        </w:rPr>
        <w:t>）</w:t>
      </w:r>
      <w:r>
        <w:rPr>
          <w:rFonts w:hint="eastAsia" w:ascii="宋体" w:hAnsi="宋体" w:cs="宋体"/>
          <w:color w:val="auto"/>
          <w:szCs w:val="21"/>
          <w:highlight w:val="none"/>
        </w:rPr>
        <w:t>本国产品适用政府采购</w:t>
      </w:r>
      <w:r>
        <w:rPr>
          <w:rFonts w:hint="eastAsia"/>
          <w:color w:val="auto"/>
          <w:highlight w:val="none"/>
        </w:rPr>
        <w:t>政策相关资料</w:t>
      </w:r>
      <w:r>
        <w:rPr>
          <w:rFonts w:hint="eastAsia"/>
          <w:b/>
          <w:bCs/>
          <w:color w:val="auto"/>
          <w:highlight w:val="none"/>
        </w:rPr>
        <w:t>（格式见第六章，如有请提供）</w:t>
      </w:r>
    </w:p>
    <w:p w14:paraId="17732D3F">
      <w:pPr>
        <w:snapToGrid w:val="0"/>
        <w:spacing w:line="360" w:lineRule="exact"/>
        <w:ind w:firstLine="411" w:firstLineChars="196"/>
        <w:jc w:val="left"/>
        <w:rPr>
          <w:rFonts w:hint="eastAsia" w:ascii="宋体"/>
          <w:b/>
          <w:bCs/>
          <w:color w:val="auto"/>
          <w:szCs w:val="21"/>
          <w:highlight w:val="none"/>
        </w:rPr>
      </w:pPr>
      <w:r>
        <w:rPr>
          <w:rFonts w:hint="eastAsia" w:ascii="宋体"/>
          <w:b/>
          <w:bCs/>
          <w:color w:val="auto"/>
          <w:szCs w:val="21"/>
          <w:highlight w:val="none"/>
        </w:rPr>
        <w:t>2.2技术文件：</w:t>
      </w:r>
    </w:p>
    <w:p w14:paraId="406A7682">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（1）技术响应表；</w:t>
      </w:r>
      <w:r>
        <w:rPr>
          <w:rFonts w:hint="eastAsia" w:ascii="宋体"/>
          <w:b/>
          <w:color w:val="auto"/>
          <w:szCs w:val="21"/>
          <w:highlight w:val="none"/>
        </w:rPr>
        <w:t>（必须提供）</w:t>
      </w:r>
    </w:p>
    <w:p w14:paraId="5B421772">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（2）设备配置清单</w:t>
      </w:r>
      <w:r>
        <w:rPr>
          <w:rFonts w:hint="eastAsia" w:ascii="宋体"/>
          <w:b/>
          <w:color w:val="auto"/>
          <w:szCs w:val="21"/>
          <w:highlight w:val="none"/>
        </w:rPr>
        <w:t>（均不含报价）</w:t>
      </w:r>
      <w:r>
        <w:rPr>
          <w:rFonts w:hint="eastAsia" w:ascii="宋体"/>
          <w:color w:val="auto"/>
          <w:szCs w:val="21"/>
          <w:highlight w:val="none"/>
        </w:rPr>
        <w:t>；</w:t>
      </w:r>
    </w:p>
    <w:p w14:paraId="2B3811A2">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color w:val="auto"/>
          <w:highlight w:val="none"/>
        </w:rPr>
        <w:t>项目实施方案、售后服务承诺书</w:t>
      </w:r>
      <w:r>
        <w:rPr>
          <w:rFonts w:hint="eastAsia" w:ascii="宋体"/>
          <w:color w:val="auto"/>
          <w:szCs w:val="21"/>
          <w:highlight w:val="none"/>
        </w:rPr>
        <w:t>；</w:t>
      </w:r>
      <w:r>
        <w:rPr>
          <w:rFonts w:hint="eastAsia" w:ascii="宋体" w:hAnsi="宋体"/>
          <w:b/>
          <w:color w:val="auto"/>
          <w:szCs w:val="21"/>
          <w:highlight w:val="none"/>
        </w:rPr>
        <w:t>（格式自拟，</w:t>
      </w:r>
      <w:r>
        <w:rPr>
          <w:rFonts w:hint="eastAsia" w:ascii="宋体"/>
          <w:b/>
          <w:color w:val="auto"/>
          <w:szCs w:val="21"/>
          <w:highlight w:val="none"/>
        </w:rPr>
        <w:t>必须提供</w:t>
      </w:r>
      <w:r>
        <w:rPr>
          <w:rFonts w:hint="eastAsia" w:ascii="宋体" w:hAnsi="宋体"/>
          <w:b/>
          <w:color w:val="auto"/>
          <w:szCs w:val="21"/>
          <w:highlight w:val="none"/>
        </w:rPr>
        <w:t>）</w:t>
      </w:r>
    </w:p>
    <w:p w14:paraId="4A516C98">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（4）投标人拥有主要装备和检测设施的情况和现状（格式自拟）及项目实施人员一览表；</w:t>
      </w:r>
    </w:p>
    <w:p w14:paraId="6730EC5E">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（5）优惠条件：投标人承诺给予招标人的各种优惠条件，包括备品备件、专用耗材、售后服务等方面的优惠；</w:t>
      </w:r>
    </w:p>
    <w:p w14:paraId="4A0F0161">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（6）投标人对本项目的合理化建议和改进措施；</w:t>
      </w:r>
    </w:p>
    <w:p w14:paraId="7CAD4025">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（7）投标人认为需要提供的其他材料。</w:t>
      </w:r>
    </w:p>
    <w:p w14:paraId="669DA623">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（8）招标项目采购需求中要求必须提供的材料。</w:t>
      </w:r>
      <w:r>
        <w:rPr>
          <w:rFonts w:hint="eastAsia"/>
          <w:color w:val="auto"/>
          <w:highlight w:val="none"/>
        </w:rPr>
        <w:t>（招标项目采购需求中要求必须提供的材料，据实提供）</w:t>
      </w:r>
    </w:p>
    <w:p w14:paraId="270B2DBE">
      <w:pPr>
        <w:snapToGrid w:val="0"/>
        <w:spacing w:line="360" w:lineRule="exact"/>
        <w:ind w:firstLine="420" w:firstLineChars="200"/>
        <w:jc w:val="left"/>
        <w:rPr>
          <w:rFonts w:hint="eastAsia" w:ascii="宋体"/>
          <w:b/>
          <w:color w:val="auto"/>
          <w:szCs w:val="21"/>
          <w:highlight w:val="none"/>
        </w:rPr>
      </w:pPr>
      <w:r>
        <w:rPr>
          <w:rFonts w:hint="eastAsia" w:ascii="宋体"/>
          <w:b/>
          <w:color w:val="auto"/>
          <w:szCs w:val="21"/>
          <w:highlight w:val="none"/>
        </w:rPr>
        <w:t>3.报价文件：</w:t>
      </w:r>
    </w:p>
    <w:p w14:paraId="507E442A">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（1）投标函（格式见第六章）；</w:t>
      </w:r>
      <w:r>
        <w:rPr>
          <w:rFonts w:hint="eastAsia" w:ascii="宋体"/>
          <w:b/>
          <w:color w:val="auto"/>
          <w:szCs w:val="21"/>
          <w:highlight w:val="none"/>
        </w:rPr>
        <w:t>（必须提供）</w:t>
      </w:r>
    </w:p>
    <w:p w14:paraId="1F860B50">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（2）投标报价明细表（格式见第六章）；</w:t>
      </w:r>
      <w:r>
        <w:rPr>
          <w:rFonts w:hint="eastAsia" w:ascii="宋体"/>
          <w:b/>
          <w:color w:val="auto"/>
          <w:szCs w:val="21"/>
          <w:highlight w:val="none"/>
        </w:rPr>
        <w:t>（必须提供）</w:t>
      </w:r>
    </w:p>
    <w:p w14:paraId="49DDDF42">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（3）投标人针对报价需要说明的其他文件和说明；（格式自拟）</w:t>
      </w:r>
    </w:p>
    <w:p w14:paraId="238BA8B5">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（4）开标一览表（格式见第六章）。</w:t>
      </w:r>
      <w:r>
        <w:rPr>
          <w:rFonts w:hint="eastAsia" w:ascii="宋体"/>
          <w:b/>
          <w:color w:val="auto"/>
          <w:szCs w:val="21"/>
          <w:highlight w:val="none"/>
        </w:rPr>
        <w:t>（必须提供）</w:t>
      </w:r>
    </w:p>
    <w:p w14:paraId="2C8ED301">
      <w:pPr>
        <w:tabs>
          <w:tab w:val="left" w:pos="3870"/>
          <w:tab w:val="left" w:pos="4085"/>
        </w:tabs>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w:t>
      </w:r>
      <w:r>
        <w:rPr>
          <w:rFonts w:hint="eastAsia" w:ascii="宋体"/>
          <w:b/>
          <w:bCs/>
          <w:color w:val="auto"/>
          <w:szCs w:val="21"/>
          <w:highlight w:val="none"/>
        </w:rPr>
        <w:t>注：法定代表人(负责人)授权委托书、投标声明书、投标函、开标一览表必须按照招标文件格式要求签署和加盖单位公章，否则作投标无效处理。</w:t>
      </w:r>
    </w:p>
    <w:p w14:paraId="7DB9A5A7">
      <w:pPr>
        <w:spacing w:line="360" w:lineRule="exact"/>
        <w:rPr>
          <w:rFonts w:hint="eastAsia"/>
          <w:b/>
          <w:color w:val="auto"/>
          <w:highlight w:val="none"/>
        </w:rPr>
      </w:pPr>
      <w:bookmarkStart w:id="73" w:name="_Toc254970537"/>
      <w:bookmarkStart w:id="74" w:name="_Toc254970678"/>
      <w:r>
        <w:rPr>
          <w:rFonts w:hint="eastAsia"/>
          <w:b/>
          <w:color w:val="auto"/>
          <w:highlight w:val="none"/>
        </w:rPr>
        <w:t xml:space="preserve">    （二）投标文件的语言及计量</w:t>
      </w:r>
      <w:bookmarkEnd w:id="73"/>
      <w:bookmarkEnd w:id="74"/>
    </w:p>
    <w:p w14:paraId="6265F729">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14:paraId="1C1D1FA5">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bookmarkStart w:id="75" w:name="_Toc254970679"/>
      <w:bookmarkStart w:id="76" w:name="_Toc254970538"/>
    </w:p>
    <w:p w14:paraId="06CC6071">
      <w:pPr>
        <w:spacing w:line="360" w:lineRule="exact"/>
        <w:rPr>
          <w:rFonts w:hint="eastAsia"/>
          <w:b/>
          <w:color w:val="auto"/>
          <w:highlight w:val="none"/>
        </w:rPr>
      </w:pPr>
      <w:r>
        <w:rPr>
          <w:rFonts w:hint="eastAsia"/>
          <w:b/>
          <w:color w:val="auto"/>
          <w:highlight w:val="none"/>
        </w:rPr>
        <w:t xml:space="preserve">    （三）投标报价</w:t>
      </w:r>
      <w:bookmarkEnd w:id="75"/>
      <w:bookmarkEnd w:id="76"/>
    </w:p>
    <w:p w14:paraId="2B2EB81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1.投标报价应按招标文件中相关附表格式填写。</w:t>
      </w:r>
    </w:p>
    <w:p w14:paraId="3C48F3E7">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投标报价是履行合同的最终价格，应包括货款、随配附件、备品备件、专用工具、包装、运输、装卸、保险、运抵指定交货地点、送货上门服务、现场安装调试、保修等各种费用和售后服务、培训、税金及其他所有成本费用的总和。</w:t>
      </w:r>
    </w:p>
    <w:p w14:paraId="1BA2D2CA">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3.投标文件只允许有一个报价，有选择的或有条件的报价将不予接受。</w:t>
      </w:r>
    </w:p>
    <w:p w14:paraId="7AA6BADE">
      <w:pPr>
        <w:spacing w:line="370" w:lineRule="exact"/>
        <w:ind w:firstLine="420" w:firstLineChars="200"/>
        <w:rPr>
          <w:rFonts w:hint="eastAsia" w:ascii="宋体" w:hAnsi="宋体" w:cs="宋体"/>
          <w:color w:val="auto"/>
          <w:highlight w:val="none"/>
        </w:rPr>
      </w:pPr>
      <w:r>
        <w:rPr>
          <w:rFonts w:hint="eastAsia" w:ascii="宋体" w:hAnsi="宋体" w:cs="宋体"/>
          <w:b/>
          <w:color w:val="auto"/>
          <w:highlight w:val="none"/>
        </w:rPr>
        <w:t>▲4.</w:t>
      </w:r>
      <w:r>
        <w:rPr>
          <w:rFonts w:hint="eastAsia" w:ascii="宋体" w:hAnsi="宋体" w:cs="宋体"/>
          <w:b/>
          <w:bCs/>
          <w:color w:val="auto"/>
          <w:highlight w:val="none"/>
        </w:rPr>
        <w:t>异常低价审查：</w:t>
      </w:r>
      <w:r>
        <w:rPr>
          <w:rFonts w:hint="eastAsia" w:ascii="宋体" w:hAnsi="宋体" w:cs="宋体"/>
          <w:color w:val="auto"/>
          <w:highlight w:val="none"/>
        </w:rPr>
        <w:t>政府采购评审中出现下列情形之一的，评审委员会应当启动异常低价投标审查程序：</w:t>
      </w:r>
    </w:p>
    <w:p w14:paraId="3BBBEAFE">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（1）投标报价低于全部通过符合性审查供应商投标报价平均值</w:t>
      </w:r>
      <w:r>
        <w:rPr>
          <w:rFonts w:hint="eastAsia" w:ascii="宋体" w:hAnsi="宋体" w:cs="宋体"/>
          <w:color w:val="auto"/>
          <w:highlight w:val="none"/>
          <w:lang w:val="en-US" w:eastAsia="zh-CN"/>
        </w:rPr>
        <w:t>65</w:t>
      </w:r>
      <w:r>
        <w:rPr>
          <w:rFonts w:hint="eastAsia" w:ascii="宋体" w:hAnsi="宋体" w:cs="宋体"/>
          <w:color w:val="auto"/>
          <w:highlight w:val="none"/>
        </w:rPr>
        <w:t>%的，即投标报价&lt;全部通过符合性审查供应商投标报价平均值×</w:t>
      </w:r>
      <w:r>
        <w:rPr>
          <w:rFonts w:hint="eastAsia" w:ascii="宋体" w:hAnsi="宋体" w:cs="宋体"/>
          <w:color w:val="auto"/>
          <w:highlight w:val="none"/>
          <w:lang w:val="en-US" w:eastAsia="zh-CN"/>
        </w:rPr>
        <w:t>65</w:t>
      </w:r>
      <w:r>
        <w:rPr>
          <w:rFonts w:hint="eastAsia" w:ascii="宋体" w:hAnsi="宋体" w:cs="宋体"/>
          <w:color w:val="auto"/>
          <w:highlight w:val="none"/>
        </w:rPr>
        <w:t>%；</w:t>
      </w:r>
    </w:p>
    <w:p w14:paraId="411C82A0">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（2）投标报价低于通过符合性审查的次低报价供应商投标报价</w:t>
      </w:r>
      <w:r>
        <w:rPr>
          <w:rFonts w:hint="eastAsia" w:ascii="宋体" w:hAnsi="宋体" w:cs="宋体"/>
          <w:color w:val="auto"/>
          <w:highlight w:val="none"/>
          <w:lang w:val="en-US" w:eastAsia="zh-CN"/>
        </w:rPr>
        <w:t>65</w:t>
      </w:r>
      <w:r>
        <w:rPr>
          <w:rFonts w:hint="eastAsia" w:ascii="宋体" w:hAnsi="宋体" w:cs="宋体"/>
          <w:color w:val="auto"/>
          <w:highlight w:val="none"/>
        </w:rPr>
        <w:t>%的，即投标报价&lt;通过符合性审查的次低报价供应商投标报价×</w:t>
      </w:r>
      <w:r>
        <w:rPr>
          <w:rFonts w:hint="eastAsia" w:ascii="宋体" w:hAnsi="宋体" w:cs="宋体"/>
          <w:color w:val="auto"/>
          <w:highlight w:val="none"/>
          <w:lang w:val="en-US" w:eastAsia="zh-CN"/>
        </w:rPr>
        <w:t>65</w:t>
      </w:r>
      <w:r>
        <w:rPr>
          <w:rFonts w:hint="eastAsia" w:ascii="宋体" w:hAnsi="宋体" w:cs="宋体"/>
          <w:color w:val="auto"/>
          <w:highlight w:val="none"/>
        </w:rPr>
        <w:t>%；</w:t>
      </w:r>
    </w:p>
    <w:p w14:paraId="731DC2CF">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（3）投标报价低于采购项目最高限价</w:t>
      </w:r>
      <w:r>
        <w:rPr>
          <w:rFonts w:hint="eastAsia" w:ascii="宋体" w:hAnsi="宋体" w:cs="宋体"/>
          <w:color w:val="auto"/>
          <w:highlight w:val="none"/>
          <w:lang w:val="en-US" w:eastAsia="zh-CN"/>
        </w:rPr>
        <w:t>6</w:t>
      </w:r>
      <w:r>
        <w:rPr>
          <w:rFonts w:hint="eastAsia" w:ascii="宋体" w:hAnsi="宋体" w:cs="宋体"/>
          <w:color w:val="auto"/>
          <w:highlight w:val="none"/>
        </w:rPr>
        <w:t>5%的，即投标报价&lt;采购项目最高限价×</w:t>
      </w:r>
      <w:r>
        <w:rPr>
          <w:rFonts w:hint="eastAsia" w:ascii="宋体" w:hAnsi="宋体" w:cs="宋体"/>
          <w:color w:val="auto"/>
          <w:highlight w:val="none"/>
          <w:lang w:val="en-US" w:eastAsia="zh-CN"/>
        </w:rPr>
        <w:t>6</w:t>
      </w:r>
      <w:r>
        <w:rPr>
          <w:rFonts w:hint="eastAsia" w:ascii="宋体" w:hAnsi="宋体" w:cs="宋体"/>
          <w:color w:val="auto"/>
          <w:highlight w:val="none"/>
        </w:rPr>
        <w:t>5%；</w:t>
      </w:r>
    </w:p>
    <w:p w14:paraId="117E71AA">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（4）评审委员会基于专业判断，认为供应商报价过低，有可能影响产品质量或者不能诚信履约的其他情形。</w:t>
      </w:r>
    </w:p>
    <w:p w14:paraId="3E130AD0">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5.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A0E5227">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E9DF4DA">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异常低价投标审查的启动原因、审查意见和审查结果应当在评审报告中记录，并随供应商提供的相关书面说明及证明材料，以及评审委员会有关资料一并归档。</w:t>
      </w:r>
    </w:p>
    <w:p w14:paraId="23759B88">
      <w:pPr>
        <w:spacing w:line="360" w:lineRule="exact"/>
        <w:ind w:firstLine="315" w:firstLineChars="150"/>
        <w:rPr>
          <w:rFonts w:hint="eastAsia" w:ascii="宋体" w:hAnsi="宋体"/>
          <w:b/>
          <w:color w:val="auto"/>
          <w:highlight w:val="none"/>
        </w:rPr>
      </w:pPr>
      <w:r>
        <w:rPr>
          <w:rFonts w:hint="eastAsia" w:ascii="宋体" w:hAnsi="宋体"/>
          <w:b/>
          <w:color w:val="auto"/>
          <w:highlight w:val="none"/>
        </w:rPr>
        <w:t>（四）投标文件的有效期</w:t>
      </w:r>
    </w:p>
    <w:p w14:paraId="1CC85E6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1.自投标截止日起60日投标文件应保持有效。有效期不足的投标文件将被拒绝。</w:t>
      </w:r>
    </w:p>
    <w:p w14:paraId="0E9F5C44">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2.在特殊情况下，采购人可与投标人协商延长投标书的有效期，这种要求和答复均以书面形式进行。</w:t>
      </w:r>
      <w:bookmarkStart w:id="77" w:name="_Toc254970539"/>
      <w:bookmarkStart w:id="78" w:name="_Toc254970680"/>
    </w:p>
    <w:p w14:paraId="094A2616">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3.投标人可拒绝接受延期要求而不会导致投标保证金被没收。同意延长有效期的投标人需要相应延长投标保证金的有效期，但不能修改投标文件。</w:t>
      </w:r>
      <w:bookmarkEnd w:id="77"/>
      <w:bookmarkEnd w:id="78"/>
      <w:r>
        <w:rPr>
          <w:rFonts w:hint="eastAsia" w:ascii="宋体"/>
          <w:color w:val="auto"/>
          <w:szCs w:val="21"/>
          <w:highlight w:val="none"/>
        </w:rPr>
        <w:t xml:space="preserve"> </w:t>
      </w:r>
      <w:bookmarkStart w:id="79" w:name="_Toc254970681"/>
      <w:bookmarkStart w:id="80" w:name="_Toc254970540"/>
    </w:p>
    <w:p w14:paraId="75F2733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4.中标人的投标文件自开标之日起至合同履行完毕止均应保持有效。</w:t>
      </w:r>
      <w:bookmarkEnd w:id="79"/>
      <w:bookmarkEnd w:id="80"/>
      <w:bookmarkStart w:id="81" w:name="_Toc254970682"/>
      <w:bookmarkStart w:id="82" w:name="_Toc254970541"/>
    </w:p>
    <w:p w14:paraId="18562E6B">
      <w:pPr>
        <w:spacing w:line="360" w:lineRule="exact"/>
        <w:ind w:firstLine="218" w:firstLineChars="104"/>
        <w:rPr>
          <w:rFonts w:hint="eastAsia"/>
          <w:b/>
          <w:color w:val="auto"/>
          <w:highlight w:val="none"/>
        </w:rPr>
      </w:pPr>
      <w:r>
        <w:rPr>
          <w:rFonts w:hint="eastAsia"/>
          <w:b/>
          <w:color w:val="auto"/>
          <w:highlight w:val="none"/>
        </w:rPr>
        <w:t>（五）投标保证金</w:t>
      </w:r>
      <w:bookmarkEnd w:id="81"/>
      <w:bookmarkEnd w:id="82"/>
    </w:p>
    <w:p w14:paraId="0E7E477F">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1.投标人须按须知前附表的规定提交投标保证金。否则，其投标将被拒绝。</w:t>
      </w:r>
    </w:p>
    <w:p w14:paraId="3488DF1F">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w:t>
      </w:r>
      <w:r>
        <w:rPr>
          <w:rFonts w:hint="eastAsia" w:cs="Arial"/>
          <w:color w:val="auto"/>
          <w:highlight w:val="none"/>
        </w:rPr>
        <w:t>投标保证金的交纳方式：详见本项目公开招标公告。</w:t>
      </w:r>
    </w:p>
    <w:p w14:paraId="0BD12541">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3.投标保证金的退还均以转账形式退回到投标人银行账户。</w:t>
      </w:r>
    </w:p>
    <w:p w14:paraId="04D329B7">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4.未中标人的投标保证金在中标通知书发出后5个工作日内退还。</w:t>
      </w:r>
    </w:p>
    <w:p w14:paraId="472DF42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5.中标人的投标保证金在合同签订后（合同签订后送达本公司）5个工作日内退还。</w:t>
      </w:r>
    </w:p>
    <w:p w14:paraId="732FE68D">
      <w:pPr>
        <w:snapToGrid w:val="0"/>
        <w:spacing w:line="360" w:lineRule="exact"/>
        <w:ind w:firstLine="411" w:firstLineChars="196"/>
        <w:jc w:val="left"/>
        <w:rPr>
          <w:rFonts w:hint="eastAsia" w:ascii="宋体" w:hAnsi="宋体"/>
          <w:color w:val="auto"/>
          <w:highlight w:val="none"/>
        </w:rPr>
      </w:pPr>
      <w:r>
        <w:rPr>
          <w:rFonts w:hint="eastAsia" w:ascii="宋体"/>
          <w:color w:val="auto"/>
          <w:szCs w:val="21"/>
          <w:highlight w:val="none"/>
        </w:rPr>
        <w:t>6.投标保证金不计息。</w:t>
      </w:r>
    </w:p>
    <w:p w14:paraId="604F7E0C">
      <w:pPr>
        <w:spacing w:line="360" w:lineRule="exact"/>
        <w:rPr>
          <w:rFonts w:hint="eastAsia" w:ascii="宋体"/>
          <w:b/>
          <w:color w:val="auto"/>
          <w:sz w:val="18"/>
          <w:szCs w:val="18"/>
          <w:highlight w:val="none"/>
        </w:rPr>
      </w:pPr>
      <w:r>
        <w:rPr>
          <w:rFonts w:hint="eastAsia" w:ascii="宋体"/>
          <w:b/>
          <w:color w:val="auto"/>
          <w:sz w:val="18"/>
          <w:szCs w:val="18"/>
          <w:highlight w:val="none"/>
        </w:rPr>
        <w:t xml:space="preserve">    注：办理投标保证金手续时，请务必在银行相关票据（非现金）或凭证的用途或空白栏上注明采购项目名称及采购项目编号，分标号（如有），以免耽误投标。        </w:t>
      </w:r>
    </w:p>
    <w:p w14:paraId="1D044167">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7.</w:t>
      </w:r>
      <w:r>
        <w:rPr>
          <w:rFonts w:ascii="宋体"/>
          <w:color w:val="auto"/>
          <w:szCs w:val="21"/>
          <w:highlight w:val="none"/>
        </w:rPr>
        <w:t>中标人应在中标通知书发出</w:t>
      </w:r>
      <w:r>
        <w:rPr>
          <w:rFonts w:hint="eastAsia" w:ascii="宋体"/>
          <w:color w:val="auto"/>
          <w:szCs w:val="21"/>
          <w:highlight w:val="none"/>
        </w:rPr>
        <w:t>之日起</w:t>
      </w:r>
      <w:r>
        <w:rPr>
          <w:rFonts w:hint="eastAsia"/>
          <w:color w:val="auto"/>
          <w:highlight w:val="none"/>
          <w:u w:val="single"/>
        </w:rPr>
        <w:t>25</w:t>
      </w:r>
      <w:r>
        <w:rPr>
          <w:rFonts w:hint="eastAsia"/>
          <w:color w:val="auto"/>
          <w:highlight w:val="none"/>
        </w:rPr>
        <w:t>日</w:t>
      </w:r>
      <w:r>
        <w:rPr>
          <w:rFonts w:hint="eastAsia" w:ascii="宋体"/>
          <w:color w:val="auto"/>
          <w:szCs w:val="21"/>
          <w:highlight w:val="none"/>
        </w:rPr>
        <w:t>内与采购人签订合同。</w:t>
      </w:r>
    </w:p>
    <w:p w14:paraId="5C5CDE82">
      <w:pPr>
        <w:spacing w:line="360" w:lineRule="exact"/>
        <w:rPr>
          <w:rFonts w:hint="eastAsia" w:ascii="宋体" w:hAnsi="宋体"/>
          <w:b/>
          <w:color w:val="auto"/>
          <w:highlight w:val="none"/>
        </w:rPr>
      </w:pPr>
      <w:r>
        <w:rPr>
          <w:rFonts w:hint="eastAsia"/>
          <w:b/>
          <w:color w:val="auto"/>
          <w:highlight w:val="none"/>
        </w:rPr>
        <w:t xml:space="preserve">  </w:t>
      </w:r>
      <w:r>
        <w:rPr>
          <w:rFonts w:hint="eastAsia" w:ascii="宋体" w:hAnsi="宋体"/>
          <w:b/>
          <w:color w:val="auto"/>
          <w:highlight w:val="none"/>
        </w:rPr>
        <w:t xml:space="preserve">  8.投标人有下列情形之一的，投标保证金将不予退还：</w:t>
      </w:r>
    </w:p>
    <w:p w14:paraId="7799FCAA">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（1）投标人在投标有效期内撤回投标文件的；</w:t>
      </w:r>
    </w:p>
    <w:p w14:paraId="7F3BBFEE">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（2）投标人在投标过程中弄虚作假，提供虚假材料的；</w:t>
      </w:r>
    </w:p>
    <w:p w14:paraId="74634C6B">
      <w:pPr>
        <w:snapToGrid w:val="0"/>
        <w:spacing w:line="360" w:lineRule="exact"/>
        <w:ind w:firstLine="411" w:firstLineChars="196"/>
        <w:jc w:val="left"/>
        <w:rPr>
          <w:rFonts w:hint="eastAsia" w:ascii="宋体"/>
          <w:color w:val="auto"/>
          <w:szCs w:val="21"/>
          <w:highlight w:val="none"/>
        </w:rPr>
      </w:pPr>
      <w:r>
        <w:rPr>
          <w:rFonts w:hint="eastAsia" w:ascii="宋体"/>
          <w:color w:val="auto"/>
          <w:szCs w:val="21"/>
          <w:highlight w:val="none"/>
        </w:rPr>
        <w:t>（3）中标人无正当理由不与采购人签订合同的；</w:t>
      </w:r>
    </w:p>
    <w:p w14:paraId="39BEB061">
      <w:pPr>
        <w:snapToGrid w:val="0"/>
        <w:spacing w:line="360" w:lineRule="exact"/>
        <w:ind w:firstLine="411" w:firstLineChars="196"/>
        <w:rPr>
          <w:rFonts w:hint="eastAsia" w:ascii="宋体"/>
          <w:color w:val="auto"/>
          <w:szCs w:val="21"/>
          <w:highlight w:val="none"/>
        </w:rPr>
      </w:pPr>
      <w:r>
        <w:rPr>
          <w:rFonts w:hint="eastAsia" w:ascii="宋体"/>
          <w:color w:val="auto"/>
          <w:szCs w:val="21"/>
          <w:highlight w:val="none"/>
        </w:rPr>
        <w:t>（4）</w:t>
      </w:r>
      <w:r>
        <w:rPr>
          <w:rFonts w:hint="eastAsia" w:ascii="宋体"/>
          <w:bCs/>
          <w:color w:val="auto"/>
          <w:spacing w:val="-4"/>
          <w:szCs w:val="21"/>
          <w:highlight w:val="none"/>
        </w:rPr>
        <w:t>将中标项目转让给他人或者在投标文件中未说明，且未经采购人同意，将中标项目分包给他人的；</w:t>
      </w:r>
    </w:p>
    <w:p w14:paraId="7D010C02">
      <w:pPr>
        <w:snapToGrid w:val="0"/>
        <w:spacing w:line="370" w:lineRule="exact"/>
        <w:ind w:firstLine="420" w:firstLineChars="200"/>
        <w:rPr>
          <w:rFonts w:hint="eastAsia" w:ascii="宋体"/>
          <w:color w:val="auto"/>
          <w:szCs w:val="21"/>
          <w:highlight w:val="none"/>
        </w:rPr>
      </w:pPr>
      <w:r>
        <w:rPr>
          <w:rFonts w:hint="eastAsia" w:ascii="宋体"/>
          <w:color w:val="auto"/>
          <w:szCs w:val="21"/>
          <w:highlight w:val="none"/>
        </w:rPr>
        <w:t>（5）其他严重扰乱招投标程序的</w:t>
      </w:r>
      <w:bookmarkStart w:id="83" w:name="_Toc254970542"/>
      <w:bookmarkStart w:id="84" w:name="_Toc254970683"/>
      <w:r>
        <w:rPr>
          <w:rFonts w:hint="eastAsia" w:ascii="宋体"/>
          <w:color w:val="auto"/>
          <w:szCs w:val="21"/>
          <w:highlight w:val="none"/>
        </w:rPr>
        <w:t>；</w:t>
      </w:r>
    </w:p>
    <w:p w14:paraId="2B4CA772">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（6）未按规定提交履约保证金的。</w:t>
      </w:r>
    </w:p>
    <w:p w14:paraId="2F3CEF52">
      <w:pPr>
        <w:snapToGrid w:val="0"/>
        <w:spacing w:line="360" w:lineRule="exact"/>
        <w:ind w:firstLine="308" w:firstLineChars="147"/>
        <w:rPr>
          <w:rFonts w:hint="eastAsia" w:ascii="宋体"/>
          <w:b/>
          <w:color w:val="auto"/>
          <w:szCs w:val="21"/>
          <w:highlight w:val="none"/>
        </w:rPr>
      </w:pPr>
      <w:r>
        <w:rPr>
          <w:rFonts w:hint="eastAsia" w:ascii="宋体"/>
          <w:b/>
          <w:color w:val="auto"/>
          <w:szCs w:val="21"/>
          <w:highlight w:val="none"/>
        </w:rPr>
        <w:t>（六）投标文件的签署和份数</w:t>
      </w:r>
      <w:bookmarkEnd w:id="83"/>
      <w:bookmarkEnd w:id="84"/>
    </w:p>
    <w:p w14:paraId="41E3EA16">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1.投标人应按本招标文件规定的格式和顺序编制投标文件并标注页码，投标文件内容不完整、编排混乱导致投标文件被误读、漏读或者查找不到相关内容的，是投标人的责任。</w:t>
      </w:r>
    </w:p>
    <w:p w14:paraId="1219622C">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2.投标文件份数：见投标人须知及前附表。</w:t>
      </w:r>
    </w:p>
    <w:p w14:paraId="617C816C">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3.投标文件须由投标人在规定位置盖章并由法定代表人或法定代表人的授权委托人签署，投标人应写全称。</w:t>
      </w:r>
    </w:p>
    <w:p w14:paraId="5464B052">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4.投标文件不得涂改，若有修改错漏处，须加盖单位公章或者法定代表人或授权委托人签字或盖章。投标文件因扫描不清晰或乱码或表达不清所引起的后果由投标人负责。</w:t>
      </w:r>
    </w:p>
    <w:p w14:paraId="059E0D41">
      <w:pPr>
        <w:snapToGrid w:val="0"/>
        <w:spacing w:line="360" w:lineRule="exact"/>
        <w:ind w:firstLine="420" w:firstLineChars="200"/>
        <w:jc w:val="left"/>
        <w:rPr>
          <w:rFonts w:hint="eastAsia" w:ascii="宋体"/>
          <w:b/>
          <w:color w:val="auto"/>
          <w:szCs w:val="21"/>
          <w:highlight w:val="none"/>
        </w:rPr>
      </w:pPr>
      <w:bookmarkStart w:id="85" w:name="_Toc254970684"/>
      <w:bookmarkStart w:id="86" w:name="_Toc254970543"/>
      <w:r>
        <w:rPr>
          <w:rFonts w:hint="eastAsia" w:ascii="宋体"/>
          <w:b/>
          <w:color w:val="auto"/>
          <w:szCs w:val="21"/>
          <w:highlight w:val="none"/>
        </w:rPr>
        <w:t>（七）投标文件的上传、提交、修改、撤回和解密</w:t>
      </w:r>
    </w:p>
    <w:p w14:paraId="7DF1FB6A">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▲1. 投标文件的上传、提交：见投标人须知及前附表。</w:t>
      </w:r>
    </w:p>
    <w:p w14:paraId="411B5070">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4FF758B9">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16352E5A">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4.投标人已经被推荐为第一中标候选供应商后撤回投标或放弃中标的，其投标保证金将不予退还，并上缴国库，给采购人造成损失的，还应当赔偿损失，并作为不良行为记录在案。</w:t>
      </w:r>
    </w:p>
    <w:p w14:paraId="66CC0FC6">
      <w:pPr>
        <w:snapToGrid w:val="0"/>
        <w:spacing w:line="360" w:lineRule="exact"/>
        <w:ind w:firstLine="420" w:firstLineChars="200"/>
        <w:jc w:val="left"/>
        <w:rPr>
          <w:rFonts w:hint="eastAsia" w:ascii="宋体"/>
          <w:b/>
          <w:color w:val="auto"/>
          <w:szCs w:val="21"/>
          <w:highlight w:val="none"/>
        </w:rPr>
      </w:pPr>
      <w:r>
        <w:rPr>
          <w:rFonts w:hint="eastAsia" w:ascii="宋体"/>
          <w:b/>
          <w:color w:val="auto"/>
          <w:szCs w:val="21"/>
          <w:highlight w:val="none"/>
        </w:rPr>
        <w:t>（八）投标无效的情形</w:t>
      </w:r>
      <w:bookmarkEnd w:id="85"/>
      <w:bookmarkEnd w:id="86"/>
    </w:p>
    <w:p w14:paraId="1D1070C3">
      <w:pPr>
        <w:snapToGrid w:val="0"/>
        <w:spacing w:line="360" w:lineRule="exact"/>
        <w:ind w:firstLine="420" w:firstLineChars="200"/>
        <w:jc w:val="left"/>
        <w:rPr>
          <w:rFonts w:hint="eastAsia" w:ascii="宋体" w:hAnsi="宋体"/>
          <w:bCs/>
          <w:color w:val="auto"/>
          <w:szCs w:val="21"/>
          <w:highlight w:val="none"/>
        </w:rPr>
      </w:pPr>
      <w:r>
        <w:rPr>
          <w:rFonts w:hint="eastAsia" w:ascii="宋体"/>
          <w:bCs/>
          <w:color w:val="auto"/>
          <w:szCs w:val="21"/>
          <w:highlight w:val="none"/>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7E0A53A3">
      <w:pPr>
        <w:snapToGrid w:val="0"/>
        <w:spacing w:line="360" w:lineRule="exact"/>
        <w:ind w:firstLine="420" w:firstLineChars="200"/>
        <w:jc w:val="left"/>
        <w:rPr>
          <w:rFonts w:hint="eastAsia" w:ascii="宋体" w:hAnsi="宋体"/>
          <w:b/>
          <w:bCs/>
          <w:color w:val="auto"/>
          <w:szCs w:val="21"/>
          <w:highlight w:val="none"/>
        </w:rPr>
      </w:pPr>
      <w:r>
        <w:rPr>
          <w:rFonts w:hint="eastAsia" w:ascii="宋体" w:hAnsi="宋体"/>
          <w:b/>
          <w:bCs/>
          <w:color w:val="auto"/>
          <w:szCs w:val="21"/>
          <w:highlight w:val="none"/>
        </w:rPr>
        <w:t>1.在资格、符合性审查时，如发现下列情形之一的，投标文件将被视为无效：</w:t>
      </w:r>
    </w:p>
    <w:p w14:paraId="1ECB633E">
      <w:pPr>
        <w:snapToGrid w:val="0"/>
        <w:spacing w:line="360" w:lineRule="exact"/>
        <w:ind w:firstLine="411" w:firstLineChars="196"/>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s="仿宋_GB2312"/>
          <w:color w:val="auto"/>
          <w:szCs w:val="21"/>
          <w:highlight w:val="none"/>
        </w:rPr>
        <w:t>超越了按照法律法规规定必须获得行政许可或者行政审批的经营范围的</w:t>
      </w:r>
      <w:r>
        <w:rPr>
          <w:rFonts w:hint="eastAsia" w:ascii="宋体" w:hAnsi="宋体"/>
          <w:color w:val="auto"/>
          <w:szCs w:val="21"/>
          <w:highlight w:val="none"/>
        </w:rPr>
        <w:t>；</w:t>
      </w:r>
    </w:p>
    <w:p w14:paraId="33E1427F">
      <w:pPr>
        <w:snapToGrid w:val="0"/>
        <w:spacing w:line="360" w:lineRule="exact"/>
        <w:ind w:firstLine="411" w:firstLineChars="196"/>
        <w:rPr>
          <w:rFonts w:hint="eastAsia" w:ascii="宋体" w:hAnsi="宋体"/>
          <w:color w:val="auto"/>
          <w:szCs w:val="21"/>
          <w:highlight w:val="none"/>
        </w:rPr>
      </w:pPr>
      <w:r>
        <w:rPr>
          <w:rFonts w:hint="eastAsia" w:ascii="宋体" w:hAnsi="宋体"/>
          <w:color w:val="auto"/>
          <w:szCs w:val="21"/>
          <w:highlight w:val="none"/>
        </w:rPr>
        <w:t>（2）资格证明文件不全的，或者不符合招标文件标明的资格要求的；</w:t>
      </w:r>
    </w:p>
    <w:p w14:paraId="33DC3BAA">
      <w:pPr>
        <w:snapToGrid w:val="0"/>
        <w:spacing w:line="360" w:lineRule="exact"/>
        <w:ind w:firstLine="411" w:firstLineChars="196"/>
        <w:rPr>
          <w:rFonts w:hint="eastAsia" w:ascii="宋体" w:hAnsi="宋体"/>
          <w:bCs/>
          <w:color w:val="auto"/>
          <w:kern w:val="0"/>
          <w:szCs w:val="21"/>
          <w:highlight w:val="none"/>
        </w:rPr>
      </w:pPr>
      <w:r>
        <w:rPr>
          <w:rFonts w:hint="eastAsia" w:ascii="宋体" w:hAnsi="宋体"/>
          <w:color w:val="auto"/>
          <w:szCs w:val="21"/>
          <w:highlight w:val="none"/>
        </w:rPr>
        <w:t>（3）</w:t>
      </w:r>
      <w:r>
        <w:rPr>
          <w:rFonts w:hint="eastAsia" w:ascii="宋体" w:hAnsi="宋体"/>
          <w:color w:val="auto"/>
          <w:spacing w:val="-4"/>
          <w:szCs w:val="21"/>
          <w:highlight w:val="none"/>
        </w:rPr>
        <w:t>投标文件无法定代表人（负责人）或其授权委托代理人签字，或未</w:t>
      </w:r>
      <w:r>
        <w:rPr>
          <w:rFonts w:hint="eastAsia" w:ascii="宋体" w:hAnsi="宋体"/>
          <w:bCs/>
          <w:color w:val="auto"/>
          <w:spacing w:val="-4"/>
          <w:kern w:val="0"/>
          <w:szCs w:val="21"/>
          <w:highlight w:val="none"/>
        </w:rPr>
        <w:t>提供法定代表人</w:t>
      </w:r>
      <w:r>
        <w:rPr>
          <w:rFonts w:hint="eastAsia" w:ascii="宋体" w:hAnsi="宋体"/>
          <w:color w:val="auto"/>
          <w:spacing w:val="-4"/>
          <w:szCs w:val="21"/>
          <w:highlight w:val="none"/>
        </w:rPr>
        <w:t>（负责人）</w:t>
      </w:r>
      <w:r>
        <w:rPr>
          <w:rFonts w:hint="eastAsia" w:ascii="宋体" w:hAnsi="宋体"/>
          <w:bCs/>
          <w:color w:val="auto"/>
          <w:spacing w:val="-4"/>
          <w:kern w:val="0"/>
          <w:szCs w:val="21"/>
          <w:highlight w:val="none"/>
        </w:rPr>
        <w:t>授权委托书、投标声明书或者填写内容不齐全的；</w:t>
      </w:r>
    </w:p>
    <w:p w14:paraId="7EB1E9CC">
      <w:pPr>
        <w:snapToGrid w:val="0"/>
        <w:spacing w:line="360" w:lineRule="exact"/>
        <w:ind w:firstLine="411" w:firstLineChars="196"/>
        <w:rPr>
          <w:rFonts w:hint="eastAsia" w:ascii="宋体" w:hAnsi="宋体"/>
          <w:color w:val="auto"/>
          <w:szCs w:val="21"/>
          <w:highlight w:val="none"/>
        </w:rPr>
      </w:pPr>
      <w:r>
        <w:rPr>
          <w:rFonts w:hint="eastAsia" w:ascii="宋体" w:hAnsi="宋体"/>
          <w:color w:val="auto"/>
          <w:szCs w:val="21"/>
          <w:highlight w:val="none"/>
        </w:rPr>
        <w:t>（4）投标代表人未能出具身份证明或与法定代表人</w:t>
      </w:r>
      <w:r>
        <w:rPr>
          <w:rFonts w:hint="eastAsia" w:ascii="宋体" w:hAnsi="宋体"/>
          <w:color w:val="auto"/>
          <w:spacing w:val="-4"/>
          <w:szCs w:val="21"/>
          <w:highlight w:val="none"/>
        </w:rPr>
        <w:t>（负责人）</w:t>
      </w:r>
      <w:r>
        <w:rPr>
          <w:rFonts w:hint="eastAsia" w:ascii="宋体" w:hAnsi="宋体"/>
          <w:color w:val="auto"/>
          <w:szCs w:val="21"/>
          <w:highlight w:val="none"/>
        </w:rPr>
        <w:t xml:space="preserve">授权委托人身份不符的； </w:t>
      </w:r>
    </w:p>
    <w:p w14:paraId="3F1EABBC">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w:t>
      </w:r>
      <w:r>
        <w:rPr>
          <w:rFonts w:hint="eastAsia" w:ascii="宋体" w:hAnsi="宋体" w:eastAsia="宋体" w:cs="Times New Roman"/>
          <w:snapToGrid w:val="0"/>
          <w:color w:val="auto"/>
          <w:kern w:val="2"/>
          <w:sz w:val="21"/>
          <w:szCs w:val="21"/>
          <w:highlight w:val="none"/>
          <w:lang w:val="en-US" w:eastAsia="zh-CN" w:bidi="ar-SA"/>
        </w:rPr>
        <w:t>5）</w:t>
      </w:r>
      <w:r>
        <w:rPr>
          <w:rFonts w:hint="eastAsia" w:ascii="宋体" w:hAnsi="宋体" w:eastAsia="宋体" w:cs="仿宋_GB2312"/>
          <w:color w:val="auto"/>
          <w:kern w:val="2"/>
          <w:sz w:val="21"/>
          <w:szCs w:val="21"/>
          <w:highlight w:val="none"/>
          <w:lang w:val="en-US" w:eastAsia="zh-CN" w:bidi="ar-SA"/>
        </w:rPr>
        <w:t>项目填写不齐全或者内容虚假的</w:t>
      </w:r>
      <w:r>
        <w:rPr>
          <w:rFonts w:hint="eastAsia" w:ascii="宋体" w:hAnsi="宋体" w:eastAsia="宋体" w:cs="Times New Roman"/>
          <w:color w:val="auto"/>
          <w:kern w:val="2"/>
          <w:sz w:val="21"/>
          <w:szCs w:val="21"/>
          <w:highlight w:val="none"/>
          <w:lang w:val="en-US" w:eastAsia="zh-CN" w:bidi="ar-SA"/>
        </w:rPr>
        <w:t>；</w:t>
      </w:r>
    </w:p>
    <w:p w14:paraId="6FC53DB7">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（6）</w:t>
      </w:r>
      <w:r>
        <w:rPr>
          <w:rFonts w:hint="eastAsia" w:ascii="宋体" w:hAnsi="宋体" w:eastAsia="宋体" w:cs="仿宋_GB2312"/>
          <w:color w:val="auto"/>
          <w:kern w:val="2"/>
          <w:sz w:val="21"/>
          <w:szCs w:val="21"/>
          <w:highlight w:val="none"/>
          <w:lang w:val="en-US" w:eastAsia="zh-CN" w:bidi="ar-SA"/>
        </w:rPr>
        <w:t>投标文件的实质性内容未使用中文表述、意思表述不明确、前后矛盾或者使用计量单位不符合招标文件要求的</w:t>
      </w:r>
      <w:r>
        <w:rPr>
          <w:rFonts w:hint="eastAsia" w:ascii="宋体" w:hAnsi="宋体" w:eastAsia="宋体" w:cs="Times New Roman"/>
          <w:color w:val="auto"/>
          <w:kern w:val="2"/>
          <w:sz w:val="21"/>
          <w:szCs w:val="21"/>
          <w:highlight w:val="none"/>
          <w:lang w:val="en-US" w:eastAsia="zh-CN" w:bidi="ar-SA"/>
        </w:rPr>
        <w:t>（经评标委员会认定并允许其当场更正的笔误除外）；</w:t>
      </w:r>
    </w:p>
    <w:p w14:paraId="2334860A">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（7）</w:t>
      </w:r>
      <w:r>
        <w:rPr>
          <w:rFonts w:hint="eastAsia" w:ascii="宋体" w:hAnsi="宋体" w:eastAsia="宋体" w:cs="Times New Roman"/>
          <w:color w:val="auto"/>
          <w:spacing w:val="-4"/>
          <w:kern w:val="2"/>
          <w:sz w:val="21"/>
          <w:szCs w:val="21"/>
          <w:highlight w:val="none"/>
          <w:lang w:val="en-US" w:eastAsia="zh-CN" w:bidi="ar-SA"/>
        </w:rPr>
        <w:t>未实质性响应招标文件要求或者投标文件有招标方不能接受的附加条件的；</w:t>
      </w:r>
    </w:p>
    <w:p w14:paraId="4CAF72C1">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（8）未按照招标文件的规定提交投标保证金的；（说明：评标时，评标委员会将以本采购代理财务室编制的《项目投标保证金到账信息表》作为评审参考依据）。</w:t>
      </w:r>
    </w:p>
    <w:p w14:paraId="23515814">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（9）法律、法规和招标文件规定的其他无效情形。</w:t>
      </w:r>
    </w:p>
    <w:p w14:paraId="05715402">
      <w:pPr>
        <w:widowControl w:val="0"/>
        <w:snapToGrid w:val="0"/>
        <w:spacing w:line="360" w:lineRule="exact"/>
        <w:ind w:firstLine="411" w:firstLineChars="196"/>
        <w:jc w:val="both"/>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2.在商务、技术评审时，如发现下列情形之一的，投标文件将被视为无效：</w:t>
      </w:r>
    </w:p>
    <w:p w14:paraId="542289F7">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w:t>
      </w:r>
      <w:r>
        <w:rPr>
          <w:rFonts w:hint="eastAsia" w:ascii="宋体" w:hAnsi="宋体" w:eastAsia="宋体" w:cs="Times New Roman"/>
          <w:snapToGrid w:val="0"/>
          <w:color w:val="auto"/>
          <w:kern w:val="2"/>
          <w:sz w:val="21"/>
          <w:szCs w:val="21"/>
          <w:highlight w:val="none"/>
          <w:lang w:val="en-US" w:eastAsia="zh-CN" w:bidi="ar-SA"/>
        </w:rPr>
        <w:t>1）投标有效期等商务条款不能满足招标文件要求的；</w:t>
      </w:r>
    </w:p>
    <w:p w14:paraId="61C7160B">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（2）未实质性响应招标文件要求或者投标文件含有采购人不能接受的附加条件的；</w:t>
      </w:r>
    </w:p>
    <w:p w14:paraId="73AF4A4D">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（3）未提供或未如实提供投标货物的技术参数，或者投标文件标明的响应或偏离与事实不符或虚假投标的；</w:t>
      </w:r>
    </w:p>
    <w:p w14:paraId="15240CAE">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w:t>
      </w:r>
      <w:r>
        <w:rPr>
          <w:rFonts w:hint="eastAsia" w:ascii="宋体" w:hAnsi="宋体" w:eastAsia="宋体" w:cs="Times New Roman"/>
          <w:snapToGrid w:val="0"/>
          <w:color w:val="auto"/>
          <w:kern w:val="2"/>
          <w:sz w:val="21"/>
          <w:szCs w:val="21"/>
          <w:highlight w:val="none"/>
          <w:lang w:val="en-US" w:eastAsia="zh-CN" w:bidi="ar-SA"/>
        </w:rPr>
        <w:t>明显不符合招标文件要求的规格型号、质量标准，或者与招标文件中标“▲”的技术指标、主要功能项目发生实质性负偏离的；</w:t>
      </w:r>
    </w:p>
    <w:p w14:paraId="5CAA829D">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snapToGrid w:val="0"/>
          <w:color w:val="auto"/>
          <w:kern w:val="2"/>
          <w:sz w:val="21"/>
          <w:szCs w:val="21"/>
          <w:highlight w:val="none"/>
          <w:lang w:val="en-US" w:eastAsia="zh-CN" w:bidi="ar-SA"/>
        </w:rPr>
        <w:t>（5）</w:t>
      </w:r>
      <w:r>
        <w:rPr>
          <w:rFonts w:hint="eastAsia" w:ascii="宋体" w:hAnsi="宋体" w:eastAsia="宋体" w:cs="Times New Roman"/>
          <w:color w:val="auto"/>
          <w:kern w:val="2"/>
          <w:sz w:val="21"/>
          <w:szCs w:val="21"/>
          <w:highlight w:val="none"/>
          <w:lang w:val="en-US" w:eastAsia="zh-CN" w:bidi="ar-SA"/>
        </w:rPr>
        <w:t>允许偏离的商务、技术、性能指标或者辅助功能项目发生负偏离超出允许的范围以上的</w:t>
      </w:r>
      <w:r>
        <w:rPr>
          <w:rFonts w:hint="eastAsia" w:ascii="宋体" w:hAnsi="宋体" w:eastAsia="宋体" w:cs="Times New Roman"/>
          <w:color w:val="auto"/>
          <w:spacing w:val="-4"/>
          <w:kern w:val="2"/>
          <w:sz w:val="21"/>
          <w:szCs w:val="21"/>
          <w:highlight w:val="none"/>
          <w:lang w:val="en-US" w:eastAsia="zh-CN" w:bidi="ar-SA"/>
        </w:rPr>
        <w:t>；</w:t>
      </w:r>
    </w:p>
    <w:p w14:paraId="4C3D681E">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snapToGrid w:val="0"/>
          <w:color w:val="auto"/>
          <w:kern w:val="2"/>
          <w:sz w:val="21"/>
          <w:szCs w:val="21"/>
          <w:highlight w:val="none"/>
          <w:lang w:val="en-US" w:eastAsia="zh-CN" w:bidi="ar-SA"/>
        </w:rPr>
        <w:t>（6）投标技术方案不明确，存在一个或一个以上备选（替代）投标方案的；</w:t>
      </w:r>
    </w:p>
    <w:p w14:paraId="27B6CCF9">
      <w:pPr>
        <w:widowControl w:val="0"/>
        <w:snapToGrid w:val="0"/>
        <w:spacing w:line="360" w:lineRule="exact"/>
        <w:ind w:firstLine="411" w:firstLineChars="196"/>
        <w:jc w:val="both"/>
        <w:rPr>
          <w:rFonts w:hint="eastAsia" w:ascii="宋体" w:hAnsi="宋体" w:eastAsia="宋体" w:cs="Times New Roman"/>
          <w:snapToGrid w:val="0"/>
          <w:color w:val="auto"/>
          <w:kern w:val="2"/>
          <w:sz w:val="21"/>
          <w:szCs w:val="21"/>
          <w:highlight w:val="none"/>
          <w:lang w:val="en-US" w:eastAsia="zh-CN" w:bidi="ar-SA"/>
        </w:rPr>
      </w:pPr>
      <w:r>
        <w:rPr>
          <w:rFonts w:hint="eastAsia" w:ascii="宋体" w:hAnsi="宋体" w:eastAsia="宋体" w:cs="Times New Roman"/>
          <w:snapToGrid w:val="0"/>
          <w:color w:val="auto"/>
          <w:kern w:val="2"/>
          <w:sz w:val="21"/>
          <w:szCs w:val="21"/>
          <w:highlight w:val="none"/>
          <w:lang w:val="en-US" w:eastAsia="zh-CN" w:bidi="ar-SA"/>
        </w:rPr>
        <w:t>（7）与其他参加本次投标供应商的投标文件（技术文件）的文字表述内容差错相同二处以上的。</w:t>
      </w:r>
    </w:p>
    <w:p w14:paraId="0F8307F9">
      <w:pPr>
        <w:widowControl w:val="0"/>
        <w:snapToGrid w:val="0"/>
        <w:spacing w:line="360" w:lineRule="exact"/>
        <w:ind w:firstLine="411" w:firstLineChars="196"/>
        <w:jc w:val="both"/>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3.在报价评审时，如发现下列情形之一的，投标文件将被视为无效：</w:t>
      </w:r>
    </w:p>
    <w:p w14:paraId="4FE0E0B3">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（1）未采用人民币报价或者未按照招标文件标明的币种报价的；</w:t>
      </w:r>
    </w:p>
    <w:p w14:paraId="14428FAA">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（2）报价超出最高限价，或者超出采购预算金额，采购人不能支付的；</w:t>
      </w:r>
    </w:p>
    <w:p w14:paraId="271EE388">
      <w:pPr>
        <w:widowControl w:val="0"/>
        <w:snapToGrid w:val="0"/>
        <w:spacing w:line="360" w:lineRule="exact"/>
        <w:ind w:firstLine="420" w:firstLineChars="20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（3）投标报价具有选择性，或者开标价格与投标文件承诺的优惠（折扣）价格不一致的；</w:t>
      </w:r>
    </w:p>
    <w:p w14:paraId="43F484AE">
      <w:pPr>
        <w:widowControl w:val="0"/>
        <w:snapToGrid w:val="0"/>
        <w:spacing w:line="37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（4）评审委员会启动异常低价投标审查</w:t>
      </w:r>
      <w:r>
        <w:rPr>
          <w:rFonts w:hint="eastAsia" w:ascii="宋体" w:hAnsi="宋体" w:eastAsia="宋体" w:cs="宋体"/>
          <w:color w:val="auto"/>
          <w:spacing w:val="-4"/>
          <w:kern w:val="2"/>
          <w:sz w:val="21"/>
          <w:szCs w:val="21"/>
          <w:highlight w:val="none"/>
          <w:lang w:val="en-US" w:eastAsia="zh-CN" w:bidi="ar-SA"/>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368B03B">
      <w:pPr>
        <w:widowControl w:val="0"/>
        <w:snapToGrid w:val="0"/>
        <w:spacing w:line="360" w:lineRule="exact"/>
        <w:ind w:firstLine="411" w:firstLineChars="196"/>
        <w:jc w:val="both"/>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4.有下列情形之一的视为投标人相互串通投标，投标文件将被视为无效:</w:t>
      </w:r>
    </w:p>
    <w:p w14:paraId="066E89CE">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（1）不同投标人的投标文件由同一单位或者个人编制；或不同投标人报名的IP地址一致的；</w:t>
      </w:r>
    </w:p>
    <w:p w14:paraId="642A6E4C">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（2）不同投标人委托同一单位或者个人办理投标事宜；</w:t>
      </w:r>
    </w:p>
    <w:p w14:paraId="6854354E">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（3）不同投标人的投标文件载明的项目管理成员或者联系人员为同一人；</w:t>
      </w:r>
    </w:p>
    <w:p w14:paraId="1535AA9E">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（4）不同投标人的投标文件异常一致或投标报价呈规律性差异；</w:t>
      </w:r>
    </w:p>
    <w:p w14:paraId="0F5F334D">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（5）不同投标人的投标文件相互混装；</w:t>
      </w:r>
    </w:p>
    <w:p w14:paraId="7CAEC702">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（6）不同投标人的投标保证金从同一个单位或者个人账户转出。</w:t>
      </w:r>
    </w:p>
    <w:p w14:paraId="38F8748A">
      <w:pPr>
        <w:widowControl w:val="0"/>
        <w:snapToGrid w:val="0"/>
        <w:spacing w:line="360" w:lineRule="exact"/>
        <w:ind w:firstLine="411" w:firstLineChars="196"/>
        <w:jc w:val="both"/>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5.其他投标无效的情形：</w:t>
      </w:r>
    </w:p>
    <w:p w14:paraId="6445251F">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（1）投标文件未按招标文件要求签署或CA电子签章的；</w:t>
      </w:r>
    </w:p>
    <w:p w14:paraId="28B8AC94">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（2）供应商提交两份或两份以上内容不同的投标文件；</w:t>
      </w:r>
    </w:p>
    <w:p w14:paraId="447D932A">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（3）投标供应商在线制作投标文件时填写的报价金额与解密后“电子加密投标文件”中《开标一览表》填写的金额不一致并拒绝按招标文件要求接受调整的；</w:t>
      </w:r>
    </w:p>
    <w:p w14:paraId="7BCCFE67">
      <w:pPr>
        <w:widowControl w:val="0"/>
        <w:snapToGrid w:val="0"/>
        <w:spacing w:line="360" w:lineRule="exact"/>
        <w:ind w:firstLine="411" w:firstLineChars="196"/>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（4）法律、法规和招标文件规定的其他无效情形（或出现重大偏差）。</w:t>
      </w:r>
    </w:p>
    <w:p w14:paraId="6D891D71">
      <w:pPr>
        <w:widowControl w:val="0"/>
        <w:snapToGrid w:val="0"/>
        <w:spacing w:line="360" w:lineRule="exact"/>
        <w:ind w:firstLine="411" w:firstLineChars="196"/>
        <w:jc w:val="both"/>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6.被拒绝的投标文件为无效。</w:t>
      </w:r>
    </w:p>
    <w:p w14:paraId="43DCC898">
      <w:pPr>
        <w:spacing w:line="360" w:lineRule="exact"/>
        <w:rPr>
          <w:rFonts w:hint="eastAsia"/>
          <w:color w:val="auto"/>
          <w:highlight w:val="none"/>
        </w:rPr>
      </w:pPr>
      <w:bookmarkStart w:id="87" w:name="_Toc254970685"/>
      <w:bookmarkStart w:id="88" w:name="_Toc254970544"/>
    </w:p>
    <w:p w14:paraId="57871B34">
      <w:pPr>
        <w:spacing w:line="360" w:lineRule="exact"/>
        <w:jc w:val="center"/>
        <w:rPr>
          <w:rFonts w:hint="eastAsia"/>
          <w:b/>
          <w:color w:val="auto"/>
          <w:highlight w:val="none"/>
        </w:rPr>
      </w:pPr>
      <w:r>
        <w:rPr>
          <w:rFonts w:hint="eastAsia"/>
          <w:b/>
          <w:color w:val="auto"/>
          <w:highlight w:val="none"/>
        </w:rPr>
        <w:t>四、开  标</w:t>
      </w:r>
      <w:bookmarkEnd w:id="87"/>
      <w:bookmarkEnd w:id="88"/>
    </w:p>
    <w:p w14:paraId="17446A0B">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（一）开标准备</w:t>
      </w:r>
    </w:p>
    <w:p w14:paraId="0ADEF167">
      <w:pPr>
        <w:spacing w:line="360" w:lineRule="exact"/>
        <w:ind w:firstLine="435"/>
        <w:rPr>
          <w:rFonts w:hint="eastAsia"/>
          <w:color w:val="auto"/>
          <w:highlight w:val="none"/>
        </w:rPr>
      </w:pPr>
      <w:r>
        <w:rPr>
          <w:rFonts w:hint="eastAsia"/>
          <w:color w:val="auto"/>
          <w:highlight w:val="none"/>
        </w:rPr>
        <w:t>采购代理机构将在规定的时间和地点通过“</w:t>
      </w:r>
      <w:r>
        <w:rPr>
          <w:rFonts w:hint="eastAsia" w:ascii="宋体" w:hAnsi="宋体"/>
          <w:color w:val="auto"/>
          <w:highlight w:val="none"/>
        </w:rPr>
        <w:t>广西政府采购云平台</w:t>
      </w:r>
      <w:r>
        <w:rPr>
          <w:rFonts w:hint="eastAsia"/>
          <w:color w:val="auto"/>
          <w:highlight w:val="none"/>
        </w:rPr>
        <w:t>”组织开标、开启投标文件，所有供应商均应当准时在线参加。投标供应商因未在线参加开标而导致投标文件无法按时解密等一切后果由供应商自行承担。</w:t>
      </w:r>
    </w:p>
    <w:p w14:paraId="4395F7D4">
      <w:pPr>
        <w:tabs>
          <w:tab w:val="left" w:pos="2835"/>
          <w:tab w:val="left" w:pos="3261"/>
          <w:tab w:val="left" w:pos="3969"/>
        </w:tabs>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（二）开标程序</w:t>
      </w:r>
    </w:p>
    <w:p w14:paraId="59568F03">
      <w:pPr>
        <w:spacing w:line="360" w:lineRule="exact"/>
        <w:ind w:firstLine="435"/>
        <w:rPr>
          <w:rFonts w:hint="eastAsia" w:ascii="宋体" w:hAnsi="宋体"/>
          <w:color w:val="auto"/>
          <w:highlight w:val="none"/>
        </w:rPr>
      </w:pPr>
      <w:bookmarkStart w:id="89" w:name="_Toc254970686"/>
      <w:bookmarkStart w:id="90" w:name="_Toc254970545"/>
      <w:r>
        <w:rPr>
          <w:rFonts w:hint="eastAsia" w:ascii="宋体" w:hAnsi="宋体"/>
          <w:color w:val="auto"/>
          <w:highlight w:val="none"/>
        </w:rPr>
        <w:t>1.电子开标会由本采购代理机构主持。</w:t>
      </w:r>
    </w:p>
    <w:p w14:paraId="2C3D3D64">
      <w:pPr>
        <w:spacing w:line="360" w:lineRule="exact"/>
        <w:ind w:firstLine="435"/>
        <w:rPr>
          <w:rFonts w:hint="eastAsia" w:ascii="宋体" w:hAnsi="宋体"/>
          <w:color w:val="auto"/>
          <w:highlight w:val="none"/>
        </w:rPr>
      </w:pPr>
      <w:r>
        <w:rPr>
          <w:rFonts w:hint="eastAsia" w:ascii="宋体" w:hAnsi="宋体"/>
          <w:color w:val="auto"/>
          <w:highlight w:val="none"/>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4E804FC4">
      <w:pPr>
        <w:spacing w:line="360" w:lineRule="exact"/>
        <w:ind w:firstLine="435"/>
        <w:rPr>
          <w:rFonts w:hint="eastAsia" w:ascii="宋体" w:hAnsi="宋体"/>
          <w:color w:val="auto"/>
          <w:highlight w:val="none"/>
        </w:rPr>
      </w:pPr>
      <w:r>
        <w:rPr>
          <w:rFonts w:hint="eastAsia" w:ascii="宋体" w:hAnsi="宋体"/>
          <w:color w:val="auto"/>
          <w:highlight w:val="none"/>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3AAD031E">
      <w:pPr>
        <w:spacing w:line="360" w:lineRule="exact"/>
        <w:ind w:firstLine="435"/>
        <w:rPr>
          <w:rFonts w:hint="eastAsia" w:ascii="宋体" w:hAnsi="宋体"/>
          <w:color w:val="auto"/>
          <w:highlight w:val="none"/>
        </w:rPr>
      </w:pPr>
      <w:r>
        <w:rPr>
          <w:rFonts w:hint="eastAsia" w:ascii="宋体" w:hAnsi="宋体"/>
          <w:color w:val="auto"/>
          <w:highlight w:val="none"/>
        </w:rPr>
        <w:t>4.进入资格文件审查环节，采购人、采购代理机构根据双方签订的代理协议约定，依法对投标供应商的资格进行审查。</w:t>
      </w:r>
    </w:p>
    <w:p w14:paraId="14EB961B">
      <w:pPr>
        <w:spacing w:line="360" w:lineRule="exact"/>
        <w:ind w:firstLine="435"/>
        <w:rPr>
          <w:rFonts w:hint="eastAsia" w:ascii="宋体" w:hAnsi="宋体"/>
          <w:color w:val="auto"/>
          <w:highlight w:val="none"/>
        </w:rPr>
      </w:pPr>
      <w:r>
        <w:rPr>
          <w:rFonts w:hint="eastAsia" w:ascii="宋体" w:hAnsi="宋体"/>
          <w:color w:val="auto"/>
          <w:highlight w:val="none"/>
        </w:rPr>
        <w:t>5.开启资格审查通过的投标供应商的商务技术文件进入符合性审查及商务技术评审。</w:t>
      </w:r>
    </w:p>
    <w:p w14:paraId="6B6D9E98">
      <w:pPr>
        <w:spacing w:line="360" w:lineRule="exact"/>
        <w:ind w:firstLine="435"/>
        <w:rPr>
          <w:rFonts w:hint="eastAsia" w:ascii="宋体" w:hAnsi="宋体"/>
          <w:color w:val="auto"/>
          <w:highlight w:val="none"/>
        </w:rPr>
      </w:pPr>
      <w:r>
        <w:rPr>
          <w:rFonts w:hint="eastAsia" w:ascii="宋体" w:hAnsi="宋体"/>
          <w:color w:val="auto"/>
          <w:highlight w:val="none"/>
        </w:rPr>
        <w:t>注：①当整个招标项目的投标人不足3家的不开标，本采购代理机构将按政府采购管理的有关规定处理。</w:t>
      </w:r>
    </w:p>
    <w:p w14:paraId="23D6EA12">
      <w:pPr>
        <w:spacing w:line="360" w:lineRule="exact"/>
        <w:ind w:firstLine="435"/>
        <w:rPr>
          <w:rFonts w:hint="eastAsia" w:ascii="宋体" w:hAnsi="宋体"/>
          <w:color w:val="auto"/>
          <w:highlight w:val="none"/>
        </w:rPr>
      </w:pPr>
      <w:r>
        <w:rPr>
          <w:rFonts w:hint="eastAsia" w:ascii="宋体" w:hAnsi="宋体"/>
          <w:color w:val="auto"/>
          <w:highlight w:val="none"/>
        </w:rPr>
        <w:t>②开标后，某分标投标人不足3家的，本采购代理机构将按政府采购管理的有关规定处理。</w:t>
      </w:r>
    </w:p>
    <w:p w14:paraId="15F9FF9F">
      <w:pPr>
        <w:spacing w:line="360" w:lineRule="exact"/>
        <w:ind w:firstLine="435"/>
        <w:rPr>
          <w:rFonts w:hint="eastAsia" w:ascii="宋体" w:hAnsi="宋体"/>
          <w:b/>
          <w:color w:val="auto"/>
          <w:highlight w:val="none"/>
        </w:rPr>
      </w:pPr>
      <w:r>
        <w:rPr>
          <w:rFonts w:hint="eastAsia" w:ascii="宋体" w:hAnsi="宋体"/>
          <w:b/>
          <w:color w:val="auto"/>
          <w:highlight w:val="none"/>
        </w:rPr>
        <w:t>特别说明：如遇“广西政府采购云平台”电子化开标或评审程序调整的，按调整后程序执行。</w:t>
      </w:r>
    </w:p>
    <w:p w14:paraId="33E1425C">
      <w:pPr>
        <w:spacing w:line="360" w:lineRule="exact"/>
        <w:rPr>
          <w:rFonts w:hint="eastAsia"/>
          <w:color w:val="auto"/>
          <w:highlight w:val="none"/>
        </w:rPr>
      </w:pPr>
    </w:p>
    <w:p w14:paraId="7CC85F72">
      <w:pPr>
        <w:spacing w:line="360" w:lineRule="exact"/>
        <w:jc w:val="center"/>
        <w:rPr>
          <w:rFonts w:hint="eastAsia"/>
          <w:b/>
          <w:color w:val="auto"/>
          <w:highlight w:val="none"/>
        </w:rPr>
      </w:pPr>
      <w:r>
        <w:rPr>
          <w:rFonts w:hint="eastAsia"/>
          <w:b/>
          <w:color w:val="auto"/>
          <w:highlight w:val="none"/>
        </w:rPr>
        <w:t>五、资格审查</w:t>
      </w:r>
    </w:p>
    <w:p w14:paraId="15B0ED4E">
      <w:pPr>
        <w:spacing w:line="360" w:lineRule="exact"/>
        <w:ind w:left="210" w:leftChars="100" w:firstLine="420" w:firstLineChars="200"/>
        <w:jc w:val="left"/>
        <w:rPr>
          <w:rFonts w:hint="eastAsia" w:ascii="宋体" w:hAnsi="宋体"/>
          <w:color w:val="auto"/>
          <w:highlight w:val="none"/>
        </w:rPr>
      </w:pPr>
      <w:r>
        <w:rPr>
          <w:rFonts w:hint="eastAsia" w:ascii="宋体" w:hAnsi="宋体"/>
          <w:color w:val="auto"/>
          <w:highlight w:val="none"/>
        </w:rPr>
        <w:t>采购人、采购代理机构根据双方签订的代理协议约定，依法对投标人的资格进行审查。合格投标人不足3家的，不得评标。</w:t>
      </w:r>
    </w:p>
    <w:p w14:paraId="2BDD6135">
      <w:pPr>
        <w:spacing w:line="360" w:lineRule="exact"/>
        <w:ind w:left="210" w:leftChars="100" w:firstLine="420" w:firstLineChars="200"/>
        <w:jc w:val="left"/>
        <w:rPr>
          <w:rFonts w:hint="eastAsia"/>
          <w:b/>
          <w:color w:val="auto"/>
          <w:highlight w:val="none"/>
        </w:rPr>
      </w:pPr>
    </w:p>
    <w:p w14:paraId="63667EFB">
      <w:pPr>
        <w:spacing w:line="360" w:lineRule="exact"/>
        <w:jc w:val="center"/>
        <w:rPr>
          <w:rFonts w:hint="eastAsia"/>
          <w:b/>
          <w:color w:val="auto"/>
          <w:highlight w:val="none"/>
        </w:rPr>
      </w:pPr>
      <w:r>
        <w:rPr>
          <w:rFonts w:hint="eastAsia"/>
          <w:b/>
          <w:color w:val="auto"/>
          <w:highlight w:val="none"/>
        </w:rPr>
        <w:t>六、评  标</w:t>
      </w:r>
      <w:bookmarkEnd w:id="89"/>
      <w:bookmarkEnd w:id="90"/>
    </w:p>
    <w:p w14:paraId="4A5982CF">
      <w:pPr>
        <w:spacing w:line="360" w:lineRule="exact"/>
        <w:jc w:val="center"/>
        <w:rPr>
          <w:rFonts w:hint="eastAsia"/>
          <w:b/>
          <w:color w:val="auto"/>
          <w:highlight w:val="none"/>
        </w:rPr>
      </w:pPr>
    </w:p>
    <w:p w14:paraId="72FC7E4E">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（一）组建评标委员会</w:t>
      </w:r>
    </w:p>
    <w:p w14:paraId="2AC67A26">
      <w:pPr>
        <w:spacing w:line="360" w:lineRule="exact"/>
        <w:rPr>
          <w:rFonts w:hint="eastAsia"/>
          <w:color w:val="auto"/>
          <w:highlight w:val="none"/>
        </w:rPr>
      </w:pPr>
      <w:r>
        <w:rPr>
          <w:rFonts w:hint="eastAsia"/>
          <w:color w:val="auto"/>
          <w:highlight w:val="none"/>
        </w:rPr>
        <w:t xml:space="preserve">    本招标采购项目的评标委员会由采购人代表和</w:t>
      </w:r>
      <w:r>
        <w:rPr>
          <w:color w:val="auto"/>
          <w:spacing w:val="-4"/>
          <w:highlight w:val="none"/>
        </w:rPr>
        <w:t>评审专家</w:t>
      </w:r>
      <w:r>
        <w:rPr>
          <w:rFonts w:hint="eastAsia"/>
          <w:color w:val="auto"/>
          <w:highlight w:val="none"/>
        </w:rPr>
        <w:t>组成，成员人数应当为五人以上单数。其中</w:t>
      </w:r>
      <w:r>
        <w:rPr>
          <w:color w:val="auto"/>
          <w:spacing w:val="-4"/>
          <w:highlight w:val="none"/>
        </w:rPr>
        <w:t>评审专家</w:t>
      </w:r>
      <w:r>
        <w:rPr>
          <w:rFonts w:hint="eastAsia"/>
          <w:color w:val="auto"/>
          <w:highlight w:val="none"/>
        </w:rPr>
        <w:t>不得少于成员总数的三分之二。</w:t>
      </w:r>
    </w:p>
    <w:p w14:paraId="1452EAB4">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（二）评标的方式</w:t>
      </w:r>
    </w:p>
    <w:p w14:paraId="71A96642">
      <w:pPr>
        <w:spacing w:line="360" w:lineRule="exact"/>
        <w:rPr>
          <w:rFonts w:hint="eastAsia"/>
          <w:color w:val="auto"/>
          <w:highlight w:val="none"/>
        </w:rPr>
      </w:pPr>
      <w:r>
        <w:rPr>
          <w:rFonts w:hint="eastAsia"/>
          <w:color w:val="auto"/>
          <w:highlight w:val="none"/>
        </w:rPr>
        <w:t xml:space="preserve">    本项目采用不公开方式评标，评标的依据为招标文件和投标文件。</w:t>
      </w:r>
    </w:p>
    <w:p w14:paraId="7EBF3D1A">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（三）评标程序</w:t>
      </w:r>
    </w:p>
    <w:p w14:paraId="2F52FCC4">
      <w:pPr>
        <w:snapToGrid w:val="0"/>
        <w:spacing w:line="360" w:lineRule="exact"/>
        <w:ind w:firstLine="420" w:firstLineChars="200"/>
        <w:rPr>
          <w:rFonts w:hint="eastAsia" w:ascii="宋体"/>
          <w:b/>
          <w:bCs/>
          <w:color w:val="auto"/>
          <w:szCs w:val="21"/>
          <w:highlight w:val="none"/>
        </w:rPr>
      </w:pPr>
      <w:r>
        <w:rPr>
          <w:rFonts w:hint="eastAsia"/>
          <w:color w:val="auto"/>
          <w:highlight w:val="none"/>
        </w:rPr>
        <w:t xml:space="preserve">  </w:t>
      </w:r>
      <w:r>
        <w:rPr>
          <w:rFonts w:hint="eastAsia" w:ascii="宋体"/>
          <w:b/>
          <w:bCs/>
          <w:color w:val="auto"/>
          <w:szCs w:val="21"/>
          <w:highlight w:val="none"/>
        </w:rPr>
        <w:t>实质审查与比较</w:t>
      </w:r>
    </w:p>
    <w:p w14:paraId="502B7DFE">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（1）评标委员会审查、评价投标文件是否符合招标文件的商务、技术等实质性要求。</w:t>
      </w:r>
    </w:p>
    <w:p w14:paraId="6C2A2EBD">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（2）评标委员会对投标文件进行评价,如有疑问,将以电子询标函的形式要求投标人在线对投标文件有关事项作出澄清或者说明。投标人向评标委员会澄清或者说明有关问题,并最终以盖章的电子文件进行回复。</w:t>
      </w:r>
    </w:p>
    <w:p w14:paraId="3DE80141">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投标人代表超过规定时间或者拒绝澄清或者澄清的内容改变了投标文件的实质性内容的，评标委员会有权视该投标文件无效。</w:t>
      </w:r>
    </w:p>
    <w:p w14:paraId="6A48664A">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（3）各投标人的技术得分为所有评委的有效评分的算术平均数，由指定专人进行计算复核。</w:t>
      </w:r>
    </w:p>
    <w:p w14:paraId="3AF2C785">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（4）采购代理机构工作人员协助评标委员会根据本项目的评分标准计算各投标人的商务报价得分。</w:t>
      </w:r>
    </w:p>
    <w:p w14:paraId="7A9E0230">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5）评标委员会完成评标后,由广西政府采购云平台系统对各部分得分汇总,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16737ED">
      <w:pPr>
        <w:snapToGrid w:val="0"/>
        <w:spacing w:line="360" w:lineRule="exact"/>
        <w:ind w:firstLine="420" w:firstLineChars="200"/>
        <w:rPr>
          <w:rFonts w:hint="eastAsia" w:ascii="宋体"/>
          <w:b/>
          <w:color w:val="auto"/>
          <w:szCs w:val="21"/>
          <w:highlight w:val="none"/>
        </w:rPr>
      </w:pPr>
      <w:r>
        <w:rPr>
          <w:rFonts w:hint="eastAsia" w:ascii="宋体"/>
          <w:b/>
          <w:color w:val="auto"/>
          <w:szCs w:val="21"/>
          <w:highlight w:val="none"/>
        </w:rPr>
        <w:t>（四）澄清问题的形式</w:t>
      </w:r>
    </w:p>
    <w:p w14:paraId="3BE73DDC">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399B395A">
      <w:pPr>
        <w:snapToGrid w:val="0"/>
        <w:spacing w:line="360" w:lineRule="exact"/>
        <w:ind w:firstLine="420" w:firstLineChars="200"/>
        <w:rPr>
          <w:rFonts w:hint="eastAsia"/>
          <w:b/>
          <w:color w:val="auto"/>
          <w:highlight w:val="none"/>
        </w:rPr>
      </w:pPr>
      <w:r>
        <w:rPr>
          <w:rFonts w:hint="eastAsia"/>
          <w:b/>
          <w:color w:val="auto"/>
          <w:highlight w:val="none"/>
        </w:rPr>
        <w:t>（五）错误修正</w:t>
      </w:r>
    </w:p>
    <w:p w14:paraId="311155F2">
      <w:pPr>
        <w:widowControl w:val="0"/>
        <w:snapToGrid w:val="0"/>
        <w:spacing w:line="360" w:lineRule="exact"/>
        <w:ind w:firstLine="420" w:firstLineChars="200"/>
        <w:jc w:val="both"/>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投标文件如果出现计算或表达上的错误，修正错误的原则如下：</w:t>
      </w:r>
    </w:p>
    <w:p w14:paraId="7E4F32B7">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1.投标文件中开标一览表（报价表）内容与投标文件中相应内容不一致的，以开标一览表（报价表）为准；</w:t>
      </w:r>
    </w:p>
    <w:p w14:paraId="419A6E63">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2.大写金额和小写金额不一致的，以大写金额为准；</w:t>
      </w:r>
    </w:p>
    <w:p w14:paraId="66F87FC1">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3.单价金额小数点或者百分比有明显错位的，以开标一览表的总价为准，并修改单价；</w:t>
      </w:r>
    </w:p>
    <w:p w14:paraId="7A3568FC">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4.总价金额与按单价汇总金额不一致的，以单价金额计算结果为准。</w:t>
      </w:r>
    </w:p>
    <w:p w14:paraId="47947319">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5.对不同文字文本投标文件的解释发生异议的，以中文文本为准。</w:t>
      </w:r>
    </w:p>
    <w:p w14:paraId="0E10C464">
      <w:pPr>
        <w:widowControl w:val="0"/>
        <w:snapToGrid w:val="0"/>
        <w:spacing w:line="360" w:lineRule="exact"/>
        <w:ind w:firstLine="420" w:firstLineChars="200"/>
        <w:jc w:val="both"/>
        <w:rPr>
          <w:rFonts w:hint="eastAsia"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同时出现两种以上不一致的，按照前款规定的顺序修正。</w:t>
      </w:r>
    </w:p>
    <w:p w14:paraId="7F411159">
      <w:pPr>
        <w:widowControl w:val="0"/>
        <w:snapToGrid w:val="0"/>
        <w:spacing w:line="360" w:lineRule="exact"/>
        <w:ind w:firstLine="420" w:firstLineChars="200"/>
        <w:jc w:val="both"/>
        <w:rPr>
          <w:rFonts w:hint="eastAsia" w:ascii="宋体" w:hAnsi="Times New Roman" w:eastAsia="宋体" w:cs="Times New Roman"/>
          <w:b/>
          <w:bCs/>
          <w:color w:val="auto"/>
          <w:kern w:val="2"/>
          <w:sz w:val="21"/>
          <w:szCs w:val="21"/>
          <w:highlight w:val="none"/>
          <w:lang w:val="en-US" w:eastAsia="zh-CN" w:bidi="ar-SA"/>
        </w:rPr>
      </w:pPr>
      <w:r>
        <w:rPr>
          <w:rFonts w:hint="eastAsia" w:ascii="宋体" w:hAnsi="宋体" w:eastAsia="宋体" w:cs="Times New Roman"/>
          <w:b/>
          <w:color w:val="auto"/>
          <w:kern w:val="2"/>
          <w:sz w:val="21"/>
          <w:szCs w:val="24"/>
          <w:highlight w:val="none"/>
          <w:lang w:val="en-US" w:eastAsia="zh-CN" w:bidi="ar-SA"/>
        </w:rPr>
        <w:t>按上述修正错误的</w:t>
      </w:r>
      <w:r>
        <w:rPr>
          <w:rFonts w:hint="eastAsia" w:ascii="Times New Roman" w:hAnsi="Times New Roman" w:eastAsia="宋体" w:cs="Times New Roman"/>
          <w:b/>
          <w:color w:val="auto"/>
          <w:kern w:val="2"/>
          <w:sz w:val="21"/>
          <w:szCs w:val="24"/>
          <w:highlight w:val="none"/>
          <w:lang w:val="en-US" w:eastAsia="zh-CN" w:bidi="ar-SA"/>
        </w:rPr>
        <w:t>原则及方法调整或修正投标文件的投标报价，投标人须在线同意并签字确认，调整后的投标报价对投标人具有约束作用。如果投标人不接受修正后的报价，则其投标将作为无效投标处理。</w:t>
      </w:r>
    </w:p>
    <w:p w14:paraId="5E00BFF2">
      <w:pPr>
        <w:widowControl w:val="0"/>
        <w:snapToGrid w:val="0"/>
        <w:spacing w:line="360" w:lineRule="exact"/>
        <w:ind w:firstLine="420" w:firstLineChars="200"/>
        <w:jc w:val="both"/>
        <w:rPr>
          <w:rFonts w:hint="eastAsia" w:ascii="宋体" w:hAnsi="宋体"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kern w:val="2"/>
          <w:sz w:val="21"/>
          <w:szCs w:val="21"/>
          <w:highlight w:val="none"/>
          <w:lang w:val="en-US" w:eastAsia="zh-CN" w:bidi="ar-SA"/>
        </w:rPr>
        <w:t>（六）</w:t>
      </w:r>
      <w:r>
        <w:rPr>
          <w:rFonts w:hint="eastAsia" w:ascii="宋体" w:hAnsi="宋体" w:eastAsia="宋体" w:cs="Times New Roman"/>
          <w:b/>
          <w:bCs/>
          <w:color w:val="auto"/>
          <w:kern w:val="2"/>
          <w:sz w:val="21"/>
          <w:szCs w:val="21"/>
          <w:highlight w:val="none"/>
          <w:lang w:val="en-US" w:eastAsia="zh-CN" w:bidi="ar-SA"/>
        </w:rPr>
        <w:t>评委表决</w:t>
      </w:r>
    </w:p>
    <w:p w14:paraId="4456E4A1">
      <w:pPr>
        <w:widowControl w:val="0"/>
        <w:snapToGrid w:val="0"/>
        <w:spacing w:line="360" w:lineRule="exact"/>
        <w:ind w:firstLine="420" w:firstLineChars="200"/>
        <w:jc w:val="both"/>
        <w:rPr>
          <w:rFonts w:hint="eastAsia" w:ascii="宋体" w:hAnsi="Times New Roman"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在评标过程中出现法律法规和招标文件均没有明确规定的情形时，由评标委员会现场协商解决，协商不一致的，由全体评委投票表决，以得票率二分之一以上专家的意见为准。</w:t>
      </w:r>
    </w:p>
    <w:p w14:paraId="03709B7E">
      <w:pPr>
        <w:widowControl w:val="0"/>
        <w:snapToGrid w:val="0"/>
        <w:spacing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（七）评标原则和评标方法</w:t>
      </w:r>
    </w:p>
    <w:p w14:paraId="5CA53C99">
      <w:pPr>
        <w:widowControl w:val="0"/>
        <w:snapToGrid w:val="0"/>
        <w:spacing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64BF4169">
      <w:pPr>
        <w:widowControl w:val="0"/>
        <w:snapToGrid w:val="0"/>
        <w:spacing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2.评标方法。本项目评标方法是</w:t>
      </w:r>
      <w:r>
        <w:rPr>
          <w:rFonts w:hint="eastAsia" w:ascii="宋体" w:hAnsi="Times New Roman" w:eastAsia="宋体" w:cs="Times New Roman"/>
          <w:b/>
          <w:color w:val="auto"/>
          <w:kern w:val="2"/>
          <w:sz w:val="21"/>
          <w:szCs w:val="21"/>
          <w:highlight w:val="none"/>
          <w:u w:val="single"/>
          <w:lang w:val="en-US" w:eastAsia="zh-CN" w:bidi="ar-SA"/>
        </w:rPr>
        <w:t>综合评分法</w:t>
      </w:r>
      <w:r>
        <w:rPr>
          <w:rFonts w:hint="eastAsia" w:ascii="宋体" w:hAnsi="Times New Roman" w:eastAsia="宋体" w:cs="Times New Roman"/>
          <w:color w:val="auto"/>
          <w:kern w:val="2"/>
          <w:sz w:val="21"/>
          <w:szCs w:val="21"/>
          <w:highlight w:val="none"/>
          <w:lang w:val="en-US" w:eastAsia="zh-CN" w:bidi="ar-SA"/>
        </w:rPr>
        <w:t>，具体评标内容及评分标准等详见第四章：评标方法及评分标准。</w:t>
      </w:r>
    </w:p>
    <w:p w14:paraId="1BF07E92">
      <w:pPr>
        <w:widowControl w:val="0"/>
        <w:snapToGrid w:val="0"/>
        <w:spacing w:line="360" w:lineRule="exact"/>
        <w:ind w:firstLine="420" w:firstLineChars="200"/>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（八）评标过程的监控</w:t>
      </w:r>
    </w:p>
    <w:p w14:paraId="30E3B11E">
      <w:pPr>
        <w:widowControl w:val="0"/>
        <w:snapToGrid w:val="0"/>
        <w:spacing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本项目评标过程实行全程录音、录像监控，投标人在评标过程中所进行的试图影响评标结果的不公正活动，可能导致其投标被拒绝。</w:t>
      </w:r>
      <w:bookmarkStart w:id="91" w:name="_Toc254970546"/>
      <w:bookmarkStart w:id="92" w:name="_Toc254970687"/>
    </w:p>
    <w:p w14:paraId="558F1B71">
      <w:pPr>
        <w:widowControl w:val="0"/>
        <w:snapToGrid w:val="0"/>
        <w:spacing w:line="360" w:lineRule="exact"/>
        <w:jc w:val="both"/>
        <w:rPr>
          <w:rFonts w:hint="eastAsia" w:ascii="宋体" w:hAnsi="Times New Roman" w:eastAsia="宋体" w:cs="Times New Roman"/>
          <w:color w:val="auto"/>
          <w:kern w:val="2"/>
          <w:sz w:val="21"/>
          <w:szCs w:val="21"/>
          <w:highlight w:val="none"/>
          <w:lang w:val="en-US" w:eastAsia="zh-CN" w:bidi="ar-SA"/>
        </w:rPr>
      </w:pPr>
    </w:p>
    <w:p w14:paraId="4EAEDC81">
      <w:pPr>
        <w:widowControl w:val="0"/>
        <w:snapToGrid w:val="0"/>
        <w:spacing w:line="36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七、评标结果</w:t>
      </w:r>
      <w:bookmarkEnd w:id="91"/>
      <w:bookmarkEnd w:id="92"/>
    </w:p>
    <w:p w14:paraId="40D5F6BB">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（一）本采购代理机构将在评标结束后2个工作日内将评标报告送采购人，采购人在5个工作日内按照评标报告中推荐的中标候选人顺序确定中标人。采购人也可以事先授权评标委员会直接确定中标人。</w:t>
      </w:r>
    </w:p>
    <w:p w14:paraId="4167C04C">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（二）中标人确定后，采购代理机构在财政部门指定的政府采购信息发布媒体发布中标公告。</w:t>
      </w:r>
    </w:p>
    <w:p w14:paraId="38EEFFA6">
      <w:pPr>
        <w:widowControl w:val="0"/>
        <w:snapToGrid w:val="0"/>
        <w:spacing w:line="360" w:lineRule="exact"/>
        <w:ind w:firstLine="350" w:firstLineChars="167"/>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（三）在发布中标公告的同时，采购代理机构向中标人发出中标通知书。</w:t>
      </w:r>
    </w:p>
    <w:p w14:paraId="0A76D641">
      <w:pPr>
        <w:widowControl w:val="0"/>
        <w:snapToGrid w:val="0"/>
        <w:spacing w:line="360" w:lineRule="exact"/>
        <w:ind w:firstLine="0" w:firstLineChars="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（四）投标人认为招标文件、招标过程和中标结果使自己的权益受到损害的，可以在知道或者应知其权益受到损害之日起七个工作日内，以书面形式向采购代理机构提出质疑，并及时索要书面回执。</w:t>
      </w:r>
    </w:p>
    <w:p w14:paraId="6A328965">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（五）采购代理机构应当按照有关规定就采购人委托授权范围内的事项在收到投标人的书面质疑后七个工作日内做出答复，但答复的内容不得涉及商业秘密。</w:t>
      </w:r>
    </w:p>
    <w:p w14:paraId="60F32C38">
      <w:pPr>
        <w:widowControl w:val="0"/>
        <w:spacing w:line="360" w:lineRule="exact"/>
        <w:jc w:val="both"/>
        <w:rPr>
          <w:rFonts w:hint="eastAsia" w:ascii="宋体" w:hAnsi="Times New Roman" w:eastAsia="宋体" w:cs="Times New Roman"/>
          <w:bCs/>
          <w:color w:val="auto"/>
          <w:kern w:val="2"/>
          <w:sz w:val="21"/>
          <w:szCs w:val="21"/>
          <w:highlight w:val="none"/>
          <w:lang w:val="en-US" w:eastAsia="zh-CN" w:bidi="ar-SA"/>
        </w:rPr>
      </w:pPr>
    </w:p>
    <w:p w14:paraId="4BD42477">
      <w:pPr>
        <w:widowControl w:val="0"/>
        <w:spacing w:line="36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八、签订合同</w:t>
      </w:r>
    </w:p>
    <w:p w14:paraId="3090B0E4">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 xml:space="preserve"> （一）合同授予标准</w:t>
      </w:r>
    </w:p>
    <w:p w14:paraId="6BB8292D">
      <w:pPr>
        <w:spacing w:line="360" w:lineRule="exact"/>
        <w:ind w:firstLine="315" w:firstLineChars="150"/>
        <w:rPr>
          <w:rFonts w:hint="eastAsia"/>
          <w:color w:val="auto"/>
          <w:highlight w:val="none"/>
        </w:rPr>
      </w:pPr>
      <w:r>
        <w:rPr>
          <w:rFonts w:hint="eastAsia"/>
          <w:color w:val="auto"/>
          <w:highlight w:val="none"/>
        </w:rPr>
        <w:t>合同将授予被确定投标文件满足招标文件全部实质性要求，具备履行合同能力，评审得分最高，综合评分排名第一的供应商。</w:t>
      </w:r>
    </w:p>
    <w:p w14:paraId="07EAB023">
      <w:pPr>
        <w:widowControl w:val="0"/>
        <w:snapToGrid w:val="0"/>
        <w:spacing w:line="360" w:lineRule="exact"/>
        <w:ind w:firstLine="315" w:firstLineChars="150"/>
        <w:jc w:val="both"/>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（二）履约保证金</w:t>
      </w:r>
    </w:p>
    <w:p w14:paraId="331FBD85">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1.中标人须于签订合同前按本项目关于履约保证金的规定进行办理。否则，不予签订合同。</w:t>
      </w:r>
    </w:p>
    <w:p w14:paraId="69F5D489">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2.签订合同后，如中标人不按双方签订的合同规定履约，则没收其全部履约保证金，履约保证金不足以赔偿损失的，按实际损失赔偿。</w:t>
      </w:r>
    </w:p>
    <w:p w14:paraId="0B712BE9">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履约保证金在中标人按合同约定交货验收合格后，由中标人提供《政府采购项目履约保证金退付意见书》及《政府采购项目合同验收报告》（详见附件），履约保证金在收到合格材料后5个工作日内以银行转账方式如数退还（不计利息）。</w:t>
      </w:r>
    </w:p>
    <w:p w14:paraId="7D77995F">
      <w:pPr>
        <w:widowControl w:val="0"/>
        <w:snapToGrid w:val="0"/>
        <w:spacing w:line="360" w:lineRule="exact"/>
        <w:ind w:firstLine="315" w:firstLineChars="15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4.在履约保证金退还日期前，若中标人的开户名称、开户银行、账号有变动的，请以书面形式通知履约保证金收取机构，否则由此产生的后果由中标人自负。</w:t>
      </w:r>
    </w:p>
    <w:p w14:paraId="4EFC78D6">
      <w:pPr>
        <w:spacing w:line="360" w:lineRule="exact"/>
        <w:rPr>
          <w:rFonts w:hint="eastAsia"/>
          <w:b/>
          <w:color w:val="auto"/>
          <w:highlight w:val="none"/>
        </w:rPr>
      </w:pPr>
      <w:r>
        <w:rPr>
          <w:rFonts w:hint="eastAsia"/>
          <w:color w:val="auto"/>
          <w:highlight w:val="none"/>
        </w:rPr>
        <w:t xml:space="preserve">    </w:t>
      </w:r>
      <w:r>
        <w:rPr>
          <w:rFonts w:hint="eastAsia"/>
          <w:b/>
          <w:color w:val="auto"/>
          <w:highlight w:val="none"/>
        </w:rPr>
        <w:t>（三）签订合同</w:t>
      </w:r>
    </w:p>
    <w:p w14:paraId="3D16AE1F">
      <w:pPr>
        <w:widowControl w:val="0"/>
        <w:snapToGrid w:val="0"/>
        <w:spacing w:line="360" w:lineRule="exact"/>
        <w:ind w:firstLine="210" w:firstLineChars="10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（1）投标人接到中标通知书后，应按中标通知书规定的时间、地点与采购人签订合同。中标人无正当理由不得放弃中标。</w:t>
      </w:r>
    </w:p>
    <w:p w14:paraId="3DC53CCA">
      <w:pPr>
        <w:widowControl w:val="0"/>
        <w:snapToGrid w:val="0"/>
        <w:spacing w:line="360" w:lineRule="exact"/>
        <w:ind w:firstLine="210" w:firstLineChars="10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（2）如中标人不按中标通知书的规定签订合同，则按中标人违约处理，采购代理机构将没收中标人投标的全部投标保证金。</w:t>
      </w:r>
    </w:p>
    <w:p w14:paraId="6FE6DAE6">
      <w:pPr>
        <w:widowControl w:val="0"/>
        <w:snapToGrid w:val="0"/>
        <w:spacing w:line="360" w:lineRule="exact"/>
        <w:ind w:firstLine="210" w:firstLineChars="100"/>
        <w:jc w:val="both"/>
        <w:rPr>
          <w:rFonts w:hint="eastAsia" w:ascii="仿宋_GB2312" w:hAnsi="Times New Roman" w:eastAsia="仿宋_GB2312" w:cs="Times New Roman"/>
          <w:color w:val="auto"/>
          <w:kern w:val="2"/>
          <w:sz w:val="32"/>
          <w:szCs w:val="20"/>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（3）中标人拒绝与采购人签订合同或因不可抗力或者自身原因不能履行采购合同的，采购人可以与中标人之后排名第一的中标候选人签订采购合同，以此类推,也可以重新招标。中标人</w:t>
      </w:r>
      <w:r>
        <w:rPr>
          <w:rFonts w:ascii="宋体" w:hAnsi="宋体" w:eastAsia="宋体" w:cs="Times New Roman"/>
          <w:color w:val="auto"/>
          <w:kern w:val="2"/>
          <w:sz w:val="21"/>
          <w:szCs w:val="21"/>
          <w:highlight w:val="none"/>
          <w:lang w:val="en-US" w:eastAsia="zh-CN" w:bidi="ar-SA"/>
        </w:rPr>
        <w:t>放弃中标项目，拒绝与采购人签订合同的，其投标保证金</w:t>
      </w:r>
      <w:r>
        <w:rPr>
          <w:rFonts w:hint="eastAsia" w:ascii="宋体" w:hAnsi="宋体" w:eastAsia="宋体" w:cs="Times New Roman"/>
          <w:color w:val="auto"/>
          <w:kern w:val="2"/>
          <w:sz w:val="21"/>
          <w:szCs w:val="21"/>
          <w:highlight w:val="none"/>
          <w:lang w:val="en-US" w:eastAsia="zh-CN" w:bidi="ar-SA"/>
        </w:rPr>
        <w:t>将不予退还，</w:t>
      </w:r>
      <w:r>
        <w:rPr>
          <w:rFonts w:ascii="宋体" w:hAnsi="宋体" w:eastAsia="宋体" w:cs="Times New Roman"/>
          <w:color w:val="auto"/>
          <w:kern w:val="2"/>
          <w:sz w:val="21"/>
          <w:szCs w:val="21"/>
          <w:highlight w:val="none"/>
          <w:lang w:val="en-US" w:eastAsia="zh-CN" w:bidi="ar-SA"/>
        </w:rPr>
        <w:t>并上缴国库，</w:t>
      </w:r>
      <w:r>
        <w:rPr>
          <w:rFonts w:hint="eastAsia" w:ascii="宋体" w:hAnsi="宋体" w:eastAsia="宋体" w:cs="Times New Roman"/>
          <w:color w:val="auto"/>
          <w:kern w:val="2"/>
          <w:sz w:val="21"/>
          <w:szCs w:val="21"/>
          <w:highlight w:val="none"/>
          <w:lang w:val="en-US" w:eastAsia="zh-CN" w:bidi="ar-SA"/>
        </w:rPr>
        <w:t>给</w:t>
      </w:r>
      <w:r>
        <w:rPr>
          <w:rFonts w:ascii="宋体" w:hAnsi="宋体" w:eastAsia="宋体" w:cs="Times New Roman"/>
          <w:color w:val="auto"/>
          <w:kern w:val="2"/>
          <w:sz w:val="21"/>
          <w:szCs w:val="21"/>
          <w:highlight w:val="none"/>
          <w:lang w:val="en-US" w:eastAsia="zh-CN" w:bidi="ar-SA"/>
        </w:rPr>
        <w:t>采购人造成损失的，还应当赔偿损失，并作为不良行为记录在案</w:t>
      </w:r>
      <w:r>
        <w:rPr>
          <w:rFonts w:hint="eastAsia" w:ascii="宋体" w:hAnsi="宋体" w:eastAsia="宋体" w:cs="Times New Roman"/>
          <w:color w:val="auto"/>
          <w:kern w:val="2"/>
          <w:sz w:val="21"/>
          <w:szCs w:val="21"/>
          <w:highlight w:val="none"/>
          <w:lang w:val="en-US" w:eastAsia="zh-CN" w:bidi="ar-SA"/>
        </w:rPr>
        <w:t>。</w:t>
      </w:r>
    </w:p>
    <w:p w14:paraId="3D3DFF79">
      <w:pPr>
        <w:spacing w:line="360" w:lineRule="exact"/>
        <w:rPr>
          <w:rFonts w:hint="eastAsia"/>
          <w:color w:val="auto"/>
          <w:highlight w:val="none"/>
        </w:rPr>
      </w:pPr>
    </w:p>
    <w:p w14:paraId="65583A96">
      <w:pPr>
        <w:widowControl w:val="0"/>
        <w:spacing w:line="360" w:lineRule="exact"/>
        <w:jc w:val="center"/>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九、其他事项</w:t>
      </w:r>
    </w:p>
    <w:p w14:paraId="61D2CEDE">
      <w:pPr>
        <w:widowControl w:val="0"/>
        <w:spacing w:line="360" w:lineRule="exact"/>
        <w:jc w:val="both"/>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 xml:space="preserve">    （一）中标服务费</w:t>
      </w:r>
    </w:p>
    <w:p w14:paraId="6B7C61F8">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1）代理服务费参照原国家发展计划委员会《招标代理服务费管理暂行办法》(计价格(2002)1980号)收费标准下浮20%向中标供应商收取。发布中标结果公告后，中标人须向广西国力招标有限公司一次付清中标服务费。</w:t>
      </w:r>
      <w:bookmarkStart w:id="93" w:name="_Toc254970689"/>
      <w:bookmarkStart w:id="94" w:name="_Toc254970548"/>
    </w:p>
    <w:p w14:paraId="30425AB6">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（2）代理服务收费标准：</w:t>
      </w:r>
    </w:p>
    <w:tbl>
      <w:tblPr>
        <w:tblStyle w:val="20"/>
        <w:tblpPr w:leftFromText="180" w:rightFromText="180" w:vertAnchor="text" w:horzAnchor="margin" w:tblpXSpec="center" w:tblpY="1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63D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91B25CB">
            <w:pPr>
              <w:spacing w:line="360" w:lineRule="exact"/>
              <w:rPr>
                <w:rFonts w:hint="eastAsia"/>
                <w:color w:val="auto"/>
                <w:szCs w:val="21"/>
                <w:highlight w:val="none"/>
              </w:rPr>
            </w:pPr>
            <w:r>
              <w:rPr>
                <w:rFonts w:hint="eastAsia"/>
                <w:color w:val="auto"/>
                <w:szCs w:val="21"/>
                <w:highlight w:val="none"/>
              </w:rPr>
              <w:t xml:space="preserve">               费率</w:t>
            </w:r>
          </w:p>
          <w:p w14:paraId="215E5B55">
            <w:pPr>
              <w:spacing w:line="360" w:lineRule="exact"/>
              <w:rPr>
                <w:rFonts w:hint="eastAsia"/>
                <w:color w:val="auto"/>
                <w:szCs w:val="21"/>
                <w:highlight w:val="none"/>
              </w:rPr>
            </w:pPr>
            <w:r>
              <w:rPr>
                <w:rFonts w:hint="eastAsia"/>
                <w:color w:val="auto"/>
                <w:szCs w:val="21"/>
                <w:highlight w:val="none"/>
              </w:rPr>
              <w:t>中标金额</w:t>
            </w:r>
          </w:p>
        </w:tc>
        <w:tc>
          <w:tcPr>
            <w:tcW w:w="1659" w:type="dxa"/>
            <w:noWrap w:val="0"/>
            <w:vAlign w:val="center"/>
          </w:tcPr>
          <w:p w14:paraId="7B8B6FEB">
            <w:pPr>
              <w:spacing w:line="360" w:lineRule="exact"/>
              <w:ind w:firstLine="105" w:firstLineChars="50"/>
              <w:jc w:val="center"/>
              <w:rPr>
                <w:rFonts w:hint="eastAsia"/>
                <w:color w:val="auto"/>
                <w:szCs w:val="21"/>
                <w:highlight w:val="none"/>
              </w:rPr>
            </w:pPr>
            <w:r>
              <w:rPr>
                <w:rFonts w:hint="eastAsia"/>
                <w:color w:val="auto"/>
                <w:szCs w:val="21"/>
                <w:highlight w:val="none"/>
              </w:rPr>
              <w:t>货物招标</w:t>
            </w:r>
          </w:p>
        </w:tc>
        <w:tc>
          <w:tcPr>
            <w:tcW w:w="1687" w:type="dxa"/>
            <w:noWrap w:val="0"/>
            <w:vAlign w:val="center"/>
          </w:tcPr>
          <w:p w14:paraId="13624C6A">
            <w:pPr>
              <w:spacing w:line="360" w:lineRule="exact"/>
              <w:jc w:val="center"/>
              <w:rPr>
                <w:rFonts w:hint="eastAsia"/>
                <w:color w:val="auto"/>
                <w:szCs w:val="21"/>
                <w:highlight w:val="none"/>
              </w:rPr>
            </w:pPr>
            <w:r>
              <w:rPr>
                <w:rFonts w:hint="eastAsia"/>
                <w:color w:val="auto"/>
                <w:szCs w:val="21"/>
                <w:highlight w:val="none"/>
              </w:rPr>
              <w:t>服务招标</w:t>
            </w:r>
          </w:p>
        </w:tc>
        <w:tc>
          <w:tcPr>
            <w:tcW w:w="1659" w:type="dxa"/>
            <w:noWrap w:val="0"/>
            <w:vAlign w:val="center"/>
          </w:tcPr>
          <w:p w14:paraId="1893EDF1">
            <w:pPr>
              <w:spacing w:line="360" w:lineRule="exact"/>
              <w:jc w:val="center"/>
              <w:rPr>
                <w:rFonts w:hint="eastAsia"/>
                <w:color w:val="auto"/>
                <w:szCs w:val="21"/>
                <w:highlight w:val="none"/>
              </w:rPr>
            </w:pPr>
            <w:r>
              <w:rPr>
                <w:rFonts w:hint="eastAsia"/>
                <w:color w:val="auto"/>
                <w:szCs w:val="21"/>
                <w:highlight w:val="none"/>
              </w:rPr>
              <w:t>工程招标</w:t>
            </w:r>
          </w:p>
        </w:tc>
      </w:tr>
      <w:tr w14:paraId="43C3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299956E">
            <w:pPr>
              <w:spacing w:line="360" w:lineRule="exact"/>
              <w:rPr>
                <w:rFonts w:hint="eastAsia" w:ascii="宋体" w:hAnsi="宋体"/>
                <w:color w:val="auto"/>
                <w:szCs w:val="21"/>
                <w:highlight w:val="none"/>
              </w:rPr>
            </w:pPr>
            <w:r>
              <w:rPr>
                <w:rFonts w:hint="eastAsia" w:ascii="宋体" w:hAnsi="宋体"/>
                <w:color w:val="auto"/>
                <w:szCs w:val="21"/>
                <w:highlight w:val="none"/>
              </w:rPr>
              <w:t>100万元以下</w:t>
            </w:r>
          </w:p>
        </w:tc>
        <w:tc>
          <w:tcPr>
            <w:tcW w:w="1659" w:type="dxa"/>
            <w:noWrap w:val="0"/>
            <w:vAlign w:val="top"/>
          </w:tcPr>
          <w:p w14:paraId="474A4D89">
            <w:pPr>
              <w:spacing w:line="360" w:lineRule="exact"/>
              <w:rPr>
                <w:rFonts w:ascii="宋体" w:hAnsi="宋体"/>
                <w:color w:val="auto"/>
                <w:szCs w:val="21"/>
                <w:highlight w:val="none"/>
              </w:rPr>
            </w:pPr>
            <w:r>
              <w:rPr>
                <w:rFonts w:hint="eastAsia" w:ascii="宋体" w:hAnsi="宋体" w:cs="宋体"/>
                <w:color w:val="auto"/>
                <w:kern w:val="0"/>
                <w:szCs w:val="21"/>
                <w:highlight w:val="none"/>
              </w:rPr>
              <w:t xml:space="preserve">  1.5%                </w:t>
            </w:r>
          </w:p>
        </w:tc>
        <w:tc>
          <w:tcPr>
            <w:tcW w:w="1687" w:type="dxa"/>
            <w:noWrap w:val="0"/>
            <w:vAlign w:val="top"/>
          </w:tcPr>
          <w:p w14:paraId="33F6F833">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1.5%</w:t>
            </w:r>
          </w:p>
        </w:tc>
        <w:tc>
          <w:tcPr>
            <w:tcW w:w="1659" w:type="dxa"/>
            <w:noWrap w:val="0"/>
            <w:vAlign w:val="top"/>
          </w:tcPr>
          <w:p w14:paraId="445F1D45">
            <w:pPr>
              <w:spacing w:line="360" w:lineRule="exact"/>
              <w:ind w:firstLine="210" w:firstLineChars="100"/>
              <w:rPr>
                <w:rFonts w:hint="eastAsia" w:ascii="宋体" w:hAnsi="宋体"/>
                <w:color w:val="auto"/>
                <w:szCs w:val="21"/>
                <w:highlight w:val="none"/>
              </w:rPr>
            </w:pPr>
            <w:r>
              <w:rPr>
                <w:rFonts w:hint="eastAsia" w:ascii="宋体" w:hAnsi="宋体" w:cs="宋体"/>
                <w:color w:val="auto"/>
                <w:kern w:val="0"/>
                <w:szCs w:val="21"/>
                <w:highlight w:val="none"/>
              </w:rPr>
              <w:t xml:space="preserve">1.0% </w:t>
            </w:r>
          </w:p>
        </w:tc>
      </w:tr>
      <w:tr w14:paraId="34F0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36831FF">
            <w:pPr>
              <w:spacing w:line="360" w:lineRule="exact"/>
              <w:rPr>
                <w:rFonts w:hint="eastAsia" w:ascii="宋体" w:hAnsi="宋体"/>
                <w:color w:val="auto"/>
                <w:szCs w:val="21"/>
                <w:highlight w:val="none"/>
              </w:rPr>
            </w:pPr>
            <w:r>
              <w:rPr>
                <w:rFonts w:hint="eastAsia" w:ascii="宋体" w:hAnsi="宋体"/>
                <w:color w:val="auto"/>
                <w:szCs w:val="21"/>
                <w:highlight w:val="none"/>
              </w:rPr>
              <w:t>100～500万元</w:t>
            </w:r>
          </w:p>
        </w:tc>
        <w:tc>
          <w:tcPr>
            <w:tcW w:w="1659" w:type="dxa"/>
            <w:noWrap w:val="0"/>
            <w:vAlign w:val="top"/>
          </w:tcPr>
          <w:p w14:paraId="71607776">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1.1%                 </w:t>
            </w:r>
          </w:p>
        </w:tc>
        <w:tc>
          <w:tcPr>
            <w:tcW w:w="1687" w:type="dxa"/>
            <w:noWrap w:val="0"/>
            <w:vAlign w:val="top"/>
          </w:tcPr>
          <w:p w14:paraId="75B056E9">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0.8%</w:t>
            </w:r>
          </w:p>
        </w:tc>
        <w:tc>
          <w:tcPr>
            <w:tcW w:w="1659" w:type="dxa"/>
            <w:noWrap w:val="0"/>
            <w:vAlign w:val="top"/>
          </w:tcPr>
          <w:p w14:paraId="4FA6100F">
            <w:pPr>
              <w:spacing w:line="360" w:lineRule="exact"/>
              <w:ind w:firstLine="210" w:firstLineChars="100"/>
              <w:rPr>
                <w:rFonts w:hint="eastAsia" w:ascii="宋体" w:hAnsi="宋体"/>
                <w:color w:val="auto"/>
                <w:szCs w:val="21"/>
                <w:highlight w:val="none"/>
              </w:rPr>
            </w:pPr>
            <w:r>
              <w:rPr>
                <w:rFonts w:hint="eastAsia" w:ascii="宋体" w:hAnsi="宋体" w:cs="宋体"/>
                <w:color w:val="auto"/>
                <w:kern w:val="0"/>
                <w:szCs w:val="21"/>
                <w:highlight w:val="none"/>
              </w:rPr>
              <w:t xml:space="preserve">0.7% </w:t>
            </w:r>
          </w:p>
        </w:tc>
      </w:tr>
      <w:tr w14:paraId="1BA0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568C08D">
            <w:pPr>
              <w:spacing w:line="360" w:lineRule="exact"/>
              <w:rPr>
                <w:rFonts w:hint="eastAsia" w:ascii="宋体" w:hAnsi="宋体"/>
                <w:color w:val="auto"/>
                <w:szCs w:val="21"/>
                <w:highlight w:val="none"/>
              </w:rPr>
            </w:pPr>
            <w:r>
              <w:rPr>
                <w:rFonts w:hint="eastAsia" w:ascii="宋体" w:hAnsi="宋体"/>
                <w:color w:val="auto"/>
                <w:szCs w:val="21"/>
                <w:highlight w:val="none"/>
              </w:rPr>
              <w:t>500～1000万元</w:t>
            </w:r>
          </w:p>
        </w:tc>
        <w:tc>
          <w:tcPr>
            <w:tcW w:w="1659" w:type="dxa"/>
            <w:noWrap w:val="0"/>
            <w:vAlign w:val="top"/>
          </w:tcPr>
          <w:p w14:paraId="188CCC71">
            <w:pPr>
              <w:spacing w:line="360" w:lineRule="exact"/>
              <w:rPr>
                <w:rFonts w:ascii="宋体" w:hAnsi="宋体"/>
                <w:color w:val="auto"/>
                <w:szCs w:val="21"/>
                <w:highlight w:val="none"/>
              </w:rPr>
            </w:pPr>
            <w:r>
              <w:rPr>
                <w:rFonts w:hint="eastAsia" w:ascii="宋体" w:hAnsi="宋体" w:cs="宋体"/>
                <w:color w:val="auto"/>
                <w:kern w:val="0"/>
                <w:szCs w:val="21"/>
                <w:highlight w:val="none"/>
              </w:rPr>
              <w:t xml:space="preserve">  0.8%                </w:t>
            </w:r>
          </w:p>
        </w:tc>
        <w:tc>
          <w:tcPr>
            <w:tcW w:w="1687" w:type="dxa"/>
            <w:noWrap w:val="0"/>
            <w:vAlign w:val="top"/>
          </w:tcPr>
          <w:p w14:paraId="5AC36A58">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0.45%</w:t>
            </w:r>
          </w:p>
        </w:tc>
        <w:tc>
          <w:tcPr>
            <w:tcW w:w="1659" w:type="dxa"/>
            <w:noWrap w:val="0"/>
            <w:vAlign w:val="top"/>
          </w:tcPr>
          <w:p w14:paraId="662F73F9">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0.55%</w:t>
            </w:r>
          </w:p>
        </w:tc>
      </w:tr>
      <w:tr w14:paraId="215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F24BB13">
            <w:pPr>
              <w:spacing w:line="360" w:lineRule="exact"/>
              <w:rPr>
                <w:rFonts w:hint="eastAsia" w:ascii="宋体" w:hAnsi="宋体"/>
                <w:color w:val="auto"/>
                <w:szCs w:val="21"/>
                <w:highlight w:val="none"/>
              </w:rPr>
            </w:pPr>
            <w:r>
              <w:rPr>
                <w:rFonts w:hint="eastAsia" w:ascii="宋体" w:hAnsi="宋体"/>
                <w:color w:val="auto"/>
                <w:szCs w:val="21"/>
                <w:highlight w:val="none"/>
              </w:rPr>
              <w:t>1000～5000万元</w:t>
            </w:r>
          </w:p>
        </w:tc>
        <w:tc>
          <w:tcPr>
            <w:tcW w:w="1659" w:type="dxa"/>
            <w:noWrap w:val="0"/>
            <w:vAlign w:val="top"/>
          </w:tcPr>
          <w:p w14:paraId="6A5EE336">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 xml:space="preserve">0.5%                </w:t>
            </w:r>
          </w:p>
        </w:tc>
        <w:tc>
          <w:tcPr>
            <w:tcW w:w="1687" w:type="dxa"/>
            <w:noWrap w:val="0"/>
            <w:vAlign w:val="top"/>
          </w:tcPr>
          <w:p w14:paraId="37743339">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0.25%</w:t>
            </w:r>
          </w:p>
        </w:tc>
        <w:tc>
          <w:tcPr>
            <w:tcW w:w="1659" w:type="dxa"/>
            <w:noWrap w:val="0"/>
            <w:vAlign w:val="top"/>
          </w:tcPr>
          <w:p w14:paraId="48D20867">
            <w:pPr>
              <w:spacing w:line="360" w:lineRule="exact"/>
              <w:ind w:firstLine="210" w:firstLineChars="100"/>
              <w:rPr>
                <w:rFonts w:hint="eastAsia" w:ascii="宋体" w:hAnsi="宋体"/>
                <w:color w:val="auto"/>
                <w:szCs w:val="21"/>
                <w:highlight w:val="none"/>
              </w:rPr>
            </w:pPr>
            <w:r>
              <w:rPr>
                <w:rFonts w:hint="eastAsia" w:ascii="宋体" w:hAnsi="宋体" w:cs="宋体"/>
                <w:color w:val="auto"/>
                <w:kern w:val="0"/>
                <w:szCs w:val="21"/>
                <w:highlight w:val="none"/>
              </w:rPr>
              <w:t xml:space="preserve">0.35% </w:t>
            </w:r>
          </w:p>
        </w:tc>
      </w:tr>
      <w:tr w14:paraId="236D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E44D7EA">
            <w:pPr>
              <w:spacing w:line="360" w:lineRule="exact"/>
              <w:rPr>
                <w:rFonts w:hint="eastAsia" w:ascii="宋体" w:hAnsi="宋体"/>
                <w:color w:val="auto"/>
                <w:szCs w:val="21"/>
                <w:highlight w:val="none"/>
              </w:rPr>
            </w:pPr>
            <w:r>
              <w:rPr>
                <w:rFonts w:hint="eastAsia" w:ascii="宋体" w:hAnsi="宋体"/>
                <w:color w:val="auto"/>
                <w:szCs w:val="21"/>
                <w:highlight w:val="none"/>
              </w:rPr>
              <w:t>5000万元～1亿元</w:t>
            </w:r>
          </w:p>
        </w:tc>
        <w:tc>
          <w:tcPr>
            <w:tcW w:w="1659" w:type="dxa"/>
            <w:noWrap w:val="0"/>
            <w:vAlign w:val="top"/>
          </w:tcPr>
          <w:p w14:paraId="5684160F">
            <w:pPr>
              <w:spacing w:line="360" w:lineRule="exact"/>
              <w:ind w:firstLine="210" w:firstLineChars="100"/>
              <w:rPr>
                <w:rFonts w:hint="eastAsia" w:ascii="宋体" w:hAnsi="宋体"/>
                <w:color w:val="auto"/>
                <w:szCs w:val="21"/>
                <w:highlight w:val="none"/>
              </w:rPr>
            </w:pPr>
            <w:r>
              <w:rPr>
                <w:rFonts w:hint="eastAsia" w:ascii="宋体" w:hAnsi="宋体" w:cs="宋体"/>
                <w:color w:val="auto"/>
                <w:kern w:val="0"/>
                <w:szCs w:val="21"/>
                <w:highlight w:val="none"/>
              </w:rPr>
              <w:t xml:space="preserve">0.25%                 </w:t>
            </w:r>
          </w:p>
        </w:tc>
        <w:tc>
          <w:tcPr>
            <w:tcW w:w="1687" w:type="dxa"/>
            <w:noWrap w:val="0"/>
            <w:vAlign w:val="top"/>
          </w:tcPr>
          <w:p w14:paraId="70BCF274">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0.1%</w:t>
            </w:r>
          </w:p>
        </w:tc>
        <w:tc>
          <w:tcPr>
            <w:tcW w:w="1659" w:type="dxa"/>
            <w:noWrap w:val="0"/>
            <w:vAlign w:val="top"/>
          </w:tcPr>
          <w:p w14:paraId="0F96F84F">
            <w:pPr>
              <w:spacing w:line="360" w:lineRule="exact"/>
              <w:ind w:firstLine="210" w:firstLineChars="100"/>
              <w:rPr>
                <w:rFonts w:ascii="宋体" w:hAnsi="宋体"/>
                <w:color w:val="auto"/>
                <w:szCs w:val="21"/>
                <w:highlight w:val="none"/>
              </w:rPr>
            </w:pPr>
            <w:r>
              <w:rPr>
                <w:rFonts w:hint="eastAsia" w:ascii="宋体" w:hAnsi="宋体" w:cs="宋体"/>
                <w:color w:val="auto"/>
                <w:kern w:val="0"/>
                <w:szCs w:val="21"/>
                <w:highlight w:val="none"/>
              </w:rPr>
              <w:t>0.2%</w:t>
            </w:r>
          </w:p>
        </w:tc>
      </w:tr>
      <w:tr w14:paraId="4AA6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61E4B9B">
            <w:pPr>
              <w:spacing w:line="360" w:lineRule="exact"/>
              <w:rPr>
                <w:rFonts w:hint="eastAsia" w:ascii="宋体" w:hAnsi="宋体"/>
                <w:color w:val="auto"/>
                <w:szCs w:val="21"/>
                <w:highlight w:val="none"/>
              </w:rPr>
            </w:pPr>
            <w:r>
              <w:rPr>
                <w:rFonts w:hint="eastAsia" w:ascii="宋体" w:hAnsi="宋体"/>
                <w:color w:val="auto"/>
                <w:szCs w:val="21"/>
                <w:highlight w:val="none"/>
              </w:rPr>
              <w:t>1～5亿元</w:t>
            </w:r>
          </w:p>
        </w:tc>
        <w:tc>
          <w:tcPr>
            <w:tcW w:w="1659" w:type="dxa"/>
            <w:noWrap w:val="0"/>
            <w:vAlign w:val="top"/>
          </w:tcPr>
          <w:p w14:paraId="2E4A4D68">
            <w:pPr>
              <w:spacing w:line="360" w:lineRule="exact"/>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1687" w:type="dxa"/>
            <w:noWrap w:val="0"/>
            <w:vAlign w:val="top"/>
          </w:tcPr>
          <w:p w14:paraId="5CB3D1F4">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  0.05%</w:t>
            </w:r>
          </w:p>
        </w:tc>
        <w:tc>
          <w:tcPr>
            <w:tcW w:w="1659" w:type="dxa"/>
            <w:noWrap w:val="0"/>
            <w:vAlign w:val="top"/>
          </w:tcPr>
          <w:p w14:paraId="76874BF5">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  0.05%</w:t>
            </w:r>
          </w:p>
        </w:tc>
      </w:tr>
      <w:tr w14:paraId="6A9D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20F7995">
            <w:pPr>
              <w:spacing w:line="360" w:lineRule="exact"/>
              <w:rPr>
                <w:rFonts w:hint="eastAsia" w:ascii="宋体" w:hAnsi="宋体"/>
                <w:color w:val="auto"/>
                <w:szCs w:val="21"/>
                <w:highlight w:val="none"/>
              </w:rPr>
            </w:pPr>
            <w:r>
              <w:rPr>
                <w:rFonts w:hint="eastAsia" w:ascii="宋体" w:hAnsi="宋体"/>
                <w:color w:val="auto"/>
                <w:szCs w:val="21"/>
                <w:highlight w:val="none"/>
              </w:rPr>
              <w:t>5～10亿元</w:t>
            </w:r>
          </w:p>
        </w:tc>
        <w:tc>
          <w:tcPr>
            <w:tcW w:w="1659" w:type="dxa"/>
            <w:noWrap w:val="0"/>
            <w:vAlign w:val="top"/>
          </w:tcPr>
          <w:p w14:paraId="64512A27">
            <w:pPr>
              <w:spacing w:line="360" w:lineRule="exact"/>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1687" w:type="dxa"/>
            <w:noWrap w:val="0"/>
            <w:vAlign w:val="top"/>
          </w:tcPr>
          <w:p w14:paraId="3BF94044">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  0.035%</w:t>
            </w:r>
          </w:p>
        </w:tc>
        <w:tc>
          <w:tcPr>
            <w:tcW w:w="1659" w:type="dxa"/>
            <w:noWrap w:val="0"/>
            <w:vAlign w:val="top"/>
          </w:tcPr>
          <w:p w14:paraId="79E2B572">
            <w:pPr>
              <w:spacing w:line="360" w:lineRule="exact"/>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7979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7EC17AA">
            <w:pPr>
              <w:spacing w:line="360" w:lineRule="exact"/>
              <w:rPr>
                <w:rFonts w:hint="eastAsia" w:ascii="宋体" w:hAnsi="宋体"/>
                <w:color w:val="auto"/>
                <w:szCs w:val="21"/>
                <w:highlight w:val="none"/>
              </w:rPr>
            </w:pPr>
            <w:r>
              <w:rPr>
                <w:rFonts w:hint="eastAsia" w:ascii="宋体" w:hAnsi="宋体"/>
                <w:color w:val="auto"/>
                <w:szCs w:val="21"/>
                <w:highlight w:val="none"/>
              </w:rPr>
              <w:t>10～50亿元</w:t>
            </w:r>
          </w:p>
        </w:tc>
        <w:tc>
          <w:tcPr>
            <w:tcW w:w="1659" w:type="dxa"/>
            <w:noWrap w:val="0"/>
            <w:vAlign w:val="top"/>
          </w:tcPr>
          <w:p w14:paraId="495C1A9C">
            <w:pPr>
              <w:spacing w:line="360" w:lineRule="exact"/>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1687" w:type="dxa"/>
            <w:noWrap w:val="0"/>
            <w:vAlign w:val="top"/>
          </w:tcPr>
          <w:p w14:paraId="228D2B9F">
            <w:pPr>
              <w:spacing w:line="360" w:lineRule="exact"/>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noWrap w:val="0"/>
            <w:vAlign w:val="top"/>
          </w:tcPr>
          <w:p w14:paraId="27528DEE">
            <w:pPr>
              <w:spacing w:line="360" w:lineRule="exact"/>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029B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39A8942">
            <w:pPr>
              <w:spacing w:line="360" w:lineRule="exact"/>
              <w:rPr>
                <w:rFonts w:hint="eastAsia" w:ascii="宋体" w:hAnsi="宋体"/>
                <w:color w:val="auto"/>
                <w:szCs w:val="21"/>
                <w:highlight w:val="none"/>
              </w:rPr>
            </w:pPr>
            <w:r>
              <w:rPr>
                <w:rFonts w:hint="eastAsia" w:ascii="宋体" w:hAnsi="宋体"/>
                <w:color w:val="auto"/>
                <w:szCs w:val="21"/>
                <w:highlight w:val="none"/>
              </w:rPr>
              <w:t>50～100亿元</w:t>
            </w:r>
          </w:p>
        </w:tc>
        <w:tc>
          <w:tcPr>
            <w:tcW w:w="1659" w:type="dxa"/>
            <w:noWrap w:val="0"/>
            <w:vAlign w:val="top"/>
          </w:tcPr>
          <w:p w14:paraId="2950C3C7">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 0.006%</w:t>
            </w:r>
          </w:p>
        </w:tc>
        <w:tc>
          <w:tcPr>
            <w:tcW w:w="1687" w:type="dxa"/>
            <w:noWrap w:val="0"/>
            <w:vAlign w:val="top"/>
          </w:tcPr>
          <w:p w14:paraId="05AB190E">
            <w:pPr>
              <w:spacing w:line="360" w:lineRule="exact"/>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noWrap w:val="0"/>
            <w:vAlign w:val="top"/>
          </w:tcPr>
          <w:p w14:paraId="34686271">
            <w:pPr>
              <w:spacing w:line="360" w:lineRule="exact"/>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5298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A63108">
            <w:pPr>
              <w:spacing w:line="360" w:lineRule="exact"/>
              <w:rPr>
                <w:rFonts w:hint="eastAsia" w:ascii="宋体" w:hAnsi="宋体"/>
                <w:color w:val="auto"/>
                <w:szCs w:val="21"/>
                <w:highlight w:val="none"/>
              </w:rPr>
            </w:pPr>
            <w:r>
              <w:rPr>
                <w:rFonts w:hint="eastAsia" w:ascii="宋体" w:hAnsi="宋体"/>
                <w:color w:val="auto"/>
                <w:szCs w:val="21"/>
                <w:highlight w:val="none"/>
              </w:rPr>
              <w:t>100亿以上</w:t>
            </w:r>
          </w:p>
        </w:tc>
        <w:tc>
          <w:tcPr>
            <w:tcW w:w="1659" w:type="dxa"/>
            <w:noWrap w:val="0"/>
            <w:vAlign w:val="top"/>
          </w:tcPr>
          <w:p w14:paraId="104FA690">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 0.004%</w:t>
            </w:r>
          </w:p>
        </w:tc>
        <w:tc>
          <w:tcPr>
            <w:tcW w:w="1687" w:type="dxa"/>
            <w:noWrap w:val="0"/>
            <w:vAlign w:val="top"/>
          </w:tcPr>
          <w:p w14:paraId="71482D97">
            <w:pPr>
              <w:spacing w:line="360" w:lineRule="exact"/>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noWrap w:val="0"/>
            <w:vAlign w:val="top"/>
          </w:tcPr>
          <w:p w14:paraId="515B7244">
            <w:pPr>
              <w:spacing w:line="360" w:lineRule="exact"/>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412C28BE">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注</w:t>
      </w:r>
    </w:p>
    <w:p w14:paraId="52EFD0F8">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021059F3">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46008886">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0F056622">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5FFA4306">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40D8D8FB">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p>
    <w:p w14:paraId="77CBC1E5">
      <w:pPr>
        <w:widowControl w:val="0"/>
        <w:spacing w:line="360" w:lineRule="exact"/>
        <w:ind w:left="420" w:leftChars="200" w:firstLine="14" w:firstLineChars="7"/>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注</w:t>
      </w:r>
      <w:r>
        <w:rPr>
          <w:rFonts w:hint="eastAsia" w:ascii="宋体" w:cs="Times New Roman"/>
          <w:color w:val="auto"/>
          <w:kern w:val="2"/>
          <w:sz w:val="21"/>
          <w:szCs w:val="21"/>
          <w:highlight w:val="none"/>
          <w:lang w:val="en-US" w:eastAsia="zh-CN" w:bidi="ar-SA"/>
        </w:rPr>
        <w:t>注</w:t>
      </w:r>
      <w:r>
        <w:rPr>
          <w:rFonts w:hint="eastAsia" w:ascii="宋体" w:hAnsi="Times New Roman" w:eastAsia="宋体" w:cs="Times New Roman"/>
          <w:color w:val="auto"/>
          <w:kern w:val="2"/>
          <w:sz w:val="21"/>
          <w:szCs w:val="21"/>
          <w:highlight w:val="none"/>
          <w:lang w:val="en-US" w:eastAsia="zh-CN" w:bidi="ar-SA"/>
        </w:rPr>
        <w:t>:代理服务收费按差额定率累进法计算。</w:t>
      </w:r>
    </w:p>
    <w:p w14:paraId="19826BF5">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（3）服务费指定银行账户：</w:t>
      </w:r>
    </w:p>
    <w:p w14:paraId="02DE7296">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开户名称：广西国力招标有限公司</w:t>
      </w:r>
    </w:p>
    <w:p w14:paraId="53F59C13">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开户银行：广西北部湾银行股份有限公司南宁市白沙支行（网银支付可选广西北部湾银行江南支行）</w:t>
      </w:r>
    </w:p>
    <w:p w14:paraId="0ABB3619">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 xml:space="preserve">银行账号：800109057400039 </w:t>
      </w:r>
    </w:p>
    <w:p w14:paraId="4E726A31">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银行行号：313611002051</w:t>
      </w:r>
    </w:p>
    <w:p w14:paraId="6643EAB8">
      <w:pPr>
        <w:widowControl w:val="0"/>
        <w:spacing w:line="360" w:lineRule="exact"/>
        <w:ind w:firstLine="435"/>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（4）开具代理服务费发票事宜的联系方式：0771-4915100、4915200。</w:t>
      </w:r>
    </w:p>
    <w:p w14:paraId="4A00E2F5">
      <w:pPr>
        <w:widowControl w:val="0"/>
        <w:spacing w:line="360" w:lineRule="exact"/>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 xml:space="preserve">    </w:t>
      </w:r>
      <w:r>
        <w:rPr>
          <w:rFonts w:hint="eastAsia" w:ascii="宋体" w:hAnsi="Times New Roman" w:eastAsia="宋体" w:cs="Times New Roman"/>
          <w:b/>
          <w:color w:val="auto"/>
          <w:kern w:val="2"/>
          <w:sz w:val="21"/>
          <w:szCs w:val="21"/>
          <w:highlight w:val="none"/>
          <w:lang w:val="en-US" w:eastAsia="zh-CN" w:bidi="ar-SA"/>
        </w:rPr>
        <w:t>（二）解释权：</w:t>
      </w:r>
      <w:r>
        <w:rPr>
          <w:rFonts w:hint="eastAsia" w:ascii="宋体" w:hAnsi="Times New Roman" w:eastAsia="宋体" w:cs="Times New Roman"/>
          <w:color w:val="auto"/>
          <w:spacing w:val="-4"/>
          <w:kern w:val="2"/>
          <w:sz w:val="21"/>
          <w:szCs w:val="21"/>
          <w:highlight w:val="none"/>
          <w:lang w:val="en-US" w:eastAsia="zh-CN" w:bidi="ar-SA"/>
        </w:rPr>
        <w:t>本招标文件解释权属本采购代理机构。</w:t>
      </w:r>
    </w:p>
    <w:p w14:paraId="79A955DD">
      <w:pPr>
        <w:widowControl w:val="0"/>
        <w:spacing w:line="380" w:lineRule="exact"/>
        <w:jc w:val="both"/>
        <w:rPr>
          <w:rFonts w:hint="eastAsia" w:ascii="宋体" w:hAnsi="Times New Roman" w:eastAsia="宋体" w:cs="Times New Roman"/>
          <w:color w:val="auto"/>
          <w:kern w:val="2"/>
          <w:sz w:val="21"/>
          <w:szCs w:val="21"/>
          <w:highlight w:val="none"/>
          <w:lang w:val="en-US" w:eastAsia="zh-CN" w:bidi="ar-SA"/>
        </w:rPr>
      </w:pPr>
    </w:p>
    <w:p w14:paraId="0D3345B7">
      <w:pPr>
        <w:snapToGrid w:val="0"/>
        <w:rPr>
          <w:rFonts w:hint="eastAsia" w:ascii="宋体" w:hAnsi="宋体"/>
          <w:color w:val="auto"/>
          <w:kern w:val="0"/>
          <w:sz w:val="32"/>
          <w:szCs w:val="32"/>
          <w:highlight w:val="none"/>
        </w:rPr>
      </w:pPr>
      <w:r>
        <w:rPr>
          <w:rFonts w:hint="eastAsia" w:ascii="宋体"/>
          <w:color w:val="auto"/>
          <w:kern w:val="0"/>
          <w:sz w:val="20"/>
          <w:szCs w:val="21"/>
          <w:highlight w:val="none"/>
        </w:rPr>
        <w:br w:type="page"/>
      </w:r>
      <w:r>
        <w:rPr>
          <w:rFonts w:hint="eastAsia" w:ascii="宋体" w:hAnsi="宋体"/>
          <w:color w:val="auto"/>
          <w:kern w:val="0"/>
          <w:sz w:val="32"/>
          <w:szCs w:val="32"/>
          <w:highlight w:val="none"/>
        </w:rPr>
        <w:t>附件1：</w:t>
      </w:r>
    </w:p>
    <w:p w14:paraId="32B7781B">
      <w:pPr>
        <w:widowControl/>
        <w:shd w:val="clear" w:color="auto" w:fill="FFFFFF"/>
        <w:spacing w:line="720" w:lineRule="auto"/>
        <w:jc w:val="center"/>
        <w:rPr>
          <w:rFonts w:hint="eastAsia" w:ascii="宋体" w:hAnsi="宋体" w:cs="宋体"/>
          <w:color w:val="auto"/>
          <w:kern w:val="0"/>
          <w:sz w:val="32"/>
          <w:szCs w:val="32"/>
          <w:highlight w:val="none"/>
        </w:rPr>
      </w:pPr>
      <w:r>
        <w:rPr>
          <w:rFonts w:hint="eastAsia" w:ascii="宋体" w:hAnsi="宋体" w:cs="黑体"/>
          <w:color w:val="auto"/>
          <w:kern w:val="0"/>
          <w:sz w:val="32"/>
          <w:szCs w:val="32"/>
          <w:highlight w:val="none"/>
        </w:rPr>
        <w:t>广西壮族自治区政府采购项目合同验收书</w:t>
      </w:r>
      <w:r>
        <w:rPr>
          <w:rFonts w:hint="eastAsia" w:ascii="宋体" w:hAnsi="宋体" w:cs="宋体"/>
          <w:color w:val="auto"/>
          <w:kern w:val="0"/>
          <w:sz w:val="32"/>
          <w:szCs w:val="32"/>
          <w:highlight w:val="none"/>
        </w:rPr>
        <w:t>（格式）</w:t>
      </w:r>
    </w:p>
    <w:p w14:paraId="150E13D2">
      <w:pPr>
        <w:widowControl/>
        <w:shd w:val="clear" w:color="auto" w:fill="FFFFFF"/>
        <w:snapToGrid w:val="0"/>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20"/>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3D9DEFEC">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58D2B7DE">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78F2F5A3">
            <w:pPr>
              <w:widowControl/>
              <w:snapToGrid w:val="0"/>
              <w:spacing w:before="100" w:beforeAutospacing="1" w:after="100" w:afterAutospacing="1" w:line="320" w:lineRule="atLeast"/>
              <w:ind w:firstLine="480"/>
              <w:jc w:val="center"/>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14:paraId="4175FA81">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25FA71F8">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序号</w:t>
            </w:r>
          </w:p>
        </w:tc>
        <w:tc>
          <w:tcPr>
            <w:tcW w:w="2159" w:type="dxa"/>
            <w:tcBorders>
              <w:top w:val="nil"/>
              <w:left w:val="nil"/>
              <w:bottom w:val="single" w:color="auto" w:sz="8" w:space="0"/>
              <w:right w:val="single" w:color="auto" w:sz="8" w:space="0"/>
            </w:tcBorders>
            <w:noWrap w:val="0"/>
            <w:vAlign w:val="center"/>
          </w:tcPr>
          <w:p w14:paraId="334B1278">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名 称</w:t>
            </w:r>
          </w:p>
        </w:tc>
        <w:tc>
          <w:tcPr>
            <w:tcW w:w="3262" w:type="dxa"/>
            <w:gridSpan w:val="3"/>
            <w:tcBorders>
              <w:top w:val="nil"/>
              <w:left w:val="nil"/>
              <w:bottom w:val="single" w:color="auto" w:sz="8" w:space="0"/>
              <w:right w:val="single" w:color="auto" w:sz="8" w:space="0"/>
            </w:tcBorders>
            <w:noWrap w:val="0"/>
            <w:vAlign w:val="center"/>
          </w:tcPr>
          <w:p w14:paraId="5DCC3299">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6EC9C9D4">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ascii="宋体" w:hAnsi="宋体" w:cs="宋体"/>
                <w:color w:val="auto"/>
                <w:kern w:val="0"/>
                <w:szCs w:val="21"/>
                <w:highlight w:val="none"/>
              </w:rPr>
              <w:t>数量</w:t>
            </w:r>
          </w:p>
        </w:tc>
        <w:tc>
          <w:tcPr>
            <w:tcW w:w="1606" w:type="dxa"/>
            <w:tcBorders>
              <w:top w:val="nil"/>
              <w:left w:val="nil"/>
              <w:bottom w:val="single" w:color="auto" w:sz="8" w:space="0"/>
              <w:right w:val="single" w:color="auto" w:sz="8" w:space="0"/>
            </w:tcBorders>
            <w:noWrap w:val="0"/>
            <w:vAlign w:val="center"/>
          </w:tcPr>
          <w:p w14:paraId="6DE9A393">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金 额</w:t>
            </w:r>
          </w:p>
        </w:tc>
      </w:tr>
      <w:tr w14:paraId="168F8BBC">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770A7140">
            <w:pPr>
              <w:widowControl/>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721189CF">
            <w:pPr>
              <w:widowControl/>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22EB8048">
            <w:pPr>
              <w:widowControl/>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5ADF27C4">
            <w:pPr>
              <w:widowControl/>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0F2ECF8A">
            <w:pPr>
              <w:widowControl/>
              <w:spacing w:before="100" w:beforeAutospacing="1" w:after="100" w:afterAutospacing="1" w:line="240" w:lineRule="atLeast"/>
              <w:jc w:val="center"/>
              <w:rPr>
                <w:rFonts w:ascii="宋体" w:hAnsi="宋体" w:cs="宋体"/>
                <w:color w:val="auto"/>
                <w:kern w:val="0"/>
                <w:szCs w:val="21"/>
                <w:highlight w:val="none"/>
              </w:rPr>
            </w:pPr>
          </w:p>
        </w:tc>
      </w:tr>
      <w:tr w14:paraId="4FC2A1D6">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1B1CA56E">
            <w:pPr>
              <w:widowControl/>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0F40F079">
            <w:pPr>
              <w:widowControl/>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0B6512B5">
            <w:pPr>
              <w:widowControl/>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329B35EE">
            <w:pPr>
              <w:widowControl/>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34AD11C1">
            <w:pPr>
              <w:widowControl/>
              <w:spacing w:before="100" w:beforeAutospacing="1" w:after="100" w:afterAutospacing="1" w:line="240" w:lineRule="atLeast"/>
              <w:jc w:val="center"/>
              <w:rPr>
                <w:rFonts w:ascii="宋体" w:hAnsi="宋体" w:cs="宋体"/>
                <w:color w:val="auto"/>
                <w:kern w:val="0"/>
                <w:szCs w:val="21"/>
                <w:highlight w:val="none"/>
              </w:rPr>
            </w:pPr>
          </w:p>
        </w:tc>
      </w:tr>
      <w:tr w14:paraId="286EEEC2">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E0F4747">
            <w:pPr>
              <w:widowControl/>
              <w:spacing w:before="100" w:beforeAutospacing="1" w:after="100" w:afterAutospacing="1" w:line="240" w:lineRule="atLeast"/>
              <w:jc w:val="center"/>
              <w:rPr>
                <w:rFonts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39A1584D">
            <w:pPr>
              <w:widowControl/>
              <w:spacing w:before="100" w:beforeAutospacing="1" w:after="100" w:afterAutospacing="1" w:line="240" w:lineRule="atLeast"/>
              <w:jc w:val="center"/>
              <w:rPr>
                <w:rFonts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77BABA44">
            <w:pPr>
              <w:widowControl/>
              <w:spacing w:before="100" w:beforeAutospacing="1" w:after="100" w:afterAutospacing="1" w:line="240" w:lineRule="atLeast"/>
              <w:jc w:val="center"/>
              <w:rPr>
                <w:rFonts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14E37908">
            <w:pPr>
              <w:widowControl/>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563F2F58">
            <w:pPr>
              <w:widowControl/>
              <w:spacing w:before="100" w:beforeAutospacing="1" w:after="100" w:afterAutospacing="1" w:line="240" w:lineRule="atLeast"/>
              <w:jc w:val="center"/>
              <w:rPr>
                <w:rFonts w:ascii="宋体" w:hAnsi="宋体" w:cs="宋体"/>
                <w:color w:val="auto"/>
                <w:kern w:val="0"/>
                <w:szCs w:val="21"/>
                <w:highlight w:val="none"/>
              </w:rPr>
            </w:pPr>
          </w:p>
        </w:tc>
      </w:tr>
      <w:tr w14:paraId="51B59F06">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405C9CB2">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ascii="宋体" w:hAnsi="宋体" w:cs="宋体"/>
                <w:color w:val="auto"/>
                <w:kern w:val="0"/>
                <w:szCs w:val="21"/>
                <w:highlight w:val="none"/>
              </w:rPr>
              <w:t>合 计</w:t>
            </w:r>
          </w:p>
        </w:tc>
        <w:tc>
          <w:tcPr>
            <w:tcW w:w="970" w:type="dxa"/>
            <w:gridSpan w:val="2"/>
            <w:tcBorders>
              <w:top w:val="nil"/>
              <w:left w:val="nil"/>
              <w:bottom w:val="single" w:color="auto" w:sz="8" w:space="0"/>
              <w:right w:val="single" w:color="auto" w:sz="8" w:space="0"/>
            </w:tcBorders>
            <w:noWrap w:val="0"/>
            <w:vAlign w:val="center"/>
          </w:tcPr>
          <w:p w14:paraId="043B2FA2">
            <w:pPr>
              <w:widowControl/>
              <w:spacing w:before="100" w:beforeAutospacing="1" w:after="100" w:afterAutospacing="1" w:line="240" w:lineRule="atLeast"/>
              <w:jc w:val="center"/>
              <w:rPr>
                <w:rFonts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6268DF21">
            <w:pPr>
              <w:widowControl/>
              <w:spacing w:before="100" w:beforeAutospacing="1" w:after="100" w:afterAutospacing="1" w:line="240" w:lineRule="atLeast"/>
              <w:jc w:val="center"/>
              <w:rPr>
                <w:rFonts w:ascii="宋体" w:hAnsi="宋体" w:cs="宋体"/>
                <w:color w:val="auto"/>
                <w:kern w:val="0"/>
                <w:szCs w:val="21"/>
                <w:highlight w:val="none"/>
              </w:rPr>
            </w:pPr>
          </w:p>
        </w:tc>
      </w:tr>
      <w:tr w14:paraId="59DCCCDB">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2747D4E2">
            <w:pPr>
              <w:widowControl/>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ascii="宋体" w:hAnsi="宋体" w:cs="宋体"/>
                <w:color w:val="auto"/>
                <w:kern w:val="0"/>
                <w:szCs w:val="21"/>
                <w:highlight w:val="none"/>
              </w:rPr>
              <w:t>合计大写金额： 仟 佰 拾 万 仟 佰 拾 元</w:t>
            </w:r>
          </w:p>
        </w:tc>
      </w:tr>
      <w:tr w14:paraId="4774D14E">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4337C9F">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3056" w:type="dxa"/>
            <w:gridSpan w:val="2"/>
            <w:tcBorders>
              <w:top w:val="nil"/>
              <w:left w:val="nil"/>
              <w:bottom w:val="single" w:color="auto" w:sz="8" w:space="0"/>
              <w:right w:val="single" w:color="auto" w:sz="8" w:space="0"/>
            </w:tcBorders>
            <w:noWrap w:val="0"/>
            <w:vAlign w:val="center"/>
          </w:tcPr>
          <w:p w14:paraId="49B5DCE4">
            <w:pPr>
              <w:widowControl/>
              <w:spacing w:before="100" w:beforeAutospacing="1" w:after="100" w:afterAutospacing="1" w:line="240" w:lineRule="atLeast"/>
              <w:jc w:val="center"/>
              <w:rPr>
                <w:rFonts w:ascii="宋体" w:hAnsi="宋体" w:cs="宋体"/>
                <w:color w:val="auto"/>
                <w:kern w:val="0"/>
                <w:szCs w:val="21"/>
                <w:highlight w:val="none"/>
              </w:rPr>
            </w:pPr>
          </w:p>
        </w:tc>
        <w:tc>
          <w:tcPr>
            <w:tcW w:w="2565" w:type="dxa"/>
            <w:gridSpan w:val="3"/>
            <w:tcBorders>
              <w:top w:val="nil"/>
              <w:left w:val="nil"/>
              <w:bottom w:val="single" w:color="auto" w:sz="8" w:space="0"/>
              <w:right w:val="single" w:color="auto" w:sz="8" w:space="0"/>
            </w:tcBorders>
            <w:noWrap w:val="0"/>
            <w:vAlign w:val="center"/>
          </w:tcPr>
          <w:p w14:paraId="654461A9">
            <w:pPr>
              <w:widowControl/>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376" w:type="dxa"/>
            <w:gridSpan w:val="2"/>
            <w:tcBorders>
              <w:top w:val="nil"/>
              <w:left w:val="nil"/>
              <w:bottom w:val="single" w:color="auto" w:sz="8" w:space="0"/>
              <w:right w:val="single" w:color="auto" w:sz="8" w:space="0"/>
            </w:tcBorders>
            <w:noWrap w:val="0"/>
            <w:vAlign w:val="center"/>
          </w:tcPr>
          <w:p w14:paraId="1AEA7995">
            <w:pPr>
              <w:widowControl/>
              <w:spacing w:before="100" w:beforeAutospacing="1" w:after="100" w:afterAutospacing="1" w:line="240" w:lineRule="atLeast"/>
              <w:jc w:val="center"/>
              <w:rPr>
                <w:rFonts w:ascii="宋体" w:hAnsi="宋体" w:cs="宋体"/>
                <w:color w:val="auto"/>
                <w:kern w:val="0"/>
                <w:szCs w:val="21"/>
                <w:highlight w:val="none"/>
              </w:rPr>
            </w:pPr>
          </w:p>
        </w:tc>
      </w:tr>
      <w:tr w14:paraId="7686EBAD">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412A0F">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7853AD3A">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152A39D0">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D22C571">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7997" w:type="dxa"/>
            <w:gridSpan w:val="7"/>
            <w:tcBorders>
              <w:top w:val="nil"/>
              <w:left w:val="nil"/>
              <w:bottom w:val="single" w:color="auto" w:sz="8" w:space="0"/>
              <w:right w:val="single" w:color="auto" w:sz="8" w:space="0"/>
            </w:tcBorders>
            <w:noWrap w:val="0"/>
            <w:vAlign w:val="center"/>
          </w:tcPr>
          <w:p w14:paraId="30F4C753">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14:paraId="067405F5">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1363AC2D">
            <w:pPr>
              <w:rPr>
                <w:rFonts w:ascii="宋体" w:hAnsi="宋体"/>
                <w:color w:val="auto"/>
                <w:highlight w:val="none"/>
              </w:rPr>
            </w:pPr>
          </w:p>
        </w:tc>
        <w:tc>
          <w:tcPr>
            <w:tcW w:w="7997" w:type="dxa"/>
            <w:gridSpan w:val="7"/>
            <w:tcBorders>
              <w:top w:val="nil"/>
              <w:left w:val="nil"/>
              <w:bottom w:val="single" w:color="auto" w:sz="8" w:space="0"/>
              <w:right w:val="single" w:color="auto" w:sz="8" w:space="0"/>
            </w:tcBorders>
            <w:noWrap w:val="0"/>
            <w:vAlign w:val="center"/>
          </w:tcPr>
          <w:p w14:paraId="49C052E6">
            <w:pPr>
              <w:widowControl/>
              <w:spacing w:before="100" w:beforeAutospacing="1" w:after="100" w:afterAutospacing="1" w:line="320" w:lineRule="atLeast"/>
              <w:ind w:firstLine="96"/>
              <w:jc w:val="left"/>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14:paraId="4356E2A8">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签字：</w:t>
            </w:r>
          </w:p>
        </w:tc>
      </w:tr>
      <w:tr w14:paraId="24743DAE">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02B323B8">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14:paraId="3BD5B2F9">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2821AC39">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监督人员或其他相关人员签字：</w:t>
            </w:r>
          </w:p>
          <w:p w14:paraId="02DD5452">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或受邀机构的意见（盖章）：</w:t>
            </w:r>
          </w:p>
        </w:tc>
      </w:tr>
      <w:tr w14:paraId="0A9A2598">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5C6777A9">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ascii="宋体" w:hAnsi="宋体" w:cs="宋体"/>
                <w:color w:val="auto"/>
                <w:kern w:val="0"/>
                <w:szCs w:val="21"/>
                <w:highlight w:val="none"/>
              </w:rPr>
              <w:t>中标或者成交供应商负责人签字或盖章：</w:t>
            </w:r>
          </w:p>
          <w:p w14:paraId="31C1241C">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c>
          <w:tcPr>
            <w:tcW w:w="4827" w:type="dxa"/>
            <w:gridSpan w:val="4"/>
            <w:tcBorders>
              <w:top w:val="nil"/>
              <w:left w:val="nil"/>
              <w:bottom w:val="single" w:color="auto" w:sz="8" w:space="0"/>
              <w:right w:val="single" w:color="auto" w:sz="8" w:space="0"/>
            </w:tcBorders>
            <w:noWrap w:val="0"/>
            <w:vAlign w:val="center"/>
          </w:tcPr>
          <w:p w14:paraId="5D77C04D">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采购人或受托机构的意见（盖章）：</w:t>
            </w:r>
          </w:p>
          <w:p w14:paraId="612184B1">
            <w:pPr>
              <w:widowControl/>
              <w:spacing w:before="100" w:beforeAutospacing="1" w:after="100" w:afterAutospacing="1" w:line="320" w:lineRule="atLeast"/>
              <w:jc w:val="left"/>
              <w:rPr>
                <w:rFonts w:ascii="宋体" w:hAnsi="宋体" w:cs="宋体"/>
                <w:color w:val="auto"/>
                <w:kern w:val="0"/>
                <w:szCs w:val="21"/>
                <w:highlight w:val="none"/>
              </w:rPr>
            </w:pPr>
            <w:r>
              <w:rPr>
                <w:rFonts w:ascii="宋体" w:hAnsi="宋体" w:cs="宋体"/>
                <w:color w:val="auto"/>
                <w:kern w:val="0"/>
                <w:szCs w:val="21"/>
                <w:highlight w:val="none"/>
              </w:rPr>
              <w:t>联系电话： 年 月 日</w:t>
            </w:r>
          </w:p>
        </w:tc>
      </w:tr>
    </w:tbl>
    <w:p w14:paraId="35652F1C">
      <w:pPr>
        <w:jc w:val="left"/>
        <w:rPr>
          <w:rFonts w:ascii="宋体" w:hAnsi="宋体"/>
          <w:color w:val="auto"/>
          <w:highlight w:val="none"/>
        </w:rPr>
      </w:pPr>
    </w:p>
    <w:p w14:paraId="616B75EB">
      <w:pPr>
        <w:jc w:val="left"/>
        <w:rPr>
          <w:rFonts w:hint="eastAsia"/>
          <w:color w:val="auto"/>
          <w:highlight w:val="none"/>
        </w:rPr>
      </w:pPr>
      <w:r>
        <w:rPr>
          <w:rFonts w:ascii="宋体" w:hAnsi="宋体"/>
          <w:color w:val="auto"/>
          <w:highlight w:val="none"/>
        </w:rPr>
        <w:br w:type="page"/>
      </w:r>
      <w:r>
        <w:rPr>
          <w:rFonts w:hint="eastAsia" w:ascii="楷体" w:eastAsia="楷体"/>
          <w:color w:val="auto"/>
          <w:kern w:val="0"/>
          <w:sz w:val="32"/>
          <w:szCs w:val="32"/>
          <w:highlight w:val="none"/>
        </w:rPr>
        <w:t>附件2：</w:t>
      </w:r>
    </w:p>
    <w:p w14:paraId="2BB0E856">
      <w:pPr>
        <w:jc w:val="center"/>
        <w:rPr>
          <w:rFonts w:hint="eastAsia" w:ascii="黑体" w:eastAsia="黑体"/>
          <w:color w:val="auto"/>
          <w:sz w:val="32"/>
          <w:szCs w:val="32"/>
          <w:highlight w:val="none"/>
        </w:rPr>
      </w:pPr>
      <w:r>
        <w:rPr>
          <w:rFonts w:hint="eastAsia" w:ascii="黑体" w:eastAsia="黑体"/>
          <w:color w:val="auto"/>
          <w:sz w:val="32"/>
          <w:szCs w:val="32"/>
          <w:highlight w:val="none"/>
        </w:rPr>
        <w:t>政府采购项目履约保证金退付意见书</w:t>
      </w:r>
      <w:r>
        <w:rPr>
          <w:rFonts w:hint="eastAsia" w:ascii="仿宋" w:eastAsia="仿宋" w:cs="宋体"/>
          <w:color w:val="auto"/>
          <w:kern w:val="0"/>
          <w:sz w:val="32"/>
          <w:szCs w:val="32"/>
          <w:highlight w:val="none"/>
        </w:rPr>
        <w:t>（格式）</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4BA6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663C5457">
            <w:pPr>
              <w:jc w:val="center"/>
              <w:rPr>
                <w:rFonts w:hint="eastAsia"/>
                <w:color w:val="auto"/>
                <w:szCs w:val="21"/>
                <w:highlight w:val="none"/>
              </w:rPr>
            </w:pPr>
            <w:r>
              <w:rPr>
                <w:rFonts w:hint="eastAsia"/>
                <w:color w:val="auto"/>
                <w:szCs w:val="21"/>
                <w:highlight w:val="none"/>
              </w:rPr>
              <w:t>供</w:t>
            </w:r>
          </w:p>
          <w:p w14:paraId="2D1C1805">
            <w:pPr>
              <w:jc w:val="center"/>
              <w:rPr>
                <w:rFonts w:hint="eastAsia"/>
                <w:color w:val="auto"/>
                <w:szCs w:val="21"/>
                <w:highlight w:val="none"/>
              </w:rPr>
            </w:pPr>
            <w:r>
              <w:rPr>
                <w:rFonts w:hint="eastAsia"/>
                <w:color w:val="auto"/>
                <w:szCs w:val="21"/>
                <w:highlight w:val="none"/>
              </w:rPr>
              <w:t>应</w:t>
            </w:r>
          </w:p>
          <w:p w14:paraId="402438CD">
            <w:pPr>
              <w:jc w:val="center"/>
              <w:rPr>
                <w:rFonts w:hint="eastAsia"/>
                <w:color w:val="auto"/>
                <w:szCs w:val="21"/>
                <w:highlight w:val="none"/>
              </w:rPr>
            </w:pPr>
            <w:r>
              <w:rPr>
                <w:rFonts w:hint="eastAsia"/>
                <w:color w:val="auto"/>
                <w:szCs w:val="21"/>
                <w:highlight w:val="none"/>
              </w:rPr>
              <w:t>商</w:t>
            </w:r>
          </w:p>
          <w:p w14:paraId="07A420A7">
            <w:pPr>
              <w:jc w:val="center"/>
              <w:rPr>
                <w:rFonts w:hint="eastAsia"/>
                <w:color w:val="auto"/>
                <w:szCs w:val="21"/>
                <w:highlight w:val="none"/>
              </w:rPr>
            </w:pPr>
            <w:r>
              <w:rPr>
                <w:rFonts w:hint="eastAsia"/>
                <w:color w:val="auto"/>
                <w:szCs w:val="21"/>
                <w:highlight w:val="none"/>
              </w:rPr>
              <w:t>申</w:t>
            </w:r>
          </w:p>
          <w:p w14:paraId="6C524C46">
            <w:pPr>
              <w:jc w:val="center"/>
              <w:rPr>
                <w:rFonts w:hint="eastAsia"/>
                <w:color w:val="auto"/>
                <w:szCs w:val="21"/>
                <w:highlight w:val="none"/>
              </w:rPr>
            </w:pPr>
            <w:r>
              <w:rPr>
                <w:rFonts w:hint="eastAsia"/>
                <w:color w:val="auto"/>
                <w:szCs w:val="21"/>
                <w:highlight w:val="none"/>
              </w:rPr>
              <w:t>请</w:t>
            </w:r>
          </w:p>
        </w:tc>
        <w:tc>
          <w:tcPr>
            <w:tcW w:w="8640" w:type="dxa"/>
            <w:noWrap w:val="0"/>
            <w:vAlign w:val="center"/>
          </w:tcPr>
          <w:p w14:paraId="24595587">
            <w:pPr>
              <w:rPr>
                <w:rFonts w:hint="eastAsia"/>
                <w:color w:val="auto"/>
                <w:szCs w:val="21"/>
                <w:highlight w:val="none"/>
              </w:rPr>
            </w:pPr>
            <w:r>
              <w:rPr>
                <w:rFonts w:hint="eastAsia"/>
                <w:color w:val="auto"/>
                <w:szCs w:val="21"/>
                <w:highlight w:val="none"/>
              </w:rPr>
              <w:t>项目编号：</w:t>
            </w:r>
          </w:p>
        </w:tc>
      </w:tr>
      <w:tr w14:paraId="1398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BB3CE79">
            <w:pPr>
              <w:rPr>
                <w:color w:val="auto"/>
                <w:highlight w:val="none"/>
              </w:rPr>
            </w:pPr>
          </w:p>
        </w:tc>
        <w:tc>
          <w:tcPr>
            <w:tcW w:w="8640" w:type="dxa"/>
            <w:noWrap w:val="0"/>
            <w:vAlign w:val="center"/>
          </w:tcPr>
          <w:p w14:paraId="2C17A9F0">
            <w:pPr>
              <w:rPr>
                <w:rFonts w:hint="eastAsia"/>
                <w:color w:val="auto"/>
                <w:szCs w:val="21"/>
                <w:highlight w:val="none"/>
              </w:rPr>
            </w:pPr>
            <w:r>
              <w:rPr>
                <w:rFonts w:hint="eastAsia"/>
                <w:color w:val="auto"/>
                <w:szCs w:val="21"/>
                <w:highlight w:val="none"/>
              </w:rPr>
              <w:t>项目名称：</w:t>
            </w:r>
          </w:p>
        </w:tc>
      </w:tr>
      <w:tr w14:paraId="10E5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3687335D">
            <w:pPr>
              <w:rPr>
                <w:color w:val="auto"/>
                <w:highlight w:val="none"/>
              </w:rPr>
            </w:pPr>
          </w:p>
        </w:tc>
        <w:tc>
          <w:tcPr>
            <w:tcW w:w="8640" w:type="dxa"/>
            <w:noWrap w:val="0"/>
            <w:vAlign w:val="top"/>
          </w:tcPr>
          <w:p w14:paraId="291C5CE6">
            <w:pPr>
              <w:rPr>
                <w:rFonts w:hint="eastAsia"/>
                <w:color w:val="auto"/>
                <w:szCs w:val="21"/>
                <w:highlight w:val="none"/>
              </w:rPr>
            </w:pPr>
            <w:r>
              <w:rPr>
                <w:rFonts w:hint="eastAsia"/>
                <w:color w:val="auto"/>
                <w:szCs w:val="21"/>
                <w:highlight w:val="none"/>
              </w:rPr>
              <w:t xml:space="preserve">  </w:t>
            </w:r>
          </w:p>
          <w:p w14:paraId="0E3225B1">
            <w:pPr>
              <w:spacing w:line="400" w:lineRule="exact"/>
              <w:ind w:firstLine="420" w:firstLineChars="200"/>
              <w:rPr>
                <w:rFonts w:hint="eastAsia"/>
                <w:color w:val="auto"/>
                <w:szCs w:val="21"/>
                <w:highlight w:val="none"/>
              </w:rPr>
            </w:pPr>
            <w:r>
              <w:rPr>
                <w:rFonts w:hint="eastAsia"/>
                <w:color w:val="auto"/>
                <w:szCs w:val="21"/>
                <w:highlight w:val="none"/>
              </w:rPr>
              <w:t>该项目已于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日验收并交付使用。根据合同规定，该项目的履约保证金期限于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日已满，请将履约保证金</w:t>
            </w:r>
          </w:p>
          <w:p w14:paraId="70BB151E">
            <w:pPr>
              <w:spacing w:line="400" w:lineRule="exact"/>
              <w:rPr>
                <w:rFonts w:hint="eastAsia"/>
                <w:color w:val="auto"/>
                <w:szCs w:val="21"/>
                <w:highlight w:val="none"/>
              </w:rPr>
            </w:pPr>
            <w:r>
              <w:rPr>
                <w:rFonts w:hint="eastAsia"/>
                <w:color w:val="auto"/>
                <w:szCs w:val="21"/>
                <w:highlight w:val="none"/>
                <w:u w:val="single"/>
              </w:rPr>
              <w:t xml:space="preserve">                                        </w:t>
            </w:r>
            <w:r>
              <w:rPr>
                <w:rFonts w:hint="eastAsia"/>
                <w:color w:val="auto"/>
                <w:szCs w:val="21"/>
                <w:highlight w:val="none"/>
              </w:rPr>
              <w:t>（大写）¥</w:t>
            </w:r>
            <w:r>
              <w:rPr>
                <w:rFonts w:hint="eastAsia"/>
                <w:color w:val="auto"/>
                <w:szCs w:val="21"/>
                <w:highlight w:val="none"/>
                <w:u w:val="single"/>
              </w:rPr>
              <w:t xml:space="preserve">          </w:t>
            </w:r>
            <w:r>
              <w:rPr>
                <w:rFonts w:hint="eastAsia"/>
                <w:color w:val="auto"/>
                <w:szCs w:val="21"/>
                <w:highlight w:val="none"/>
              </w:rPr>
              <w:t>（小写）退付到达以下账户。</w:t>
            </w:r>
          </w:p>
          <w:p w14:paraId="59954504">
            <w:pPr>
              <w:spacing w:line="400" w:lineRule="exact"/>
              <w:ind w:firstLine="705"/>
              <w:rPr>
                <w:rFonts w:hint="eastAsia"/>
                <w:color w:val="auto"/>
                <w:szCs w:val="21"/>
                <w:highlight w:val="none"/>
              </w:rPr>
            </w:pPr>
            <w:r>
              <w:rPr>
                <w:rFonts w:hint="eastAsia"/>
                <w:color w:val="auto"/>
                <w:szCs w:val="21"/>
                <w:highlight w:val="none"/>
              </w:rPr>
              <w:t>单位名称：</w:t>
            </w:r>
          </w:p>
          <w:p w14:paraId="1EF2279D">
            <w:pPr>
              <w:spacing w:line="400" w:lineRule="exact"/>
              <w:ind w:firstLine="705"/>
              <w:rPr>
                <w:rFonts w:hint="eastAsia"/>
                <w:color w:val="auto"/>
                <w:szCs w:val="21"/>
                <w:highlight w:val="none"/>
              </w:rPr>
            </w:pPr>
            <w:r>
              <w:rPr>
                <w:rFonts w:hint="eastAsia"/>
                <w:color w:val="auto"/>
                <w:szCs w:val="21"/>
                <w:highlight w:val="none"/>
              </w:rPr>
              <w:t>开户银行：</w:t>
            </w:r>
          </w:p>
          <w:p w14:paraId="74BCAE48">
            <w:pPr>
              <w:spacing w:line="400" w:lineRule="exact"/>
              <w:ind w:firstLine="705"/>
              <w:rPr>
                <w:rFonts w:hint="eastAsia"/>
                <w:color w:val="auto"/>
                <w:szCs w:val="21"/>
                <w:highlight w:val="none"/>
              </w:rPr>
            </w:pPr>
            <w:r>
              <w:rPr>
                <w:rFonts w:hint="eastAsia"/>
                <w:color w:val="auto"/>
                <w:szCs w:val="21"/>
                <w:highlight w:val="none"/>
              </w:rPr>
              <w:t>账   号：</w:t>
            </w:r>
          </w:p>
          <w:p w14:paraId="02376A5F">
            <w:pPr>
              <w:spacing w:line="400" w:lineRule="exact"/>
              <w:rPr>
                <w:rFonts w:hint="eastAsia"/>
                <w:color w:val="auto"/>
                <w:szCs w:val="21"/>
                <w:highlight w:val="none"/>
              </w:rPr>
            </w:pPr>
            <w:r>
              <w:rPr>
                <w:rFonts w:hint="eastAsia"/>
                <w:color w:val="auto"/>
                <w:szCs w:val="21"/>
                <w:highlight w:val="none"/>
              </w:rPr>
              <w:t>联系人及电话：</w:t>
            </w:r>
          </w:p>
          <w:p w14:paraId="2C23FC8A">
            <w:pPr>
              <w:spacing w:line="400" w:lineRule="exact"/>
              <w:rPr>
                <w:rFonts w:hint="eastAsia"/>
                <w:color w:val="auto"/>
                <w:szCs w:val="21"/>
                <w:highlight w:val="none"/>
              </w:rPr>
            </w:pPr>
          </w:p>
          <w:p w14:paraId="54AD4DA6">
            <w:pPr>
              <w:spacing w:line="520" w:lineRule="exact"/>
              <w:jc w:val="center"/>
              <w:rPr>
                <w:rFonts w:hint="eastAsia"/>
                <w:color w:val="auto"/>
                <w:szCs w:val="21"/>
                <w:highlight w:val="none"/>
              </w:rPr>
            </w:pPr>
            <w:r>
              <w:rPr>
                <w:rFonts w:hint="eastAsia"/>
                <w:color w:val="auto"/>
                <w:szCs w:val="21"/>
                <w:highlight w:val="none"/>
              </w:rPr>
              <w:t xml:space="preserve">                                     供应商签章：</w:t>
            </w:r>
          </w:p>
          <w:p w14:paraId="29FA9F35">
            <w:pP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51E9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5DBBEBE1">
            <w:pPr>
              <w:jc w:val="center"/>
              <w:rPr>
                <w:rFonts w:hint="eastAsia"/>
                <w:color w:val="auto"/>
                <w:szCs w:val="21"/>
                <w:highlight w:val="none"/>
              </w:rPr>
            </w:pPr>
            <w:r>
              <w:rPr>
                <w:rFonts w:hint="eastAsia"/>
                <w:color w:val="auto"/>
                <w:szCs w:val="21"/>
                <w:highlight w:val="none"/>
              </w:rPr>
              <w:t>采</w:t>
            </w:r>
          </w:p>
          <w:p w14:paraId="7DD110CD">
            <w:pPr>
              <w:jc w:val="center"/>
              <w:rPr>
                <w:rFonts w:hint="eastAsia"/>
                <w:color w:val="auto"/>
                <w:szCs w:val="21"/>
                <w:highlight w:val="none"/>
              </w:rPr>
            </w:pPr>
            <w:r>
              <w:rPr>
                <w:rFonts w:hint="eastAsia"/>
                <w:color w:val="auto"/>
                <w:szCs w:val="21"/>
                <w:highlight w:val="none"/>
              </w:rPr>
              <w:t>购</w:t>
            </w:r>
          </w:p>
          <w:p w14:paraId="3E149930">
            <w:pPr>
              <w:jc w:val="center"/>
              <w:rPr>
                <w:rFonts w:hint="eastAsia"/>
                <w:color w:val="auto"/>
                <w:szCs w:val="21"/>
                <w:highlight w:val="none"/>
              </w:rPr>
            </w:pPr>
            <w:r>
              <w:rPr>
                <w:rFonts w:hint="eastAsia"/>
                <w:color w:val="auto"/>
                <w:szCs w:val="21"/>
                <w:highlight w:val="none"/>
              </w:rPr>
              <w:t>单</w:t>
            </w:r>
          </w:p>
          <w:p w14:paraId="53ABA4E1">
            <w:pPr>
              <w:jc w:val="center"/>
              <w:rPr>
                <w:rFonts w:hint="eastAsia"/>
                <w:color w:val="auto"/>
                <w:szCs w:val="21"/>
                <w:highlight w:val="none"/>
              </w:rPr>
            </w:pPr>
            <w:r>
              <w:rPr>
                <w:rFonts w:hint="eastAsia"/>
                <w:color w:val="auto"/>
                <w:szCs w:val="21"/>
                <w:highlight w:val="none"/>
              </w:rPr>
              <w:t>位</w:t>
            </w:r>
          </w:p>
          <w:p w14:paraId="1AF8E528">
            <w:pPr>
              <w:jc w:val="center"/>
              <w:rPr>
                <w:rFonts w:hint="eastAsia"/>
                <w:color w:val="auto"/>
                <w:szCs w:val="21"/>
                <w:highlight w:val="none"/>
              </w:rPr>
            </w:pPr>
            <w:r>
              <w:rPr>
                <w:rFonts w:hint="eastAsia"/>
                <w:color w:val="auto"/>
                <w:szCs w:val="21"/>
                <w:highlight w:val="none"/>
              </w:rPr>
              <w:t>意</w:t>
            </w:r>
          </w:p>
          <w:p w14:paraId="571C1A85">
            <w:pP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57D35D7B">
            <w:pPr>
              <w:rPr>
                <w:rFonts w:hint="eastAsia"/>
                <w:color w:val="auto"/>
                <w:szCs w:val="21"/>
                <w:highlight w:val="none"/>
              </w:rPr>
            </w:pPr>
          </w:p>
          <w:p w14:paraId="03BB1A29">
            <w:pPr>
              <w:rPr>
                <w:rFonts w:hint="eastAsia"/>
                <w:color w:val="auto"/>
                <w:szCs w:val="21"/>
                <w:highlight w:val="none"/>
              </w:rPr>
            </w:pPr>
            <w:r>
              <w:rPr>
                <w:rFonts w:hint="eastAsia"/>
                <w:color w:val="auto"/>
                <w:szCs w:val="21"/>
                <w:highlight w:val="none"/>
              </w:rPr>
              <w:t>退付意见：是否同意退付履约保证金及退付金额：</w:t>
            </w:r>
          </w:p>
          <w:p w14:paraId="67CB2F69">
            <w:pPr>
              <w:rPr>
                <w:rFonts w:hint="eastAsia"/>
                <w:color w:val="auto"/>
                <w:szCs w:val="21"/>
                <w:highlight w:val="none"/>
              </w:rPr>
            </w:pPr>
          </w:p>
          <w:p w14:paraId="4CE94ADB">
            <w:pPr>
              <w:rPr>
                <w:rFonts w:hint="eastAsia"/>
                <w:color w:val="auto"/>
                <w:szCs w:val="21"/>
                <w:highlight w:val="none"/>
              </w:rPr>
            </w:pPr>
          </w:p>
          <w:p w14:paraId="2407F296">
            <w:pPr>
              <w:spacing w:line="520" w:lineRule="exact"/>
              <w:rPr>
                <w:rFonts w:hint="eastAsia"/>
                <w:color w:val="auto"/>
                <w:szCs w:val="21"/>
                <w:highlight w:val="none"/>
              </w:rPr>
            </w:pPr>
            <w:r>
              <w:rPr>
                <w:rFonts w:hint="eastAsia"/>
                <w:color w:val="auto"/>
                <w:szCs w:val="21"/>
                <w:highlight w:val="none"/>
              </w:rPr>
              <w:t>联系人及电话：                                 采购单位签章</w:t>
            </w:r>
          </w:p>
          <w:p w14:paraId="2E5F931C">
            <w:pPr>
              <w:spacing w:line="520" w:lineRule="exact"/>
              <w:jc w:val="center"/>
              <w:rPr>
                <w:rFonts w:hint="eastAsia"/>
                <w:color w:val="auto"/>
                <w:szCs w:val="21"/>
                <w:highlight w:val="none"/>
              </w:rPr>
            </w:pPr>
            <w:r>
              <w:rPr>
                <w:rFonts w:hint="eastAsia"/>
                <w:color w:val="auto"/>
                <w:szCs w:val="21"/>
                <w:highlight w:val="none"/>
              </w:rPr>
              <w:t xml:space="preserve">                                        年    月     日</w:t>
            </w:r>
          </w:p>
        </w:tc>
      </w:tr>
      <w:tr w14:paraId="794C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07D0DB7">
            <w:pPr>
              <w:jc w:val="center"/>
              <w:rPr>
                <w:rFonts w:hint="eastAsia"/>
                <w:color w:val="auto"/>
                <w:szCs w:val="21"/>
                <w:highlight w:val="none"/>
              </w:rPr>
            </w:pPr>
            <w:r>
              <w:rPr>
                <w:rFonts w:hint="eastAsia"/>
                <w:color w:val="auto"/>
                <w:szCs w:val="21"/>
                <w:highlight w:val="none"/>
              </w:rPr>
              <w:t>财</w:t>
            </w:r>
          </w:p>
          <w:p w14:paraId="040EB331">
            <w:pPr>
              <w:jc w:val="center"/>
              <w:rPr>
                <w:rFonts w:hint="eastAsia"/>
                <w:color w:val="auto"/>
                <w:szCs w:val="21"/>
                <w:highlight w:val="none"/>
              </w:rPr>
            </w:pPr>
            <w:r>
              <w:rPr>
                <w:rFonts w:hint="eastAsia"/>
                <w:color w:val="auto"/>
                <w:szCs w:val="21"/>
                <w:highlight w:val="none"/>
              </w:rPr>
              <w:t>务</w:t>
            </w:r>
          </w:p>
          <w:p w14:paraId="34B93447">
            <w:pPr>
              <w:jc w:val="center"/>
              <w:rPr>
                <w:rFonts w:hint="eastAsia"/>
                <w:color w:val="auto"/>
                <w:szCs w:val="21"/>
                <w:highlight w:val="none"/>
              </w:rPr>
            </w:pPr>
            <w:r>
              <w:rPr>
                <w:rFonts w:hint="eastAsia"/>
                <w:color w:val="auto"/>
                <w:szCs w:val="21"/>
                <w:highlight w:val="none"/>
              </w:rPr>
              <w:t>部</w:t>
            </w:r>
          </w:p>
          <w:p w14:paraId="29A1DC56">
            <w:pPr>
              <w:jc w:val="center"/>
              <w:rPr>
                <w:rFonts w:hint="eastAsia"/>
                <w:color w:val="auto"/>
                <w:szCs w:val="21"/>
                <w:highlight w:val="none"/>
              </w:rPr>
            </w:pPr>
            <w:r>
              <w:rPr>
                <w:rFonts w:hint="eastAsia"/>
                <w:color w:val="auto"/>
                <w:szCs w:val="21"/>
                <w:highlight w:val="none"/>
              </w:rPr>
              <w:t>门</w:t>
            </w:r>
          </w:p>
          <w:p w14:paraId="147E25B6">
            <w:pPr>
              <w:jc w:val="center"/>
              <w:rPr>
                <w:rFonts w:hint="eastAsia"/>
                <w:color w:val="auto"/>
                <w:szCs w:val="21"/>
                <w:highlight w:val="none"/>
              </w:rPr>
            </w:pPr>
            <w:r>
              <w:rPr>
                <w:rFonts w:hint="eastAsia"/>
                <w:color w:val="auto"/>
                <w:szCs w:val="21"/>
                <w:highlight w:val="none"/>
              </w:rPr>
              <w:t>意</w:t>
            </w:r>
          </w:p>
          <w:p w14:paraId="4EDD156C">
            <w:pPr>
              <w:jc w:val="center"/>
              <w:rPr>
                <w:rFonts w:hint="eastAsia"/>
                <w:color w:val="auto"/>
                <w:szCs w:val="21"/>
                <w:highlight w:val="none"/>
              </w:rPr>
            </w:pPr>
            <w:r>
              <w:rPr>
                <w:rFonts w:hint="eastAsia"/>
                <w:color w:val="auto"/>
                <w:szCs w:val="21"/>
                <w:highlight w:val="none"/>
              </w:rPr>
              <w:t>见</w:t>
            </w:r>
          </w:p>
        </w:tc>
        <w:tc>
          <w:tcPr>
            <w:tcW w:w="8640" w:type="dxa"/>
            <w:noWrap w:val="0"/>
            <w:vAlign w:val="top"/>
          </w:tcPr>
          <w:p w14:paraId="5BF90B8A">
            <w:pPr>
              <w:spacing w:line="640" w:lineRule="exact"/>
              <w:rPr>
                <w:rFonts w:hint="eastAsia"/>
                <w:color w:val="auto"/>
                <w:szCs w:val="21"/>
                <w:highlight w:val="none"/>
              </w:rPr>
            </w:pPr>
            <w:r>
              <w:rPr>
                <w:rFonts w:hint="eastAsia"/>
                <w:color w:val="auto"/>
                <w:szCs w:val="21"/>
                <w:highlight w:val="none"/>
              </w:rPr>
              <w:t>此表于</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 xml:space="preserve"> 月 </w:t>
            </w:r>
            <w:r>
              <w:rPr>
                <w:rFonts w:hint="eastAsia"/>
                <w:color w:val="auto"/>
                <w:szCs w:val="21"/>
                <w:highlight w:val="none"/>
                <w:u w:val="single"/>
              </w:rPr>
              <w:t xml:space="preserve">   </w:t>
            </w:r>
            <w:r>
              <w:rPr>
                <w:rFonts w:hint="eastAsia"/>
                <w:color w:val="auto"/>
                <w:szCs w:val="21"/>
                <w:highlight w:val="none"/>
              </w:rPr>
              <w:t xml:space="preserve"> 日收到。</w:t>
            </w:r>
          </w:p>
          <w:p w14:paraId="6ECFF435">
            <w:pPr>
              <w:spacing w:line="640" w:lineRule="exact"/>
              <w:rPr>
                <w:rFonts w:hint="eastAsia"/>
                <w:color w:val="auto"/>
                <w:szCs w:val="21"/>
                <w:highlight w:val="none"/>
              </w:rPr>
            </w:pPr>
            <w:r>
              <w:rPr>
                <w:rFonts w:hint="eastAsia"/>
                <w:color w:val="auto"/>
                <w:szCs w:val="21"/>
                <w:highlight w:val="none"/>
              </w:rPr>
              <w:t>会计审核：</w:t>
            </w:r>
          </w:p>
          <w:p w14:paraId="4DC44D42">
            <w:pPr>
              <w:spacing w:line="640" w:lineRule="exact"/>
              <w:rPr>
                <w:rFonts w:hint="eastAsia"/>
                <w:color w:val="auto"/>
                <w:szCs w:val="21"/>
                <w:highlight w:val="none"/>
              </w:rPr>
            </w:pPr>
            <w:r>
              <w:rPr>
                <w:rFonts w:hint="eastAsia"/>
                <w:color w:val="auto"/>
                <w:szCs w:val="21"/>
                <w:highlight w:val="none"/>
              </w:rPr>
              <w:t>财务负责人审核：</w:t>
            </w:r>
          </w:p>
          <w:p w14:paraId="5EB2047B">
            <w:pPr>
              <w:spacing w:line="640" w:lineRule="exact"/>
              <w:rPr>
                <w:rFonts w:hint="eastAsia"/>
                <w:color w:val="auto"/>
                <w:szCs w:val="21"/>
                <w:highlight w:val="none"/>
              </w:rPr>
            </w:pPr>
            <w:r>
              <w:rPr>
                <w:rFonts w:hint="eastAsia"/>
                <w:color w:val="auto"/>
                <w:szCs w:val="21"/>
                <w:highlight w:val="none"/>
              </w:rPr>
              <w:t>单位负责人签字：</w:t>
            </w:r>
          </w:p>
          <w:p w14:paraId="5A2146D0">
            <w:pPr>
              <w:spacing w:line="640" w:lineRule="exact"/>
              <w:rPr>
                <w:rFonts w:hint="eastAsia"/>
                <w:color w:val="auto"/>
                <w:szCs w:val="21"/>
                <w:highlight w:val="none"/>
              </w:rPr>
            </w:pPr>
            <w:r>
              <w:rPr>
                <w:rFonts w:hint="eastAsia"/>
                <w:color w:val="auto"/>
                <w:szCs w:val="21"/>
                <w:highlight w:val="none"/>
              </w:rPr>
              <w:t>出纳办理转账日期：</w:t>
            </w:r>
          </w:p>
        </w:tc>
      </w:tr>
    </w:tbl>
    <w:p w14:paraId="360B632F">
      <w:pPr>
        <w:spacing w:line="380" w:lineRule="exact"/>
        <w:ind w:left="419" w:leftChars="114" w:hanging="180" w:hangingChars="100"/>
        <w:rPr>
          <w:rFonts w:hint="eastAsia"/>
          <w:color w:val="auto"/>
          <w:highlight w:val="none"/>
        </w:rPr>
      </w:pPr>
      <w:r>
        <w:rPr>
          <w:rFonts w:hint="eastAsia" w:ascii="宋体"/>
          <w:b/>
          <w:bCs/>
          <w:color w:val="auto"/>
          <w:kern w:val="0"/>
          <w:sz w:val="18"/>
          <w:highlight w:val="none"/>
        </w:rPr>
        <w:t>注：供应商凭经采购单位审批的退付意见书办理履约保证金退付事宜。</w:t>
      </w:r>
    </w:p>
    <w:p w14:paraId="1C7D9128">
      <w:pPr>
        <w:jc w:val="left"/>
        <w:rPr>
          <w:rFonts w:hint="eastAsia" w:ascii="楷体" w:eastAsia="楷体"/>
          <w:color w:val="auto"/>
          <w:kern w:val="0"/>
          <w:sz w:val="32"/>
          <w:szCs w:val="32"/>
          <w:highlight w:val="none"/>
        </w:rPr>
      </w:pPr>
      <w:r>
        <w:rPr>
          <w:rFonts w:ascii="宋体" w:hAnsi="宋体"/>
          <w:color w:val="auto"/>
          <w:highlight w:val="none"/>
        </w:rPr>
        <w:br w:type="page"/>
      </w:r>
      <w:r>
        <w:rPr>
          <w:rFonts w:hint="eastAsia" w:ascii="楷体" w:eastAsia="楷体"/>
          <w:color w:val="auto"/>
          <w:kern w:val="0"/>
          <w:sz w:val="32"/>
          <w:szCs w:val="32"/>
          <w:highlight w:val="none"/>
        </w:rPr>
        <w:t>附件3：</w:t>
      </w:r>
    </w:p>
    <w:p w14:paraId="72A48F57">
      <w:pPr>
        <w:spacing w:line="528" w:lineRule="exact"/>
        <w:ind w:firstLine="2000" w:firstLineChars="500"/>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0"/>
        <w:tblW w:w="9220" w:type="dxa"/>
        <w:tblInd w:w="93" w:type="dxa"/>
        <w:tblLayout w:type="autofit"/>
        <w:tblCellMar>
          <w:top w:w="0" w:type="dxa"/>
          <w:left w:w="108" w:type="dxa"/>
          <w:bottom w:w="0" w:type="dxa"/>
          <w:right w:w="108" w:type="dxa"/>
        </w:tblCellMar>
      </w:tblPr>
      <w:tblGrid>
        <w:gridCol w:w="631"/>
        <w:gridCol w:w="1161"/>
        <w:gridCol w:w="1581"/>
        <w:gridCol w:w="1615"/>
        <w:gridCol w:w="4232"/>
      </w:tblGrid>
      <w:tr w14:paraId="095680AC">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61BBDD87">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073A22C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716942B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依据的标准</w:t>
            </w:r>
          </w:p>
        </w:tc>
      </w:tr>
      <w:tr w14:paraId="19A5387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BDB012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2A8B32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3C5F55E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65FBAF3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0463AB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0200BBC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14A64F6">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04B43E">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646E4B75">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00CC2B50">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63751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4D6A924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03CF5D8">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97C713B">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5CB6201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5E3A687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4D4E3F1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180ADB9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AD4016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7CE5965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A41AC5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7EC736B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0EAA2CD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76DB572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040778F">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2B5EB8">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6E0F8F">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4C37745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638F0A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2A487EA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450F7CC">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632F34">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33546D">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2A48B6B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13E33B0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3E66703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0347D2">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85C95E1">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4F293FB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0817C80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2ED6A7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《计算机显示器能效限定值及能效等级》（GB21520）</w:t>
            </w:r>
          </w:p>
        </w:tc>
      </w:tr>
      <w:tr w14:paraId="15D6998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EF21E5">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3C422F">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4C2EE45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36093F0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714B54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217A810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EF3005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080" w:type="dxa"/>
            <w:tcBorders>
              <w:top w:val="nil"/>
              <w:left w:val="nil"/>
              <w:bottom w:val="single" w:color="000000" w:sz="8" w:space="0"/>
              <w:right w:val="single" w:color="000000" w:sz="8" w:space="0"/>
            </w:tcBorders>
            <w:noWrap w:val="0"/>
            <w:vAlign w:val="center"/>
          </w:tcPr>
          <w:p w14:paraId="672985C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A020202投影仪</w:t>
            </w:r>
          </w:p>
        </w:tc>
        <w:tc>
          <w:tcPr>
            <w:tcW w:w="1320" w:type="dxa"/>
            <w:tcBorders>
              <w:top w:val="nil"/>
              <w:left w:val="nil"/>
              <w:bottom w:val="single" w:color="000000" w:sz="8" w:space="0"/>
              <w:right w:val="single" w:color="000000" w:sz="8" w:space="0"/>
            </w:tcBorders>
            <w:noWrap w:val="0"/>
            <w:vAlign w:val="center"/>
          </w:tcPr>
          <w:p w14:paraId="4A6ECF8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5D9C35B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35FA7A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《投影机能效限定值及能效等级》（GB32028）</w:t>
            </w:r>
          </w:p>
        </w:tc>
      </w:tr>
      <w:tr w14:paraId="3B466CC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74000B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080" w:type="dxa"/>
            <w:tcBorders>
              <w:top w:val="nil"/>
              <w:left w:val="nil"/>
              <w:bottom w:val="single" w:color="000000" w:sz="8" w:space="0"/>
              <w:right w:val="single" w:color="000000" w:sz="8" w:space="0"/>
            </w:tcBorders>
            <w:noWrap w:val="0"/>
            <w:vAlign w:val="center"/>
          </w:tcPr>
          <w:p w14:paraId="4604531E">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685A4D9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6E7F04B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35C63EA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4C97FED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29D2C2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080" w:type="dxa"/>
            <w:tcBorders>
              <w:top w:val="nil"/>
              <w:left w:val="nil"/>
              <w:bottom w:val="single" w:color="000000" w:sz="8" w:space="0"/>
              <w:right w:val="single" w:color="000000" w:sz="8" w:space="0"/>
            </w:tcBorders>
            <w:noWrap w:val="0"/>
            <w:vAlign w:val="center"/>
          </w:tcPr>
          <w:p w14:paraId="1E064DA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A020519泵</w:t>
            </w:r>
          </w:p>
        </w:tc>
        <w:tc>
          <w:tcPr>
            <w:tcW w:w="1320" w:type="dxa"/>
            <w:tcBorders>
              <w:top w:val="nil"/>
              <w:left w:val="nil"/>
              <w:bottom w:val="single" w:color="000000" w:sz="8" w:space="0"/>
              <w:right w:val="single" w:color="000000" w:sz="8" w:space="0"/>
            </w:tcBorders>
            <w:noWrap w:val="0"/>
            <w:vAlign w:val="center"/>
          </w:tcPr>
          <w:p w14:paraId="5106886A">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A02051901离心泵</w:t>
            </w:r>
          </w:p>
        </w:tc>
        <w:tc>
          <w:tcPr>
            <w:tcW w:w="1620" w:type="dxa"/>
            <w:tcBorders>
              <w:top w:val="nil"/>
              <w:left w:val="nil"/>
              <w:bottom w:val="single" w:color="000000" w:sz="8" w:space="0"/>
              <w:right w:val="single" w:color="000000" w:sz="8" w:space="0"/>
            </w:tcBorders>
            <w:noWrap w:val="0"/>
            <w:vAlign w:val="center"/>
          </w:tcPr>
          <w:p w14:paraId="2FD8875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480201A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《清水离心泵能效限定值及节能评价值》（GB19762）</w:t>
            </w:r>
          </w:p>
        </w:tc>
      </w:tr>
      <w:tr w14:paraId="49732D16">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FC8E89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974A6E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21E0135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47E09BB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w:t>
            </w:r>
          </w:p>
        </w:tc>
        <w:tc>
          <w:tcPr>
            <w:tcW w:w="4540" w:type="dxa"/>
            <w:tcBorders>
              <w:top w:val="nil"/>
              <w:left w:val="nil"/>
              <w:bottom w:val="single" w:color="000000" w:sz="8" w:space="0"/>
              <w:right w:val="single" w:color="000000" w:sz="8" w:space="0"/>
            </w:tcBorders>
            <w:noWrap w:val="0"/>
            <w:vAlign w:val="center"/>
          </w:tcPr>
          <w:p w14:paraId="01D41B6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《冷水机组能效限定值及能效等级》（GB19577），《低环境温度空气源热泵（冷水）机组能效限定值及能效等级》（GB37480）</w:t>
            </w:r>
          </w:p>
        </w:tc>
      </w:tr>
      <w:tr w14:paraId="74B87A3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A59E379">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0F31AD">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B872F7B">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4558798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水源热泵机组</w:t>
            </w:r>
          </w:p>
        </w:tc>
        <w:tc>
          <w:tcPr>
            <w:tcW w:w="4540" w:type="dxa"/>
            <w:tcBorders>
              <w:top w:val="nil"/>
              <w:left w:val="nil"/>
              <w:bottom w:val="single" w:color="000000" w:sz="8" w:space="0"/>
              <w:right w:val="single" w:color="000000" w:sz="8" w:space="0"/>
            </w:tcBorders>
            <w:noWrap w:val="0"/>
            <w:vAlign w:val="center"/>
          </w:tcPr>
          <w:p w14:paraId="14A22BC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《水（地）源热泵机组能效限定值及能效等级》（GB30721）</w:t>
            </w:r>
          </w:p>
        </w:tc>
      </w:tr>
      <w:tr w14:paraId="09A8EF0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F117353">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4FF7D0">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8DEC16F">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6B94689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288B6B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《溴化锂吸收式冷水机组能效限定值及能效等级》（GB29540）</w:t>
            </w:r>
          </w:p>
        </w:tc>
      </w:tr>
      <w:tr w14:paraId="3CDF703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AC465F">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047714">
            <w:pPr>
              <w:widowControl/>
              <w:jc w:val="left"/>
              <w:rPr>
                <w:rFonts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B8B519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210CD22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6D6918B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2DDB0EE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CE2E9F3">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45EC8B">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445A64">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55C43E7A">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394FE52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《单元式空气调节机能效限定值及能效等级》（GB19576）《风管送风式空调机组能效限定值及能效等级》（GB37479）</w:t>
            </w:r>
          </w:p>
        </w:tc>
      </w:tr>
      <w:tr w14:paraId="6EE97F9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031012E">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A974DB4">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17FEEB9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0A35B55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机房空调</w:t>
            </w:r>
          </w:p>
        </w:tc>
        <w:tc>
          <w:tcPr>
            <w:tcW w:w="4540" w:type="dxa"/>
            <w:tcBorders>
              <w:top w:val="nil"/>
              <w:left w:val="nil"/>
              <w:bottom w:val="single" w:color="000000" w:sz="8" w:space="0"/>
              <w:right w:val="single" w:color="000000" w:sz="8" w:space="0"/>
            </w:tcBorders>
            <w:noWrap w:val="0"/>
            <w:vAlign w:val="center"/>
          </w:tcPr>
          <w:p w14:paraId="0B76B65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w:t>
            </w:r>
          </w:p>
        </w:tc>
      </w:tr>
      <w:tr w14:paraId="1F4020A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E0D1976">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3CFA44">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4B7DB45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0CB5261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冷却塔</w:t>
            </w:r>
          </w:p>
        </w:tc>
        <w:tc>
          <w:tcPr>
            <w:tcW w:w="4540" w:type="dxa"/>
            <w:tcBorders>
              <w:top w:val="nil"/>
              <w:left w:val="nil"/>
              <w:bottom w:val="single" w:color="000000" w:sz="8" w:space="0"/>
              <w:right w:val="single" w:color="000000" w:sz="8" w:space="0"/>
            </w:tcBorders>
            <w:noWrap w:val="0"/>
            <w:vAlign w:val="center"/>
          </w:tcPr>
          <w:p w14:paraId="4C5DC46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《机械通风冷却塔第1部分：中小型开式冷却塔》（GB/T7190.1）；《机械通风冷却塔第2部分：大型开式冷却塔》（GB/T7190.2）</w:t>
            </w:r>
          </w:p>
        </w:tc>
      </w:tr>
      <w:tr w14:paraId="68028FC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53AAA54">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1080" w:type="dxa"/>
            <w:tcBorders>
              <w:top w:val="nil"/>
              <w:left w:val="nil"/>
              <w:bottom w:val="single" w:color="000000" w:sz="8" w:space="0"/>
              <w:right w:val="single" w:color="000000" w:sz="8" w:space="0"/>
            </w:tcBorders>
            <w:noWrap w:val="0"/>
            <w:vAlign w:val="center"/>
          </w:tcPr>
          <w:p w14:paraId="2A9B020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A020601电机</w:t>
            </w:r>
          </w:p>
        </w:tc>
        <w:tc>
          <w:tcPr>
            <w:tcW w:w="1320" w:type="dxa"/>
            <w:tcBorders>
              <w:top w:val="nil"/>
              <w:left w:val="nil"/>
              <w:bottom w:val="single" w:color="000000" w:sz="8" w:space="0"/>
              <w:right w:val="single" w:color="000000" w:sz="8" w:space="0"/>
            </w:tcBorders>
            <w:noWrap w:val="0"/>
            <w:vAlign w:val="center"/>
          </w:tcPr>
          <w:p w14:paraId="19B4C89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4C040B7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E336EE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《中小型三相异步电动机能效限定值及能效等级》（GB18613）</w:t>
            </w:r>
          </w:p>
        </w:tc>
      </w:tr>
      <w:tr w14:paraId="5849909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EC3B18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1080" w:type="dxa"/>
            <w:tcBorders>
              <w:top w:val="nil"/>
              <w:left w:val="nil"/>
              <w:bottom w:val="single" w:color="000000" w:sz="8" w:space="0"/>
              <w:right w:val="single" w:color="000000" w:sz="8" w:space="0"/>
            </w:tcBorders>
            <w:noWrap w:val="0"/>
            <w:vAlign w:val="center"/>
          </w:tcPr>
          <w:p w14:paraId="7703478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A020602变压器</w:t>
            </w:r>
          </w:p>
        </w:tc>
        <w:tc>
          <w:tcPr>
            <w:tcW w:w="1320" w:type="dxa"/>
            <w:tcBorders>
              <w:top w:val="nil"/>
              <w:left w:val="nil"/>
              <w:bottom w:val="single" w:color="000000" w:sz="8" w:space="0"/>
              <w:right w:val="single" w:color="000000" w:sz="8" w:space="0"/>
            </w:tcBorders>
            <w:noWrap w:val="0"/>
            <w:vAlign w:val="center"/>
          </w:tcPr>
          <w:p w14:paraId="23BFFDF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配电变压器</w:t>
            </w:r>
          </w:p>
        </w:tc>
        <w:tc>
          <w:tcPr>
            <w:tcW w:w="1620" w:type="dxa"/>
            <w:tcBorders>
              <w:top w:val="nil"/>
              <w:left w:val="nil"/>
              <w:bottom w:val="single" w:color="000000" w:sz="8" w:space="0"/>
              <w:right w:val="single" w:color="000000" w:sz="8" w:space="0"/>
            </w:tcBorders>
            <w:noWrap w:val="0"/>
            <w:vAlign w:val="center"/>
          </w:tcPr>
          <w:p w14:paraId="6FF3813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B2DAFB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《三相配电变压器能效限定值及能效等级》（GB20052）</w:t>
            </w:r>
          </w:p>
        </w:tc>
      </w:tr>
      <w:tr w14:paraId="6CB3F72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032888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1080" w:type="dxa"/>
            <w:tcBorders>
              <w:top w:val="nil"/>
              <w:left w:val="nil"/>
              <w:bottom w:val="single" w:color="000000" w:sz="8" w:space="0"/>
              <w:right w:val="single" w:color="000000" w:sz="8" w:space="0"/>
            </w:tcBorders>
            <w:noWrap w:val="0"/>
            <w:vAlign w:val="center"/>
          </w:tcPr>
          <w:p w14:paraId="31BDDC8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★A020609镇流器</w:t>
            </w:r>
          </w:p>
        </w:tc>
        <w:tc>
          <w:tcPr>
            <w:tcW w:w="1320" w:type="dxa"/>
            <w:tcBorders>
              <w:top w:val="nil"/>
              <w:left w:val="nil"/>
              <w:bottom w:val="single" w:color="000000" w:sz="8" w:space="0"/>
              <w:right w:val="single" w:color="000000" w:sz="8" w:space="0"/>
            </w:tcBorders>
            <w:noWrap w:val="0"/>
            <w:vAlign w:val="center"/>
          </w:tcPr>
          <w:p w14:paraId="1A87E6E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24A8D51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B447D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《管形荧光灯镇流器能效限定值及能效等级》（GB17896）</w:t>
            </w:r>
          </w:p>
        </w:tc>
      </w:tr>
      <w:tr w14:paraId="14DD163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63AFEF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E50C64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283A55B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72FF6A7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3AEEBD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《家用电冰箱耗电量限定值及能效等级》（GB 12021.2）</w:t>
            </w:r>
          </w:p>
        </w:tc>
      </w:tr>
      <w:tr w14:paraId="67B8E74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4EAB59">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FA115D">
            <w:pPr>
              <w:widowControl/>
              <w:jc w:val="left"/>
              <w:rPr>
                <w:rFonts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1E58AF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03035104">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031FF79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37A39F2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096546F">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AA46D7">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21F24B8">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1A71B4C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385DF01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2036ABA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9E0D90">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1B85A63">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966111D">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7FADA9D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F0470B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《单元式空气调节机能效限定值及能源效率等级》（GB19576）《风管送风式空调机组能效限定值及能效等级》（GB37479）</w:t>
            </w:r>
          </w:p>
        </w:tc>
      </w:tr>
      <w:tr w14:paraId="2968FB0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9C983D">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E62B7E8">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58787DD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2157F6C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A30EE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《电动洗衣机能效水效限定值及等级》（GB12021.4）</w:t>
            </w:r>
          </w:p>
        </w:tc>
      </w:tr>
      <w:tr w14:paraId="59B965B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0BBDDA4">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A931F6D">
            <w:pPr>
              <w:widowControl/>
              <w:jc w:val="left"/>
              <w:rPr>
                <w:rFonts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9763DC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A02061808热水器</w:t>
            </w:r>
          </w:p>
        </w:tc>
        <w:tc>
          <w:tcPr>
            <w:tcW w:w="1620" w:type="dxa"/>
            <w:tcBorders>
              <w:top w:val="nil"/>
              <w:left w:val="nil"/>
              <w:bottom w:val="single" w:color="000000" w:sz="8" w:space="0"/>
              <w:right w:val="single" w:color="000000" w:sz="8" w:space="0"/>
            </w:tcBorders>
            <w:noWrap w:val="0"/>
            <w:vAlign w:val="center"/>
          </w:tcPr>
          <w:p w14:paraId="7B56F24A">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★电热水器</w:t>
            </w:r>
          </w:p>
        </w:tc>
        <w:tc>
          <w:tcPr>
            <w:tcW w:w="4540" w:type="dxa"/>
            <w:tcBorders>
              <w:top w:val="nil"/>
              <w:left w:val="nil"/>
              <w:bottom w:val="single" w:color="000000" w:sz="8" w:space="0"/>
              <w:right w:val="single" w:color="000000" w:sz="8" w:space="0"/>
            </w:tcBorders>
            <w:noWrap w:val="0"/>
            <w:vAlign w:val="center"/>
          </w:tcPr>
          <w:p w14:paraId="3F0CBA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《储水式电热水器能效限定值及能效等级》（GB21519）</w:t>
            </w:r>
          </w:p>
        </w:tc>
      </w:tr>
      <w:tr w14:paraId="405F8AF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CAA0DBF">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76A7FD">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E9106B0">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6571F662">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燃气热水器</w:t>
            </w:r>
          </w:p>
        </w:tc>
        <w:tc>
          <w:tcPr>
            <w:tcW w:w="4540" w:type="dxa"/>
            <w:tcBorders>
              <w:top w:val="nil"/>
              <w:left w:val="nil"/>
              <w:bottom w:val="single" w:color="000000" w:sz="8" w:space="0"/>
              <w:right w:val="single" w:color="000000" w:sz="8" w:space="0"/>
            </w:tcBorders>
            <w:noWrap w:val="0"/>
            <w:vAlign w:val="center"/>
          </w:tcPr>
          <w:p w14:paraId="00C3D33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《家用燃气快速热水器和燃气采暖热水炉能效限定值及能效等级》（GB20665）</w:t>
            </w:r>
          </w:p>
        </w:tc>
      </w:tr>
      <w:tr w14:paraId="162C144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2320095">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0C8AA1">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DC28243">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1DB53F5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热泵热水器</w:t>
            </w:r>
          </w:p>
        </w:tc>
        <w:tc>
          <w:tcPr>
            <w:tcW w:w="4540" w:type="dxa"/>
            <w:tcBorders>
              <w:top w:val="nil"/>
              <w:left w:val="nil"/>
              <w:bottom w:val="single" w:color="000000" w:sz="8" w:space="0"/>
              <w:right w:val="single" w:color="000000" w:sz="8" w:space="0"/>
            </w:tcBorders>
            <w:noWrap w:val="0"/>
            <w:vAlign w:val="center"/>
          </w:tcPr>
          <w:p w14:paraId="67C581E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《热泵热水机（器）能效限定值及能效等级》（GB29541）</w:t>
            </w:r>
          </w:p>
        </w:tc>
      </w:tr>
      <w:tr w14:paraId="59FEBEC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F2EF106">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7AA864">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A0D192">
            <w:pPr>
              <w:widowControl/>
              <w:jc w:val="left"/>
              <w:rPr>
                <w:rFonts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06A886D5">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27380A2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《家用太阳能热水系统能效限定值及能效等级》（GB26969）</w:t>
            </w:r>
          </w:p>
        </w:tc>
      </w:tr>
      <w:tr w14:paraId="19292E73">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97FB15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26B102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A020619照明设备</w:t>
            </w:r>
          </w:p>
        </w:tc>
        <w:tc>
          <w:tcPr>
            <w:tcW w:w="1320" w:type="dxa"/>
            <w:tcBorders>
              <w:top w:val="nil"/>
              <w:left w:val="nil"/>
              <w:bottom w:val="single" w:color="000000" w:sz="8" w:space="0"/>
              <w:right w:val="single" w:color="000000" w:sz="8" w:space="0"/>
            </w:tcBorders>
            <w:noWrap w:val="0"/>
            <w:vAlign w:val="center"/>
          </w:tcPr>
          <w:p w14:paraId="532F8B4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w:t>
            </w:r>
          </w:p>
        </w:tc>
        <w:tc>
          <w:tcPr>
            <w:tcW w:w="1620" w:type="dxa"/>
            <w:tcBorders>
              <w:top w:val="nil"/>
              <w:left w:val="nil"/>
              <w:bottom w:val="single" w:color="000000" w:sz="8" w:space="0"/>
              <w:right w:val="single" w:color="000000" w:sz="8" w:space="0"/>
            </w:tcBorders>
            <w:noWrap w:val="0"/>
            <w:vAlign w:val="center"/>
          </w:tcPr>
          <w:p w14:paraId="1DF4890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3183D1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《普通照明用双端荧光灯能效限定值及能效等级》（GB19043）</w:t>
            </w:r>
          </w:p>
        </w:tc>
      </w:tr>
      <w:tr w14:paraId="5C89B0B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6DA4DE2">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93C614">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1DFB450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LED道路/隧道照明产品</w:t>
            </w:r>
          </w:p>
        </w:tc>
        <w:tc>
          <w:tcPr>
            <w:tcW w:w="1620" w:type="dxa"/>
            <w:tcBorders>
              <w:top w:val="nil"/>
              <w:left w:val="nil"/>
              <w:bottom w:val="single" w:color="000000" w:sz="8" w:space="0"/>
              <w:right w:val="single" w:color="000000" w:sz="8" w:space="0"/>
            </w:tcBorders>
            <w:noWrap w:val="0"/>
            <w:vAlign w:val="center"/>
          </w:tcPr>
          <w:p w14:paraId="4389590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FCE33A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《道路和隧道照明用LED灯具能效限定值及能效等级》（GB37478）</w:t>
            </w:r>
          </w:p>
        </w:tc>
      </w:tr>
      <w:tr w14:paraId="2996D6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A86E51">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FC9D92">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3F2A31EA">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LED筒灯</w:t>
            </w:r>
          </w:p>
        </w:tc>
        <w:tc>
          <w:tcPr>
            <w:tcW w:w="1620" w:type="dxa"/>
            <w:tcBorders>
              <w:top w:val="nil"/>
              <w:left w:val="nil"/>
              <w:bottom w:val="single" w:color="000000" w:sz="8" w:space="0"/>
              <w:right w:val="single" w:color="000000" w:sz="8" w:space="0"/>
            </w:tcBorders>
            <w:noWrap w:val="0"/>
            <w:vAlign w:val="center"/>
          </w:tcPr>
          <w:p w14:paraId="73671BD5">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37F8DC3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5704320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D1A73CF">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30869C">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62805B5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29F1BB0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613A70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0F4B27E5">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6C83E87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w:t>
            </w:r>
          </w:p>
        </w:tc>
        <w:tc>
          <w:tcPr>
            <w:tcW w:w="1080" w:type="dxa"/>
            <w:tcBorders>
              <w:top w:val="nil"/>
              <w:left w:val="nil"/>
              <w:bottom w:val="single" w:color="000000" w:sz="8" w:space="0"/>
              <w:right w:val="single" w:color="000000" w:sz="8" w:space="0"/>
            </w:tcBorders>
            <w:noWrap w:val="0"/>
            <w:vAlign w:val="center"/>
          </w:tcPr>
          <w:p w14:paraId="7B2B164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★A020910电视设备</w:t>
            </w:r>
          </w:p>
        </w:tc>
        <w:tc>
          <w:tcPr>
            <w:tcW w:w="1320" w:type="dxa"/>
            <w:tcBorders>
              <w:top w:val="nil"/>
              <w:left w:val="nil"/>
              <w:bottom w:val="single" w:color="000000" w:sz="8" w:space="0"/>
              <w:right w:val="single" w:color="000000" w:sz="8" w:space="0"/>
            </w:tcBorders>
            <w:noWrap w:val="0"/>
            <w:vAlign w:val="center"/>
          </w:tcPr>
          <w:p w14:paraId="493004AD">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A02091001普通电视设备（电视机）</w:t>
            </w:r>
          </w:p>
        </w:tc>
        <w:tc>
          <w:tcPr>
            <w:tcW w:w="1620" w:type="dxa"/>
            <w:tcBorders>
              <w:top w:val="nil"/>
              <w:left w:val="nil"/>
              <w:bottom w:val="single" w:color="000000" w:sz="8" w:space="0"/>
              <w:right w:val="single" w:color="000000" w:sz="8" w:space="0"/>
            </w:tcBorders>
            <w:noWrap w:val="0"/>
            <w:vAlign w:val="center"/>
          </w:tcPr>
          <w:p w14:paraId="147A4A9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6DC9F1B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《平板电视能效限定值及能效等级》（GB24850）</w:t>
            </w:r>
          </w:p>
        </w:tc>
      </w:tr>
      <w:tr w14:paraId="3E6D2230">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55F6375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13</w:t>
            </w:r>
          </w:p>
        </w:tc>
        <w:tc>
          <w:tcPr>
            <w:tcW w:w="1080" w:type="dxa"/>
            <w:tcBorders>
              <w:top w:val="nil"/>
              <w:left w:val="nil"/>
              <w:bottom w:val="single" w:color="000000" w:sz="8" w:space="0"/>
              <w:right w:val="single" w:color="000000" w:sz="8" w:space="0"/>
            </w:tcBorders>
            <w:noWrap w:val="0"/>
            <w:vAlign w:val="center"/>
          </w:tcPr>
          <w:p w14:paraId="6DAF007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★A020911视频设备</w:t>
            </w:r>
          </w:p>
        </w:tc>
        <w:tc>
          <w:tcPr>
            <w:tcW w:w="1320" w:type="dxa"/>
            <w:tcBorders>
              <w:top w:val="nil"/>
              <w:left w:val="nil"/>
              <w:bottom w:val="single" w:color="000000" w:sz="8" w:space="0"/>
              <w:right w:val="single" w:color="000000" w:sz="8" w:space="0"/>
            </w:tcBorders>
            <w:noWrap w:val="0"/>
            <w:vAlign w:val="center"/>
          </w:tcPr>
          <w:p w14:paraId="58604F8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A02091107视频监控设备</w:t>
            </w:r>
          </w:p>
        </w:tc>
        <w:tc>
          <w:tcPr>
            <w:tcW w:w="1620" w:type="dxa"/>
            <w:tcBorders>
              <w:top w:val="nil"/>
              <w:left w:val="nil"/>
              <w:bottom w:val="single" w:color="000000" w:sz="8" w:space="0"/>
              <w:right w:val="single" w:color="000000" w:sz="8" w:space="0"/>
            </w:tcBorders>
            <w:noWrap w:val="0"/>
            <w:vAlign w:val="center"/>
          </w:tcPr>
          <w:p w14:paraId="7534DBA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4540" w:type="dxa"/>
            <w:tcBorders>
              <w:top w:val="nil"/>
              <w:left w:val="nil"/>
              <w:bottom w:val="single" w:color="000000" w:sz="8" w:space="0"/>
              <w:right w:val="single" w:color="000000" w:sz="8" w:space="0"/>
            </w:tcBorders>
            <w:noWrap w:val="0"/>
            <w:vAlign w:val="center"/>
          </w:tcPr>
          <w:p w14:paraId="1192AD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117955B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E91909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1080" w:type="dxa"/>
            <w:tcBorders>
              <w:top w:val="nil"/>
              <w:left w:val="nil"/>
              <w:bottom w:val="single" w:color="000000" w:sz="8" w:space="0"/>
              <w:right w:val="single" w:color="000000" w:sz="8" w:space="0"/>
            </w:tcBorders>
            <w:noWrap w:val="0"/>
            <w:vAlign w:val="center"/>
          </w:tcPr>
          <w:p w14:paraId="0899621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A031210饮食炊事机械</w:t>
            </w:r>
          </w:p>
        </w:tc>
        <w:tc>
          <w:tcPr>
            <w:tcW w:w="1320" w:type="dxa"/>
            <w:tcBorders>
              <w:top w:val="nil"/>
              <w:left w:val="nil"/>
              <w:bottom w:val="single" w:color="000000" w:sz="8" w:space="0"/>
              <w:right w:val="single" w:color="000000" w:sz="8" w:space="0"/>
            </w:tcBorders>
            <w:noWrap w:val="0"/>
            <w:vAlign w:val="center"/>
          </w:tcPr>
          <w:p w14:paraId="6DEE549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w:t>
            </w:r>
          </w:p>
        </w:tc>
        <w:tc>
          <w:tcPr>
            <w:tcW w:w="1620" w:type="dxa"/>
            <w:tcBorders>
              <w:top w:val="nil"/>
              <w:left w:val="nil"/>
              <w:bottom w:val="single" w:color="000000" w:sz="8" w:space="0"/>
              <w:right w:val="single" w:color="000000" w:sz="8" w:space="0"/>
            </w:tcBorders>
            <w:noWrap w:val="0"/>
            <w:vAlign w:val="center"/>
          </w:tcPr>
          <w:p w14:paraId="03D8752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39004F6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《商用燃气灶具能效限定值及能效等级》（GB30531）</w:t>
            </w:r>
          </w:p>
        </w:tc>
      </w:tr>
      <w:tr w14:paraId="671EEF80">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9F9D516">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E1D916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★A060805便器</w:t>
            </w:r>
          </w:p>
        </w:tc>
        <w:tc>
          <w:tcPr>
            <w:tcW w:w="1320" w:type="dxa"/>
            <w:tcBorders>
              <w:top w:val="nil"/>
              <w:left w:val="nil"/>
              <w:bottom w:val="single" w:color="000000" w:sz="8" w:space="0"/>
              <w:right w:val="single" w:color="000000" w:sz="8" w:space="0"/>
            </w:tcBorders>
            <w:noWrap w:val="0"/>
            <w:vAlign w:val="center"/>
          </w:tcPr>
          <w:p w14:paraId="3F0328D4">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坐便器</w:t>
            </w:r>
          </w:p>
        </w:tc>
        <w:tc>
          <w:tcPr>
            <w:tcW w:w="1620" w:type="dxa"/>
            <w:tcBorders>
              <w:top w:val="nil"/>
              <w:left w:val="nil"/>
              <w:bottom w:val="single" w:color="000000" w:sz="8" w:space="0"/>
              <w:right w:val="single" w:color="000000" w:sz="8" w:space="0"/>
            </w:tcBorders>
            <w:noWrap w:val="0"/>
            <w:vAlign w:val="center"/>
          </w:tcPr>
          <w:p w14:paraId="7DF6537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FA3CD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《坐便器水效限定值及水效等级》（GB25502）</w:t>
            </w:r>
          </w:p>
        </w:tc>
      </w:tr>
      <w:tr w14:paraId="25115CC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39B8222">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FEEA0B2">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3F3BC727">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蹲便器</w:t>
            </w:r>
          </w:p>
        </w:tc>
        <w:tc>
          <w:tcPr>
            <w:tcW w:w="1620" w:type="dxa"/>
            <w:tcBorders>
              <w:top w:val="nil"/>
              <w:left w:val="nil"/>
              <w:bottom w:val="single" w:color="000000" w:sz="8" w:space="0"/>
              <w:right w:val="single" w:color="000000" w:sz="8" w:space="0"/>
            </w:tcBorders>
            <w:noWrap w:val="0"/>
            <w:vAlign w:val="center"/>
          </w:tcPr>
          <w:p w14:paraId="41D2A9CC">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EB689A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《蹲便器用水效率限定值及用水效率等级》（GB30717）</w:t>
            </w:r>
          </w:p>
        </w:tc>
      </w:tr>
      <w:tr w14:paraId="24D1B33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AB6EC66">
            <w:pPr>
              <w:widowControl/>
              <w:jc w:val="left"/>
              <w:rPr>
                <w:rFonts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F36696">
            <w:pPr>
              <w:widowControl/>
              <w:jc w:val="left"/>
              <w:rPr>
                <w:rFonts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2D7DE580">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小便器</w:t>
            </w:r>
          </w:p>
        </w:tc>
        <w:tc>
          <w:tcPr>
            <w:tcW w:w="1620" w:type="dxa"/>
            <w:tcBorders>
              <w:top w:val="nil"/>
              <w:left w:val="nil"/>
              <w:bottom w:val="single" w:color="000000" w:sz="8" w:space="0"/>
              <w:right w:val="single" w:color="000000" w:sz="8" w:space="0"/>
            </w:tcBorders>
            <w:noWrap w:val="0"/>
            <w:vAlign w:val="center"/>
          </w:tcPr>
          <w:p w14:paraId="41A34E7A">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8228D7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《小便器用水效率限定值及用水效率等级》（GB28377）</w:t>
            </w:r>
          </w:p>
        </w:tc>
      </w:tr>
      <w:tr w14:paraId="14734A5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FDDA7C5">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16</w:t>
            </w:r>
          </w:p>
        </w:tc>
        <w:tc>
          <w:tcPr>
            <w:tcW w:w="1080" w:type="dxa"/>
            <w:tcBorders>
              <w:top w:val="nil"/>
              <w:left w:val="nil"/>
              <w:bottom w:val="single" w:color="000000" w:sz="8" w:space="0"/>
              <w:right w:val="single" w:color="000000" w:sz="8" w:space="0"/>
            </w:tcBorders>
            <w:noWrap w:val="0"/>
            <w:vAlign w:val="center"/>
          </w:tcPr>
          <w:p w14:paraId="3BE821E3">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★A060806水嘴</w:t>
            </w:r>
          </w:p>
        </w:tc>
        <w:tc>
          <w:tcPr>
            <w:tcW w:w="1320" w:type="dxa"/>
            <w:tcBorders>
              <w:top w:val="nil"/>
              <w:left w:val="nil"/>
              <w:bottom w:val="single" w:color="000000" w:sz="8" w:space="0"/>
              <w:right w:val="single" w:color="000000" w:sz="8" w:space="0"/>
            </w:tcBorders>
            <w:noWrap w:val="0"/>
            <w:vAlign w:val="center"/>
          </w:tcPr>
          <w:p w14:paraId="5C17535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4DABACA0">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A4E11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《水嘴用水效率限定值及用水效率等级》（GB 25501）</w:t>
            </w:r>
          </w:p>
        </w:tc>
      </w:tr>
      <w:tr w14:paraId="50A08B5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2FABE2B">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17</w:t>
            </w:r>
          </w:p>
        </w:tc>
        <w:tc>
          <w:tcPr>
            <w:tcW w:w="1080" w:type="dxa"/>
            <w:tcBorders>
              <w:top w:val="nil"/>
              <w:left w:val="nil"/>
              <w:bottom w:val="single" w:color="000000" w:sz="8" w:space="0"/>
              <w:right w:val="single" w:color="000000" w:sz="8" w:space="0"/>
            </w:tcBorders>
            <w:noWrap w:val="0"/>
            <w:vAlign w:val="center"/>
          </w:tcPr>
          <w:p w14:paraId="6236C1C9">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436F30E8">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3202D611">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70C399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《便器冲洗阀用水效率限定值及用水效率等级》（GB28379）</w:t>
            </w:r>
          </w:p>
        </w:tc>
      </w:tr>
      <w:tr w14:paraId="122FD7A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00D6DC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18</w:t>
            </w:r>
          </w:p>
        </w:tc>
        <w:tc>
          <w:tcPr>
            <w:tcW w:w="1080" w:type="dxa"/>
            <w:tcBorders>
              <w:top w:val="nil"/>
              <w:left w:val="nil"/>
              <w:bottom w:val="single" w:color="000000" w:sz="8" w:space="0"/>
              <w:right w:val="single" w:color="000000" w:sz="8" w:space="0"/>
            </w:tcBorders>
            <w:noWrap w:val="0"/>
            <w:vAlign w:val="center"/>
          </w:tcPr>
          <w:p w14:paraId="5CB324DF">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A060810淋浴器</w:t>
            </w:r>
          </w:p>
        </w:tc>
        <w:tc>
          <w:tcPr>
            <w:tcW w:w="1320" w:type="dxa"/>
            <w:tcBorders>
              <w:top w:val="nil"/>
              <w:left w:val="nil"/>
              <w:bottom w:val="single" w:color="000000" w:sz="8" w:space="0"/>
              <w:right w:val="single" w:color="000000" w:sz="8" w:space="0"/>
            </w:tcBorders>
            <w:noWrap w:val="0"/>
            <w:vAlign w:val="center"/>
          </w:tcPr>
          <w:p w14:paraId="6294D714">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6CB282D5">
            <w:pPr>
              <w:widowControl/>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A40C53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《淋浴器用水效率限定值及用水效率等级》（GB28378）</w:t>
            </w:r>
          </w:p>
        </w:tc>
      </w:tr>
    </w:tbl>
    <w:p w14:paraId="622C09D6">
      <w:pPr>
        <w:widowControl w:val="0"/>
        <w:spacing w:line="360" w:lineRule="auto"/>
        <w:jc w:val="both"/>
        <w:rPr>
          <w:rFonts w:hint="eastAsia" w:ascii="Times New Roman" w:hAnsi="Times New Roman" w:eastAsia="宋体" w:cs="Times New Roman"/>
          <w:color w:val="auto"/>
          <w:spacing w:val="-3"/>
          <w:kern w:val="2"/>
          <w:sz w:val="21"/>
          <w:szCs w:val="21"/>
          <w:highlight w:val="none"/>
          <w:lang w:val="en-US" w:eastAsia="zh-CN" w:bidi="ar-SA"/>
        </w:rPr>
      </w:pPr>
    </w:p>
    <w:p w14:paraId="17FD56F5">
      <w:pPr>
        <w:widowControl w:val="0"/>
        <w:spacing w:line="360" w:lineRule="auto"/>
        <w:jc w:val="both"/>
        <w:rPr>
          <w:rFonts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pacing w:val="-3"/>
          <w:kern w:val="2"/>
          <w:sz w:val="21"/>
          <w:szCs w:val="21"/>
          <w:highlight w:val="none"/>
          <w:lang w:val="en-US" w:eastAsia="zh-CN" w:bidi="ar-SA"/>
        </w:rPr>
        <w:t>注：</w:t>
      </w:r>
      <w:r>
        <w:rPr>
          <w:rFonts w:ascii="Times New Roman" w:hAnsi="Times New Roman" w:eastAsia="宋体" w:cs="Times New Roman"/>
          <w:color w:val="auto"/>
          <w:spacing w:val="-3"/>
          <w:kern w:val="2"/>
          <w:sz w:val="21"/>
          <w:szCs w:val="21"/>
          <w:highlight w:val="none"/>
          <w:lang w:val="en-US" w:eastAsia="zh-CN" w:bidi="ar-SA"/>
        </w:rPr>
        <w:t>1.</w:t>
      </w:r>
      <w:r>
        <w:rPr>
          <w:rFonts w:hint="eastAsia" w:ascii="Times New Roman" w:hAnsi="Times New Roman" w:eastAsia="宋体" w:cs="Times New Roman"/>
          <w:color w:val="auto"/>
          <w:spacing w:val="-3"/>
          <w:kern w:val="2"/>
          <w:sz w:val="21"/>
          <w:szCs w:val="21"/>
          <w:highlight w:val="none"/>
          <w:lang w:val="en-US" w:eastAsia="zh-CN" w:bidi="ar-SA"/>
        </w:rPr>
        <w:t>节能产品认证应依据相关国家标准的最新版本，依据国家标准中二级能效（水效）</w:t>
      </w:r>
      <w:r>
        <w:rPr>
          <w:rFonts w:hint="eastAsia" w:ascii="Times New Roman" w:hAnsi="Times New Roman" w:eastAsia="宋体" w:cs="Times New Roman"/>
          <w:color w:val="auto"/>
          <w:kern w:val="2"/>
          <w:sz w:val="21"/>
          <w:szCs w:val="21"/>
          <w:highlight w:val="none"/>
          <w:lang w:val="en-US" w:eastAsia="zh-CN" w:bidi="ar-SA"/>
        </w:rPr>
        <w:t>指标。</w:t>
      </w:r>
    </w:p>
    <w:p w14:paraId="794CF473">
      <w:pPr>
        <w:jc w:val="left"/>
        <w:rPr>
          <w:b/>
          <w:bCs/>
          <w:color w:val="auto"/>
          <w:szCs w:val="21"/>
          <w:highlight w:val="none"/>
        </w:rPr>
      </w:pPr>
      <w:r>
        <w:rPr>
          <w:rFonts w:hint="eastAsia" w:ascii="宋体" w:hAnsi="宋体"/>
          <w:color w:val="auto"/>
          <w:szCs w:val="21"/>
          <w:highlight w:val="none"/>
        </w:rPr>
        <w:t xml:space="preserve">    </w:t>
      </w:r>
      <w:r>
        <w:rPr>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p>
    <w:p w14:paraId="61976E48">
      <w:pPr>
        <w:jc w:val="left"/>
        <w:rPr>
          <w:rFonts w:hint="eastAsia" w:ascii="宋体"/>
          <w:color w:val="auto"/>
          <w:sz w:val="32"/>
          <w:szCs w:val="32"/>
          <w:highlight w:val="none"/>
        </w:rPr>
      </w:pPr>
      <w:r>
        <w:rPr>
          <w:b/>
          <w:bCs/>
          <w:color w:val="auto"/>
          <w:szCs w:val="21"/>
          <w:highlight w:val="none"/>
        </w:rPr>
        <w:br w:type="page"/>
      </w:r>
      <w:r>
        <w:rPr>
          <w:rFonts w:hint="eastAsia" w:ascii="楷体" w:eastAsia="楷体"/>
          <w:color w:val="auto"/>
          <w:kern w:val="0"/>
          <w:sz w:val="32"/>
          <w:szCs w:val="32"/>
          <w:highlight w:val="none"/>
        </w:rPr>
        <w:t xml:space="preserve"> </w:t>
      </w:r>
    </w:p>
    <w:p w14:paraId="542F7C4E">
      <w:pPr>
        <w:spacing w:line="400" w:lineRule="exact"/>
        <w:jc w:val="center"/>
        <w:rPr>
          <w:rFonts w:hint="eastAsia" w:ascii="宋体"/>
          <w:color w:val="auto"/>
          <w:sz w:val="32"/>
          <w:szCs w:val="32"/>
          <w:highlight w:val="none"/>
        </w:rPr>
      </w:pPr>
    </w:p>
    <w:p w14:paraId="591D67AD">
      <w:pPr>
        <w:spacing w:line="400" w:lineRule="exact"/>
        <w:jc w:val="center"/>
        <w:rPr>
          <w:rFonts w:hint="eastAsia" w:ascii="宋体"/>
          <w:color w:val="auto"/>
          <w:sz w:val="32"/>
          <w:szCs w:val="32"/>
          <w:highlight w:val="none"/>
        </w:rPr>
      </w:pPr>
    </w:p>
    <w:p w14:paraId="562E92F1">
      <w:pPr>
        <w:spacing w:line="400" w:lineRule="exact"/>
        <w:jc w:val="center"/>
        <w:rPr>
          <w:rFonts w:hint="eastAsia" w:ascii="宋体"/>
          <w:color w:val="auto"/>
          <w:sz w:val="32"/>
          <w:szCs w:val="32"/>
          <w:highlight w:val="none"/>
        </w:rPr>
      </w:pPr>
    </w:p>
    <w:p w14:paraId="4231F2CE">
      <w:pPr>
        <w:spacing w:line="400" w:lineRule="exact"/>
        <w:jc w:val="center"/>
        <w:rPr>
          <w:rFonts w:hint="eastAsia" w:ascii="宋体"/>
          <w:color w:val="auto"/>
          <w:sz w:val="32"/>
          <w:szCs w:val="32"/>
          <w:highlight w:val="none"/>
        </w:rPr>
      </w:pPr>
    </w:p>
    <w:p w14:paraId="418C9103">
      <w:pPr>
        <w:spacing w:line="400" w:lineRule="exact"/>
        <w:jc w:val="center"/>
        <w:rPr>
          <w:rFonts w:hint="eastAsia" w:ascii="宋体"/>
          <w:color w:val="auto"/>
          <w:sz w:val="32"/>
          <w:szCs w:val="32"/>
          <w:highlight w:val="none"/>
        </w:rPr>
      </w:pPr>
    </w:p>
    <w:p w14:paraId="57638EC6">
      <w:pPr>
        <w:spacing w:line="400" w:lineRule="exact"/>
        <w:jc w:val="center"/>
        <w:rPr>
          <w:rFonts w:hint="eastAsia" w:ascii="宋体"/>
          <w:color w:val="auto"/>
          <w:sz w:val="32"/>
          <w:szCs w:val="32"/>
          <w:highlight w:val="none"/>
        </w:rPr>
      </w:pPr>
    </w:p>
    <w:p w14:paraId="491C7284">
      <w:pPr>
        <w:spacing w:line="400" w:lineRule="exact"/>
        <w:jc w:val="center"/>
        <w:rPr>
          <w:rFonts w:hint="eastAsia" w:ascii="宋体"/>
          <w:color w:val="auto"/>
          <w:sz w:val="32"/>
          <w:szCs w:val="32"/>
          <w:highlight w:val="none"/>
        </w:rPr>
      </w:pPr>
    </w:p>
    <w:p w14:paraId="7D47DBE8">
      <w:pPr>
        <w:spacing w:line="400" w:lineRule="exact"/>
        <w:jc w:val="center"/>
        <w:rPr>
          <w:rFonts w:hint="eastAsia" w:ascii="宋体"/>
          <w:color w:val="auto"/>
          <w:sz w:val="32"/>
          <w:szCs w:val="32"/>
          <w:highlight w:val="none"/>
        </w:rPr>
      </w:pPr>
    </w:p>
    <w:p w14:paraId="3787EC77">
      <w:pPr>
        <w:spacing w:line="400" w:lineRule="exact"/>
        <w:jc w:val="center"/>
        <w:rPr>
          <w:rFonts w:hint="eastAsia" w:ascii="宋体"/>
          <w:color w:val="auto"/>
          <w:sz w:val="32"/>
          <w:szCs w:val="32"/>
          <w:highlight w:val="none"/>
        </w:rPr>
      </w:pPr>
    </w:p>
    <w:p w14:paraId="75986ADD">
      <w:pPr>
        <w:spacing w:line="400" w:lineRule="exact"/>
        <w:jc w:val="center"/>
        <w:rPr>
          <w:rFonts w:hint="eastAsia" w:ascii="宋体"/>
          <w:color w:val="auto"/>
          <w:sz w:val="32"/>
          <w:szCs w:val="32"/>
          <w:highlight w:val="none"/>
        </w:rPr>
      </w:pPr>
    </w:p>
    <w:p w14:paraId="597A10D8">
      <w:pPr>
        <w:spacing w:line="400" w:lineRule="exact"/>
        <w:jc w:val="center"/>
        <w:rPr>
          <w:rFonts w:hint="eastAsia" w:ascii="宋体"/>
          <w:color w:val="auto"/>
          <w:sz w:val="32"/>
          <w:szCs w:val="32"/>
          <w:highlight w:val="none"/>
        </w:rPr>
      </w:pPr>
    </w:p>
    <w:p w14:paraId="6B8CFC0E">
      <w:pPr>
        <w:spacing w:line="400" w:lineRule="exact"/>
        <w:rPr>
          <w:rFonts w:hint="eastAsia" w:ascii="宋体"/>
          <w:color w:val="auto"/>
          <w:sz w:val="32"/>
          <w:szCs w:val="32"/>
          <w:highlight w:val="none"/>
        </w:rPr>
      </w:pPr>
    </w:p>
    <w:bookmarkEnd w:id="93"/>
    <w:bookmarkEnd w:id="94"/>
    <w:p w14:paraId="1CFABCA8">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95" w:name="_Toc476436175"/>
      <w:bookmarkStart w:id="96" w:name="_Toc476436434"/>
      <w:r>
        <w:rPr>
          <w:rFonts w:hint="eastAsia" w:ascii="Arial" w:hAnsi="Arial" w:eastAsia="宋体" w:cs="Times New Roman"/>
          <w:b/>
          <w:bCs/>
          <w:color w:val="auto"/>
          <w:kern w:val="2"/>
          <w:sz w:val="44"/>
          <w:szCs w:val="44"/>
          <w:highlight w:val="none"/>
          <w:lang w:val="en-US" w:eastAsia="zh-CN" w:bidi="ar-SA"/>
        </w:rPr>
        <w:t>第四章  评标方法及评分标准</w:t>
      </w:r>
      <w:bookmarkEnd w:id="95"/>
      <w:bookmarkEnd w:id="96"/>
    </w:p>
    <w:p w14:paraId="05985AA9">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bookmarkStart w:id="97" w:name="_Toc254970690"/>
      <w:bookmarkStart w:id="98" w:name="_Toc254970549"/>
    </w:p>
    <w:p w14:paraId="71F28CBA">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41608296">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223A0D78">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5FF5A363">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15003183">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0DD4F53A">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02B13D54">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7E4364ED">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p w14:paraId="06FF5947">
      <w:pPr>
        <w:widowControl w:val="0"/>
        <w:spacing w:line="360" w:lineRule="exact"/>
        <w:jc w:val="both"/>
        <w:rPr>
          <w:rFonts w:hint="eastAsia" w:ascii="宋体" w:hAnsi="Times New Roman" w:eastAsia="宋体" w:cs="Times New Roman"/>
          <w:b/>
          <w:bCs/>
          <w:color w:val="auto"/>
          <w:kern w:val="2"/>
          <w:sz w:val="21"/>
          <w:szCs w:val="21"/>
          <w:highlight w:val="none"/>
          <w:lang w:val="en-US" w:eastAsia="zh-CN" w:bidi="ar-SA"/>
        </w:rPr>
      </w:pPr>
    </w:p>
    <w:bookmarkEnd w:id="97"/>
    <w:bookmarkEnd w:id="98"/>
    <w:p w14:paraId="4C26A21F">
      <w:pPr>
        <w:widowControl w:val="0"/>
        <w:spacing w:line="360" w:lineRule="exact"/>
        <w:ind w:firstLine="3184" w:firstLineChars="995"/>
        <w:jc w:val="both"/>
        <w:rPr>
          <w:rFonts w:hint="eastAsia" w:ascii="仿宋_GB2312" w:hAnsi="Times New Roman" w:eastAsia="仿宋_GB2312" w:cs="Times New Roman"/>
          <w:b/>
          <w:color w:val="auto"/>
          <w:kern w:val="2"/>
          <w:sz w:val="32"/>
          <w:szCs w:val="32"/>
          <w:highlight w:val="none"/>
          <w:lang w:val="en-US" w:eastAsia="zh-CN" w:bidi="ar-SA"/>
        </w:rPr>
      </w:pPr>
    </w:p>
    <w:p w14:paraId="63707BA9">
      <w:pPr>
        <w:widowControl w:val="0"/>
        <w:spacing w:line="360" w:lineRule="exact"/>
        <w:ind w:firstLine="3184" w:firstLineChars="995"/>
        <w:jc w:val="both"/>
        <w:rPr>
          <w:rFonts w:hint="eastAsia" w:ascii="仿宋_GB2312" w:hAnsi="Times New Roman" w:eastAsia="仿宋_GB2312" w:cs="Times New Roman"/>
          <w:b/>
          <w:color w:val="auto"/>
          <w:kern w:val="2"/>
          <w:sz w:val="32"/>
          <w:szCs w:val="32"/>
          <w:highlight w:val="none"/>
          <w:lang w:val="en-US" w:eastAsia="zh-CN" w:bidi="ar-SA"/>
        </w:rPr>
      </w:pPr>
    </w:p>
    <w:p w14:paraId="6CF5C793">
      <w:pPr>
        <w:widowControl w:val="0"/>
        <w:spacing w:line="360" w:lineRule="exact"/>
        <w:ind w:firstLine="3184" w:firstLineChars="995"/>
        <w:jc w:val="both"/>
        <w:rPr>
          <w:rFonts w:hint="eastAsia" w:ascii="仿宋_GB2312" w:hAnsi="Times New Roman" w:eastAsia="仿宋_GB2312" w:cs="Times New Roman"/>
          <w:b/>
          <w:color w:val="auto"/>
          <w:kern w:val="2"/>
          <w:sz w:val="32"/>
          <w:szCs w:val="32"/>
          <w:highlight w:val="none"/>
          <w:lang w:val="en-US" w:eastAsia="zh-CN" w:bidi="ar-SA"/>
        </w:rPr>
      </w:pPr>
    </w:p>
    <w:p w14:paraId="5B5C65B0">
      <w:pPr>
        <w:widowControl w:val="0"/>
        <w:spacing w:line="560" w:lineRule="exact"/>
        <w:jc w:val="center"/>
        <w:rPr>
          <w:rFonts w:hint="eastAsia" w:ascii="宋体" w:hAnsi="Times New Roman" w:eastAsia="宋体" w:cs="Times New Roman"/>
          <w:b/>
          <w:color w:val="auto"/>
          <w:kern w:val="2"/>
          <w:sz w:val="32"/>
          <w:szCs w:val="32"/>
          <w:highlight w:val="none"/>
          <w:lang w:val="en-US" w:eastAsia="zh-CN" w:bidi="ar-SA"/>
        </w:rPr>
      </w:pPr>
      <w:r>
        <w:rPr>
          <w:rFonts w:hint="eastAsia" w:ascii="仿宋_GB2312" w:hAnsi="Times New Roman" w:eastAsia="仿宋_GB2312" w:cs="Times New Roman"/>
          <w:b/>
          <w:color w:val="auto"/>
          <w:kern w:val="2"/>
          <w:sz w:val="32"/>
          <w:szCs w:val="32"/>
          <w:highlight w:val="none"/>
          <w:lang w:val="en-US" w:eastAsia="zh-CN" w:bidi="ar-SA"/>
        </w:rPr>
        <w:br w:type="page"/>
      </w:r>
      <w:r>
        <w:rPr>
          <w:rFonts w:hint="eastAsia" w:ascii="宋体" w:hAnsi="Times New Roman" w:eastAsia="宋体" w:cs="Times New Roman"/>
          <w:b/>
          <w:color w:val="auto"/>
          <w:kern w:val="2"/>
          <w:sz w:val="32"/>
          <w:szCs w:val="32"/>
          <w:highlight w:val="none"/>
          <w:lang w:val="en-US" w:eastAsia="zh-CN" w:bidi="ar-SA"/>
        </w:rPr>
        <w:t>评标方法及评分标准</w:t>
      </w:r>
    </w:p>
    <w:p w14:paraId="7ADA74DC">
      <w:pPr>
        <w:widowControl w:val="0"/>
        <w:adjustRightInd w:val="0"/>
        <w:spacing w:after="156" w:line="380" w:lineRule="exact"/>
        <w:ind w:left="0"/>
        <w:jc w:val="both"/>
        <w:textAlignment w:val="baseline"/>
        <w:rPr>
          <w:rFonts w:hint="eastAsia" w:ascii="宋体" w:hAnsi="宋体" w:eastAsia="宋体" w:cs="Times New Roman"/>
          <w:b/>
          <w:bCs/>
          <w:color w:val="auto"/>
          <w:kern w:val="0"/>
          <w:sz w:val="21"/>
          <w:szCs w:val="20"/>
          <w:highlight w:val="none"/>
          <w:lang w:val="en-US" w:eastAsia="zh-CN" w:bidi="ar-SA"/>
        </w:rPr>
      </w:pPr>
      <w:r>
        <w:rPr>
          <w:rFonts w:hint="eastAsia" w:ascii="宋体" w:hAnsi="宋体" w:eastAsia="宋体" w:cs="Times New Roman"/>
          <w:b/>
          <w:bCs/>
          <w:color w:val="auto"/>
          <w:kern w:val="0"/>
          <w:sz w:val="21"/>
          <w:szCs w:val="20"/>
          <w:highlight w:val="none"/>
          <w:lang w:val="en-US" w:eastAsia="zh-CN" w:bidi="ar-SA"/>
        </w:rPr>
        <w:t>一、评标原则</w:t>
      </w:r>
    </w:p>
    <w:p w14:paraId="406F740B">
      <w:pPr>
        <w:widowControl w:val="0"/>
        <w:adjustRightInd w:val="0"/>
        <w:spacing w:line="380" w:lineRule="exact"/>
        <w:ind w:left="0"/>
        <w:jc w:val="both"/>
        <w:textAlignment w:val="baseline"/>
        <w:rPr>
          <w:rFonts w:hint="eastAsia"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 xml:space="preserve">    （一）评委组成：</w:t>
      </w:r>
      <w:r>
        <w:rPr>
          <w:rFonts w:hint="eastAsia" w:ascii="Times New Roman" w:hAnsi="Times New Roman" w:eastAsia="宋体" w:cs="Times New Roman"/>
          <w:bCs/>
          <w:color w:val="auto"/>
          <w:kern w:val="0"/>
          <w:sz w:val="21"/>
          <w:szCs w:val="21"/>
          <w:highlight w:val="none"/>
          <w:lang w:val="en-US" w:eastAsia="zh-CN" w:bidi="ar-SA"/>
        </w:rPr>
        <w:t>本招标采购项目的评标委员会由采购人代表和评审专家组成，成员人数应当为五人以上单数。其中，评审专家不得少于成员总数的三分之二。</w:t>
      </w:r>
    </w:p>
    <w:p w14:paraId="78F06079">
      <w:pPr>
        <w:widowControl w:val="0"/>
        <w:adjustRightInd w:val="0"/>
        <w:spacing w:line="380" w:lineRule="exact"/>
        <w:ind w:left="0"/>
        <w:jc w:val="both"/>
        <w:textAlignment w:val="baseline"/>
        <w:rPr>
          <w:rFonts w:ascii="宋体" w:hAnsi="宋体" w:eastAsia="宋体" w:cs="Times New Roman"/>
          <w:b/>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 xml:space="preserve">    （二）评标依据：</w:t>
      </w:r>
      <w:r>
        <w:rPr>
          <w:rFonts w:hint="eastAsia" w:ascii="Times New Roman" w:hAnsi="Times New Roman" w:eastAsia="宋体" w:cs="Times New Roman"/>
          <w:bCs/>
          <w:color w:val="auto"/>
          <w:kern w:val="0"/>
          <w:sz w:val="21"/>
          <w:szCs w:val="21"/>
          <w:highlight w:val="none"/>
          <w:lang w:val="en-US" w:eastAsia="zh-CN" w:bidi="ar-SA"/>
        </w:rPr>
        <w:t>评委将以招投标文件为评标依据，对投标人的投标文件内容按百分制打分。</w:t>
      </w:r>
    </w:p>
    <w:p w14:paraId="2F12EB98">
      <w:pPr>
        <w:widowControl w:val="0"/>
        <w:adjustRightInd w:val="0"/>
        <w:spacing w:line="380" w:lineRule="exact"/>
        <w:ind w:left="0"/>
        <w:jc w:val="both"/>
        <w:textAlignment w:val="baseline"/>
        <w:rPr>
          <w:rFonts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 xml:space="preserve">    （三）评标方式：以封闭方式进行。</w:t>
      </w:r>
    </w:p>
    <w:p w14:paraId="2D56E9D8">
      <w:pPr>
        <w:widowControl w:val="0"/>
        <w:adjustRightInd w:val="0"/>
        <w:spacing w:line="380" w:lineRule="exact"/>
        <w:ind w:left="0"/>
        <w:jc w:val="both"/>
        <w:textAlignment w:val="baseline"/>
        <w:rPr>
          <w:rFonts w:ascii="宋体" w:hAnsi="宋体" w:eastAsia="宋体" w:cs="Times New Roman"/>
          <w:b/>
          <w:bCs/>
          <w:color w:val="auto"/>
          <w:kern w:val="0"/>
          <w:sz w:val="21"/>
          <w:szCs w:val="20"/>
          <w:highlight w:val="none"/>
          <w:lang w:val="en-US" w:eastAsia="zh-CN" w:bidi="ar-SA"/>
        </w:rPr>
      </w:pPr>
      <w:r>
        <w:rPr>
          <w:rFonts w:hint="eastAsia" w:ascii="宋体" w:hAnsi="宋体" w:eastAsia="宋体" w:cs="Times New Roman"/>
          <w:b/>
          <w:bCs/>
          <w:color w:val="auto"/>
          <w:kern w:val="0"/>
          <w:sz w:val="21"/>
          <w:szCs w:val="20"/>
          <w:highlight w:val="none"/>
          <w:lang w:val="en-US" w:eastAsia="zh-CN" w:bidi="ar-SA"/>
        </w:rPr>
        <w:t>二、评标方法</w:t>
      </w:r>
    </w:p>
    <w:p w14:paraId="6CC3EA23">
      <w:pPr>
        <w:widowControl w:val="0"/>
        <w:adjustRightInd w:val="0"/>
        <w:spacing w:line="380" w:lineRule="exact"/>
        <w:ind w:left="0"/>
        <w:jc w:val="both"/>
        <w:textAlignment w:val="baseline"/>
        <w:rPr>
          <w:rFonts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（一）对进入详评的，采用百分制综合评分法。</w:t>
      </w:r>
    </w:p>
    <w:p w14:paraId="04A50508">
      <w:pPr>
        <w:widowControl w:val="0"/>
        <w:adjustRightInd w:val="0"/>
        <w:spacing w:line="380" w:lineRule="exact"/>
        <w:ind w:left="0"/>
        <w:jc w:val="both"/>
        <w:textAlignment w:val="baseline"/>
        <w:rPr>
          <w:rFonts w:hint="eastAsia"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（二）计分办法（按四舍五入取至百分位）：</w:t>
      </w:r>
    </w:p>
    <w:tbl>
      <w:tblPr>
        <w:tblStyle w:val="20"/>
        <w:tblW w:w="944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93"/>
        <w:gridCol w:w="924"/>
        <w:gridCol w:w="1403"/>
        <w:gridCol w:w="6724"/>
      </w:tblGrid>
      <w:tr w14:paraId="57DB2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noWrap w:val="0"/>
            <w:vAlign w:val="center"/>
          </w:tcPr>
          <w:p w14:paraId="192C8272">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924" w:type="dxa"/>
            <w:noWrap w:val="0"/>
            <w:vAlign w:val="top"/>
          </w:tcPr>
          <w:p w14:paraId="6918AA30">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
                <w:bCs/>
                <w:color w:val="auto"/>
                <w:sz w:val="21"/>
                <w:szCs w:val="21"/>
                <w:highlight w:val="none"/>
                <w:lang w:eastAsia="zh-Hans"/>
              </w:rPr>
            </w:pPr>
            <w:r>
              <w:rPr>
                <w:rFonts w:hint="eastAsia" w:ascii="宋体" w:hAnsi="宋体" w:eastAsia="宋体" w:cs="宋体"/>
                <w:b/>
                <w:bCs/>
                <w:color w:val="auto"/>
                <w:sz w:val="21"/>
                <w:szCs w:val="21"/>
                <w:highlight w:val="none"/>
                <w:lang w:eastAsia="zh-Hans"/>
              </w:rPr>
              <w:t>评审</w:t>
            </w:r>
          </w:p>
          <w:p w14:paraId="5C4C2C65">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
                <w:bCs/>
                <w:color w:val="auto"/>
                <w:sz w:val="21"/>
                <w:szCs w:val="21"/>
                <w:highlight w:val="none"/>
                <w:lang w:eastAsia="zh-Hans"/>
              </w:rPr>
            </w:pPr>
            <w:r>
              <w:rPr>
                <w:rFonts w:hint="eastAsia" w:ascii="宋体" w:hAnsi="宋体" w:eastAsia="宋体" w:cs="宋体"/>
                <w:b/>
                <w:bCs/>
                <w:color w:val="auto"/>
                <w:sz w:val="21"/>
                <w:szCs w:val="21"/>
                <w:highlight w:val="none"/>
                <w:lang w:eastAsia="zh-Hans"/>
              </w:rPr>
              <w:t>因素</w:t>
            </w:r>
          </w:p>
        </w:tc>
        <w:tc>
          <w:tcPr>
            <w:tcW w:w="8127" w:type="dxa"/>
            <w:gridSpan w:val="2"/>
            <w:noWrap w:val="0"/>
            <w:vAlign w:val="center"/>
          </w:tcPr>
          <w:p w14:paraId="4B189EEA">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
                <w:bCs/>
                <w:color w:val="auto"/>
                <w:sz w:val="21"/>
                <w:szCs w:val="21"/>
                <w:highlight w:val="none"/>
                <w:lang w:eastAsia="zh-Hans"/>
              </w:rPr>
            </w:pPr>
            <w:r>
              <w:rPr>
                <w:rFonts w:hint="eastAsia" w:ascii="宋体" w:hAnsi="宋体" w:eastAsia="宋体" w:cs="宋体"/>
                <w:b/>
                <w:bCs/>
                <w:color w:val="auto"/>
                <w:sz w:val="21"/>
                <w:szCs w:val="21"/>
                <w:highlight w:val="none"/>
                <w:lang w:eastAsia="zh-Hans"/>
              </w:rPr>
              <w:t>评审标准</w:t>
            </w:r>
          </w:p>
        </w:tc>
      </w:tr>
      <w:tr w14:paraId="769E2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tcBorders>
              <w:bottom w:val="single" w:color="auto" w:sz="4" w:space="0"/>
            </w:tcBorders>
            <w:noWrap w:val="0"/>
            <w:vAlign w:val="center"/>
          </w:tcPr>
          <w:p w14:paraId="49833E1B">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24" w:type="dxa"/>
            <w:tcBorders>
              <w:bottom w:val="single" w:color="auto" w:sz="4" w:space="0"/>
            </w:tcBorders>
            <w:noWrap w:val="0"/>
            <w:vAlign w:val="center"/>
          </w:tcPr>
          <w:p w14:paraId="023A5BDB">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lang w:eastAsia="zh-Hans"/>
              </w:rPr>
              <w:t>投标报价</w:t>
            </w:r>
            <w:r>
              <w:rPr>
                <w:rFonts w:hint="eastAsia" w:ascii="宋体" w:hAnsi="宋体" w:eastAsia="宋体" w:cs="宋体"/>
                <w:color w:val="auto"/>
                <w:sz w:val="21"/>
                <w:szCs w:val="21"/>
                <w:highlight w:val="none"/>
              </w:rPr>
              <w:t xml:space="preserve">（满分 </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 xml:space="preserve"> 分）</w:t>
            </w:r>
          </w:p>
        </w:tc>
        <w:tc>
          <w:tcPr>
            <w:tcW w:w="1403" w:type="dxa"/>
            <w:tcBorders>
              <w:bottom w:val="single" w:color="auto" w:sz="4" w:space="0"/>
            </w:tcBorders>
            <w:noWrap w:val="0"/>
            <w:vAlign w:val="center"/>
          </w:tcPr>
          <w:p w14:paraId="47FBB62E">
            <w:pPr>
              <w:keepNext w:val="0"/>
              <w:keepLines w:val="0"/>
              <w:pageBreakBefore w:val="0"/>
              <w:widowControl w:val="0"/>
              <w:kinsoku/>
              <w:wordWrap/>
              <w:overflowPunct/>
              <w:topLinePunct w:val="0"/>
              <w:autoSpaceDE/>
              <w:autoSpaceDN/>
              <w:bidi w:val="0"/>
              <w:spacing w:line="400" w:lineRule="exact"/>
              <w:ind w:left="-92" w:leftChars="-44"/>
              <w:jc w:val="center"/>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lang w:eastAsia="zh-Hans"/>
              </w:rPr>
              <w:t>投标报价得分 (3</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Hans"/>
              </w:rPr>
              <w:t>分)</w:t>
            </w:r>
          </w:p>
        </w:tc>
        <w:tc>
          <w:tcPr>
            <w:tcW w:w="6724" w:type="dxa"/>
            <w:noWrap w:val="0"/>
            <w:vAlign w:val="top"/>
          </w:tcPr>
          <w:p w14:paraId="4ED6EFB9">
            <w:pPr>
              <w:widowControl w:val="0"/>
              <w:spacing w:line="360" w:lineRule="exact"/>
              <w:ind w:firstLine="420" w:firstLineChars="20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（1）评标报价为投标人的投标报价进行政策性扣除后的价格，评标报价只是作为评标时使用。最终中标人的中标金额等于投标报价。</w:t>
            </w:r>
          </w:p>
          <w:p w14:paraId="6727C304">
            <w:pPr>
              <w:snapToGrid w:val="0"/>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（2）政策性扣除计算方法。</w:t>
            </w:r>
          </w:p>
          <w:p w14:paraId="548B137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根据《政府采购促进中小企业发展管理办法》（财库〔2020〕46号）及</w:t>
            </w:r>
            <w:r>
              <w:rPr>
                <w:rFonts w:hint="eastAsia" w:ascii="宋体" w:hAnsi="宋体" w:eastAsia="宋体" w:cs="宋体"/>
                <w:b/>
                <w:bCs/>
                <w:color w:val="auto"/>
                <w:szCs w:val="21"/>
                <w:highlight w:val="none"/>
              </w:rPr>
              <w:t>《</w:t>
            </w:r>
            <w:r>
              <w:rPr>
                <w:rFonts w:hint="eastAsia" w:ascii="宋体" w:hAnsi="宋体" w:eastAsia="宋体" w:cs="宋体"/>
                <w:bCs/>
                <w:color w:val="auto"/>
                <w:szCs w:val="21"/>
                <w:highlight w:val="none"/>
              </w:rPr>
              <w:t>广西壮族自治区财政厅关于持续优化政府采购营商环境推动高质量发展的通知</w:t>
            </w:r>
            <w:r>
              <w:rPr>
                <w:rFonts w:hint="eastAsia" w:ascii="宋体" w:hAnsi="宋体" w:eastAsia="宋体" w:cs="宋体"/>
                <w:b/>
                <w:bCs/>
                <w:color w:val="auto"/>
                <w:szCs w:val="21"/>
                <w:highlight w:val="none"/>
              </w:rPr>
              <w:t>》（</w:t>
            </w:r>
            <w:r>
              <w:rPr>
                <w:rFonts w:hint="eastAsia" w:ascii="宋体" w:hAnsi="宋体" w:eastAsia="宋体" w:cs="宋体"/>
                <w:bCs/>
                <w:color w:val="auto"/>
                <w:szCs w:val="21"/>
                <w:highlight w:val="none"/>
              </w:rPr>
              <w:t>桂财采〔2024〕55号</w:t>
            </w:r>
            <w:r>
              <w:rPr>
                <w:rFonts w:hint="eastAsia" w:ascii="宋体" w:hAnsi="宋体" w:eastAsia="宋体" w:cs="宋体"/>
                <w:b/>
                <w:bCs/>
                <w:color w:val="auto"/>
                <w:szCs w:val="21"/>
                <w:highlight w:val="none"/>
              </w:rPr>
              <w:t>）</w:t>
            </w:r>
            <w:r>
              <w:rPr>
                <w:rFonts w:hint="eastAsia" w:ascii="宋体" w:hAnsi="宋体" w:eastAsia="宋体" w:cs="宋体"/>
                <w:bCs/>
                <w:color w:val="auto"/>
                <w:szCs w:val="21"/>
                <w:highlight w:val="none"/>
              </w:rPr>
              <w:t>的规定，投标人在其投标文件中提供《中小企业声明函》，且其投标全部货物由小微企业制造的，对其投标报价给予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的扣除，扣除后的价格为评标报价，即评标报价=投标报价×（1-</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bCs/>
                <w:color w:val="auto"/>
                <w:szCs w:val="21"/>
                <w:highlight w:val="none"/>
                <w:u w:val="single"/>
              </w:rPr>
              <w:t>4</w:t>
            </w:r>
            <w:r>
              <w:rPr>
                <w:rFonts w:hint="eastAsia" w:ascii="宋体" w:hAnsi="宋体" w:eastAsia="宋体" w:cs="宋体"/>
                <w:bCs/>
                <w:color w:val="auto"/>
                <w:szCs w:val="21"/>
                <w:highlight w:val="none"/>
              </w:rPr>
              <w:t>%（范围为4%-6%）的扣除，用扣除后的价格参加评审，扣除后的价格为评标报价，即评标报价=投标报价×（1-</w:t>
            </w:r>
            <w:r>
              <w:rPr>
                <w:rFonts w:hint="eastAsia" w:ascii="宋体" w:hAnsi="宋体" w:eastAsia="宋体" w:cs="宋体"/>
                <w:bCs/>
                <w:color w:val="auto"/>
                <w:szCs w:val="21"/>
                <w:highlight w:val="none"/>
                <w:u w:val="single"/>
              </w:rPr>
              <w:t>4</w:t>
            </w:r>
            <w:r>
              <w:rPr>
                <w:rFonts w:hint="eastAsia" w:ascii="宋体" w:hAnsi="宋体" w:eastAsia="宋体" w:cs="宋体"/>
                <w:bCs/>
                <w:color w:val="auto"/>
                <w:szCs w:val="21"/>
                <w:highlight w:val="none"/>
              </w:rPr>
              <w:t>%）。除上述情况外，评标报价=投标报价。</w:t>
            </w:r>
          </w:p>
          <w:p w14:paraId="094C9F4E">
            <w:pPr>
              <w:snapToGrid w:val="0"/>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监狱企业属于小型、微型企业的，不重复享受政策。</w:t>
            </w:r>
          </w:p>
          <w:p w14:paraId="562C13BA">
            <w:pPr>
              <w:snapToGrid w:val="0"/>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（4）按照</w:t>
            </w:r>
            <w:r>
              <w:rPr>
                <w:rFonts w:hint="eastAsia" w:ascii="宋体" w:hAnsi="宋体" w:eastAsia="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Cs w:val="21"/>
                <w:highlight w:val="none"/>
              </w:rPr>
              <w:t>残疾人福利性单位属于小型、微型企业的，不重复享受政策。</w:t>
            </w:r>
          </w:p>
          <w:p w14:paraId="6F8CFA18">
            <w:pPr>
              <w:snapToGrid w:val="0"/>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color w:val="auto"/>
                <w:szCs w:val="21"/>
                <w:highlight w:val="none"/>
              </w:rPr>
              <w:t>根据《国务院办公厅关于在政府采购中实施本国产品标准及相关政策的通知》（国办发〔2025〕34号）的规定，供应商对其提供的产品出具符合要求的《关于符合本国产品标准的声明函》，该产品视为本国产品。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0C7469">
            <w:pPr>
              <w:keepNext w:val="0"/>
              <w:keepLines w:val="0"/>
              <w:pageBreakBefore w:val="0"/>
              <w:widowControl w:val="0"/>
              <w:kinsoku/>
              <w:wordWrap/>
              <w:overflowPunct/>
              <w:topLinePunct w:val="0"/>
              <w:autoSpaceDE/>
              <w:autoSpaceDN/>
              <w:bidi w:val="0"/>
              <w:snapToGrid w:val="0"/>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Cs w:val="21"/>
                <w:highlight w:val="none"/>
              </w:rPr>
              <w:t>（6）满足招标文件要求且评标报价最低的评标报价为评标基准价，其价格分为满分。</w:t>
            </w:r>
          </w:p>
          <w:p w14:paraId="1CDE5518">
            <w:pPr>
              <w:keepNext w:val="0"/>
              <w:keepLines w:val="0"/>
              <w:pageBreakBefore w:val="0"/>
              <w:widowControl w:val="0"/>
              <w:kinsoku/>
              <w:wordWrap/>
              <w:overflowPunct/>
              <w:topLinePunct w:val="0"/>
              <w:autoSpaceDE/>
              <w:autoSpaceDN/>
              <w:bidi w:val="0"/>
              <w:snapToGrid w:val="0"/>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）价格分计算公式：价格分=（评标基准价／评标报价）×</w:t>
            </w:r>
            <w:r>
              <w:rPr>
                <w:rFonts w:hint="eastAsia" w:ascii="宋体" w:hAnsi="宋体" w:eastAsia="宋体" w:cs="宋体"/>
                <w:bCs/>
                <w:color w:val="auto"/>
                <w:sz w:val="21"/>
                <w:szCs w:val="21"/>
                <w:highlight w:val="none"/>
                <w:u w:val="single"/>
              </w:rPr>
              <w:t>30</w:t>
            </w:r>
            <w:r>
              <w:rPr>
                <w:rFonts w:hint="eastAsia" w:ascii="宋体" w:hAnsi="宋体" w:eastAsia="宋体" w:cs="宋体"/>
                <w:bCs/>
                <w:color w:val="auto"/>
                <w:sz w:val="21"/>
                <w:szCs w:val="21"/>
                <w:highlight w:val="none"/>
              </w:rPr>
              <w:t>分</w:t>
            </w:r>
          </w:p>
          <w:p w14:paraId="15A3A3F4">
            <w:pPr>
              <w:keepNext w:val="0"/>
              <w:keepLines w:val="0"/>
              <w:pageBreakBefore w:val="0"/>
              <w:widowControl w:val="0"/>
              <w:kinsoku/>
              <w:wordWrap/>
              <w:overflowPunct/>
              <w:topLinePunct w:val="0"/>
              <w:autoSpaceDE/>
              <w:autoSpaceDN/>
              <w:bidi w:val="0"/>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注：本国产品价格扣除政策与中小企业、监狱企业、残疾人福利性单位价格扣除政策可叠加享受。</w:t>
            </w:r>
          </w:p>
          <w:p w14:paraId="1A12F01D">
            <w:pPr>
              <w:keepNext w:val="0"/>
              <w:keepLines w:val="0"/>
              <w:pageBreakBefore w:val="0"/>
              <w:widowControl w:val="0"/>
              <w:kinsoku/>
              <w:wordWrap/>
              <w:overflowPunct/>
              <w:topLinePunct w:val="0"/>
              <w:autoSpaceDE/>
              <w:autoSpaceDN/>
              <w:bidi w:val="0"/>
              <w:adjustRightInd w:val="0"/>
              <w:spacing w:line="400" w:lineRule="exact"/>
              <w:ind w:left="0" w:firstLine="420" w:firstLineChars="200"/>
              <w:jc w:val="both"/>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（8）异常低价审查：具体详见第三章《投标人须知》。</w:t>
            </w:r>
          </w:p>
        </w:tc>
      </w:tr>
      <w:tr w14:paraId="2677D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393" w:type="dxa"/>
            <w:vMerge w:val="restart"/>
            <w:tcBorders>
              <w:top w:val="single" w:color="auto" w:sz="4" w:space="0"/>
            </w:tcBorders>
            <w:noWrap w:val="0"/>
            <w:vAlign w:val="center"/>
          </w:tcPr>
          <w:p w14:paraId="104D7CFB">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24" w:type="dxa"/>
            <w:vMerge w:val="restart"/>
            <w:tcBorders>
              <w:top w:val="single" w:color="auto" w:sz="4" w:space="0"/>
            </w:tcBorders>
            <w:noWrap w:val="0"/>
            <w:vAlign w:val="center"/>
          </w:tcPr>
          <w:p w14:paraId="251FE96C">
            <w:pPr>
              <w:keepNext w:val="0"/>
              <w:keepLines w:val="0"/>
              <w:pageBreakBefore w:val="0"/>
              <w:widowControl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技术分</w:t>
            </w:r>
          </w:p>
          <w:p w14:paraId="32B6BC45">
            <w:pPr>
              <w:keepNext w:val="0"/>
              <w:keepLines w:val="0"/>
              <w:pageBreakBefore w:val="0"/>
              <w:widowControl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rPr>
              <w:t xml:space="preserve">（满分 </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c>
          <w:tcPr>
            <w:tcW w:w="1403" w:type="dxa"/>
            <w:tcBorders>
              <w:top w:val="single" w:color="auto" w:sz="4" w:space="0"/>
            </w:tcBorders>
            <w:noWrap w:val="0"/>
            <w:vAlign w:val="center"/>
          </w:tcPr>
          <w:p w14:paraId="0639CB6F">
            <w:pPr>
              <w:spacing w:line="560" w:lineRule="exact"/>
              <w:jc w:val="center"/>
              <w:rPr>
                <w:rFonts w:hint="eastAsia" w:ascii="仿宋" w:hAnsi="仿宋" w:eastAsia="仿宋" w:cs="Times New Roman"/>
                <w:color w:val="auto"/>
                <w:kern w:val="2"/>
                <w:sz w:val="21"/>
                <w:szCs w:val="21"/>
                <w:highlight w:val="none"/>
                <w:lang w:val="en-US" w:eastAsia="zh-Hans" w:bidi="ar-SA"/>
              </w:rPr>
            </w:pPr>
            <w:r>
              <w:rPr>
                <w:rFonts w:hint="eastAsia" w:ascii="宋体" w:hAnsi="宋体"/>
                <w:color w:val="auto"/>
                <w:sz w:val="21"/>
                <w:szCs w:val="21"/>
                <w:highlight w:val="none"/>
              </w:rPr>
              <w:t>产品性能（</w:t>
            </w:r>
            <w:r>
              <w:rPr>
                <w:rFonts w:hint="eastAsia" w:ascii="宋体" w:hAnsi="宋体"/>
                <w:color w:val="auto"/>
                <w:sz w:val="21"/>
                <w:szCs w:val="21"/>
                <w:highlight w:val="none"/>
                <w:lang w:val="en-US" w:eastAsia="zh-CN"/>
              </w:rPr>
              <w:t>2</w:t>
            </w:r>
            <w:r>
              <w:rPr>
                <w:rFonts w:hint="default" w:ascii="宋体" w:hAnsi="宋体"/>
                <w:color w:val="auto"/>
                <w:sz w:val="21"/>
                <w:szCs w:val="21"/>
                <w:highlight w:val="none"/>
                <w:lang w:val="en-US" w:eastAsia="zh-CN"/>
              </w:rPr>
              <w:t>0</w:t>
            </w:r>
            <w:r>
              <w:rPr>
                <w:rFonts w:hint="eastAsia" w:ascii="宋体" w:hAnsi="宋体"/>
                <w:color w:val="auto"/>
                <w:sz w:val="21"/>
                <w:szCs w:val="21"/>
                <w:highlight w:val="none"/>
              </w:rPr>
              <w:t>分）</w:t>
            </w:r>
          </w:p>
        </w:tc>
        <w:tc>
          <w:tcPr>
            <w:tcW w:w="6724" w:type="dxa"/>
            <w:noWrap w:val="0"/>
            <w:vAlign w:val="center"/>
          </w:tcPr>
          <w:p w14:paraId="28F511A3">
            <w:pPr>
              <w:spacing w:line="360" w:lineRule="auto"/>
              <w:jc w:val="left"/>
              <w:rPr>
                <w:rFonts w:hint="eastAsia" w:ascii="仿宋" w:hAnsi="仿宋" w:eastAsia="宋体" w:cs="Times New Roman"/>
                <w:color w:val="auto"/>
                <w:kern w:val="2"/>
                <w:sz w:val="21"/>
                <w:szCs w:val="21"/>
                <w:highlight w:val="none"/>
                <w:lang w:val="en-US" w:eastAsia="zh-Hans" w:bidi="ar-SA"/>
              </w:rPr>
            </w:pPr>
            <w:r>
              <w:rPr>
                <w:rFonts w:hint="eastAsia" w:ascii="宋体" w:hAnsi="宋体" w:cs="宋体"/>
                <w:color w:val="auto"/>
                <w:highlight w:val="none"/>
              </w:rPr>
              <w:t>所投产品标记“●”的技术参数</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共20项</w:t>
            </w:r>
            <w:r>
              <w:rPr>
                <w:rFonts w:hint="eastAsia" w:ascii="宋体" w:hAnsi="宋体" w:cs="宋体"/>
                <w:color w:val="auto"/>
                <w:highlight w:val="none"/>
                <w:lang w:eastAsia="zh-CN"/>
              </w:rPr>
              <w:t>）</w:t>
            </w:r>
            <w:r>
              <w:rPr>
                <w:rFonts w:hint="eastAsia" w:ascii="宋体" w:hAnsi="宋体" w:cs="宋体"/>
                <w:color w:val="auto"/>
                <w:highlight w:val="none"/>
              </w:rPr>
              <w:t>完全满足要求或有优于采购文件，</w:t>
            </w:r>
            <w:bookmarkStart w:id="99" w:name="OLE_LINK3"/>
            <w:r>
              <w:rPr>
                <w:rFonts w:hint="eastAsia" w:ascii="宋体" w:hAnsi="宋体" w:cs="宋体"/>
                <w:color w:val="auto"/>
                <w:highlight w:val="none"/>
              </w:rPr>
              <w:t>提供具有国家认可的第三方检测机构出具的该功能检测报告复印件或产品功能彩页</w:t>
            </w:r>
            <w:r>
              <w:rPr>
                <w:rFonts w:hint="eastAsia" w:ascii="宋体" w:hAnsi="宋体" w:cs="宋体"/>
                <w:color w:val="auto"/>
                <w:highlight w:val="none"/>
                <w:lang w:val="en-US" w:eastAsia="zh-CN"/>
              </w:rPr>
              <w:t>或相关截图或</w:t>
            </w:r>
            <w:bookmarkEnd w:id="99"/>
            <w:r>
              <w:rPr>
                <w:rFonts w:hint="eastAsia" w:ascii="宋体" w:hAnsi="宋体" w:cs="宋体"/>
                <w:color w:val="auto"/>
                <w:highlight w:val="none"/>
                <w:lang w:val="en-US" w:eastAsia="zh-CN"/>
              </w:rPr>
              <w:t>技术白皮书等佐证材料的</w:t>
            </w:r>
            <w:r>
              <w:rPr>
                <w:rFonts w:hint="eastAsia" w:ascii="宋体" w:hAnsi="宋体" w:cs="宋体"/>
                <w:color w:val="auto"/>
                <w:highlight w:val="none"/>
              </w:rPr>
              <w:t>，经评标委员会认定有效的，每有一项得</w:t>
            </w:r>
            <w:r>
              <w:rPr>
                <w:rFonts w:hint="eastAsia" w:ascii="宋体" w:hAnsi="宋体" w:cs="宋体"/>
                <w:color w:val="auto"/>
                <w:highlight w:val="none"/>
                <w:lang w:val="en-US" w:eastAsia="zh-CN"/>
              </w:rPr>
              <w:t>1</w:t>
            </w:r>
            <w:r>
              <w:rPr>
                <w:rFonts w:hint="eastAsia" w:ascii="宋体" w:hAnsi="宋体" w:cs="宋体"/>
                <w:color w:val="auto"/>
                <w:highlight w:val="none"/>
              </w:rPr>
              <w:t>分，</w:t>
            </w:r>
            <w:r>
              <w:rPr>
                <w:rFonts w:hint="eastAsia" w:ascii="宋体" w:hAnsi="宋体" w:cs="宋体"/>
                <w:color w:val="auto"/>
                <w:highlight w:val="none"/>
                <w:lang w:val="en-US" w:eastAsia="zh-CN"/>
              </w:rPr>
              <w:t>满分20</w:t>
            </w:r>
            <w:r>
              <w:rPr>
                <w:rFonts w:hint="eastAsia" w:ascii="宋体" w:hAnsi="宋体" w:cs="宋体"/>
                <w:color w:val="auto"/>
                <w:highlight w:val="none"/>
              </w:rPr>
              <w:t>分。</w:t>
            </w:r>
          </w:p>
        </w:tc>
      </w:tr>
      <w:tr w14:paraId="4AFC1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vMerge w:val="continue"/>
            <w:noWrap w:val="0"/>
            <w:vAlign w:val="center"/>
          </w:tcPr>
          <w:p w14:paraId="7B3FA44A">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924" w:type="dxa"/>
            <w:vMerge w:val="continue"/>
            <w:noWrap w:val="0"/>
            <w:vAlign w:val="center"/>
          </w:tcPr>
          <w:p w14:paraId="59E90ED3">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noWrap w:val="0"/>
            <w:vAlign w:val="center"/>
          </w:tcPr>
          <w:p w14:paraId="41ED0A42">
            <w:pPr>
              <w:spacing w:line="560" w:lineRule="exact"/>
              <w:jc w:val="center"/>
              <w:rPr>
                <w:rFonts w:hint="eastAsia" w:ascii="仿宋" w:hAnsi="仿宋" w:eastAsia="仿宋" w:cs="Times New Roman"/>
                <w:color w:val="auto"/>
                <w:kern w:val="2"/>
                <w:sz w:val="21"/>
                <w:szCs w:val="21"/>
                <w:highlight w:val="none"/>
                <w:lang w:val="en-US" w:eastAsia="zh-Hans" w:bidi="ar-SA"/>
              </w:rPr>
            </w:pPr>
            <w:r>
              <w:rPr>
                <w:rFonts w:hint="eastAsia" w:ascii="宋体" w:hAnsi="宋体"/>
                <w:color w:val="auto"/>
                <w:sz w:val="21"/>
                <w:szCs w:val="21"/>
                <w:highlight w:val="none"/>
              </w:rPr>
              <w:t>实施方案（</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分）</w:t>
            </w:r>
          </w:p>
        </w:tc>
        <w:tc>
          <w:tcPr>
            <w:tcW w:w="6724" w:type="dxa"/>
            <w:noWrap w:val="0"/>
            <w:vAlign w:val="center"/>
          </w:tcPr>
          <w:p w14:paraId="36DB5FEB">
            <w:pPr>
              <w:spacing w:line="360" w:lineRule="auto"/>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投标供应商根据本次采购内容提供详细的供货及安装方案、进度质量保障措施和人员配置方案，评标委员会根据方案的详尽程度、合理性、可行性等方面进行综合评审：</w:t>
            </w:r>
          </w:p>
          <w:p w14:paraId="022E363B">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分）：提供了项目实施方案，有实施方案及进度安排措施，能够保障在规定时间内完成项目。</w:t>
            </w:r>
          </w:p>
          <w:p w14:paraId="5DB30706">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分）：在满足一档的基础上，项目实施方案包含管理措施、具体实施流程、进度安排、质量保证措施；</w:t>
            </w:r>
          </w:p>
          <w:p w14:paraId="379C3AA9">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分）：在满足二档的基础上，投标人的项目实施方案包含组织措施、实施人员配置、各项关键节点工作的安排，能够提出并分析项目实施重点、难点。</w:t>
            </w:r>
          </w:p>
          <w:p w14:paraId="7F2AA9D1">
            <w:pPr>
              <w:keepNext w:val="0"/>
              <w:keepLines w:val="0"/>
              <w:pageBreakBefore w:val="0"/>
              <w:widowControl w:val="0"/>
              <w:kinsoku/>
              <w:wordWrap/>
              <w:overflowPunct/>
              <w:topLinePunct w:val="0"/>
              <w:autoSpaceDE/>
              <w:autoSpaceDN/>
              <w:bidi w:val="0"/>
              <w:spacing w:line="400" w:lineRule="exact"/>
              <w:jc w:val="left"/>
              <w:rPr>
                <w:rFonts w:hint="eastAsia" w:ascii="宋体" w:hAnsi="宋体" w:eastAsia="宋体" w:cs="Times New Roman"/>
                <w:color w:val="auto"/>
                <w:sz w:val="21"/>
                <w:szCs w:val="21"/>
                <w:highlight w:val="none"/>
                <w:lang w:val="en-US" w:eastAsia="zh-Hans"/>
              </w:rPr>
            </w:pPr>
            <w:r>
              <w:rPr>
                <w:rFonts w:hint="eastAsia" w:ascii="宋体" w:hAnsi="宋体" w:eastAsia="宋体" w:cs="宋体"/>
                <w:color w:val="auto"/>
                <w:sz w:val="21"/>
                <w:szCs w:val="21"/>
                <w:highlight w:val="none"/>
              </w:rPr>
              <w:t>四档（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在满足三档的基础上，投标人的项目实施方案包含设备运输安装保障方案、安装调试方案；能够提出对本项目的风险预见、风险应对措施，有应对风险的解决方案；接到采购人临时需求或突发紧急状况可提供有效的解决方案；人员配置及安排分工与职责明确，</w:t>
            </w:r>
            <w:r>
              <w:rPr>
                <w:rFonts w:hint="eastAsia" w:ascii="宋体" w:hAnsi="宋体" w:eastAsia="宋体" w:cs="宋体"/>
                <w:color w:val="auto"/>
                <w:sz w:val="21"/>
                <w:szCs w:val="21"/>
                <w:highlight w:val="none"/>
                <w:lang w:val="zh-CN"/>
              </w:rPr>
              <w:t>有详细实施日程表</w:t>
            </w:r>
            <w:r>
              <w:rPr>
                <w:rFonts w:hint="eastAsia" w:ascii="宋体" w:hAnsi="宋体" w:eastAsia="宋体" w:cs="宋体"/>
                <w:color w:val="auto"/>
                <w:sz w:val="21"/>
                <w:szCs w:val="21"/>
                <w:highlight w:val="none"/>
              </w:rPr>
              <w:t>；提出具有建设性的方案优化建议。</w:t>
            </w:r>
          </w:p>
        </w:tc>
      </w:tr>
      <w:tr w14:paraId="2D4E8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vMerge w:val="continue"/>
            <w:noWrap w:val="0"/>
            <w:vAlign w:val="center"/>
          </w:tcPr>
          <w:p w14:paraId="1085FE81">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924" w:type="dxa"/>
            <w:vMerge w:val="continue"/>
            <w:noWrap w:val="0"/>
            <w:vAlign w:val="center"/>
          </w:tcPr>
          <w:p w14:paraId="00BB9911">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noWrap w:val="0"/>
            <w:vAlign w:val="center"/>
          </w:tcPr>
          <w:p w14:paraId="53E65431">
            <w:pPr>
              <w:spacing w:line="560" w:lineRule="exact"/>
              <w:jc w:val="center"/>
              <w:rPr>
                <w:rFonts w:hint="eastAsia" w:ascii="仿宋" w:hAnsi="仿宋" w:eastAsia="仿宋" w:cs="Times New Roman"/>
                <w:color w:val="auto"/>
                <w:kern w:val="2"/>
                <w:sz w:val="21"/>
                <w:szCs w:val="21"/>
                <w:highlight w:val="none"/>
                <w:lang w:val="en-US" w:eastAsia="zh-Hans" w:bidi="ar-SA"/>
              </w:rPr>
            </w:pPr>
            <w:r>
              <w:rPr>
                <w:rFonts w:hint="eastAsia" w:ascii="宋体" w:hAnsi="宋体"/>
                <w:color w:val="auto"/>
                <w:sz w:val="21"/>
                <w:szCs w:val="21"/>
                <w:highlight w:val="none"/>
              </w:rPr>
              <w:t>售后方案（</w:t>
            </w:r>
            <w:r>
              <w:rPr>
                <w:rFonts w:hint="eastAsia" w:ascii="宋体" w:hAnsi="宋体"/>
                <w:color w:val="auto"/>
                <w:sz w:val="21"/>
                <w:szCs w:val="21"/>
                <w:highlight w:val="none"/>
                <w:lang w:val="en-US" w:eastAsia="zh-CN"/>
              </w:rPr>
              <w:t>16</w:t>
            </w:r>
            <w:r>
              <w:rPr>
                <w:rFonts w:hint="eastAsia" w:ascii="宋体" w:hAnsi="宋体"/>
                <w:color w:val="auto"/>
                <w:sz w:val="21"/>
                <w:szCs w:val="21"/>
                <w:highlight w:val="none"/>
              </w:rPr>
              <w:t>分）</w:t>
            </w:r>
          </w:p>
        </w:tc>
        <w:tc>
          <w:tcPr>
            <w:tcW w:w="6724" w:type="dxa"/>
            <w:noWrap w:val="0"/>
            <w:vAlign w:val="center"/>
          </w:tcPr>
          <w:p w14:paraId="3B0C0A23">
            <w:pPr>
              <w:spacing w:line="360" w:lineRule="auto"/>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投标供应商根据本次采购内容提供详细的售后维护方案、售后服务承诺和售后人员配置方案，评标委员会根据方案的详尽程度、合理性、可行性等方面进行综合评审：</w:t>
            </w:r>
          </w:p>
          <w:p w14:paraId="5631B552">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lang w:eastAsia="zh-Hans"/>
              </w:rPr>
              <w:t>一档（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Hans"/>
              </w:rPr>
              <w:t>分）：售后服务方案较简单，仅对采购单位提出的要求进行了部分细化，售后服务承诺各项措施缺乏针对性，售后服务工作思路基本合理，对采购单位使用需求响应的具体措施缺乏充分的合理性，效率响应要求难以充分保障。</w:t>
            </w:r>
          </w:p>
          <w:p w14:paraId="104C479B">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lang w:eastAsia="zh-Hans"/>
              </w:rPr>
              <w:t>二档（</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Hans"/>
              </w:rPr>
              <w:t>分）：售后服务表述清晰、完整，应急措施具体、切实可行，有服务保障措施及服务质量保证，包括服务质量保证期的技术支持和维护能力情况；明确售后服务团队的人员构成，有完整的运行保障方案服务体系，服务内容、服务对象、响应能力、响应时间具体、提供替代品方案。</w:t>
            </w:r>
          </w:p>
          <w:p w14:paraId="6DAEBD69">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lang w:eastAsia="zh-Hans"/>
              </w:rPr>
              <w:t>三档（</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Hans"/>
              </w:rPr>
              <w:t>分）：售后服务方案全面详细，有完整的现场服务及支持方案，包含售后反馈机制、故障响应机制等；有针对本项目的售后服务体系，有</w:t>
            </w:r>
            <w:r>
              <w:rPr>
                <w:rFonts w:hint="eastAsia" w:ascii="宋体" w:hAnsi="宋体" w:eastAsia="宋体" w:cs="宋体"/>
                <w:color w:val="auto"/>
                <w:sz w:val="21"/>
                <w:szCs w:val="21"/>
                <w:highlight w:val="none"/>
                <w:lang w:val="en-US" w:eastAsia="zh-CN"/>
              </w:rPr>
              <w:t>维护保养措施及故障处理机制</w:t>
            </w:r>
            <w:r>
              <w:rPr>
                <w:rFonts w:hint="eastAsia" w:ascii="宋体" w:hAnsi="宋体" w:eastAsia="宋体" w:cs="宋体"/>
                <w:color w:val="auto"/>
                <w:sz w:val="21"/>
                <w:szCs w:val="21"/>
                <w:highlight w:val="none"/>
                <w:lang w:eastAsia="zh-Hans"/>
              </w:rPr>
              <w:t>，具备售后服务响应机制，包括故障处理、电话维护、现场维护、紧急维护等；替代品（备品备件）方案、质保期外售后服务措施详细完善。</w:t>
            </w:r>
          </w:p>
          <w:p w14:paraId="1759E447">
            <w:pPr>
              <w:pStyle w:val="6"/>
              <w:rPr>
                <w:rFonts w:hint="eastAsia" w:ascii="宋体" w:hAnsi="宋体" w:eastAsia="宋体" w:cs="Times New Roman"/>
                <w:color w:val="auto"/>
                <w:sz w:val="21"/>
                <w:szCs w:val="21"/>
                <w:highlight w:val="none"/>
                <w:lang w:val="en-US" w:eastAsia="zh-Hans"/>
              </w:rPr>
            </w:pPr>
            <w:r>
              <w:rPr>
                <w:rFonts w:hint="eastAsia" w:ascii="宋体" w:hAnsi="宋体" w:eastAsia="宋体" w:cs="宋体"/>
                <w:bCs/>
                <w:color w:val="auto"/>
                <w:kern w:val="2"/>
                <w:sz w:val="21"/>
                <w:szCs w:val="21"/>
                <w:highlight w:val="none"/>
                <w:lang w:val="en-US" w:eastAsia="zh-Hans" w:bidi="ar-SA"/>
              </w:rPr>
              <w:t>注：未提供相应内容的或提供的内容与本项目无关的得0分。</w:t>
            </w:r>
          </w:p>
        </w:tc>
      </w:tr>
      <w:tr w14:paraId="606AA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vMerge w:val="continue"/>
            <w:noWrap w:val="0"/>
            <w:vAlign w:val="center"/>
          </w:tcPr>
          <w:p w14:paraId="6969B760">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924" w:type="dxa"/>
            <w:vMerge w:val="continue"/>
            <w:noWrap w:val="0"/>
            <w:vAlign w:val="center"/>
          </w:tcPr>
          <w:p w14:paraId="2CD8EFD0">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noWrap w:val="0"/>
            <w:vAlign w:val="center"/>
          </w:tcPr>
          <w:p w14:paraId="682EAE25">
            <w:pPr>
              <w:spacing w:line="560" w:lineRule="exact"/>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质保期（满分4分）</w:t>
            </w:r>
          </w:p>
        </w:tc>
        <w:tc>
          <w:tcPr>
            <w:tcW w:w="6724" w:type="dxa"/>
            <w:noWrap w:val="0"/>
            <w:vAlign w:val="center"/>
          </w:tcPr>
          <w:p w14:paraId="20CD8EDC">
            <w:pPr>
              <w:spacing w:line="380" w:lineRule="exact"/>
              <w:ind w:firstLine="420" w:firstLineChars="200"/>
              <w:rPr>
                <w:rFonts w:hint="eastAsia" w:ascii="宋体" w:hAnsi="宋体"/>
                <w:color w:val="auto"/>
                <w:highlight w:val="none"/>
                <w:lang w:eastAsia="zh-CN"/>
              </w:rPr>
            </w:pPr>
            <w:r>
              <w:rPr>
                <w:rFonts w:hint="eastAsia" w:ascii="宋体" w:hAnsi="宋体"/>
                <w:color w:val="auto"/>
                <w:highlight w:val="none"/>
              </w:rPr>
              <w:t>在满足商务要求中的免费保修期后，投标人承诺免费保修期每延长半年增加</w:t>
            </w:r>
            <w:r>
              <w:rPr>
                <w:rFonts w:hint="eastAsia" w:ascii="宋体" w:hAnsi="宋体"/>
                <w:color w:val="auto"/>
                <w:highlight w:val="none"/>
                <w:lang w:val="en-US" w:eastAsia="zh-CN"/>
              </w:rPr>
              <w:t>1</w:t>
            </w:r>
            <w:r>
              <w:rPr>
                <w:rFonts w:hint="eastAsia" w:ascii="宋体" w:hAnsi="宋体"/>
                <w:color w:val="auto"/>
                <w:highlight w:val="none"/>
              </w:rPr>
              <w:t>分</w:t>
            </w:r>
            <w:r>
              <w:rPr>
                <w:rFonts w:hint="eastAsia" w:ascii="宋体" w:hAnsi="宋体"/>
                <w:color w:val="auto"/>
                <w:highlight w:val="none"/>
                <w:lang w:eastAsia="zh-CN"/>
              </w:rPr>
              <w:t>，</w:t>
            </w:r>
            <w:r>
              <w:rPr>
                <w:rFonts w:hint="eastAsia" w:ascii="宋体" w:hAnsi="宋体"/>
                <w:color w:val="auto"/>
                <w:highlight w:val="none"/>
              </w:rPr>
              <w:t>满分</w:t>
            </w:r>
            <w:r>
              <w:rPr>
                <w:rFonts w:hint="eastAsia" w:ascii="宋体" w:hAnsi="宋体"/>
                <w:color w:val="auto"/>
                <w:highlight w:val="none"/>
                <w:lang w:val="en-US" w:eastAsia="zh-CN"/>
              </w:rPr>
              <w:t>4</w:t>
            </w:r>
            <w:r>
              <w:rPr>
                <w:rFonts w:hint="eastAsia" w:ascii="宋体" w:hAnsi="宋体"/>
                <w:color w:val="auto"/>
                <w:highlight w:val="none"/>
              </w:rPr>
              <w:t>分</w:t>
            </w:r>
            <w:r>
              <w:rPr>
                <w:rFonts w:hint="eastAsia" w:ascii="宋体" w:hAnsi="宋体"/>
                <w:color w:val="auto"/>
                <w:highlight w:val="none"/>
                <w:lang w:eastAsia="zh-CN"/>
              </w:rPr>
              <w:t>。</w:t>
            </w:r>
          </w:p>
          <w:p w14:paraId="3A0B5261">
            <w:pPr>
              <w:spacing w:line="380" w:lineRule="exact"/>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注：投标人须在投标文件中提供针对上述事项的承诺函（格式自拟），否则不予计分。</w:t>
            </w:r>
          </w:p>
        </w:tc>
      </w:tr>
      <w:tr w14:paraId="3ED30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393" w:type="dxa"/>
            <w:vMerge w:val="restart"/>
            <w:noWrap w:val="0"/>
            <w:vAlign w:val="center"/>
          </w:tcPr>
          <w:p w14:paraId="7952109E">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924" w:type="dxa"/>
            <w:vMerge w:val="restart"/>
            <w:noWrap w:val="0"/>
            <w:vAlign w:val="center"/>
          </w:tcPr>
          <w:p w14:paraId="7C17BF4D">
            <w:pPr>
              <w:pStyle w:val="9"/>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商务分</w:t>
            </w:r>
          </w:p>
          <w:p w14:paraId="2E0F9DB3">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b/>
                <w:color w:val="auto"/>
                <w:sz w:val="21"/>
                <w:szCs w:val="21"/>
                <w:highlight w:val="none"/>
                <w:lang w:eastAsia="zh"/>
              </w:rPr>
            </w:pPr>
            <w:r>
              <w:rPr>
                <w:rFonts w:hint="eastAsia" w:ascii="宋体" w:hAnsi="宋体" w:eastAsia="宋体" w:cs="宋体"/>
                <w:bCs/>
                <w:color w:val="auto"/>
                <w:sz w:val="21"/>
                <w:szCs w:val="21"/>
                <w:highlight w:val="none"/>
              </w:rPr>
              <w:t>（满分</w:t>
            </w:r>
            <w:r>
              <w:rPr>
                <w:rFonts w:hint="eastAsia" w:ascii="宋体" w:hAnsi="宋体" w:eastAsia="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分）</w:t>
            </w:r>
          </w:p>
        </w:tc>
        <w:tc>
          <w:tcPr>
            <w:tcW w:w="1403" w:type="dxa"/>
            <w:tcBorders>
              <w:bottom w:val="single" w:color="auto" w:sz="4" w:space="0"/>
            </w:tcBorders>
            <w:noWrap w:val="0"/>
            <w:vAlign w:val="center"/>
          </w:tcPr>
          <w:p w14:paraId="07208112">
            <w:pPr>
              <w:spacing w:line="560" w:lineRule="exact"/>
              <w:jc w:val="both"/>
              <w:rPr>
                <w:rFonts w:hint="eastAsia" w:ascii="宋体" w:hAnsi="宋体" w:eastAsia="宋体" w:cs="Times New Roman"/>
                <w:color w:val="auto"/>
                <w:kern w:val="2"/>
                <w:sz w:val="21"/>
                <w:szCs w:val="21"/>
                <w:highlight w:val="none"/>
                <w:lang w:val="en-US" w:eastAsia="zh" w:bidi="ar-SA"/>
              </w:rPr>
            </w:pPr>
            <w:r>
              <w:rPr>
                <w:rFonts w:hint="eastAsia" w:ascii="宋体" w:hAnsi="宋体"/>
                <w:color w:val="auto"/>
                <w:sz w:val="21"/>
                <w:szCs w:val="21"/>
                <w:highlight w:val="none"/>
              </w:rPr>
              <w:t>核心产品</w:t>
            </w:r>
            <w:r>
              <w:rPr>
                <w:rFonts w:hint="eastAsia" w:ascii="宋体" w:hAnsi="宋体"/>
                <w:color w:val="auto"/>
                <w:sz w:val="21"/>
                <w:szCs w:val="21"/>
                <w:highlight w:val="none"/>
                <w:lang w:val="en-US" w:eastAsia="zh-CN"/>
              </w:rPr>
              <w:t>综合性能分</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分）</w:t>
            </w:r>
          </w:p>
        </w:tc>
        <w:tc>
          <w:tcPr>
            <w:tcW w:w="6724" w:type="dxa"/>
            <w:noWrap w:val="0"/>
            <w:vAlign w:val="center"/>
          </w:tcPr>
          <w:p w14:paraId="7C8AD1E4">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投标人所投产品</w:t>
            </w:r>
            <w:r>
              <w:rPr>
                <w:rFonts w:hint="eastAsia" w:ascii="宋体" w:hAnsi="宋体" w:eastAsia="宋体" w:cs="宋体"/>
                <w:color w:val="auto"/>
                <w:sz w:val="21"/>
                <w:szCs w:val="21"/>
                <w:highlight w:val="none"/>
                <w:lang w:eastAsia="zh-Hans"/>
              </w:rPr>
              <w:t>“智能检测自动化产线”在工件缺陷检测领域获得“表面缺陷视觉检测”相关软件著作权证书得2分</w:t>
            </w:r>
            <w:r>
              <w:rPr>
                <w:rFonts w:hint="eastAsia" w:ascii="宋体" w:hAnsi="宋体" w:eastAsia="宋体" w:cs="宋体"/>
                <w:color w:val="auto"/>
                <w:sz w:val="21"/>
                <w:szCs w:val="21"/>
                <w:highlight w:val="none"/>
                <w:lang w:eastAsia="zh-CN"/>
              </w:rPr>
              <w:t>。</w:t>
            </w:r>
          </w:p>
          <w:p w14:paraId="18A028AB">
            <w:pPr>
              <w:keepNext w:val="0"/>
              <w:keepLines w:val="0"/>
              <w:pageBreakBefore w:val="0"/>
              <w:widowControl w:val="0"/>
              <w:kinsoku/>
              <w:wordWrap/>
              <w:overflowPunct/>
              <w:topLinePunct w:val="0"/>
              <w:autoSpaceDE/>
              <w:autoSpaceDN/>
              <w:bidi w:val="0"/>
              <w:adjustRightInd w:val="0"/>
              <w:spacing w:line="400" w:lineRule="exact"/>
              <w:textAlignment w:val="baseline"/>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eastAsia="zh-Hans"/>
              </w:rPr>
              <w:t>获得“工件缺陷检测”相关</w:t>
            </w:r>
            <w:r>
              <w:rPr>
                <w:rFonts w:hint="eastAsia" w:ascii="宋体" w:hAnsi="宋体" w:eastAsia="宋体" w:cs="宋体"/>
                <w:color w:val="auto"/>
                <w:sz w:val="21"/>
                <w:szCs w:val="21"/>
                <w:highlight w:val="none"/>
                <w:lang w:val="en-US" w:eastAsia="zh-CN"/>
              </w:rPr>
              <w:t>专项技术成果证明</w:t>
            </w:r>
            <w:r>
              <w:rPr>
                <w:rFonts w:hint="eastAsia" w:ascii="宋体" w:hAnsi="宋体" w:eastAsia="宋体" w:cs="宋体"/>
                <w:color w:val="auto"/>
                <w:sz w:val="21"/>
                <w:szCs w:val="21"/>
                <w:highlight w:val="none"/>
                <w:lang w:eastAsia="zh-Hans"/>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Hans"/>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Hans"/>
              </w:rPr>
              <w:t>最高得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Hans"/>
              </w:rPr>
              <w:t>分，需提供</w:t>
            </w:r>
            <w:r>
              <w:rPr>
                <w:rFonts w:hint="eastAsia" w:ascii="宋体" w:hAnsi="宋体" w:eastAsia="宋体" w:cs="宋体"/>
                <w:color w:val="auto"/>
                <w:sz w:val="21"/>
                <w:szCs w:val="21"/>
                <w:highlight w:val="none"/>
                <w:lang w:val="en-US" w:eastAsia="zh-CN"/>
              </w:rPr>
              <w:t>相关有效证明</w:t>
            </w:r>
            <w:r>
              <w:rPr>
                <w:rFonts w:hint="eastAsia" w:ascii="宋体" w:hAnsi="宋体" w:eastAsia="宋体" w:cs="宋体"/>
                <w:color w:val="auto"/>
                <w:sz w:val="21"/>
                <w:szCs w:val="21"/>
                <w:highlight w:val="none"/>
                <w:lang w:eastAsia="zh-Hans"/>
              </w:rPr>
              <w:t>复印件并加盖</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eastAsia="zh-Hans"/>
              </w:rPr>
              <w:t>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例如专利证书或技术创新成果材料或产品实测验收报告等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Hans"/>
              </w:rPr>
              <w:t>，</w:t>
            </w:r>
            <w:r>
              <w:rPr>
                <w:rFonts w:hint="eastAsia" w:ascii="宋体" w:hAnsi="宋体" w:eastAsia="宋体"/>
                <w:color w:val="auto"/>
                <w:sz w:val="21"/>
                <w:szCs w:val="21"/>
                <w:highlight w:val="none"/>
              </w:rPr>
              <w:t>不提供或提供不完整均不得分。</w:t>
            </w:r>
          </w:p>
          <w:p w14:paraId="7746B4A7">
            <w:pPr>
              <w:spacing w:line="360" w:lineRule="auto"/>
              <w:rPr>
                <w:rFonts w:hint="eastAsia" w:ascii="宋体" w:hAnsi="宋体" w:eastAsia="宋体"/>
                <w:color w:val="auto"/>
                <w:sz w:val="21"/>
                <w:szCs w:val="21"/>
                <w:highlight w:val="none"/>
                <w:lang w:val="en-US" w:eastAsia="zh-Hans"/>
              </w:rPr>
            </w:pPr>
            <w:r>
              <w:rPr>
                <w:rFonts w:hint="eastAsia" w:ascii="宋体" w:hAnsi="宋体" w:cs="宋体"/>
                <w:bCs/>
                <w:color w:val="auto"/>
                <w:sz w:val="21"/>
                <w:szCs w:val="21"/>
                <w:highlight w:val="none"/>
                <w:lang w:val="en-US" w:eastAsia="zh-CN"/>
              </w:rPr>
              <w:t>注：</w:t>
            </w:r>
            <w:r>
              <w:rPr>
                <w:rFonts w:hint="eastAsia" w:ascii="宋体" w:hAnsi="宋体" w:eastAsia="宋体" w:cs="宋体"/>
                <w:bCs/>
                <w:i w:val="0"/>
                <w:iCs w:val="0"/>
                <w:caps w:val="0"/>
                <w:color w:val="auto"/>
                <w:spacing w:val="0"/>
                <w:sz w:val="21"/>
                <w:szCs w:val="21"/>
                <w:highlight w:val="none"/>
                <w:shd w:val="clear" w:fill="auto"/>
                <w:lang w:eastAsia="zh-Hans"/>
              </w:rPr>
              <w:t>获得“工件缺陷检测”</w:t>
            </w:r>
            <w:r>
              <w:rPr>
                <w:rFonts w:hint="eastAsia" w:ascii="宋体" w:hAnsi="宋体"/>
                <w:color w:val="auto"/>
                <w:sz w:val="21"/>
                <w:szCs w:val="21"/>
                <w:highlight w:val="none"/>
              </w:rPr>
              <w:t>相关</w:t>
            </w:r>
            <w:r>
              <w:rPr>
                <w:rFonts w:hint="eastAsia" w:ascii="宋体" w:hAnsi="宋体"/>
                <w:color w:val="auto"/>
                <w:sz w:val="21"/>
                <w:szCs w:val="21"/>
                <w:highlight w:val="none"/>
                <w:lang w:val="en-US" w:eastAsia="zh-CN"/>
              </w:rPr>
              <w:t>专项技术成果证明指的是</w:t>
            </w:r>
            <w:r>
              <w:rPr>
                <w:rFonts w:hint="eastAsia" w:ascii="宋体" w:hAnsi="宋体" w:eastAsia="宋体" w:cs="宋体"/>
                <w:bCs/>
                <w:i w:val="0"/>
                <w:iCs w:val="0"/>
                <w:caps w:val="0"/>
                <w:color w:val="auto"/>
                <w:spacing w:val="0"/>
                <w:sz w:val="21"/>
                <w:szCs w:val="21"/>
                <w:highlight w:val="none"/>
                <w:shd w:val="clear" w:fill="auto"/>
                <w:lang w:eastAsia="zh-Hans"/>
              </w:rPr>
              <w:t>本项目第21项货物“ 智能检测自动化产线”中所述的视觉检测，相控阵超声检测，涡流+硬度筛选检测，但不局限于以上3种检测，但需归属无损检测和视觉检测大类。</w:t>
            </w:r>
            <w:r>
              <w:rPr>
                <w:rFonts w:hint="eastAsia" w:ascii="宋体" w:hAnsi="宋体" w:cs="宋体"/>
                <w:bCs/>
                <w:color w:val="auto"/>
                <w:sz w:val="21"/>
                <w:szCs w:val="21"/>
                <w:highlight w:val="none"/>
                <w:lang w:eastAsia="zh-Hans"/>
              </w:rPr>
              <w:t>）</w:t>
            </w:r>
          </w:p>
        </w:tc>
      </w:tr>
      <w:tr w14:paraId="7CF6E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393" w:type="dxa"/>
            <w:vMerge w:val="continue"/>
            <w:noWrap w:val="0"/>
            <w:vAlign w:val="center"/>
          </w:tcPr>
          <w:p w14:paraId="6E876799">
            <w:pPr>
              <w:keepNext w:val="0"/>
              <w:keepLines w:val="0"/>
              <w:pageBreakBefore w:val="0"/>
              <w:widowControl w:val="0"/>
              <w:kinsoku/>
              <w:wordWrap/>
              <w:overflowPunct/>
              <w:topLinePunct w:val="0"/>
              <w:autoSpaceDE/>
              <w:autoSpaceDN/>
              <w:bidi w:val="0"/>
              <w:spacing w:line="400" w:lineRule="exact"/>
              <w:rPr>
                <w:rFonts w:hint="eastAsia" w:ascii="宋体" w:hAnsi="宋体" w:eastAsia="宋体" w:cs="宋体"/>
                <w:color w:val="auto"/>
                <w:sz w:val="21"/>
                <w:szCs w:val="21"/>
                <w:highlight w:val="none"/>
              </w:rPr>
            </w:pPr>
          </w:p>
        </w:tc>
        <w:tc>
          <w:tcPr>
            <w:tcW w:w="924" w:type="dxa"/>
            <w:vMerge w:val="continue"/>
            <w:noWrap w:val="0"/>
            <w:vAlign w:val="center"/>
          </w:tcPr>
          <w:p w14:paraId="0CE55EF2">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tcBorders>
              <w:top w:val="single" w:color="auto" w:sz="4" w:space="0"/>
            </w:tcBorders>
            <w:noWrap w:val="0"/>
            <w:vAlign w:val="center"/>
          </w:tcPr>
          <w:p w14:paraId="0CC97847">
            <w:pPr>
              <w:spacing w:line="560" w:lineRule="exact"/>
              <w:jc w:val="center"/>
              <w:rPr>
                <w:rFonts w:hint="eastAsia" w:ascii="宋体" w:hAnsi="宋体" w:eastAsia="宋体" w:cs="Times New Roman"/>
                <w:color w:val="auto"/>
                <w:kern w:val="2"/>
                <w:sz w:val="21"/>
                <w:szCs w:val="21"/>
                <w:highlight w:val="none"/>
                <w:lang w:val="en-US" w:eastAsia="zh-Hans" w:bidi="ar-SA"/>
              </w:rPr>
            </w:pPr>
            <w:r>
              <w:rPr>
                <w:rFonts w:hint="eastAsia" w:ascii="宋体" w:hAnsi="宋体"/>
                <w:color w:val="auto"/>
                <w:sz w:val="21"/>
                <w:szCs w:val="21"/>
                <w:highlight w:val="none"/>
              </w:rPr>
              <w:t>投标供应商实力（</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分）</w:t>
            </w:r>
          </w:p>
        </w:tc>
        <w:tc>
          <w:tcPr>
            <w:tcW w:w="6724" w:type="dxa"/>
            <w:noWrap w:val="0"/>
            <w:vAlign w:val="center"/>
          </w:tcPr>
          <w:p w14:paraId="6956EA4F">
            <w:pPr>
              <w:spacing w:line="360" w:lineRule="auto"/>
              <w:rPr>
                <w:rFonts w:hint="eastAsia" w:ascii="宋体" w:hAnsi="宋体" w:eastAsia="宋体" w:cs="Times New Roman"/>
                <w:color w:val="auto"/>
                <w:kern w:val="2"/>
                <w:sz w:val="21"/>
                <w:szCs w:val="21"/>
                <w:highlight w:val="none"/>
                <w:lang w:val="en-US" w:eastAsia="zh-Hans" w:bidi="ar-SA"/>
              </w:rPr>
            </w:pPr>
            <w:r>
              <w:rPr>
                <w:rFonts w:hint="eastAsia" w:ascii="宋体" w:hAnsi="宋体"/>
                <w:color w:val="auto"/>
                <w:sz w:val="21"/>
                <w:szCs w:val="21"/>
                <w:highlight w:val="none"/>
              </w:rPr>
              <w:t>投标供应商拥有强大的项目团队，</w:t>
            </w:r>
            <w:r>
              <w:rPr>
                <w:rFonts w:hint="eastAsia" w:ascii="宋体" w:hAnsi="宋体"/>
                <w:color w:val="auto"/>
                <w:sz w:val="21"/>
                <w:szCs w:val="21"/>
                <w:highlight w:val="none"/>
                <w:lang w:val="en-US" w:eastAsia="zh-CN"/>
              </w:rPr>
              <w:t>拟为本项目投入</w:t>
            </w:r>
            <w:r>
              <w:rPr>
                <w:rFonts w:hint="eastAsia" w:ascii="宋体" w:hAnsi="宋体"/>
                <w:color w:val="auto"/>
                <w:sz w:val="21"/>
                <w:szCs w:val="21"/>
                <w:highlight w:val="none"/>
              </w:rPr>
              <w:t>一名正高级工程师</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机械</w:t>
            </w:r>
            <w:r>
              <w:rPr>
                <w:rFonts w:hint="eastAsia" w:ascii="宋体" w:hAnsi="宋体"/>
                <w:color w:val="auto"/>
                <w:sz w:val="21"/>
                <w:szCs w:val="21"/>
                <w:highlight w:val="none"/>
                <w:lang w:val="en-US" w:eastAsia="zh-CN"/>
              </w:rPr>
              <w:t>类或</w:t>
            </w:r>
            <w:r>
              <w:rPr>
                <w:rFonts w:hint="eastAsia" w:ascii="宋体" w:hAnsi="宋体"/>
                <w:color w:val="auto"/>
                <w:sz w:val="21"/>
                <w:szCs w:val="21"/>
                <w:highlight w:val="none"/>
              </w:rPr>
              <w:t>材料类</w:t>
            </w:r>
            <w:r>
              <w:rPr>
                <w:rFonts w:hint="eastAsia" w:ascii="宋体" w:hAnsi="宋体"/>
                <w:color w:val="auto"/>
                <w:sz w:val="21"/>
                <w:szCs w:val="21"/>
                <w:highlight w:val="none"/>
                <w:lang w:val="en-US" w:eastAsia="zh-CN"/>
              </w:rPr>
              <w:t>或机电类专业</w:t>
            </w:r>
            <w:r>
              <w:rPr>
                <w:rFonts w:hint="eastAsia" w:ascii="宋体" w:hAnsi="宋体"/>
                <w:color w:val="auto"/>
                <w:sz w:val="21"/>
                <w:szCs w:val="21"/>
                <w:highlight w:val="none"/>
                <w:lang w:eastAsia="zh-CN"/>
              </w:rPr>
              <w:t>）</w:t>
            </w:r>
            <w:r>
              <w:rPr>
                <w:rFonts w:hint="eastAsia" w:ascii="宋体" w:hAnsi="宋体"/>
                <w:color w:val="auto"/>
                <w:sz w:val="21"/>
                <w:szCs w:val="21"/>
                <w:highlight w:val="none"/>
              </w:rPr>
              <w:t>得</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分，一名高级工程师</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机械</w:t>
            </w:r>
            <w:r>
              <w:rPr>
                <w:rFonts w:hint="eastAsia" w:ascii="宋体" w:hAnsi="宋体"/>
                <w:color w:val="auto"/>
                <w:sz w:val="21"/>
                <w:szCs w:val="21"/>
                <w:highlight w:val="none"/>
                <w:lang w:val="en-US" w:eastAsia="zh-CN"/>
              </w:rPr>
              <w:t>类或</w:t>
            </w:r>
            <w:r>
              <w:rPr>
                <w:rFonts w:hint="eastAsia" w:ascii="宋体" w:hAnsi="宋体"/>
                <w:color w:val="auto"/>
                <w:sz w:val="21"/>
                <w:szCs w:val="21"/>
                <w:highlight w:val="none"/>
              </w:rPr>
              <w:t>材料类</w:t>
            </w:r>
            <w:r>
              <w:rPr>
                <w:rFonts w:hint="eastAsia" w:ascii="宋体" w:hAnsi="宋体"/>
                <w:color w:val="auto"/>
                <w:sz w:val="21"/>
                <w:szCs w:val="21"/>
                <w:highlight w:val="none"/>
                <w:lang w:val="en-US" w:eastAsia="zh-CN"/>
              </w:rPr>
              <w:t>或机电类专业</w:t>
            </w:r>
            <w:r>
              <w:rPr>
                <w:rFonts w:hint="eastAsia" w:ascii="宋体" w:hAnsi="宋体"/>
                <w:color w:val="auto"/>
                <w:sz w:val="21"/>
                <w:szCs w:val="21"/>
                <w:highlight w:val="none"/>
                <w:lang w:eastAsia="zh-CN"/>
              </w:rPr>
              <w:t>）</w:t>
            </w:r>
            <w:r>
              <w:rPr>
                <w:rFonts w:hint="eastAsia" w:ascii="宋体" w:hAnsi="宋体"/>
                <w:color w:val="auto"/>
                <w:sz w:val="21"/>
                <w:szCs w:val="21"/>
                <w:highlight w:val="none"/>
              </w:rPr>
              <w:t>得0.</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分，最高得</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分；</w:t>
            </w:r>
            <w:r>
              <w:rPr>
                <w:rFonts w:ascii="宋体" w:hAnsi="宋体"/>
                <w:color w:val="auto"/>
                <w:sz w:val="21"/>
                <w:szCs w:val="21"/>
                <w:highlight w:val="none"/>
              </w:rPr>
              <w:t>投标人需提供以上人员的资质证书复印件及开标前</w:t>
            </w:r>
            <w:r>
              <w:rPr>
                <w:rFonts w:hint="eastAsia" w:ascii="宋体" w:hAnsi="宋体"/>
                <w:color w:val="auto"/>
                <w:sz w:val="21"/>
                <w:szCs w:val="21"/>
                <w:highlight w:val="none"/>
              </w:rPr>
              <w:t>一</w:t>
            </w:r>
            <w:r>
              <w:rPr>
                <w:rFonts w:ascii="宋体" w:hAnsi="宋体"/>
                <w:color w:val="auto"/>
                <w:sz w:val="21"/>
                <w:szCs w:val="21"/>
                <w:highlight w:val="none"/>
              </w:rPr>
              <w:t>个月</w:t>
            </w:r>
            <w:r>
              <w:rPr>
                <w:rFonts w:hint="eastAsia" w:ascii="宋体" w:hAnsi="宋体"/>
                <w:color w:val="auto"/>
                <w:sz w:val="21"/>
                <w:szCs w:val="21"/>
                <w:highlight w:val="none"/>
                <w:lang w:val="en-US" w:eastAsia="zh-CN"/>
              </w:rPr>
              <w:t>在投标公司缴纳</w:t>
            </w:r>
            <w:r>
              <w:rPr>
                <w:rFonts w:ascii="宋体" w:hAnsi="宋体"/>
                <w:color w:val="auto"/>
                <w:sz w:val="21"/>
                <w:szCs w:val="21"/>
                <w:highlight w:val="none"/>
              </w:rPr>
              <w:t>社保证明</w:t>
            </w:r>
            <w:r>
              <w:rPr>
                <w:rFonts w:hint="eastAsia" w:ascii="宋体" w:hAnsi="宋体"/>
                <w:color w:val="auto"/>
                <w:sz w:val="21"/>
                <w:szCs w:val="21"/>
                <w:highlight w:val="none"/>
                <w:lang w:val="en-US" w:eastAsia="zh-CN"/>
              </w:rPr>
              <w:t>的</w:t>
            </w:r>
            <w:r>
              <w:rPr>
                <w:rFonts w:ascii="宋体" w:hAnsi="宋体"/>
                <w:color w:val="auto"/>
                <w:sz w:val="21"/>
                <w:szCs w:val="21"/>
                <w:highlight w:val="none"/>
              </w:rPr>
              <w:t>材料，并加盖投标人公章</w:t>
            </w:r>
            <w:r>
              <w:rPr>
                <w:rFonts w:hint="eastAsia" w:ascii="宋体" w:hAnsi="宋体"/>
                <w:color w:val="auto"/>
                <w:sz w:val="21"/>
                <w:szCs w:val="21"/>
                <w:highlight w:val="none"/>
              </w:rPr>
              <w:t>，不提供或提供不完整均不得分。</w:t>
            </w:r>
          </w:p>
        </w:tc>
      </w:tr>
      <w:tr w14:paraId="69CB4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84" w:hRule="atLeast"/>
          <w:jc w:val="center"/>
        </w:trPr>
        <w:tc>
          <w:tcPr>
            <w:tcW w:w="393" w:type="dxa"/>
            <w:vMerge w:val="continue"/>
            <w:noWrap w:val="0"/>
            <w:vAlign w:val="center"/>
          </w:tcPr>
          <w:p w14:paraId="14990CC6">
            <w:pPr>
              <w:keepNext w:val="0"/>
              <w:keepLines w:val="0"/>
              <w:pageBreakBefore w:val="0"/>
              <w:widowControl w:val="0"/>
              <w:kinsoku/>
              <w:wordWrap/>
              <w:overflowPunct/>
              <w:topLinePunct w:val="0"/>
              <w:autoSpaceDE/>
              <w:autoSpaceDN/>
              <w:bidi w:val="0"/>
              <w:spacing w:line="400" w:lineRule="exact"/>
              <w:rPr>
                <w:rFonts w:hint="eastAsia" w:ascii="宋体" w:hAnsi="宋体" w:eastAsia="宋体" w:cs="宋体"/>
                <w:color w:val="auto"/>
                <w:sz w:val="21"/>
                <w:szCs w:val="21"/>
                <w:highlight w:val="none"/>
              </w:rPr>
            </w:pPr>
          </w:p>
        </w:tc>
        <w:tc>
          <w:tcPr>
            <w:tcW w:w="924" w:type="dxa"/>
            <w:vMerge w:val="continue"/>
            <w:noWrap w:val="0"/>
            <w:vAlign w:val="center"/>
          </w:tcPr>
          <w:p w14:paraId="2CD5D851">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tcBorders>
              <w:top w:val="single" w:color="auto" w:sz="4" w:space="0"/>
            </w:tcBorders>
            <w:noWrap w:val="0"/>
            <w:vAlign w:val="center"/>
          </w:tcPr>
          <w:p w14:paraId="743CC654">
            <w:pPr>
              <w:spacing w:line="56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lang w:val="en-US" w:eastAsia="zh-CN"/>
              </w:rPr>
              <w:t>同类</w:t>
            </w:r>
            <w:r>
              <w:rPr>
                <w:rFonts w:hint="eastAsia" w:ascii="宋体" w:hAnsi="宋体"/>
                <w:color w:val="auto"/>
                <w:sz w:val="21"/>
                <w:szCs w:val="21"/>
                <w:highlight w:val="none"/>
              </w:rPr>
              <w:t>业绩（</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分）</w:t>
            </w:r>
          </w:p>
        </w:tc>
        <w:tc>
          <w:tcPr>
            <w:tcW w:w="6724" w:type="dxa"/>
            <w:noWrap w:val="0"/>
            <w:vAlign w:val="center"/>
          </w:tcPr>
          <w:p w14:paraId="450C55FC">
            <w:pPr>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投标供应商2023年1月1日至今具有类似项目业绩的，每提供一份有效业绩得</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分，最高得</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分。</w:t>
            </w:r>
          </w:p>
          <w:p w14:paraId="1DD4128A">
            <w:pPr>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注：1、日期以合同签订之日为准；</w:t>
            </w:r>
          </w:p>
          <w:p w14:paraId="0FE70EFD">
            <w:pPr>
              <w:spacing w:line="360" w:lineRule="auto"/>
              <w:rPr>
                <w:rFonts w:hint="eastAsia" w:ascii="仿宋" w:hAnsi="仿宋" w:eastAsia="仿宋" w:cs="Times New Roman"/>
                <w:color w:val="auto"/>
                <w:kern w:val="2"/>
                <w:sz w:val="21"/>
                <w:szCs w:val="21"/>
                <w:highlight w:val="none"/>
                <w:lang w:val="en-US" w:eastAsia="zh-CN" w:bidi="ar-SA"/>
              </w:rPr>
            </w:pPr>
            <w:r>
              <w:rPr>
                <w:rFonts w:hint="eastAsia" w:ascii="宋体" w:hAnsi="宋体"/>
                <w:color w:val="auto"/>
                <w:sz w:val="21"/>
                <w:szCs w:val="21"/>
                <w:highlight w:val="none"/>
              </w:rPr>
              <w:t>2、证明材料须提供合同</w:t>
            </w:r>
            <w:r>
              <w:rPr>
                <w:rFonts w:hint="eastAsia"/>
                <w:color w:val="auto"/>
                <w:highlight w:val="none"/>
                <w:lang w:val="en-US" w:eastAsia="zh-CN"/>
              </w:rPr>
              <w:t>或</w:t>
            </w:r>
            <w:r>
              <w:rPr>
                <w:rFonts w:hint="eastAsia" w:ascii="宋体" w:hAnsi="宋体"/>
                <w:color w:val="auto"/>
                <w:sz w:val="21"/>
                <w:szCs w:val="21"/>
                <w:highlight w:val="none"/>
              </w:rPr>
              <w:t>中标</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lang w:eastAsia="zh-CN"/>
              </w:rPr>
              <w:t>）</w:t>
            </w:r>
            <w:r>
              <w:rPr>
                <w:rFonts w:hint="eastAsia" w:ascii="宋体" w:hAnsi="宋体"/>
                <w:color w:val="auto"/>
                <w:sz w:val="21"/>
                <w:szCs w:val="21"/>
                <w:highlight w:val="none"/>
              </w:rPr>
              <w:t>通知书复印件加盖公章。</w:t>
            </w:r>
          </w:p>
        </w:tc>
      </w:tr>
      <w:tr w14:paraId="6D079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15" w:hRule="atLeast"/>
          <w:jc w:val="center"/>
        </w:trPr>
        <w:tc>
          <w:tcPr>
            <w:tcW w:w="393" w:type="dxa"/>
            <w:vMerge w:val="continue"/>
            <w:noWrap w:val="0"/>
            <w:vAlign w:val="center"/>
          </w:tcPr>
          <w:p w14:paraId="1C0EC8DD">
            <w:pPr>
              <w:keepNext w:val="0"/>
              <w:keepLines w:val="0"/>
              <w:pageBreakBefore w:val="0"/>
              <w:widowControl w:val="0"/>
              <w:kinsoku/>
              <w:wordWrap/>
              <w:overflowPunct/>
              <w:topLinePunct w:val="0"/>
              <w:autoSpaceDE/>
              <w:autoSpaceDN/>
              <w:bidi w:val="0"/>
              <w:spacing w:line="400" w:lineRule="exact"/>
              <w:rPr>
                <w:rFonts w:hint="eastAsia" w:ascii="宋体" w:hAnsi="宋体" w:eastAsia="宋体" w:cs="宋体"/>
                <w:color w:val="auto"/>
                <w:sz w:val="21"/>
                <w:szCs w:val="21"/>
                <w:highlight w:val="none"/>
              </w:rPr>
            </w:pPr>
          </w:p>
        </w:tc>
        <w:tc>
          <w:tcPr>
            <w:tcW w:w="924" w:type="dxa"/>
            <w:vMerge w:val="continue"/>
            <w:noWrap w:val="0"/>
            <w:vAlign w:val="center"/>
          </w:tcPr>
          <w:p w14:paraId="48F9AE52">
            <w:pPr>
              <w:keepNext w:val="0"/>
              <w:keepLines w:val="0"/>
              <w:pageBreakBefore w:val="0"/>
              <w:widowControl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p>
        </w:tc>
        <w:tc>
          <w:tcPr>
            <w:tcW w:w="1403" w:type="dxa"/>
            <w:tcBorders>
              <w:top w:val="single" w:color="auto" w:sz="4" w:space="0"/>
            </w:tcBorders>
            <w:noWrap w:val="0"/>
            <w:vAlign w:val="center"/>
          </w:tcPr>
          <w:p w14:paraId="01007FF0">
            <w:pPr>
              <w:spacing w:line="56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lang w:val="en-US" w:eastAsia="zh-CN"/>
              </w:rPr>
              <w:t>政策功能分</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分）</w:t>
            </w:r>
          </w:p>
        </w:tc>
        <w:tc>
          <w:tcPr>
            <w:tcW w:w="6724" w:type="dxa"/>
            <w:noWrap w:val="0"/>
            <w:vAlign w:val="center"/>
          </w:tcPr>
          <w:p w14:paraId="46CD58BC">
            <w:pPr>
              <w:spacing w:line="360" w:lineRule="auto"/>
              <w:rPr>
                <w:rFonts w:hint="eastAsia" w:ascii="宋体" w:hAnsi="宋体"/>
                <w:color w:val="auto"/>
                <w:sz w:val="21"/>
                <w:szCs w:val="21"/>
                <w:highlight w:val="none"/>
              </w:rPr>
            </w:pPr>
            <w:r>
              <w:rPr>
                <w:rFonts w:hint="eastAsia" w:ascii="宋体" w:hAnsi="宋体"/>
                <w:color w:val="auto"/>
                <w:sz w:val="21"/>
                <w:szCs w:val="21"/>
                <w:highlight w:val="none"/>
              </w:rPr>
              <w:t>(1)属于财政部《节能产品政府采购品目清单》内优先采购(清单内未标注“</w:t>
            </w:r>
            <w:r>
              <w:rPr>
                <w:rFonts w:hint="eastAsia" w:ascii="微软雅黑" w:hAnsi="微软雅黑" w:eastAsia="微软雅黑" w:cs="微软雅黑"/>
                <w:color w:val="auto"/>
                <w:sz w:val="21"/>
                <w:szCs w:val="21"/>
                <w:highlight w:val="none"/>
              </w:rPr>
              <w:t>★</w:t>
            </w:r>
            <w:r>
              <w:rPr>
                <w:rFonts w:hint="eastAsia" w:ascii="宋体" w:hAnsi="宋体"/>
                <w:color w:val="auto"/>
                <w:sz w:val="21"/>
                <w:szCs w:val="21"/>
                <w:highlight w:val="none"/>
              </w:rPr>
              <w:t>”的品目)的产品[投标文件中提供有效的认证证书复印件(或扫描件)及品目清单(标注出投标产品在品目清单中所属的品目)，并加盖投标人电子签章]，得</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分。</w:t>
            </w:r>
          </w:p>
          <w:p w14:paraId="74CA6BD9">
            <w:pPr>
              <w:spacing w:line="360"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(2)属于财政部《环境标志产品政府采购品目清单》内的产品[投标文件中提供有效的认证证书复印件(或扫描件)及品目清单(标注出投标产品在品目清单中所属的品目)，并加盖投标人电子签章]，得</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分。</w:t>
            </w:r>
          </w:p>
        </w:tc>
      </w:tr>
    </w:tbl>
    <w:p w14:paraId="7D68F231">
      <w:pPr>
        <w:spacing w:line="380" w:lineRule="exact"/>
        <w:rPr>
          <w:rFonts w:hint="eastAsia" w:hAnsi="宋体"/>
          <w:bCs/>
          <w:color w:val="auto"/>
          <w:highlight w:val="none"/>
        </w:rPr>
      </w:pPr>
      <w:r>
        <w:rPr>
          <w:rFonts w:hint="eastAsia" w:ascii="宋体" w:hAnsi="宋体"/>
          <w:b/>
          <w:color w:val="auto"/>
          <w:szCs w:val="21"/>
          <w:highlight w:val="none"/>
        </w:rPr>
        <w:t>（三）总得分</w:t>
      </w:r>
      <w:r>
        <w:rPr>
          <w:rFonts w:ascii="宋体" w:hAnsi="宋体"/>
          <w:b/>
          <w:color w:val="auto"/>
          <w:szCs w:val="21"/>
          <w:highlight w:val="none"/>
        </w:rPr>
        <w:t xml:space="preserve">=1 + 2 + 3 </w:t>
      </w:r>
      <w:r>
        <w:rPr>
          <w:rFonts w:hint="eastAsia" w:ascii="宋体" w:hAnsi="宋体"/>
          <w:b/>
          <w:color w:val="auto"/>
          <w:szCs w:val="21"/>
          <w:highlight w:val="none"/>
        </w:rPr>
        <w:t>。</w:t>
      </w:r>
    </w:p>
    <w:p w14:paraId="742A4433">
      <w:pPr>
        <w:widowControl w:val="0"/>
        <w:adjustRightInd w:val="0"/>
        <w:spacing w:line="380" w:lineRule="exact"/>
        <w:ind w:left="0"/>
        <w:jc w:val="both"/>
        <w:textAlignment w:val="baseline"/>
        <w:rPr>
          <w:rFonts w:hint="eastAsia" w:ascii="宋体" w:hAnsi="宋体" w:eastAsia="宋体" w:cs="Times New Roman"/>
          <w:b/>
          <w:bCs/>
          <w:color w:val="auto"/>
          <w:kern w:val="0"/>
          <w:sz w:val="21"/>
          <w:szCs w:val="20"/>
          <w:highlight w:val="none"/>
          <w:lang w:val="en-US" w:eastAsia="zh-CN" w:bidi="ar-SA"/>
        </w:rPr>
      </w:pPr>
      <w:r>
        <w:rPr>
          <w:rFonts w:hint="eastAsia" w:ascii="宋体" w:hAnsi="宋体" w:eastAsia="宋体" w:cs="Times New Roman"/>
          <w:b/>
          <w:bCs/>
          <w:color w:val="auto"/>
          <w:kern w:val="0"/>
          <w:sz w:val="21"/>
          <w:szCs w:val="20"/>
          <w:highlight w:val="none"/>
          <w:lang w:val="en-US" w:eastAsia="zh-CN" w:bidi="ar-SA"/>
        </w:rPr>
        <w:t>三、中标候选人推荐原则</w:t>
      </w:r>
    </w:p>
    <w:p w14:paraId="22F42FC7">
      <w:pPr>
        <w:widowControl w:val="0"/>
        <w:adjustRightInd w:val="0"/>
        <w:spacing w:line="380" w:lineRule="exact"/>
        <w:ind w:left="0"/>
        <w:jc w:val="both"/>
        <w:textAlignment w:val="baseline"/>
        <w:rPr>
          <w:rFonts w:hint="eastAsia"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
          <w:bCs/>
          <w:color w:val="auto"/>
          <w:kern w:val="0"/>
          <w:sz w:val="21"/>
          <w:szCs w:val="20"/>
          <w:highlight w:val="none"/>
          <w:lang w:val="en-US" w:eastAsia="zh-CN" w:bidi="ar-SA"/>
        </w:rPr>
        <w:t xml:space="preserve">  </w:t>
      </w:r>
      <w:r>
        <w:rPr>
          <w:rFonts w:hint="eastAsia" w:ascii="宋体" w:hAnsi="宋体" w:eastAsia="宋体" w:cs="Times New Roman"/>
          <w:bCs/>
          <w:color w:val="auto"/>
          <w:kern w:val="0"/>
          <w:sz w:val="21"/>
          <w:szCs w:val="20"/>
          <w:highlight w:val="none"/>
          <w:lang w:val="en-US" w:eastAsia="zh-CN" w:bidi="ar-SA"/>
        </w:rPr>
        <w:t>（一）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47EC6D8C">
      <w:pPr>
        <w:widowControl w:val="0"/>
        <w:adjustRightInd w:val="0"/>
        <w:spacing w:line="380" w:lineRule="exact"/>
        <w:ind w:left="0" w:firstLine="420" w:firstLineChars="200"/>
        <w:jc w:val="both"/>
        <w:textAlignment w:val="baseline"/>
        <w:rPr>
          <w:rFonts w:hint="eastAsia" w:ascii="宋体" w:hAnsi="宋体" w:eastAsia="宋体" w:cs="Times New Roman"/>
          <w:bCs/>
          <w:color w:val="auto"/>
          <w:kern w:val="0"/>
          <w:sz w:val="21"/>
          <w:szCs w:val="20"/>
          <w:highlight w:val="none"/>
          <w:lang w:val="en-US" w:eastAsia="zh-CN" w:bidi="ar-SA"/>
        </w:rPr>
      </w:pPr>
      <w:r>
        <w:rPr>
          <w:rFonts w:hint="eastAsia" w:ascii="宋体" w:hAnsi="宋体" w:eastAsia="宋体" w:cs="Times New Roman"/>
          <w:bCs/>
          <w:color w:val="auto"/>
          <w:kern w:val="0"/>
          <w:sz w:val="21"/>
          <w:szCs w:val="20"/>
          <w:highlight w:val="none"/>
          <w:lang w:val="en-US" w:eastAsia="zh-CN" w:bidi="ar-SA"/>
        </w:rPr>
        <w:t>采购人应当确定评审委员会推荐排名第一的中标候选人为</w:t>
      </w:r>
      <w:r>
        <w:rPr>
          <w:rFonts w:hint="eastAsia" w:ascii="宋体" w:hAnsi="宋体" w:eastAsia="宋体" w:cs="Times New Roman"/>
          <w:color w:val="auto"/>
          <w:kern w:val="0"/>
          <w:sz w:val="21"/>
          <w:szCs w:val="20"/>
          <w:highlight w:val="none"/>
          <w:lang w:val="en-US" w:eastAsia="zh-CN" w:bidi="ar-SA"/>
        </w:rPr>
        <w:t>中标人</w:t>
      </w:r>
      <w:r>
        <w:rPr>
          <w:rFonts w:hint="eastAsia" w:ascii="宋体" w:hAnsi="宋体" w:eastAsia="宋体" w:cs="Times New Roman"/>
          <w:bCs/>
          <w:color w:val="auto"/>
          <w:kern w:val="0"/>
          <w:sz w:val="21"/>
          <w:szCs w:val="20"/>
          <w:highlight w:val="none"/>
          <w:lang w:val="en-US" w:eastAsia="zh-CN" w:bidi="ar-SA"/>
        </w:rPr>
        <w:t>。排名第一的中标候选人放弃中标、因不可抗力或者自身原因提出不能履行合同，采购人可以确定排名第二的中标候选人为</w:t>
      </w:r>
      <w:r>
        <w:rPr>
          <w:rFonts w:hint="eastAsia" w:ascii="宋体" w:hAnsi="宋体" w:eastAsia="宋体" w:cs="Times New Roman"/>
          <w:color w:val="auto"/>
          <w:kern w:val="0"/>
          <w:sz w:val="21"/>
          <w:szCs w:val="20"/>
          <w:highlight w:val="none"/>
          <w:lang w:val="en-US" w:eastAsia="zh-CN" w:bidi="ar-SA"/>
        </w:rPr>
        <w:t>中标人</w:t>
      </w:r>
      <w:r>
        <w:rPr>
          <w:rFonts w:hint="eastAsia" w:ascii="宋体" w:hAnsi="宋体" w:eastAsia="宋体" w:cs="Times New Roman"/>
          <w:bCs/>
          <w:color w:val="auto"/>
          <w:kern w:val="0"/>
          <w:sz w:val="21"/>
          <w:szCs w:val="20"/>
          <w:highlight w:val="none"/>
          <w:lang w:val="en-US" w:eastAsia="zh-CN" w:bidi="ar-SA"/>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79883E5D">
      <w:pPr>
        <w:widowControl w:val="0"/>
        <w:adjustRightInd w:val="0"/>
        <w:spacing w:line="400" w:lineRule="exact"/>
        <w:ind w:left="0" w:firstLine="420" w:firstLineChars="200"/>
        <w:jc w:val="both"/>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（二）异常低价审查：具体详见第三章《投标人须知》。</w:t>
      </w:r>
    </w:p>
    <w:p w14:paraId="2B234398">
      <w:pPr>
        <w:widowControl w:val="0"/>
        <w:adjustRightInd w:val="0"/>
        <w:spacing w:line="400" w:lineRule="exact"/>
        <w:jc w:val="both"/>
        <w:textAlignment w:val="baseline"/>
        <w:rPr>
          <w:rFonts w:hint="eastAsia" w:ascii="宋体"/>
          <w:color w:val="auto"/>
          <w:sz w:val="32"/>
          <w:szCs w:val="32"/>
          <w:highlight w:val="none"/>
        </w:rPr>
      </w:pPr>
      <w:r>
        <w:rPr>
          <w:rFonts w:hint="eastAsia" w:ascii="宋体"/>
          <w:color w:val="auto"/>
          <w:sz w:val="32"/>
          <w:szCs w:val="32"/>
          <w:highlight w:val="none"/>
        </w:rPr>
        <w:br w:type="page"/>
      </w:r>
    </w:p>
    <w:p w14:paraId="3EF25F4B">
      <w:pPr>
        <w:spacing w:line="400" w:lineRule="exact"/>
        <w:jc w:val="center"/>
        <w:rPr>
          <w:rFonts w:hint="eastAsia" w:ascii="宋体"/>
          <w:color w:val="auto"/>
          <w:sz w:val="32"/>
          <w:szCs w:val="32"/>
          <w:highlight w:val="none"/>
        </w:rPr>
      </w:pPr>
    </w:p>
    <w:p w14:paraId="12815D38">
      <w:pPr>
        <w:spacing w:line="400" w:lineRule="exact"/>
        <w:jc w:val="center"/>
        <w:rPr>
          <w:rFonts w:hint="eastAsia" w:ascii="宋体"/>
          <w:color w:val="auto"/>
          <w:sz w:val="32"/>
          <w:szCs w:val="32"/>
          <w:highlight w:val="none"/>
        </w:rPr>
      </w:pPr>
    </w:p>
    <w:p w14:paraId="6D0197D0">
      <w:pPr>
        <w:spacing w:line="400" w:lineRule="exact"/>
        <w:jc w:val="center"/>
        <w:rPr>
          <w:rFonts w:hint="eastAsia" w:ascii="宋体"/>
          <w:color w:val="auto"/>
          <w:sz w:val="32"/>
          <w:szCs w:val="32"/>
          <w:highlight w:val="none"/>
        </w:rPr>
      </w:pPr>
    </w:p>
    <w:p w14:paraId="46803C7D">
      <w:pPr>
        <w:spacing w:line="400" w:lineRule="exact"/>
        <w:jc w:val="center"/>
        <w:rPr>
          <w:rFonts w:hint="eastAsia" w:ascii="宋体"/>
          <w:color w:val="auto"/>
          <w:sz w:val="32"/>
          <w:szCs w:val="32"/>
          <w:highlight w:val="none"/>
        </w:rPr>
      </w:pPr>
    </w:p>
    <w:p w14:paraId="433645D9">
      <w:pPr>
        <w:spacing w:line="400" w:lineRule="exact"/>
        <w:jc w:val="center"/>
        <w:rPr>
          <w:rFonts w:hint="eastAsia" w:ascii="宋体"/>
          <w:color w:val="auto"/>
          <w:sz w:val="32"/>
          <w:szCs w:val="32"/>
          <w:highlight w:val="none"/>
        </w:rPr>
      </w:pPr>
    </w:p>
    <w:p w14:paraId="24027CB4">
      <w:pPr>
        <w:spacing w:line="400" w:lineRule="exact"/>
        <w:jc w:val="center"/>
        <w:rPr>
          <w:rFonts w:hint="eastAsia" w:ascii="宋体"/>
          <w:color w:val="auto"/>
          <w:sz w:val="32"/>
          <w:szCs w:val="32"/>
          <w:highlight w:val="none"/>
        </w:rPr>
      </w:pPr>
    </w:p>
    <w:p w14:paraId="014CB0F6">
      <w:pPr>
        <w:spacing w:line="400" w:lineRule="exact"/>
        <w:jc w:val="center"/>
        <w:rPr>
          <w:rFonts w:hint="eastAsia" w:ascii="宋体"/>
          <w:color w:val="auto"/>
          <w:sz w:val="32"/>
          <w:szCs w:val="32"/>
          <w:highlight w:val="none"/>
        </w:rPr>
      </w:pPr>
    </w:p>
    <w:p w14:paraId="03F0EF5E">
      <w:pPr>
        <w:spacing w:line="400" w:lineRule="exact"/>
        <w:jc w:val="center"/>
        <w:rPr>
          <w:rFonts w:hint="eastAsia" w:ascii="宋体"/>
          <w:color w:val="auto"/>
          <w:sz w:val="32"/>
          <w:szCs w:val="32"/>
          <w:highlight w:val="none"/>
        </w:rPr>
      </w:pPr>
    </w:p>
    <w:p w14:paraId="087C7E33">
      <w:pPr>
        <w:spacing w:line="400" w:lineRule="exact"/>
        <w:rPr>
          <w:rFonts w:hint="eastAsia" w:ascii="宋体"/>
          <w:color w:val="auto"/>
          <w:sz w:val="32"/>
          <w:szCs w:val="32"/>
          <w:highlight w:val="none"/>
        </w:rPr>
      </w:pPr>
    </w:p>
    <w:p w14:paraId="044A1684">
      <w:pPr>
        <w:spacing w:line="400" w:lineRule="exact"/>
        <w:rPr>
          <w:rFonts w:hint="eastAsia" w:ascii="宋体"/>
          <w:color w:val="auto"/>
          <w:sz w:val="32"/>
          <w:szCs w:val="32"/>
          <w:highlight w:val="none"/>
        </w:rPr>
      </w:pPr>
    </w:p>
    <w:p w14:paraId="7644DA27">
      <w:pPr>
        <w:spacing w:line="400" w:lineRule="exact"/>
        <w:rPr>
          <w:rFonts w:hint="eastAsia" w:ascii="宋体"/>
          <w:color w:val="auto"/>
          <w:sz w:val="32"/>
          <w:szCs w:val="32"/>
          <w:highlight w:val="none"/>
        </w:rPr>
      </w:pPr>
    </w:p>
    <w:p w14:paraId="5CE1D7FD">
      <w:pPr>
        <w:spacing w:line="400" w:lineRule="exact"/>
        <w:rPr>
          <w:rFonts w:hint="eastAsia" w:ascii="宋体"/>
          <w:color w:val="auto"/>
          <w:sz w:val="32"/>
          <w:szCs w:val="32"/>
          <w:highlight w:val="none"/>
        </w:rPr>
      </w:pPr>
    </w:p>
    <w:p w14:paraId="7845E838">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100" w:name="_Toc476436176"/>
      <w:bookmarkStart w:id="101" w:name="_Toc476436435"/>
      <w:r>
        <w:rPr>
          <w:rFonts w:hint="eastAsia" w:ascii="Arial" w:hAnsi="Arial" w:eastAsia="宋体" w:cs="Times New Roman"/>
          <w:b/>
          <w:bCs/>
          <w:color w:val="auto"/>
          <w:kern w:val="2"/>
          <w:sz w:val="44"/>
          <w:szCs w:val="44"/>
          <w:highlight w:val="none"/>
          <w:lang w:val="en-US" w:eastAsia="zh-CN" w:bidi="ar-SA"/>
        </w:rPr>
        <w:t>第五章  政府采购合同主要条款</w:t>
      </w:r>
      <w:bookmarkEnd w:id="100"/>
      <w:bookmarkEnd w:id="101"/>
    </w:p>
    <w:p w14:paraId="0A2DF71F">
      <w:pPr>
        <w:widowControl w:val="0"/>
        <w:jc w:val="center"/>
        <w:rPr>
          <w:rFonts w:hint="eastAsia" w:ascii="宋体" w:hAnsi="Times New Roman" w:eastAsia="宋体" w:cs="Times New Roman"/>
          <w:b/>
          <w:color w:val="auto"/>
          <w:kern w:val="2"/>
          <w:sz w:val="52"/>
          <w:szCs w:val="52"/>
          <w:highlight w:val="none"/>
          <w:lang w:val="en-US" w:eastAsia="zh-CN" w:bidi="ar-SA"/>
        </w:rPr>
      </w:pPr>
    </w:p>
    <w:p w14:paraId="64F23B9F">
      <w:pPr>
        <w:snapToGrid w:val="0"/>
        <w:spacing w:line="400" w:lineRule="exact"/>
        <w:jc w:val="center"/>
        <w:rPr>
          <w:rFonts w:hint="eastAsia" w:ascii="宋体" w:hAnsi="宋体" w:eastAsia="宋体" w:cs="Times New Roman"/>
          <w:b/>
          <w:bCs/>
          <w:color w:val="auto"/>
          <w:sz w:val="32"/>
          <w:szCs w:val="32"/>
          <w:highlight w:val="none"/>
        </w:rPr>
      </w:pPr>
      <w:r>
        <w:rPr>
          <w:b/>
          <w:color w:val="auto"/>
          <w:sz w:val="52"/>
          <w:szCs w:val="52"/>
          <w:highlight w:val="none"/>
        </w:rPr>
        <w:br w:type="page"/>
      </w:r>
      <w:r>
        <w:rPr>
          <w:rFonts w:hint="eastAsia" w:ascii="宋体" w:hAnsi="宋体" w:eastAsia="宋体" w:cs="Times New Roman"/>
          <w:b/>
          <w:bCs/>
          <w:color w:val="auto"/>
          <w:sz w:val="32"/>
          <w:szCs w:val="32"/>
          <w:highlight w:val="none"/>
        </w:rPr>
        <w:t>《广西壮族自治区政府采购合同》</w:t>
      </w:r>
    </w:p>
    <w:p w14:paraId="7AB53A0E">
      <w:pPr>
        <w:snapToGrid w:val="0"/>
        <w:spacing w:line="400" w:lineRule="exact"/>
        <w:jc w:val="center"/>
        <w:rPr>
          <w:rFonts w:hint="eastAsia" w:ascii="宋体" w:hAnsi="宋体" w:eastAsia="宋体" w:cs="Times New Roman"/>
          <w:b/>
          <w:bCs/>
          <w:color w:val="auto"/>
          <w:sz w:val="32"/>
          <w:szCs w:val="32"/>
          <w:highlight w:val="none"/>
        </w:rPr>
      </w:pPr>
      <w:r>
        <w:rPr>
          <w:rFonts w:hint="eastAsia" w:ascii="宋体" w:hAnsi="宋体" w:eastAsia="宋体" w:cs="Times New Roman"/>
          <w:b/>
          <w:color w:val="auto"/>
          <w:sz w:val="32"/>
          <w:szCs w:val="32"/>
          <w:highlight w:val="none"/>
        </w:rPr>
        <w:t>文本</w:t>
      </w:r>
    </w:p>
    <w:p w14:paraId="3AA2805A">
      <w:pPr>
        <w:snapToGrid w:val="0"/>
        <w:spacing w:line="400" w:lineRule="exact"/>
        <w:ind w:right="480" w:firstLine="5250" w:firstLineChars="2500"/>
        <w:rPr>
          <w:rFonts w:hint="eastAsia"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rPr>
        <w:t>合同编号：</w:t>
      </w:r>
    </w:p>
    <w:p w14:paraId="40796F4A">
      <w:pPr>
        <w:snapToGrid w:val="0"/>
        <w:spacing w:line="360" w:lineRule="exact"/>
        <w:rPr>
          <w:rFonts w:hint="eastAsia" w:ascii="宋体" w:hAnsi="宋体" w:eastAsia="宋体" w:cs="Times New Roman"/>
          <w:color w:val="auto"/>
          <w:szCs w:val="21"/>
          <w:highlight w:val="none"/>
        </w:rPr>
      </w:pPr>
    </w:p>
    <w:p w14:paraId="633FC94C">
      <w:pPr>
        <w:snapToGrid w:val="0"/>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采购人（甲方）</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pacing w:val="-20"/>
          <w:szCs w:val="21"/>
          <w:highlight w:val="none"/>
        </w:rPr>
        <w:t>采 购 计 划 号</w:t>
      </w:r>
      <w:r>
        <w:rPr>
          <w:rFonts w:hint="eastAsia" w:ascii="宋体" w:hAnsi="宋体" w:eastAsia="宋体" w:cs="Times New Roman"/>
          <w:color w:val="auto"/>
          <w:szCs w:val="21"/>
          <w:highlight w:val="none"/>
          <w:u w:val="single"/>
        </w:rPr>
        <w:t xml:space="preserve">             </w:t>
      </w:r>
    </w:p>
    <w:p w14:paraId="048F9D9D">
      <w:pPr>
        <w:snapToGrid w:val="0"/>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供 应 商（乙方）</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pacing w:val="-20"/>
          <w:szCs w:val="21"/>
          <w:highlight w:val="none"/>
        </w:rPr>
        <w:t>招  标  编  号</w:t>
      </w:r>
      <w:r>
        <w:rPr>
          <w:rFonts w:hint="eastAsia" w:ascii="宋体" w:hAnsi="宋体" w:eastAsia="宋体" w:cs="Times New Roman"/>
          <w:color w:val="auto"/>
          <w:szCs w:val="21"/>
          <w:highlight w:val="none"/>
          <w:u w:val="single"/>
        </w:rPr>
        <w:t xml:space="preserve">             </w:t>
      </w:r>
    </w:p>
    <w:p w14:paraId="535CC3C5">
      <w:pPr>
        <w:snapToGrid w:val="0"/>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 xml:space="preserve">签  订  地  点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签 订 时 间</w:t>
      </w:r>
      <w:r>
        <w:rPr>
          <w:rFonts w:hint="eastAsia" w:ascii="宋体" w:hAnsi="宋体" w:eastAsia="宋体" w:cs="Times New Roman"/>
          <w:color w:val="auto"/>
          <w:szCs w:val="21"/>
          <w:highlight w:val="none"/>
          <w:u w:val="single"/>
        </w:rPr>
        <w:t xml:space="preserve">             </w:t>
      </w:r>
    </w:p>
    <w:p w14:paraId="0B41E849">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本合同为中小企业预留合同：</w:t>
      </w:r>
      <w:r>
        <w:rPr>
          <w:rFonts w:hint="eastAsia" w:ascii="宋体" w:hAnsi="宋体" w:eastAsia="宋体" w:cs="宋体"/>
          <w:color w:val="auto"/>
          <w:szCs w:val="21"/>
          <w:highlight w:val="none"/>
          <w:u w:val="single"/>
        </w:rPr>
        <w:t>（是/否）</w:t>
      </w:r>
      <w:r>
        <w:rPr>
          <w:rFonts w:hint="eastAsia" w:ascii="宋体" w:hAnsi="宋体" w:eastAsia="宋体" w:cs="宋体"/>
          <w:color w:val="auto"/>
          <w:szCs w:val="21"/>
          <w:highlight w:val="none"/>
        </w:rPr>
        <w:t>。</w:t>
      </w:r>
    </w:p>
    <w:p w14:paraId="775ADAAD">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根据《中华人民共和国政府采购法</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中华人民共和国民法典》等</w:t>
      </w:r>
      <w:r>
        <w:rPr>
          <w:rFonts w:hint="eastAsia" w:ascii="宋体" w:hAnsi="宋体" w:eastAsia="宋体" w:cs="Times New Roman"/>
          <w:color w:val="auto"/>
          <w:szCs w:val="21"/>
          <w:highlight w:val="none"/>
          <w:lang w:eastAsia="zh-CN"/>
        </w:rPr>
        <w:t>法律法规</w:t>
      </w:r>
      <w:r>
        <w:rPr>
          <w:rFonts w:hint="eastAsia" w:ascii="宋体" w:hAnsi="宋体" w:eastAsia="宋体" w:cs="Times New Roman"/>
          <w:color w:val="auto"/>
          <w:szCs w:val="21"/>
          <w:highlight w:val="none"/>
        </w:rPr>
        <w:t>规定，按照招标文件（采购文件）规定条款和中标（成交）供应商承诺，甲乙双方签订本合同。</w:t>
      </w:r>
    </w:p>
    <w:p w14:paraId="55CF3E41">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第一条　合同标的</w:t>
      </w:r>
    </w:p>
    <w:p w14:paraId="7548C212">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1.供货一览表</w:t>
      </w:r>
    </w:p>
    <w:tbl>
      <w:tblPr>
        <w:tblStyle w:val="2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1189"/>
      </w:tblGrid>
      <w:tr w14:paraId="2665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5813DC78">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1233" w:type="dxa"/>
            <w:noWrap w:val="0"/>
            <w:vAlign w:val="center"/>
          </w:tcPr>
          <w:p w14:paraId="6DC6D517">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产品名称</w:t>
            </w:r>
          </w:p>
        </w:tc>
        <w:tc>
          <w:tcPr>
            <w:tcW w:w="1059" w:type="dxa"/>
            <w:noWrap w:val="0"/>
            <w:vAlign w:val="center"/>
          </w:tcPr>
          <w:p w14:paraId="68550C9D">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商标品牌</w:t>
            </w:r>
          </w:p>
        </w:tc>
        <w:tc>
          <w:tcPr>
            <w:tcW w:w="1233" w:type="dxa"/>
            <w:noWrap w:val="0"/>
            <w:vAlign w:val="center"/>
          </w:tcPr>
          <w:p w14:paraId="5FF87FB8">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规格型号</w:t>
            </w:r>
          </w:p>
        </w:tc>
        <w:tc>
          <w:tcPr>
            <w:tcW w:w="1210" w:type="dxa"/>
            <w:noWrap w:val="0"/>
            <w:vAlign w:val="center"/>
          </w:tcPr>
          <w:p w14:paraId="5FBFCA7E">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生产厂家</w:t>
            </w:r>
          </w:p>
        </w:tc>
        <w:tc>
          <w:tcPr>
            <w:tcW w:w="908" w:type="dxa"/>
            <w:noWrap w:val="0"/>
            <w:vAlign w:val="center"/>
          </w:tcPr>
          <w:p w14:paraId="20C473A1">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数  量</w:t>
            </w:r>
          </w:p>
        </w:tc>
        <w:tc>
          <w:tcPr>
            <w:tcW w:w="668" w:type="dxa"/>
            <w:noWrap w:val="0"/>
            <w:vAlign w:val="center"/>
          </w:tcPr>
          <w:p w14:paraId="2D9EA2F7">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单位</w:t>
            </w:r>
          </w:p>
        </w:tc>
        <w:tc>
          <w:tcPr>
            <w:tcW w:w="947" w:type="dxa"/>
            <w:noWrap w:val="0"/>
            <w:vAlign w:val="center"/>
          </w:tcPr>
          <w:p w14:paraId="12AE5CDA">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  价</w:t>
            </w:r>
          </w:p>
          <w:p w14:paraId="1999D7C3">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（元）</w:t>
            </w:r>
          </w:p>
        </w:tc>
        <w:tc>
          <w:tcPr>
            <w:tcW w:w="1189" w:type="dxa"/>
            <w:noWrap w:val="0"/>
            <w:vAlign w:val="center"/>
          </w:tcPr>
          <w:p w14:paraId="2C945E74">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金  额</w:t>
            </w:r>
          </w:p>
          <w:p w14:paraId="4E1F2D23">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（元）</w:t>
            </w:r>
          </w:p>
        </w:tc>
      </w:tr>
      <w:tr w14:paraId="467F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3C620C7">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233" w:type="dxa"/>
            <w:noWrap w:val="0"/>
            <w:vAlign w:val="center"/>
          </w:tcPr>
          <w:p w14:paraId="0F6C8DC3">
            <w:pPr>
              <w:snapToGrid w:val="0"/>
              <w:spacing w:line="360" w:lineRule="auto"/>
              <w:jc w:val="center"/>
              <w:rPr>
                <w:rFonts w:hint="eastAsia" w:ascii="宋体" w:hAnsi="宋体" w:eastAsia="宋体" w:cs="Times New Roman"/>
                <w:color w:val="auto"/>
                <w:szCs w:val="21"/>
                <w:highlight w:val="none"/>
              </w:rPr>
            </w:pPr>
          </w:p>
        </w:tc>
        <w:tc>
          <w:tcPr>
            <w:tcW w:w="1059" w:type="dxa"/>
            <w:noWrap w:val="0"/>
            <w:vAlign w:val="center"/>
          </w:tcPr>
          <w:p w14:paraId="1201E426">
            <w:pPr>
              <w:snapToGrid w:val="0"/>
              <w:spacing w:line="360" w:lineRule="auto"/>
              <w:jc w:val="center"/>
              <w:rPr>
                <w:rFonts w:hint="eastAsia" w:ascii="宋体" w:hAnsi="宋体" w:eastAsia="宋体" w:cs="Times New Roman"/>
                <w:color w:val="auto"/>
                <w:szCs w:val="21"/>
                <w:highlight w:val="none"/>
              </w:rPr>
            </w:pPr>
          </w:p>
        </w:tc>
        <w:tc>
          <w:tcPr>
            <w:tcW w:w="1233" w:type="dxa"/>
            <w:noWrap w:val="0"/>
            <w:vAlign w:val="center"/>
          </w:tcPr>
          <w:p w14:paraId="60450911">
            <w:pPr>
              <w:snapToGrid w:val="0"/>
              <w:spacing w:line="360" w:lineRule="auto"/>
              <w:jc w:val="center"/>
              <w:rPr>
                <w:rFonts w:hint="eastAsia" w:ascii="宋体" w:hAnsi="宋体" w:eastAsia="宋体" w:cs="Times New Roman"/>
                <w:color w:val="auto"/>
                <w:szCs w:val="21"/>
                <w:highlight w:val="none"/>
              </w:rPr>
            </w:pPr>
          </w:p>
        </w:tc>
        <w:tc>
          <w:tcPr>
            <w:tcW w:w="1210" w:type="dxa"/>
            <w:noWrap w:val="0"/>
            <w:vAlign w:val="top"/>
          </w:tcPr>
          <w:p w14:paraId="65671CAD">
            <w:pPr>
              <w:snapToGrid w:val="0"/>
              <w:spacing w:line="360" w:lineRule="auto"/>
              <w:jc w:val="center"/>
              <w:rPr>
                <w:rFonts w:hint="eastAsia" w:ascii="宋体" w:hAnsi="宋体" w:eastAsia="宋体" w:cs="Times New Roman"/>
                <w:color w:val="auto"/>
                <w:szCs w:val="21"/>
                <w:highlight w:val="none"/>
              </w:rPr>
            </w:pPr>
          </w:p>
        </w:tc>
        <w:tc>
          <w:tcPr>
            <w:tcW w:w="908" w:type="dxa"/>
            <w:noWrap w:val="0"/>
            <w:vAlign w:val="top"/>
          </w:tcPr>
          <w:p w14:paraId="6465049A">
            <w:pPr>
              <w:snapToGrid w:val="0"/>
              <w:spacing w:line="360" w:lineRule="auto"/>
              <w:jc w:val="center"/>
              <w:rPr>
                <w:rFonts w:hint="eastAsia" w:ascii="宋体" w:hAnsi="宋体" w:eastAsia="宋体" w:cs="Times New Roman"/>
                <w:color w:val="auto"/>
                <w:szCs w:val="21"/>
                <w:highlight w:val="none"/>
              </w:rPr>
            </w:pPr>
          </w:p>
        </w:tc>
        <w:tc>
          <w:tcPr>
            <w:tcW w:w="668" w:type="dxa"/>
            <w:noWrap w:val="0"/>
            <w:vAlign w:val="top"/>
          </w:tcPr>
          <w:p w14:paraId="648B91AF">
            <w:pPr>
              <w:snapToGrid w:val="0"/>
              <w:spacing w:line="360" w:lineRule="auto"/>
              <w:jc w:val="center"/>
              <w:rPr>
                <w:rFonts w:hint="eastAsia" w:ascii="宋体" w:hAnsi="宋体" w:eastAsia="宋体" w:cs="Times New Roman"/>
                <w:color w:val="auto"/>
                <w:szCs w:val="21"/>
                <w:highlight w:val="none"/>
              </w:rPr>
            </w:pPr>
          </w:p>
        </w:tc>
        <w:tc>
          <w:tcPr>
            <w:tcW w:w="947" w:type="dxa"/>
            <w:noWrap w:val="0"/>
            <w:vAlign w:val="center"/>
          </w:tcPr>
          <w:p w14:paraId="10F54CBC">
            <w:pPr>
              <w:snapToGrid w:val="0"/>
              <w:spacing w:line="360" w:lineRule="auto"/>
              <w:jc w:val="center"/>
              <w:rPr>
                <w:rFonts w:hint="eastAsia" w:ascii="宋体" w:hAnsi="宋体" w:eastAsia="宋体" w:cs="Times New Roman"/>
                <w:color w:val="auto"/>
                <w:szCs w:val="21"/>
                <w:highlight w:val="none"/>
              </w:rPr>
            </w:pPr>
          </w:p>
        </w:tc>
        <w:tc>
          <w:tcPr>
            <w:tcW w:w="1189" w:type="dxa"/>
            <w:noWrap w:val="0"/>
            <w:vAlign w:val="center"/>
          </w:tcPr>
          <w:p w14:paraId="7AC12DF2">
            <w:pPr>
              <w:snapToGrid w:val="0"/>
              <w:spacing w:line="360" w:lineRule="auto"/>
              <w:jc w:val="center"/>
              <w:rPr>
                <w:rFonts w:hint="eastAsia" w:ascii="宋体" w:hAnsi="宋体" w:eastAsia="宋体" w:cs="Times New Roman"/>
                <w:color w:val="auto"/>
                <w:szCs w:val="21"/>
                <w:highlight w:val="none"/>
              </w:rPr>
            </w:pPr>
          </w:p>
        </w:tc>
      </w:tr>
      <w:tr w14:paraId="344D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4705D20">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233" w:type="dxa"/>
            <w:noWrap w:val="0"/>
            <w:vAlign w:val="center"/>
          </w:tcPr>
          <w:p w14:paraId="79C5340E">
            <w:pPr>
              <w:snapToGrid w:val="0"/>
              <w:spacing w:line="360" w:lineRule="auto"/>
              <w:jc w:val="center"/>
              <w:rPr>
                <w:rFonts w:hint="eastAsia" w:ascii="宋体" w:hAnsi="宋体" w:eastAsia="宋体" w:cs="Times New Roman"/>
                <w:color w:val="auto"/>
                <w:szCs w:val="21"/>
                <w:highlight w:val="none"/>
              </w:rPr>
            </w:pPr>
          </w:p>
        </w:tc>
        <w:tc>
          <w:tcPr>
            <w:tcW w:w="1059" w:type="dxa"/>
            <w:noWrap w:val="0"/>
            <w:vAlign w:val="center"/>
          </w:tcPr>
          <w:p w14:paraId="0C051147">
            <w:pPr>
              <w:snapToGrid w:val="0"/>
              <w:spacing w:line="360" w:lineRule="auto"/>
              <w:jc w:val="center"/>
              <w:rPr>
                <w:rFonts w:hint="eastAsia" w:ascii="宋体" w:hAnsi="宋体" w:eastAsia="宋体" w:cs="Times New Roman"/>
                <w:color w:val="auto"/>
                <w:szCs w:val="21"/>
                <w:highlight w:val="none"/>
              </w:rPr>
            </w:pPr>
          </w:p>
        </w:tc>
        <w:tc>
          <w:tcPr>
            <w:tcW w:w="1233" w:type="dxa"/>
            <w:noWrap w:val="0"/>
            <w:vAlign w:val="center"/>
          </w:tcPr>
          <w:p w14:paraId="282F99CE">
            <w:pPr>
              <w:snapToGrid w:val="0"/>
              <w:spacing w:line="360" w:lineRule="auto"/>
              <w:jc w:val="center"/>
              <w:rPr>
                <w:rFonts w:hint="eastAsia" w:ascii="宋体" w:hAnsi="宋体" w:eastAsia="宋体" w:cs="Times New Roman"/>
                <w:color w:val="auto"/>
                <w:szCs w:val="21"/>
                <w:highlight w:val="none"/>
              </w:rPr>
            </w:pPr>
          </w:p>
        </w:tc>
        <w:tc>
          <w:tcPr>
            <w:tcW w:w="1210" w:type="dxa"/>
            <w:noWrap w:val="0"/>
            <w:vAlign w:val="top"/>
          </w:tcPr>
          <w:p w14:paraId="46DBEB58">
            <w:pPr>
              <w:snapToGrid w:val="0"/>
              <w:spacing w:line="360" w:lineRule="auto"/>
              <w:jc w:val="center"/>
              <w:rPr>
                <w:rFonts w:hint="eastAsia" w:ascii="宋体" w:hAnsi="宋体" w:eastAsia="宋体" w:cs="Times New Roman"/>
                <w:color w:val="auto"/>
                <w:szCs w:val="21"/>
                <w:highlight w:val="none"/>
              </w:rPr>
            </w:pPr>
          </w:p>
        </w:tc>
        <w:tc>
          <w:tcPr>
            <w:tcW w:w="908" w:type="dxa"/>
            <w:noWrap w:val="0"/>
            <w:vAlign w:val="top"/>
          </w:tcPr>
          <w:p w14:paraId="05775307">
            <w:pPr>
              <w:snapToGrid w:val="0"/>
              <w:spacing w:line="360" w:lineRule="auto"/>
              <w:jc w:val="center"/>
              <w:rPr>
                <w:rFonts w:hint="eastAsia" w:ascii="宋体" w:hAnsi="宋体" w:eastAsia="宋体" w:cs="Times New Roman"/>
                <w:color w:val="auto"/>
                <w:szCs w:val="21"/>
                <w:highlight w:val="none"/>
              </w:rPr>
            </w:pPr>
          </w:p>
        </w:tc>
        <w:tc>
          <w:tcPr>
            <w:tcW w:w="668" w:type="dxa"/>
            <w:noWrap w:val="0"/>
            <w:vAlign w:val="top"/>
          </w:tcPr>
          <w:p w14:paraId="2DD080BA">
            <w:pPr>
              <w:snapToGrid w:val="0"/>
              <w:spacing w:line="360" w:lineRule="auto"/>
              <w:jc w:val="center"/>
              <w:rPr>
                <w:rFonts w:hint="eastAsia" w:ascii="宋体" w:hAnsi="宋体" w:eastAsia="宋体" w:cs="Times New Roman"/>
                <w:color w:val="auto"/>
                <w:szCs w:val="21"/>
                <w:highlight w:val="none"/>
              </w:rPr>
            </w:pPr>
          </w:p>
        </w:tc>
        <w:tc>
          <w:tcPr>
            <w:tcW w:w="947" w:type="dxa"/>
            <w:noWrap w:val="0"/>
            <w:vAlign w:val="center"/>
          </w:tcPr>
          <w:p w14:paraId="1AABAAFE">
            <w:pPr>
              <w:snapToGrid w:val="0"/>
              <w:spacing w:line="360" w:lineRule="auto"/>
              <w:jc w:val="center"/>
              <w:rPr>
                <w:rFonts w:hint="eastAsia" w:ascii="宋体" w:hAnsi="宋体" w:eastAsia="宋体" w:cs="Times New Roman"/>
                <w:color w:val="auto"/>
                <w:szCs w:val="21"/>
                <w:highlight w:val="none"/>
              </w:rPr>
            </w:pPr>
          </w:p>
        </w:tc>
        <w:tc>
          <w:tcPr>
            <w:tcW w:w="1189" w:type="dxa"/>
            <w:noWrap w:val="0"/>
            <w:vAlign w:val="center"/>
          </w:tcPr>
          <w:p w14:paraId="055E2DC0">
            <w:pPr>
              <w:snapToGrid w:val="0"/>
              <w:spacing w:line="360" w:lineRule="auto"/>
              <w:jc w:val="center"/>
              <w:rPr>
                <w:rFonts w:hint="eastAsia" w:ascii="宋体" w:hAnsi="宋体" w:eastAsia="宋体" w:cs="Times New Roman"/>
                <w:color w:val="auto"/>
                <w:szCs w:val="21"/>
                <w:highlight w:val="none"/>
              </w:rPr>
            </w:pPr>
          </w:p>
        </w:tc>
      </w:tr>
      <w:tr w14:paraId="6DE1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2220001">
            <w:pPr>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w:t>
            </w:r>
          </w:p>
        </w:tc>
        <w:tc>
          <w:tcPr>
            <w:tcW w:w="1233" w:type="dxa"/>
            <w:noWrap w:val="0"/>
            <w:vAlign w:val="center"/>
          </w:tcPr>
          <w:p w14:paraId="6CC4DC0B">
            <w:pPr>
              <w:snapToGrid w:val="0"/>
              <w:spacing w:line="360" w:lineRule="auto"/>
              <w:jc w:val="center"/>
              <w:rPr>
                <w:rFonts w:hint="eastAsia" w:ascii="宋体" w:hAnsi="宋体" w:eastAsia="宋体" w:cs="Times New Roman"/>
                <w:color w:val="auto"/>
                <w:szCs w:val="21"/>
                <w:highlight w:val="none"/>
              </w:rPr>
            </w:pPr>
          </w:p>
        </w:tc>
        <w:tc>
          <w:tcPr>
            <w:tcW w:w="1059" w:type="dxa"/>
            <w:noWrap w:val="0"/>
            <w:vAlign w:val="center"/>
          </w:tcPr>
          <w:p w14:paraId="64AA6912">
            <w:pPr>
              <w:snapToGrid w:val="0"/>
              <w:spacing w:line="360" w:lineRule="auto"/>
              <w:jc w:val="center"/>
              <w:rPr>
                <w:rFonts w:hint="eastAsia" w:ascii="宋体" w:hAnsi="宋体" w:eastAsia="宋体" w:cs="Times New Roman"/>
                <w:color w:val="auto"/>
                <w:szCs w:val="21"/>
                <w:highlight w:val="none"/>
              </w:rPr>
            </w:pPr>
          </w:p>
        </w:tc>
        <w:tc>
          <w:tcPr>
            <w:tcW w:w="1233" w:type="dxa"/>
            <w:noWrap w:val="0"/>
            <w:vAlign w:val="center"/>
          </w:tcPr>
          <w:p w14:paraId="7F2DAFDF">
            <w:pPr>
              <w:snapToGrid w:val="0"/>
              <w:spacing w:line="360" w:lineRule="auto"/>
              <w:jc w:val="center"/>
              <w:rPr>
                <w:rFonts w:hint="eastAsia" w:ascii="宋体" w:hAnsi="宋体" w:eastAsia="宋体" w:cs="Times New Roman"/>
                <w:color w:val="auto"/>
                <w:szCs w:val="21"/>
                <w:highlight w:val="none"/>
              </w:rPr>
            </w:pPr>
          </w:p>
        </w:tc>
        <w:tc>
          <w:tcPr>
            <w:tcW w:w="1210" w:type="dxa"/>
            <w:noWrap w:val="0"/>
            <w:vAlign w:val="top"/>
          </w:tcPr>
          <w:p w14:paraId="3CEAEC12">
            <w:pPr>
              <w:snapToGrid w:val="0"/>
              <w:spacing w:line="360" w:lineRule="auto"/>
              <w:jc w:val="center"/>
              <w:rPr>
                <w:rFonts w:hint="eastAsia" w:ascii="宋体" w:hAnsi="宋体" w:eastAsia="宋体" w:cs="Times New Roman"/>
                <w:color w:val="auto"/>
                <w:szCs w:val="21"/>
                <w:highlight w:val="none"/>
              </w:rPr>
            </w:pPr>
          </w:p>
        </w:tc>
        <w:tc>
          <w:tcPr>
            <w:tcW w:w="908" w:type="dxa"/>
            <w:noWrap w:val="0"/>
            <w:vAlign w:val="top"/>
          </w:tcPr>
          <w:p w14:paraId="64A40AF4">
            <w:pPr>
              <w:snapToGrid w:val="0"/>
              <w:spacing w:line="360" w:lineRule="auto"/>
              <w:jc w:val="center"/>
              <w:rPr>
                <w:rFonts w:hint="eastAsia" w:ascii="宋体" w:hAnsi="宋体" w:eastAsia="宋体" w:cs="Times New Roman"/>
                <w:color w:val="auto"/>
                <w:szCs w:val="21"/>
                <w:highlight w:val="none"/>
              </w:rPr>
            </w:pPr>
          </w:p>
        </w:tc>
        <w:tc>
          <w:tcPr>
            <w:tcW w:w="668" w:type="dxa"/>
            <w:noWrap w:val="0"/>
            <w:vAlign w:val="top"/>
          </w:tcPr>
          <w:p w14:paraId="4FD883AC">
            <w:pPr>
              <w:snapToGrid w:val="0"/>
              <w:spacing w:line="360" w:lineRule="auto"/>
              <w:jc w:val="center"/>
              <w:rPr>
                <w:rFonts w:hint="eastAsia" w:ascii="宋体" w:hAnsi="宋体" w:eastAsia="宋体" w:cs="Times New Roman"/>
                <w:color w:val="auto"/>
                <w:szCs w:val="21"/>
                <w:highlight w:val="none"/>
              </w:rPr>
            </w:pPr>
          </w:p>
        </w:tc>
        <w:tc>
          <w:tcPr>
            <w:tcW w:w="947" w:type="dxa"/>
            <w:noWrap w:val="0"/>
            <w:vAlign w:val="center"/>
          </w:tcPr>
          <w:p w14:paraId="4D942737">
            <w:pPr>
              <w:snapToGrid w:val="0"/>
              <w:spacing w:line="360" w:lineRule="auto"/>
              <w:jc w:val="center"/>
              <w:rPr>
                <w:rFonts w:hint="eastAsia" w:ascii="宋体" w:hAnsi="宋体" w:eastAsia="宋体" w:cs="Times New Roman"/>
                <w:color w:val="auto"/>
                <w:szCs w:val="21"/>
                <w:highlight w:val="none"/>
              </w:rPr>
            </w:pPr>
          </w:p>
        </w:tc>
        <w:tc>
          <w:tcPr>
            <w:tcW w:w="1189" w:type="dxa"/>
            <w:noWrap w:val="0"/>
            <w:vAlign w:val="center"/>
          </w:tcPr>
          <w:p w14:paraId="1881CB89">
            <w:pPr>
              <w:snapToGrid w:val="0"/>
              <w:spacing w:line="360" w:lineRule="auto"/>
              <w:jc w:val="center"/>
              <w:rPr>
                <w:rFonts w:hint="eastAsia" w:ascii="宋体" w:hAnsi="宋体" w:eastAsia="宋体" w:cs="Times New Roman"/>
                <w:color w:val="auto"/>
                <w:szCs w:val="21"/>
                <w:highlight w:val="none"/>
              </w:rPr>
            </w:pPr>
          </w:p>
        </w:tc>
      </w:tr>
      <w:tr w14:paraId="6C4B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noWrap w:val="0"/>
            <w:vAlign w:val="center"/>
          </w:tcPr>
          <w:p w14:paraId="683BCE0D">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人民币合计金额（大写）                          （小写）                 </w:t>
            </w:r>
          </w:p>
        </w:tc>
      </w:tr>
    </w:tbl>
    <w:p w14:paraId="6A9D2A92">
      <w:pPr>
        <w:snapToGrid w:val="0"/>
        <w:spacing w:line="360" w:lineRule="auto"/>
        <w:ind w:right="42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2.合同合计金额包括货物价款，备件、专用工具、安装、调试、检验、技术培训及技术资料和包装、运输等全部费用。</w:t>
      </w:r>
    </w:p>
    <w:p w14:paraId="7EE07E48">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第二条　质量要求</w:t>
      </w:r>
    </w:p>
    <w:p w14:paraId="12A94EE2">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1.乙方所提供的产品名称、商标品牌、生产厂家、规格型号、技术参数等质量必须与招标文件规定及投标文件承诺相一致。乙方提供的节能和环保产品必须是列入政府采购品目清单的产品。</w:t>
      </w:r>
    </w:p>
    <w:p w14:paraId="29524891">
      <w:pPr>
        <w:snapToGrid w:val="0"/>
        <w:spacing w:line="360"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34966945">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第三条　权利保证</w:t>
      </w:r>
    </w:p>
    <w:p w14:paraId="538A1165">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1.乙方应保证所提供货物在使用时不会侵犯任何第三方的专利权、商标权、工业设计权或者其他权利。</w:t>
      </w:r>
    </w:p>
    <w:p w14:paraId="44F36139">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2.乙方应按招标文件规定或者投标文件承诺的时间向甲方提供使用货物的有关技术资料。</w:t>
      </w:r>
    </w:p>
    <w:p w14:paraId="7AC1EA1F">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437AEC38">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4.乙方保证将要交付的货物的所有权完全属于乙方且无任何抵押、质押、查封等产权瑕疵。</w:t>
      </w:r>
    </w:p>
    <w:p w14:paraId="51DD6AAC">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第四条　包装和运输</w:t>
      </w:r>
    </w:p>
    <w:p w14:paraId="7CFAEB5F">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1.乙方提供的货物均应按招标文件规定或者投标文件承诺的要求的包装材料、包装标准、包装方式进行包装，每一包装单元内应附详细的装箱单和质量合格证。</w:t>
      </w:r>
    </w:p>
    <w:p w14:paraId="6A992AE9">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2.货物的运输方式：</w:t>
      </w:r>
      <w:r>
        <w:rPr>
          <w:rFonts w:hint="eastAsia" w:ascii="宋体" w:hAnsi="宋体" w:eastAsia="宋体" w:cs="Times New Roman"/>
          <w:color w:val="auto"/>
          <w:szCs w:val="21"/>
          <w:highlight w:val="none"/>
          <w:u w:val="single"/>
        </w:rPr>
        <w:t xml:space="preserve">             。</w:t>
      </w:r>
    </w:p>
    <w:p w14:paraId="4730F7E2">
      <w:pPr>
        <w:snapToGrid w:val="0"/>
        <w:spacing w:line="360"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3.乙方负责货物运输，货物运输合理损耗及计算方法：</w:t>
      </w:r>
      <w:r>
        <w:rPr>
          <w:rFonts w:hint="eastAsia" w:ascii="宋体" w:hAnsi="宋体" w:eastAsia="宋体" w:cs="Times New Roman"/>
          <w:color w:val="auto"/>
          <w:szCs w:val="21"/>
          <w:highlight w:val="none"/>
          <w:u w:val="single"/>
        </w:rPr>
        <w:t xml:space="preserve">                 。</w:t>
      </w:r>
    </w:p>
    <w:p w14:paraId="0F5C458D">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第五条　交付和验收</w:t>
      </w:r>
    </w:p>
    <w:p w14:paraId="5828716E">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1.交付时间：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；交付地点：</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p w14:paraId="15229031">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2.乙方提供不符合招标文件规定或者投标文件承诺的和本合同规定的货物，甲方有权拒绝接受。</w:t>
      </w:r>
    </w:p>
    <w:p w14:paraId="0C07FBCC">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16230186">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4.甲方应当在到货（安装、调试</w:t>
      </w:r>
      <w:r>
        <w:rPr>
          <w:rFonts w:hint="eastAsia" w:ascii="宋体" w:hAnsi="宋体" w:eastAsia="宋体" w:cs="Times New Roman"/>
          <w:color w:val="auto"/>
          <w:szCs w:val="21"/>
          <w:highlight w:val="none"/>
          <w:lang w:eastAsia="zh-CN"/>
        </w:rPr>
        <w:t>完成</w:t>
      </w:r>
      <w:r>
        <w:rPr>
          <w:rFonts w:hint="eastAsia" w:ascii="宋体" w:hAnsi="宋体" w:eastAsia="宋体" w:cs="Times New Roman"/>
          <w:color w:val="auto"/>
          <w:szCs w:val="21"/>
          <w:highlight w:val="none"/>
        </w:rPr>
        <w:t>）后七个工作日内进行验收。验收合格后由甲乙双方签署货物验收单并加盖采购人公章，甲乙双方各执一份。</w:t>
      </w:r>
    </w:p>
    <w:p w14:paraId="7D1A945A">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5075F10">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6.甲方对验收有异议的，在验收后五个工作日内以书面形式向乙方提出，乙方应自收到甲方书面异议后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日内及时予以解决。</w:t>
      </w:r>
    </w:p>
    <w:p w14:paraId="78765E67">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第六条　安装和培训</w:t>
      </w:r>
    </w:p>
    <w:p w14:paraId="72B27C37">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1.甲方应提供必要安装条件（如场地、电源、水源等）。</w:t>
      </w:r>
    </w:p>
    <w:p w14:paraId="36754AE5">
      <w:pPr>
        <w:snapToGrid w:val="0"/>
        <w:spacing w:line="360"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2.乙方投标文件承诺负责甲方有关人员的培训。培训时间、地点：</w:t>
      </w:r>
      <w:r>
        <w:rPr>
          <w:rFonts w:hint="eastAsia" w:ascii="宋体" w:hAnsi="宋体" w:eastAsia="宋体" w:cs="Times New Roman"/>
          <w:color w:val="auto"/>
          <w:szCs w:val="21"/>
          <w:highlight w:val="none"/>
          <w:u w:val="single"/>
        </w:rPr>
        <w:t xml:space="preserve">                   。</w:t>
      </w:r>
    </w:p>
    <w:p w14:paraId="434D899E">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第七条  售后服务、保修期</w:t>
      </w:r>
    </w:p>
    <w:p w14:paraId="13FEAA2D">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1.乙方应按照国家有关法律法规和“三包”规定以及本合同所附的《服务承诺》，为甲方提供售后服务。</w:t>
      </w:r>
    </w:p>
    <w:p w14:paraId="78A530EE">
      <w:pPr>
        <w:snapToGrid w:val="0"/>
        <w:spacing w:line="360"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2.货物保修期：</w:t>
      </w:r>
      <w:r>
        <w:rPr>
          <w:rFonts w:hint="eastAsia" w:ascii="宋体" w:hAnsi="宋体" w:eastAsia="宋体" w:cs="Times New Roman"/>
          <w:color w:val="auto"/>
          <w:szCs w:val="21"/>
          <w:highlight w:val="none"/>
          <w:u w:val="single"/>
        </w:rPr>
        <w:t xml:space="preserve">                                          。</w:t>
      </w:r>
    </w:p>
    <w:p w14:paraId="3539D8D1">
      <w:pPr>
        <w:snapToGrid w:val="0"/>
        <w:spacing w:line="360" w:lineRule="auto"/>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3.乙方提供的服务承诺和售后服务及保修期责任等</w:t>
      </w:r>
      <w:r>
        <w:rPr>
          <w:rFonts w:hint="eastAsia" w:ascii="宋体" w:hAnsi="宋体" w:eastAsia="宋体" w:cs="Times New Roman"/>
          <w:color w:val="auto"/>
          <w:szCs w:val="21"/>
          <w:highlight w:val="none"/>
          <w:lang w:eastAsia="zh-CN"/>
        </w:rPr>
        <w:t>其他</w:t>
      </w:r>
      <w:r>
        <w:rPr>
          <w:rFonts w:hint="eastAsia" w:ascii="宋体" w:hAnsi="宋体" w:eastAsia="宋体" w:cs="Times New Roman"/>
          <w:color w:val="auto"/>
          <w:szCs w:val="21"/>
          <w:highlight w:val="none"/>
        </w:rPr>
        <w:t>具体约定事项。（见合同附件）</w:t>
      </w:r>
    </w:p>
    <w:p w14:paraId="7B13D32A">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第八条　付款方式</w:t>
      </w:r>
    </w:p>
    <w:p w14:paraId="51C35E79">
      <w:pPr>
        <w:snapToGrid w:val="0"/>
        <w:spacing w:line="360" w:lineRule="auto"/>
        <w:ind w:left="-60" w:leftChars="-29" w:firstLine="514" w:firstLineChars="245"/>
        <w:rPr>
          <w:rFonts w:hint="eastAsia" w:ascii="Times New Roman" w:hAnsi="宋体" w:eastAsia="宋体" w:cs="Times New Roman"/>
          <w:bCs/>
          <w:color w:val="auto"/>
          <w:sz w:val="21"/>
          <w:highlight w:val="none"/>
        </w:rPr>
      </w:pPr>
      <w:r>
        <w:rPr>
          <w:rFonts w:hint="eastAsia" w:ascii="Times New Roman" w:hAnsi="宋体" w:eastAsia="宋体" w:cs="Times New Roman"/>
          <w:bCs/>
          <w:color w:val="auto"/>
          <w:sz w:val="21"/>
          <w:highlight w:val="none"/>
        </w:rPr>
        <w:t>采购的设备全部到货完毕，经采购人组织到货验收合格后，采购人按合同金额的</w:t>
      </w:r>
      <w:r>
        <w:rPr>
          <w:rFonts w:hint="eastAsia" w:ascii="Times New Roman" w:hAnsi="宋体" w:eastAsia="宋体" w:cs="Times New Roman"/>
          <w:bCs/>
          <w:color w:val="auto"/>
          <w:sz w:val="21"/>
          <w:highlight w:val="none"/>
          <w:lang w:val="en-US" w:eastAsia="zh-CN"/>
        </w:rPr>
        <w:t>7</w:t>
      </w:r>
      <w:r>
        <w:rPr>
          <w:rFonts w:hint="eastAsia" w:ascii="Times New Roman" w:hAnsi="宋体" w:eastAsia="宋体" w:cs="Times New Roman"/>
          <w:bCs/>
          <w:color w:val="auto"/>
          <w:sz w:val="21"/>
          <w:highlight w:val="none"/>
        </w:rPr>
        <w:t>0%向中标供应商支付到货款</w:t>
      </w:r>
      <w:r>
        <w:rPr>
          <w:rFonts w:hint="eastAsia" w:ascii="Times New Roman" w:hAnsi="宋体" w:eastAsia="宋体" w:cs="Times New Roman"/>
          <w:bCs/>
          <w:color w:val="auto"/>
          <w:sz w:val="21"/>
          <w:highlight w:val="none"/>
          <w:lang w:eastAsia="zh-CN"/>
        </w:rPr>
        <w:t>；</w:t>
      </w:r>
      <w:r>
        <w:rPr>
          <w:rFonts w:hint="eastAsia" w:ascii="Times New Roman" w:hAnsi="宋体" w:eastAsia="宋体" w:cs="Times New Roman"/>
          <w:bCs/>
          <w:color w:val="auto"/>
          <w:sz w:val="21"/>
          <w:highlight w:val="none"/>
        </w:rPr>
        <w:t>项目验收合格后10个工作日采购人向中标供应商支付合同全部余款。每次甲方付款前，乙方应向甲方开具等额有效的增值税专用发票，甲方未收到合格有效发票的，有权不予支付相应款项直至乙方提供合格发票，并不承担延迟付款责任。</w:t>
      </w:r>
    </w:p>
    <w:p w14:paraId="6E349747">
      <w:pPr>
        <w:snapToGrid w:val="0"/>
        <w:spacing w:line="360" w:lineRule="auto"/>
        <w:ind w:left="-60" w:leftChars="-29" w:firstLine="514" w:firstLineChars="245"/>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第九条　履约保证金</w:t>
      </w:r>
    </w:p>
    <w:p w14:paraId="05641836">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1.履约保证金金额：</w:t>
      </w:r>
      <w:r>
        <w:rPr>
          <w:rFonts w:hint="eastAsia" w:ascii="宋体" w:hAnsi="宋体" w:eastAsia="宋体" w:cs="宋体"/>
          <w:color w:val="auto"/>
          <w:sz w:val="21"/>
          <w:szCs w:val="21"/>
          <w:highlight w:val="none"/>
          <w:lang w:eastAsia="zh-CN"/>
        </w:rPr>
        <w:t>按中标金额的</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%交纳（如</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lang w:eastAsia="zh-CN"/>
        </w:rPr>
        <w:t>供应商为中小企业的，按本项目</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lang w:eastAsia="zh-CN"/>
        </w:rPr>
        <w:t>金额的2%交纳）</w:t>
      </w:r>
      <w:r>
        <w:rPr>
          <w:rFonts w:hint="eastAsia" w:ascii="宋体" w:hAnsi="宋体" w:eastAsia="宋体" w:cs="宋体"/>
          <w:color w:val="auto"/>
          <w:szCs w:val="21"/>
          <w:highlight w:val="none"/>
        </w:rPr>
        <w:t>。</w:t>
      </w:r>
    </w:p>
    <w:p w14:paraId="067AE1E6">
      <w:pPr>
        <w:snapToGrid w:val="0"/>
        <w:spacing w:line="360" w:lineRule="auto"/>
        <w:ind w:left="-61" w:firstLine="514"/>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2.履约保证金递交方式：以电汇、转账、汇票、金融机构或担保机构出具的保函等非现金形式提交。由中标人在</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通知书发出后10个工作日内按规定的金额直接缴入广西机电职业技术学院账户</w:t>
      </w:r>
      <w:r>
        <w:rPr>
          <w:rFonts w:hint="eastAsia" w:ascii="宋体" w:hAnsi="宋体" w:eastAsia="宋体" w:cs="宋体"/>
          <w:color w:val="auto"/>
          <w:szCs w:val="21"/>
          <w:highlight w:val="none"/>
          <w:lang w:eastAsia="zh-CN"/>
        </w:rPr>
        <w:t>。</w:t>
      </w:r>
    </w:p>
    <w:p w14:paraId="78AB3DB8">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广西机电职业技术学院；</w:t>
      </w:r>
    </w:p>
    <w:p w14:paraId="2B39058D">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开户行：建设银行南宁分行大学路支行；</w:t>
      </w:r>
    </w:p>
    <w:p w14:paraId="51376B97">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银行账号：4500 1604 8510 5050 3961。</w:t>
      </w:r>
    </w:p>
    <w:p w14:paraId="562888F0">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人须在签订合同之前按照本条规定的履约保证金金额、递交方式直接转入采购人账户，否则不予签订合同。项目竣工验收合格后一年退付（无息）。由中标人向履约保证金收取单位提供《采购项目合同验收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项目履约保证金退付意见书》，保证金收取单位在收到合格材料后，根据中标人相关违约处罚扣款后的实际数额在10个工作日内办理退还手续（不计利息）。若采购内容质保期各不相同的，也可按金额比例分次退付。</w:t>
      </w:r>
    </w:p>
    <w:p w14:paraId="04F42D25">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4.在履约保证金退还日期前，若中标人的开户名称、开户银行、账号有变动的，请以书面形式通知广西机电职业技术学院，否则由此产生的后果由中标人自负。</w:t>
      </w:r>
    </w:p>
    <w:p w14:paraId="2956DF4E">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5.乙方采用保函形式缴纳履约保证金的，该保函需载明：</w:t>
      </w:r>
    </w:p>
    <w:p w14:paraId="2E3A2883">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（1）见索即付；</w:t>
      </w:r>
    </w:p>
    <w:p w14:paraId="1F505D62">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收到采购人法定代表人或授权委托代理人签字确认并加盖公章的书面索赔通知后即应不争辩、不挑剔、不可撤销地向采购人支付索赔款，直至最高担保金额。（如乙方提供的保函未载明前述内容的，甲方可直接拒收该保函，乙方应以银行转账或其他能切实发挥履约担保作用的方式提供履约保证金）。</w:t>
      </w:r>
    </w:p>
    <w:p w14:paraId="56325CBA">
      <w:pPr>
        <w:snapToGrid w:val="0"/>
        <w:spacing w:line="360" w:lineRule="auto"/>
        <w:ind w:left="-61" w:firstLine="514"/>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第十条  税费</w:t>
      </w:r>
    </w:p>
    <w:p w14:paraId="64C0C251">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本合同执行中相关的一切税费均由乙方负担，合同另有约定的除外。</w:t>
      </w:r>
    </w:p>
    <w:p w14:paraId="36BDA952">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第十一条  质量保证及售后服务</w:t>
      </w:r>
    </w:p>
    <w:p w14:paraId="63B65B30">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1.</w:t>
      </w:r>
      <w:r>
        <w:rPr>
          <w:rFonts w:hint="eastAsia" w:ascii="宋体" w:hAnsi="宋体" w:eastAsia="宋体" w:cs="Times New Roman"/>
          <w:color w:val="auto"/>
          <w:kern w:val="0"/>
          <w:sz w:val="21"/>
          <w:szCs w:val="21"/>
          <w:highlight w:val="none"/>
          <w:lang w:val="en-US" w:eastAsia="zh-CN" w:bidi="ar-SA"/>
        </w:rPr>
        <w:t>乙方应按招标文件规定的产品名称、商标品牌、生产厂家、规格型号、技术参数、质量标准向甲方提供未经使用的全新产品。不符合要求的，根据实际情况，经双方协商，可按以下办法处理：</w:t>
      </w:r>
    </w:p>
    <w:p w14:paraId="557C1C8F">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⑴更换：由乙方承担所发生的全部费用。</w:t>
      </w:r>
    </w:p>
    <w:p w14:paraId="2C1814E5">
      <w:pPr>
        <w:widowControl w:val="0"/>
        <w:snapToGrid w:val="0"/>
        <w:spacing w:line="360" w:lineRule="auto"/>
        <w:ind w:firstLine="42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⑵贬值处理：由甲乙双方合议定价。</w:t>
      </w:r>
    </w:p>
    <w:p w14:paraId="2C25C390">
      <w:pPr>
        <w:widowControl w:val="0"/>
        <w:snapToGrid w:val="0"/>
        <w:spacing w:line="360" w:lineRule="auto"/>
        <w:ind w:firstLine="42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⑶退货处理：乙方应退还甲方支付的合同款，同时应承担该货物的直接费用（运输、保险、检验、货款利息及银行手续费等）。</w:t>
      </w:r>
    </w:p>
    <w:p w14:paraId="4C9A2F75">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2.如在使用过程中发生质量问题，乙方在接到甲方通知后到达甲方现场处理的时间（</w:t>
      </w:r>
      <w:r>
        <w:rPr>
          <w:rFonts w:hint="eastAsia" w:ascii="宋体" w:hAnsi="宋体" w:eastAsia="宋体" w:cs="Times New Roman"/>
          <w:color w:val="auto"/>
          <w:kern w:val="0"/>
          <w:sz w:val="21"/>
          <w:szCs w:val="21"/>
          <w:highlight w:val="none"/>
          <w:u w:val="single"/>
          <w:lang w:val="en-US" w:eastAsia="zh-CN" w:bidi="ar-SA"/>
        </w:rPr>
        <w:t>按投标文件承诺的数据填写</w:t>
      </w:r>
      <w:r>
        <w:rPr>
          <w:rFonts w:hint="eastAsia" w:ascii="宋体" w:hAnsi="宋体" w:eastAsia="宋体" w:cs="Times New Roman"/>
          <w:color w:val="auto"/>
          <w:kern w:val="0"/>
          <w:sz w:val="21"/>
          <w:szCs w:val="21"/>
          <w:highlight w:val="none"/>
          <w:lang w:val="en-US" w:eastAsia="zh-CN" w:bidi="ar-SA"/>
        </w:rPr>
        <w:t>）小时内。</w:t>
      </w:r>
    </w:p>
    <w:p w14:paraId="50FB7479">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3.在保修期内，乙方应对货物出现的质量及安全问题负责处理解决并承担一切费用。</w:t>
      </w:r>
    </w:p>
    <w:p w14:paraId="6FC0DA93">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w:t>
      </w:r>
      <w:r>
        <w:rPr>
          <w:rFonts w:hint="eastAsia" w:ascii="宋体" w:hAnsi="宋体" w:eastAsia="宋体" w:cs="Times New Roman"/>
          <w:color w:val="auto"/>
          <w:szCs w:val="21"/>
          <w:highlight w:val="none"/>
          <w:lang w:eastAsia="zh-CN"/>
        </w:rPr>
        <w:t>上述</w:t>
      </w:r>
      <w:r>
        <w:rPr>
          <w:rFonts w:hint="eastAsia" w:ascii="宋体" w:hAnsi="宋体" w:eastAsia="宋体" w:cs="Times New Roman"/>
          <w:color w:val="auto"/>
          <w:szCs w:val="21"/>
          <w:highlight w:val="none"/>
        </w:rPr>
        <w:t>货物保修期为</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年，因人为因素出现的故障不在免费保修范围内。超过保修期的机器设备，</w:t>
      </w:r>
      <w:r>
        <w:rPr>
          <w:rFonts w:hint="eastAsia" w:ascii="宋体" w:hAnsi="宋体" w:eastAsia="宋体" w:cs="Times New Roman"/>
          <w:color w:val="auto"/>
          <w:szCs w:val="21"/>
          <w:highlight w:val="none"/>
          <w:lang w:eastAsia="zh-CN"/>
        </w:rPr>
        <w:t>终身</w:t>
      </w:r>
      <w:r>
        <w:rPr>
          <w:rFonts w:hint="eastAsia" w:ascii="宋体" w:hAnsi="宋体" w:eastAsia="宋体" w:cs="Times New Roman"/>
          <w:color w:val="auto"/>
          <w:szCs w:val="21"/>
          <w:highlight w:val="none"/>
        </w:rPr>
        <w:t>维修，维修时只收部件成本费。</w:t>
      </w:r>
    </w:p>
    <w:p w14:paraId="57CC502E">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第十二条  调试和验收（本条款适用于甲方自行验收，委托第三方验收的另行规定）</w:t>
      </w:r>
    </w:p>
    <w:p w14:paraId="19B98F31">
      <w:pPr>
        <w:widowControl w:val="0"/>
        <w:snapToGrid w:val="0"/>
        <w:spacing w:line="360" w:lineRule="auto"/>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甲方对乙方提交的货物依据招标文件上的技术规格要求和国家有关质量标准进行现场初步验收，外观、说明书符合招标文件技术要求的，给予签收，初步验收不合格的不予签收。货到后，甲方应当在到货（安装、调试完成）后七个工作日内进行验收。</w:t>
      </w:r>
    </w:p>
    <w:p w14:paraId="3522CCBC">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2.乙方交货前应对产品作出全面检查和对验收文件进行整理，并列出清单，作为甲方收货验收和使用的技术条件依据，检验的结果应随货物交甲方。</w:t>
      </w:r>
    </w:p>
    <w:p w14:paraId="0EEC95BE">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3.甲方对乙方提供的货物在使用前进行调试时，乙方需负责安装并培训甲方的使用操作人员，并协助甲方一起调试，直到符合技术要求，甲方才做最终验收。</w:t>
      </w:r>
    </w:p>
    <w:p w14:paraId="0931300D">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4.对技术复杂的货物，甲方应请国家认可的专业检测机构参与初步验收及最终验收，并由其出具质量检测报告。</w:t>
      </w:r>
    </w:p>
    <w:p w14:paraId="1A07A886">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 验收时乙方必须在现场，验收完毕后作出验收结果报告；验收费用按招标文件约定承担方负责。</w:t>
      </w:r>
    </w:p>
    <w:p w14:paraId="67331771">
      <w:pPr>
        <w:widowControl w:val="0"/>
        <w:snapToGrid w:val="0"/>
        <w:spacing w:line="360" w:lineRule="auto"/>
        <w:ind w:firstLine="411" w:firstLineChars="196"/>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第十三条  货物包装、发运及运输</w:t>
      </w:r>
    </w:p>
    <w:p w14:paraId="38AC591E">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1.乙方应在货物发运前对其进行满足运输距离、防潮、防震、防锈和防破损装卸等要求包装，以保证货物安全运达甲方指定地点。</w:t>
      </w:r>
    </w:p>
    <w:p w14:paraId="1F438D28">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 使用说明书（货物属于进口产品的，供货时应同时附上中文使用说明书）、质量检验证明书、随配附件和工具以及清单一并附于货物内。</w:t>
      </w:r>
    </w:p>
    <w:p w14:paraId="5FADA594">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3.乙方在货物发运手续办理完毕后二十四小时内或者货到甲方四十八小时前通知甲方，以准备接货。</w:t>
      </w:r>
    </w:p>
    <w:p w14:paraId="6DD73178">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4.货物在交付甲方前发生的风险均由乙方负责。</w:t>
      </w:r>
    </w:p>
    <w:p w14:paraId="22532E38">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5.货物在规</w:t>
      </w:r>
      <w:r>
        <w:rPr>
          <w:rFonts w:hint="eastAsia" w:ascii="宋体" w:hAnsi="宋体" w:eastAsia="宋体" w:cs="Times New Roman"/>
          <w:color w:val="auto"/>
          <w:spacing w:val="-8"/>
          <w:kern w:val="0"/>
          <w:sz w:val="21"/>
          <w:szCs w:val="21"/>
          <w:highlight w:val="none"/>
          <w:lang w:val="en-US" w:eastAsia="zh-CN" w:bidi="ar-SA"/>
        </w:rPr>
        <w:t>定的交付期限内由乙方送达甲方指定的地点视为交付，乙方同时需通知甲方货物已送达。</w:t>
      </w:r>
    </w:p>
    <w:p w14:paraId="1EEE401A">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第十四条　违约责任</w:t>
      </w:r>
    </w:p>
    <w:p w14:paraId="65A6E15A">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145D5811">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2.乙方提供的货物如侵犯了第三方合法权益而引发的任何纠纷或者诉讼，均由乙方负责交涉并承担全部责任。</w:t>
      </w:r>
    </w:p>
    <w:p w14:paraId="58740534">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3.因包装、运输引起的货物损坏，按质量不合格处罚。</w:t>
      </w:r>
    </w:p>
    <w:p w14:paraId="65D86057">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4.甲方无故延期接收货物、乙方逾期交货的，每天向对方偿付违约货款额3‰违约金，但违约金累计不得超过违约货款额5%，超过</w:t>
      </w:r>
      <w:r>
        <w:rPr>
          <w:rFonts w:hint="eastAsia" w:ascii="宋体" w:hAnsi="宋体" w:eastAsia="宋体" w:cs="Times New Roman"/>
          <w:color w:val="auto"/>
          <w:kern w:val="0"/>
          <w:sz w:val="21"/>
          <w:szCs w:val="21"/>
          <w:highlight w:val="none"/>
          <w:u w:val="single"/>
          <w:lang w:val="en-US" w:eastAsia="zh-CN" w:bidi="ar-SA"/>
        </w:rPr>
        <w:t xml:space="preserve">   </w:t>
      </w:r>
      <w:r>
        <w:rPr>
          <w:rFonts w:hint="eastAsia" w:ascii="宋体" w:hAnsi="宋体" w:eastAsia="宋体" w:cs="Times New Roman"/>
          <w:color w:val="auto"/>
          <w:kern w:val="0"/>
          <w:sz w:val="21"/>
          <w:szCs w:val="21"/>
          <w:highlight w:val="none"/>
          <w:lang w:val="en-US" w:eastAsia="zh-CN" w:bidi="ar-SA"/>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4E902BFE">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5.乙方未按本合同和投标文件中规定的服务承诺提供售后服务的，乙方应按本合同合计金额 5%向甲方支付违约金。</w:t>
      </w:r>
    </w:p>
    <w:p w14:paraId="525552F0">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6.乙方提供的货物在质量保证期内，因设计、工艺或者材料的缺陷和其他质量原因造成的问题，由乙方负责，费用从余款或者履约保证金中扣除，不足另补。</w:t>
      </w:r>
    </w:p>
    <w:p w14:paraId="25B4E090">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7.甲乙双方有其他违约行为的，由违约方向对方支付违约内容涉及货款额的5%，违约内容涉及货款额的5%不足以赔偿经济损失的按实际赔偿。</w:t>
      </w:r>
    </w:p>
    <w:p w14:paraId="7BD68FE2">
      <w:pPr>
        <w:widowControl w:val="0"/>
        <w:snapToGrid w:val="0"/>
        <w:spacing w:line="360" w:lineRule="auto"/>
        <w:ind w:firstLine="411" w:firstLineChars="196"/>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第十五条  不可抗力事件处理</w:t>
      </w:r>
    </w:p>
    <w:p w14:paraId="16E7B09A">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1.在合同有效期内，任何一方因不可抗力事件导致不能履行合同，则合同履行期可延长，其延长期与不可抗力影响期相同。</w:t>
      </w:r>
    </w:p>
    <w:p w14:paraId="682E6D4E">
      <w:pPr>
        <w:widowControl w:val="0"/>
        <w:snapToGrid w:val="0"/>
        <w:spacing w:line="360" w:lineRule="auto"/>
        <w:ind w:firstLine="420" w:firstLine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2.不可抗力事件发生后，应立即通知对方，并寄送有关权威机构出具的证明。</w:t>
      </w:r>
    </w:p>
    <w:p w14:paraId="6701FA8B">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3.不可抗力事件延续一百二十天以上，双方应通过友好协商，确定是否继续履行合同。</w:t>
      </w:r>
    </w:p>
    <w:p w14:paraId="14449BDA">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第十六条  合同争议解决</w:t>
      </w:r>
    </w:p>
    <w:p w14:paraId="7A15F63B">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因货物质量问题发生争议的，应邀请国家认可的质量检测机构对货物质量进行鉴定。货物符合标准的，鉴定费由甲方承担；货物不符合标准的，鉴定费由乙方承担。</w:t>
      </w:r>
    </w:p>
    <w:p w14:paraId="40B17269">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因履行本合同引起的或者与本合同有关的争议，甲乙双方应首先通过友好协商解决，如果协商不能解决，可向甲方所在地</w:t>
      </w:r>
      <w:r>
        <w:rPr>
          <w:rFonts w:hint="eastAsia" w:ascii="宋体" w:hAnsi="宋体" w:eastAsia="宋体" w:cs="宋体"/>
          <w:color w:val="auto"/>
          <w:szCs w:val="21"/>
          <w:highlight w:val="none"/>
        </w:rPr>
        <w:t>有管辖权的</w:t>
      </w:r>
      <w:r>
        <w:rPr>
          <w:rFonts w:hint="eastAsia" w:ascii="宋体" w:hAnsi="宋体" w:eastAsia="宋体" w:cs="Times New Roman"/>
          <w:color w:val="auto"/>
          <w:szCs w:val="21"/>
          <w:highlight w:val="none"/>
        </w:rPr>
        <w:t>人民法院提起诉讼。</w:t>
      </w:r>
    </w:p>
    <w:p w14:paraId="5D20E640">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3.诉讼期间，本合同继续履行。</w:t>
      </w:r>
    </w:p>
    <w:p w14:paraId="6292BC13">
      <w:pPr>
        <w:widowControl w:val="0"/>
        <w:snapToGrid w:val="0"/>
        <w:spacing w:line="360" w:lineRule="auto"/>
        <w:ind w:firstLine="411" w:firstLineChars="196"/>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第十七条  合同生效及其它</w:t>
      </w:r>
    </w:p>
    <w:p w14:paraId="35E59B6E">
      <w:pPr>
        <w:widowControl w:val="0"/>
        <w:snapToGrid w:val="0"/>
        <w:spacing w:line="360" w:lineRule="auto"/>
        <w:ind w:firstLine="420" w:firstLineChars="200"/>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1. 合同经双方法定代表人或者委托代理人签字并加盖单位公章后生效（委托代理人签字的需后附授权委托书，格式自拟）。</w:t>
      </w:r>
    </w:p>
    <w:p w14:paraId="5EF87B5D">
      <w:pPr>
        <w:widowControl w:val="0"/>
        <w:snapToGrid w:val="0"/>
        <w:spacing w:line="360" w:lineRule="auto"/>
        <w:ind w:firstLine="420" w:firstLineChars="200"/>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2.合同执行中涉及采购资金和采购内容修改或者补充的，须经财政部门审批，并签订书面补充协议报财政部门备案，方可作为主合同不可分割的一部分。</w:t>
      </w:r>
    </w:p>
    <w:p w14:paraId="05A4EE68">
      <w:pPr>
        <w:widowControl w:val="0"/>
        <w:snapToGrid w:val="0"/>
        <w:spacing w:line="360" w:lineRule="auto"/>
        <w:ind w:left="420" w:leftChars="200"/>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b/>
          <w:color w:val="auto"/>
          <w:kern w:val="0"/>
          <w:sz w:val="21"/>
          <w:szCs w:val="21"/>
          <w:highlight w:val="none"/>
          <w:lang w:val="en-US" w:eastAsia="zh-CN" w:bidi="ar-SA"/>
        </w:rPr>
        <w:t>3.本合同未尽事宜，遵照《中华人民共和国民法典》有关条文执行。</w:t>
      </w:r>
    </w:p>
    <w:p w14:paraId="3DB34428">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第十八条　合同的变更、终止与转让</w:t>
      </w:r>
    </w:p>
    <w:p w14:paraId="2F650EED">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除《中华人民共和国政府采购法》第五十条规定的情形外，本合同一经签订，甲乙双方不得擅自变更、中止或者终止。</w:t>
      </w:r>
    </w:p>
    <w:p w14:paraId="53F16BFC">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乙方不得擅自转让（无进口资格的供应商委托进口货物除外）其应履行的合同义务。</w:t>
      </w:r>
    </w:p>
    <w:p w14:paraId="11A2DBDC">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第十九条　</w:t>
      </w:r>
      <w:r>
        <w:rPr>
          <w:rFonts w:hint="eastAsia" w:ascii="宋体" w:hAnsi="宋体" w:eastAsia="宋体" w:cs="微软雅黑"/>
          <w:color w:val="auto"/>
          <w:spacing w:val="-2"/>
          <w:kern w:val="0"/>
          <w:szCs w:val="21"/>
          <w:highlight w:val="none"/>
        </w:rPr>
        <w:t>本</w:t>
      </w:r>
      <w:r>
        <w:rPr>
          <w:rFonts w:hint="eastAsia" w:ascii="宋体" w:hAnsi="宋体" w:eastAsia="宋体" w:cs="微软雅黑"/>
          <w:color w:val="auto"/>
          <w:kern w:val="0"/>
          <w:szCs w:val="21"/>
          <w:highlight w:val="none"/>
        </w:rPr>
        <w:t>合同书</w:t>
      </w:r>
      <w:r>
        <w:rPr>
          <w:rFonts w:hint="eastAsia" w:ascii="宋体" w:hAnsi="宋体" w:eastAsia="宋体" w:cs="微软雅黑"/>
          <w:color w:val="auto"/>
          <w:spacing w:val="-2"/>
          <w:kern w:val="0"/>
          <w:szCs w:val="21"/>
          <w:highlight w:val="none"/>
        </w:rPr>
        <w:t>与</w:t>
      </w:r>
      <w:r>
        <w:rPr>
          <w:rFonts w:hint="eastAsia" w:ascii="宋体" w:hAnsi="宋体" w:eastAsia="宋体" w:cs="微软雅黑"/>
          <w:color w:val="auto"/>
          <w:kern w:val="0"/>
          <w:szCs w:val="21"/>
          <w:highlight w:val="none"/>
        </w:rPr>
        <w:t>下</w:t>
      </w:r>
      <w:r>
        <w:rPr>
          <w:rFonts w:hint="eastAsia" w:ascii="宋体" w:hAnsi="宋体" w:eastAsia="宋体" w:cs="微软雅黑"/>
          <w:color w:val="auto"/>
          <w:spacing w:val="-2"/>
          <w:kern w:val="0"/>
          <w:szCs w:val="21"/>
          <w:highlight w:val="none"/>
        </w:rPr>
        <w:t>列</w:t>
      </w:r>
      <w:r>
        <w:rPr>
          <w:rFonts w:hint="eastAsia" w:ascii="宋体" w:hAnsi="宋体" w:eastAsia="宋体" w:cs="微软雅黑"/>
          <w:color w:val="auto"/>
          <w:kern w:val="0"/>
          <w:szCs w:val="21"/>
          <w:highlight w:val="none"/>
        </w:rPr>
        <w:t>文</w:t>
      </w:r>
      <w:r>
        <w:rPr>
          <w:rFonts w:hint="eastAsia" w:ascii="宋体" w:hAnsi="宋体" w:eastAsia="宋体" w:cs="微软雅黑"/>
          <w:color w:val="auto"/>
          <w:spacing w:val="-2"/>
          <w:kern w:val="0"/>
          <w:szCs w:val="21"/>
          <w:highlight w:val="none"/>
        </w:rPr>
        <w:t>件一</w:t>
      </w:r>
      <w:r>
        <w:rPr>
          <w:rFonts w:hint="eastAsia" w:ascii="宋体" w:hAnsi="宋体" w:eastAsia="宋体" w:cs="微软雅黑"/>
          <w:color w:val="auto"/>
          <w:kern w:val="0"/>
          <w:szCs w:val="21"/>
          <w:highlight w:val="none"/>
        </w:rPr>
        <w:t>起构</w:t>
      </w:r>
      <w:r>
        <w:rPr>
          <w:rFonts w:hint="eastAsia" w:ascii="宋体" w:hAnsi="宋体" w:eastAsia="宋体" w:cs="微软雅黑"/>
          <w:color w:val="auto"/>
          <w:spacing w:val="-2"/>
          <w:kern w:val="0"/>
          <w:szCs w:val="21"/>
          <w:highlight w:val="none"/>
        </w:rPr>
        <w:t>成</w:t>
      </w:r>
      <w:r>
        <w:rPr>
          <w:rFonts w:hint="eastAsia" w:ascii="宋体" w:hAnsi="宋体" w:eastAsia="宋体" w:cs="微软雅黑"/>
          <w:color w:val="auto"/>
          <w:kern w:val="0"/>
          <w:szCs w:val="21"/>
          <w:highlight w:val="none"/>
        </w:rPr>
        <w:t>合</w:t>
      </w:r>
      <w:r>
        <w:rPr>
          <w:rFonts w:hint="eastAsia" w:ascii="宋体" w:hAnsi="宋体" w:eastAsia="宋体" w:cs="微软雅黑"/>
          <w:color w:val="auto"/>
          <w:spacing w:val="-2"/>
          <w:kern w:val="0"/>
          <w:szCs w:val="21"/>
          <w:highlight w:val="none"/>
        </w:rPr>
        <w:t>同</w:t>
      </w:r>
      <w:r>
        <w:rPr>
          <w:rFonts w:hint="eastAsia" w:ascii="宋体" w:hAnsi="宋体" w:eastAsia="宋体" w:cs="微软雅黑"/>
          <w:color w:val="auto"/>
          <w:kern w:val="0"/>
          <w:szCs w:val="21"/>
          <w:highlight w:val="none"/>
        </w:rPr>
        <w:t>文</w:t>
      </w:r>
      <w:r>
        <w:rPr>
          <w:rFonts w:hint="eastAsia" w:ascii="宋体" w:hAnsi="宋体" w:eastAsia="宋体" w:cs="微软雅黑"/>
          <w:color w:val="auto"/>
          <w:spacing w:val="-2"/>
          <w:kern w:val="0"/>
          <w:szCs w:val="21"/>
          <w:highlight w:val="none"/>
        </w:rPr>
        <w:t>件</w:t>
      </w:r>
    </w:p>
    <w:p w14:paraId="4287B957">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1.中标通知书；</w:t>
      </w:r>
    </w:p>
    <w:p w14:paraId="6983B022">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2.投标函；</w:t>
      </w:r>
    </w:p>
    <w:p w14:paraId="357E142C">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3.商务要求偏离表和技术偏离表；</w:t>
      </w:r>
    </w:p>
    <w:p w14:paraId="7DE4872A">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4.采购需求；</w:t>
      </w:r>
    </w:p>
    <w:p w14:paraId="5B64AE8B">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5.开标一览表；</w:t>
      </w:r>
    </w:p>
    <w:p w14:paraId="35D5948C">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6.设备性能配置清单；</w:t>
      </w:r>
    </w:p>
    <w:p w14:paraId="37BD13EB">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w:t>
      </w:r>
    </w:p>
    <w:p w14:paraId="6B55D5B5">
      <w:pPr>
        <w:widowControl w:val="0"/>
        <w:snapToGrid w:val="0"/>
        <w:spacing w:line="360" w:lineRule="auto"/>
        <w:ind w:left="420" w:leftChars="200"/>
        <w:jc w:val="both"/>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8.其他合同文件。</w:t>
      </w:r>
    </w:p>
    <w:p w14:paraId="23D56C63">
      <w:pPr>
        <w:widowControl w:val="0"/>
        <w:snapToGrid w:val="0"/>
        <w:spacing w:line="360" w:lineRule="auto"/>
        <w:ind w:left="420" w:leftChars="200"/>
        <w:jc w:val="both"/>
        <w:rPr>
          <w:rFonts w:hint="eastAsia" w:ascii="宋体" w:hAnsi="宋体" w:eastAsia="宋体" w:cs="Times New Roman"/>
          <w:b/>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9.上述合同文件互相补充和解释。如果合同文件之间存在矛盾或者不一致之处，以上述文件 的排列顺序在先者为准。</w:t>
      </w:r>
    </w:p>
    <w:p w14:paraId="252968E0">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第二十条　</w:t>
      </w:r>
      <w:r>
        <w:rPr>
          <w:rFonts w:hint="eastAsia" w:ascii="宋体" w:hAnsi="宋体" w:eastAsia="宋体" w:cs="Times New Roman"/>
          <w:color w:val="auto"/>
          <w:szCs w:val="21"/>
          <w:highlight w:val="none"/>
        </w:rPr>
        <w:t>本合同一式四份，具有同等法律效力，财政部门（政府采购监管部门）、采购代理机构各一份，甲乙双方各一份（可根据需要另增加）。</w:t>
      </w:r>
    </w:p>
    <w:p w14:paraId="146FF03D">
      <w:pPr>
        <w:snapToGrid w:val="0"/>
        <w:spacing w:line="360" w:lineRule="auto"/>
        <w:ind w:left="-61" w:firstLine="514"/>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本合同甲乙双方签字盖章后生效，自签订之日起七个工作日内，甲方应当将合同副本报同级财政部门备案。</w:t>
      </w:r>
    </w:p>
    <w:p w14:paraId="4C3747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61D34668">
      <w:pPr>
        <w:snapToGrid w:val="0"/>
        <w:spacing w:line="360" w:lineRule="auto"/>
        <w:rPr>
          <w:rFonts w:hint="eastAsia" w:ascii="宋体" w:hAnsi="宋体" w:eastAsia="宋体" w:cs="Times New Roman"/>
          <w:color w:val="auto"/>
          <w:szCs w:val="21"/>
          <w:highlight w:val="none"/>
        </w:rPr>
      </w:pP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5"/>
        <w:gridCol w:w="4927"/>
      </w:tblGrid>
      <w:tr w14:paraId="794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499" w:type="pct"/>
            <w:noWrap w:val="0"/>
            <w:vAlign w:val="center"/>
          </w:tcPr>
          <w:p w14:paraId="1CF1DA84">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甲方（章）           </w:t>
            </w:r>
          </w:p>
          <w:p w14:paraId="23C7F69D">
            <w:pPr>
              <w:snapToGrid w:val="0"/>
              <w:spacing w:line="360" w:lineRule="auto"/>
              <w:rPr>
                <w:rFonts w:hint="eastAsia" w:ascii="宋体" w:hAnsi="宋体" w:eastAsia="宋体" w:cs="Times New Roman"/>
                <w:color w:val="auto"/>
                <w:szCs w:val="21"/>
                <w:highlight w:val="none"/>
              </w:rPr>
            </w:pPr>
          </w:p>
          <w:p w14:paraId="69055790">
            <w:pPr>
              <w:snapToGrid w:val="0"/>
              <w:spacing w:line="360" w:lineRule="auto"/>
              <w:ind w:firstLine="945" w:firstLineChars="450"/>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年   月   日</w:t>
            </w:r>
          </w:p>
        </w:tc>
        <w:tc>
          <w:tcPr>
            <w:tcW w:w="2500" w:type="pct"/>
            <w:noWrap w:val="0"/>
            <w:vAlign w:val="center"/>
          </w:tcPr>
          <w:p w14:paraId="37D47B2C">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乙方（章）              </w:t>
            </w:r>
          </w:p>
          <w:p w14:paraId="0E6C6514">
            <w:pPr>
              <w:snapToGrid w:val="0"/>
              <w:spacing w:line="360" w:lineRule="auto"/>
              <w:rPr>
                <w:rFonts w:hint="eastAsia" w:ascii="宋体" w:hAnsi="宋体" w:eastAsia="宋体" w:cs="Times New Roman"/>
                <w:color w:val="auto"/>
                <w:szCs w:val="21"/>
                <w:highlight w:val="none"/>
              </w:rPr>
            </w:pPr>
          </w:p>
          <w:p w14:paraId="6EEAA1FE">
            <w:pPr>
              <w:snapToGrid w:val="0"/>
              <w:spacing w:line="360" w:lineRule="auto"/>
              <w:jc w:val="righ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年   月   日</w:t>
            </w:r>
          </w:p>
        </w:tc>
      </w:tr>
      <w:tr w14:paraId="064B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2499" w:type="pct"/>
            <w:noWrap w:val="0"/>
            <w:vAlign w:val="center"/>
          </w:tcPr>
          <w:p w14:paraId="28DA2C98">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单位地址：</w:t>
            </w:r>
          </w:p>
        </w:tc>
        <w:tc>
          <w:tcPr>
            <w:tcW w:w="2500" w:type="pct"/>
            <w:noWrap w:val="0"/>
            <w:vAlign w:val="center"/>
          </w:tcPr>
          <w:p w14:paraId="775A7FCE">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单位地址：</w:t>
            </w:r>
          </w:p>
        </w:tc>
      </w:tr>
      <w:tr w14:paraId="6860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2499" w:type="pct"/>
            <w:noWrap w:val="0"/>
            <w:vAlign w:val="top"/>
          </w:tcPr>
          <w:p w14:paraId="40E25A35">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法定代表人或者委托代理人：</w:t>
            </w:r>
          </w:p>
        </w:tc>
        <w:tc>
          <w:tcPr>
            <w:tcW w:w="2500" w:type="pct"/>
            <w:noWrap w:val="0"/>
            <w:vAlign w:val="top"/>
          </w:tcPr>
          <w:p w14:paraId="001D5807">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法定代表人或者委托代理人：</w:t>
            </w:r>
          </w:p>
        </w:tc>
      </w:tr>
      <w:tr w14:paraId="7E1C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499" w:type="pct"/>
            <w:noWrap w:val="0"/>
            <w:vAlign w:val="center"/>
          </w:tcPr>
          <w:p w14:paraId="3818F843">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电话：</w:t>
            </w:r>
          </w:p>
        </w:tc>
        <w:tc>
          <w:tcPr>
            <w:tcW w:w="2500" w:type="pct"/>
            <w:noWrap w:val="0"/>
            <w:vAlign w:val="center"/>
          </w:tcPr>
          <w:p w14:paraId="2F7E0E41">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电话：</w:t>
            </w:r>
          </w:p>
        </w:tc>
      </w:tr>
      <w:tr w14:paraId="6F2B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499" w:type="pct"/>
            <w:noWrap w:val="0"/>
            <w:vAlign w:val="center"/>
          </w:tcPr>
          <w:p w14:paraId="2D6264C5">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电子邮箱：</w:t>
            </w:r>
          </w:p>
        </w:tc>
        <w:tc>
          <w:tcPr>
            <w:tcW w:w="2500" w:type="pct"/>
            <w:noWrap w:val="0"/>
            <w:vAlign w:val="center"/>
          </w:tcPr>
          <w:p w14:paraId="0680D3A6">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电子邮箱：</w:t>
            </w:r>
          </w:p>
        </w:tc>
      </w:tr>
      <w:tr w14:paraId="3C17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2499" w:type="pct"/>
            <w:noWrap w:val="0"/>
            <w:vAlign w:val="center"/>
          </w:tcPr>
          <w:p w14:paraId="1370DF4A">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w:t>
            </w:r>
          </w:p>
        </w:tc>
        <w:tc>
          <w:tcPr>
            <w:tcW w:w="2500" w:type="pct"/>
            <w:noWrap w:val="0"/>
            <w:vAlign w:val="center"/>
          </w:tcPr>
          <w:p w14:paraId="439548FB">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w:t>
            </w:r>
          </w:p>
        </w:tc>
      </w:tr>
      <w:tr w14:paraId="329C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499" w:type="pct"/>
            <w:noWrap w:val="0"/>
            <w:vAlign w:val="center"/>
          </w:tcPr>
          <w:p w14:paraId="0226D112">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账号：</w:t>
            </w:r>
          </w:p>
        </w:tc>
        <w:tc>
          <w:tcPr>
            <w:tcW w:w="2500" w:type="pct"/>
            <w:noWrap w:val="0"/>
            <w:vAlign w:val="center"/>
          </w:tcPr>
          <w:p w14:paraId="230BE24E">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账号：</w:t>
            </w:r>
          </w:p>
        </w:tc>
      </w:tr>
      <w:tr w14:paraId="0E80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2499" w:type="pct"/>
            <w:noWrap w:val="0"/>
            <w:vAlign w:val="center"/>
          </w:tcPr>
          <w:p w14:paraId="21AB14B7">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邮政编码：</w:t>
            </w:r>
          </w:p>
        </w:tc>
        <w:tc>
          <w:tcPr>
            <w:tcW w:w="2500" w:type="pct"/>
            <w:noWrap w:val="0"/>
            <w:vAlign w:val="center"/>
          </w:tcPr>
          <w:p w14:paraId="70A14AB2">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邮政编码：</w:t>
            </w:r>
          </w:p>
        </w:tc>
      </w:tr>
    </w:tbl>
    <w:p w14:paraId="26FFF664">
      <w:pPr>
        <w:snapToGrid w:val="0"/>
        <w:spacing w:line="360" w:lineRule="auto"/>
        <w:ind w:left="420" w:hanging="420" w:hangingChars="200"/>
        <w:rPr>
          <w:rFonts w:hint="eastAsia" w:ascii="宋体" w:hAnsi="宋体" w:eastAsia="宋体" w:cs="Times New Roman"/>
          <w:color w:val="auto"/>
          <w:szCs w:val="21"/>
          <w:highlight w:val="none"/>
        </w:rPr>
      </w:pPr>
    </w:p>
    <w:p w14:paraId="11A06C6A">
      <w:pPr>
        <w:snapToGrid w:val="0"/>
        <w:spacing w:line="360" w:lineRule="auto"/>
        <w:jc w:val="center"/>
        <w:rPr>
          <w:rFonts w:hint="eastAsia" w:ascii="宋体" w:hAnsi="宋体" w:eastAsia="宋体" w:cs="Times New Roman"/>
          <w:b/>
          <w:color w:val="auto"/>
          <w:szCs w:val="21"/>
          <w:highlight w:val="none"/>
        </w:rPr>
      </w:pPr>
      <w:r>
        <w:rPr>
          <w:rFonts w:ascii="宋体" w:hAnsi="宋体" w:eastAsia="宋体" w:cs="Times New Roman"/>
          <w:b/>
          <w:color w:val="auto"/>
          <w:szCs w:val="21"/>
          <w:highlight w:val="none"/>
        </w:rPr>
        <w:br w:type="page"/>
      </w:r>
      <w:r>
        <w:rPr>
          <w:rFonts w:hint="eastAsia" w:ascii="宋体" w:hAnsi="宋体" w:eastAsia="宋体" w:cs="Times New Roman"/>
          <w:b/>
          <w:color w:val="auto"/>
          <w:szCs w:val="21"/>
          <w:highlight w:val="none"/>
        </w:rPr>
        <w:t>合 同 附 件</w:t>
      </w:r>
    </w:p>
    <w:p w14:paraId="6E7F1B87">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一般货物类</w:t>
      </w:r>
    </w:p>
    <w:tbl>
      <w:tblPr>
        <w:tblStyle w:val="20"/>
        <w:tblW w:w="0" w:type="auto"/>
        <w:tblInd w:w="0" w:type="dxa"/>
        <w:tblLayout w:type="fixed"/>
        <w:tblCellMar>
          <w:top w:w="0" w:type="dxa"/>
          <w:left w:w="108" w:type="dxa"/>
          <w:bottom w:w="0" w:type="dxa"/>
          <w:right w:w="108" w:type="dxa"/>
        </w:tblCellMar>
      </w:tblPr>
      <w:tblGrid>
        <w:gridCol w:w="4248"/>
        <w:gridCol w:w="4274"/>
      </w:tblGrid>
      <w:tr w14:paraId="03E28D5A">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4C95F6E2">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1.供应商承诺具体事项：</w:t>
            </w:r>
          </w:p>
        </w:tc>
      </w:tr>
      <w:tr w14:paraId="03BD423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090CB4E0">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2.售后服务具体事项：</w:t>
            </w:r>
          </w:p>
        </w:tc>
      </w:tr>
      <w:tr w14:paraId="0764103B">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598A4F7E">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3.保修期责任：</w:t>
            </w:r>
          </w:p>
        </w:tc>
      </w:tr>
      <w:tr w14:paraId="3E9D744E">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66D5427F">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4.其他具体事项：</w:t>
            </w:r>
          </w:p>
        </w:tc>
      </w:tr>
      <w:tr w14:paraId="1CFD07DF">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3B47DAAB">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甲方（章）</w:t>
            </w:r>
          </w:p>
          <w:p w14:paraId="49B772DA">
            <w:pPr>
              <w:snapToGrid w:val="0"/>
              <w:spacing w:line="360" w:lineRule="auto"/>
              <w:ind w:firstLine="420" w:firstLineChars="200"/>
              <w:rPr>
                <w:rFonts w:hint="eastAsia" w:ascii="宋体" w:hAnsi="宋体" w:eastAsia="宋体" w:cs="Times New Roman"/>
                <w:b/>
                <w:color w:val="auto"/>
                <w:szCs w:val="21"/>
                <w:highlight w:val="none"/>
              </w:rPr>
            </w:pPr>
          </w:p>
          <w:p w14:paraId="7CBC033F">
            <w:pPr>
              <w:snapToGrid w:val="0"/>
              <w:spacing w:line="360" w:lineRule="auto"/>
              <w:rPr>
                <w:rFonts w:hint="eastAsia" w:ascii="宋体" w:hAnsi="宋体" w:eastAsia="宋体" w:cs="Times New Roman"/>
                <w:b/>
                <w:color w:val="auto"/>
                <w:szCs w:val="21"/>
                <w:highlight w:val="none"/>
              </w:rPr>
            </w:pPr>
          </w:p>
          <w:p w14:paraId="21F17DDB">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019F8EB8">
            <w:pPr>
              <w:snapToGrid w:val="0"/>
              <w:spacing w:line="360" w:lineRule="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乙方（章）</w:t>
            </w:r>
          </w:p>
          <w:p w14:paraId="6DA1D8FB">
            <w:pPr>
              <w:snapToGrid w:val="0"/>
              <w:spacing w:line="360" w:lineRule="auto"/>
              <w:ind w:firstLine="420" w:firstLineChars="200"/>
              <w:rPr>
                <w:rFonts w:hint="eastAsia" w:ascii="宋体" w:hAnsi="宋体" w:eastAsia="宋体" w:cs="Times New Roman"/>
                <w:b/>
                <w:color w:val="auto"/>
                <w:szCs w:val="21"/>
                <w:highlight w:val="none"/>
              </w:rPr>
            </w:pPr>
          </w:p>
          <w:p w14:paraId="410DC167">
            <w:pPr>
              <w:snapToGrid w:val="0"/>
              <w:spacing w:line="360" w:lineRule="auto"/>
              <w:rPr>
                <w:rFonts w:hint="eastAsia" w:ascii="宋体" w:hAnsi="宋体" w:eastAsia="宋体" w:cs="Times New Roman"/>
                <w:b/>
                <w:color w:val="auto"/>
                <w:szCs w:val="21"/>
                <w:highlight w:val="none"/>
              </w:rPr>
            </w:pPr>
          </w:p>
          <w:p w14:paraId="4ED1BEA3">
            <w:pPr>
              <w:snapToGrid w:val="0"/>
              <w:spacing w:line="360" w:lineRule="auto"/>
              <w:ind w:firstLine="420"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年   月   日</w:t>
            </w:r>
          </w:p>
        </w:tc>
      </w:tr>
    </w:tbl>
    <w:p w14:paraId="68B6DA71">
      <w:pPr>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注：售后服务事项填不下时可另加附页</w:t>
      </w:r>
    </w:p>
    <w:p w14:paraId="48776921">
      <w:pPr>
        <w:snapToGrid w:val="0"/>
        <w:spacing w:line="360" w:lineRule="auto"/>
        <w:jc w:val="left"/>
        <w:rPr>
          <w:rFonts w:hint="eastAsia" w:ascii="宋体" w:hAnsi="宋体" w:eastAsia="宋体" w:cs="Times New Roman"/>
          <w:color w:val="auto"/>
          <w:szCs w:val="21"/>
          <w:highlight w:val="none"/>
        </w:rPr>
      </w:pPr>
    </w:p>
    <w:p w14:paraId="129B508F">
      <w:pPr>
        <w:autoSpaceDE w:val="0"/>
        <w:autoSpaceDN w:val="0"/>
        <w:adjustRightInd w:val="0"/>
        <w:spacing w:line="400" w:lineRule="exact"/>
        <w:ind w:firstLine="0" w:firstLineChars="0"/>
        <w:rPr>
          <w:rFonts w:hint="eastAsia" w:ascii="仿宋_GB2312" w:hAnsi="仿宋_GB2312" w:eastAsia="仿宋_GB2312" w:cs="仿宋_GB2312"/>
          <w:b/>
          <w:bCs/>
          <w:color w:val="auto"/>
          <w:sz w:val="28"/>
          <w:szCs w:val="28"/>
          <w:highlight w:val="none"/>
          <w:lang w:val="en-US" w:eastAsia="zh-CN" w:bidi="ar-SA"/>
        </w:rPr>
      </w:pPr>
    </w:p>
    <w:p w14:paraId="520221A0">
      <w:pPr>
        <w:spacing w:line="400" w:lineRule="exact"/>
        <w:jc w:val="center"/>
        <w:rPr>
          <w:rFonts w:hint="eastAsia" w:ascii="宋体"/>
          <w:color w:val="auto"/>
          <w:sz w:val="32"/>
          <w:szCs w:val="32"/>
          <w:highlight w:val="none"/>
        </w:rPr>
      </w:pPr>
    </w:p>
    <w:p w14:paraId="499C2B95">
      <w:pPr>
        <w:spacing w:line="400" w:lineRule="exact"/>
        <w:jc w:val="center"/>
        <w:rPr>
          <w:rFonts w:hint="eastAsia" w:ascii="宋体"/>
          <w:color w:val="auto"/>
          <w:sz w:val="32"/>
          <w:szCs w:val="32"/>
          <w:highlight w:val="none"/>
        </w:rPr>
      </w:pPr>
    </w:p>
    <w:p w14:paraId="31F21CFB">
      <w:pPr>
        <w:spacing w:line="400" w:lineRule="exact"/>
        <w:jc w:val="center"/>
        <w:rPr>
          <w:rFonts w:hint="eastAsia" w:ascii="宋体"/>
          <w:color w:val="auto"/>
          <w:sz w:val="32"/>
          <w:szCs w:val="32"/>
          <w:highlight w:val="none"/>
        </w:rPr>
      </w:pPr>
    </w:p>
    <w:p w14:paraId="47916DE0">
      <w:pPr>
        <w:spacing w:line="400" w:lineRule="exact"/>
        <w:jc w:val="center"/>
        <w:rPr>
          <w:rFonts w:hint="eastAsia" w:ascii="宋体"/>
          <w:color w:val="auto"/>
          <w:sz w:val="32"/>
          <w:szCs w:val="32"/>
          <w:highlight w:val="none"/>
        </w:rPr>
      </w:pPr>
    </w:p>
    <w:p w14:paraId="0EF0258F">
      <w:pPr>
        <w:spacing w:line="400" w:lineRule="exact"/>
        <w:jc w:val="center"/>
        <w:rPr>
          <w:rFonts w:hint="eastAsia" w:ascii="宋体"/>
          <w:color w:val="auto"/>
          <w:sz w:val="32"/>
          <w:szCs w:val="32"/>
          <w:highlight w:val="none"/>
        </w:rPr>
      </w:pPr>
    </w:p>
    <w:p w14:paraId="1EC265C3">
      <w:pPr>
        <w:spacing w:line="400" w:lineRule="exact"/>
        <w:jc w:val="center"/>
        <w:rPr>
          <w:rFonts w:hint="eastAsia" w:ascii="宋体"/>
          <w:color w:val="auto"/>
          <w:sz w:val="32"/>
          <w:szCs w:val="32"/>
          <w:highlight w:val="none"/>
        </w:rPr>
      </w:pPr>
    </w:p>
    <w:p w14:paraId="10870088">
      <w:pPr>
        <w:spacing w:line="400" w:lineRule="exact"/>
        <w:jc w:val="center"/>
        <w:rPr>
          <w:rFonts w:hint="eastAsia" w:ascii="宋体"/>
          <w:color w:val="auto"/>
          <w:sz w:val="32"/>
          <w:szCs w:val="32"/>
          <w:highlight w:val="none"/>
        </w:rPr>
      </w:pPr>
    </w:p>
    <w:p w14:paraId="79EBF820">
      <w:pPr>
        <w:spacing w:line="400" w:lineRule="exact"/>
        <w:jc w:val="center"/>
        <w:rPr>
          <w:rFonts w:hint="eastAsia" w:ascii="宋体"/>
          <w:color w:val="auto"/>
          <w:sz w:val="32"/>
          <w:szCs w:val="32"/>
          <w:highlight w:val="none"/>
        </w:rPr>
      </w:pPr>
    </w:p>
    <w:p w14:paraId="704E6E6E">
      <w:pPr>
        <w:spacing w:line="400" w:lineRule="exact"/>
        <w:jc w:val="center"/>
        <w:rPr>
          <w:rFonts w:hint="eastAsia" w:ascii="宋体"/>
          <w:color w:val="auto"/>
          <w:sz w:val="32"/>
          <w:szCs w:val="32"/>
          <w:highlight w:val="none"/>
        </w:rPr>
      </w:pPr>
    </w:p>
    <w:p w14:paraId="1D5E0F01">
      <w:pPr>
        <w:spacing w:line="400" w:lineRule="exact"/>
        <w:jc w:val="center"/>
        <w:rPr>
          <w:rFonts w:hint="eastAsia" w:ascii="宋体"/>
          <w:color w:val="auto"/>
          <w:sz w:val="32"/>
          <w:szCs w:val="32"/>
          <w:highlight w:val="none"/>
        </w:rPr>
      </w:pPr>
    </w:p>
    <w:p w14:paraId="5BBD264C">
      <w:pPr>
        <w:spacing w:line="400" w:lineRule="exact"/>
        <w:jc w:val="center"/>
        <w:rPr>
          <w:rFonts w:hint="eastAsia" w:ascii="宋体"/>
          <w:color w:val="auto"/>
          <w:sz w:val="32"/>
          <w:szCs w:val="32"/>
          <w:highlight w:val="none"/>
        </w:rPr>
      </w:pPr>
    </w:p>
    <w:p w14:paraId="69128C58">
      <w:pPr>
        <w:spacing w:line="400" w:lineRule="exact"/>
        <w:jc w:val="center"/>
        <w:rPr>
          <w:rFonts w:hint="eastAsia" w:ascii="宋体"/>
          <w:color w:val="auto"/>
          <w:sz w:val="32"/>
          <w:szCs w:val="32"/>
          <w:highlight w:val="none"/>
        </w:rPr>
      </w:pPr>
    </w:p>
    <w:p w14:paraId="2E6D14CE">
      <w:pPr>
        <w:spacing w:line="400" w:lineRule="exact"/>
        <w:rPr>
          <w:rFonts w:hint="eastAsia" w:ascii="宋体"/>
          <w:color w:val="auto"/>
          <w:sz w:val="32"/>
          <w:szCs w:val="32"/>
          <w:highlight w:val="none"/>
        </w:rPr>
      </w:pPr>
    </w:p>
    <w:p w14:paraId="7389A09F">
      <w:pPr>
        <w:spacing w:line="400" w:lineRule="exact"/>
        <w:rPr>
          <w:rFonts w:hint="eastAsia" w:ascii="宋体"/>
          <w:color w:val="auto"/>
          <w:sz w:val="32"/>
          <w:szCs w:val="32"/>
          <w:highlight w:val="none"/>
        </w:rPr>
      </w:pPr>
    </w:p>
    <w:p w14:paraId="6FCF2534">
      <w:pPr>
        <w:spacing w:line="400" w:lineRule="exact"/>
        <w:rPr>
          <w:rFonts w:hint="eastAsia" w:ascii="宋体"/>
          <w:color w:val="auto"/>
          <w:sz w:val="32"/>
          <w:szCs w:val="32"/>
          <w:highlight w:val="none"/>
        </w:rPr>
      </w:pPr>
    </w:p>
    <w:p w14:paraId="6C72F1C7">
      <w:pPr>
        <w:spacing w:line="400" w:lineRule="exact"/>
        <w:rPr>
          <w:rFonts w:hint="eastAsia" w:ascii="宋体"/>
          <w:color w:val="auto"/>
          <w:sz w:val="32"/>
          <w:szCs w:val="32"/>
          <w:highlight w:val="none"/>
        </w:rPr>
      </w:pPr>
    </w:p>
    <w:p w14:paraId="0FB6982A">
      <w:pPr>
        <w:spacing w:line="400" w:lineRule="exact"/>
        <w:rPr>
          <w:rFonts w:hint="eastAsia" w:ascii="宋体"/>
          <w:color w:val="auto"/>
          <w:sz w:val="32"/>
          <w:szCs w:val="32"/>
          <w:highlight w:val="none"/>
        </w:rPr>
      </w:pPr>
    </w:p>
    <w:p w14:paraId="38284FB0">
      <w:pPr>
        <w:spacing w:line="400" w:lineRule="exact"/>
        <w:rPr>
          <w:rFonts w:hint="eastAsia" w:ascii="宋体"/>
          <w:color w:val="auto"/>
          <w:sz w:val="32"/>
          <w:szCs w:val="32"/>
          <w:highlight w:val="none"/>
        </w:rPr>
      </w:pPr>
    </w:p>
    <w:p w14:paraId="4A23F539">
      <w:pPr>
        <w:spacing w:line="400" w:lineRule="exact"/>
        <w:rPr>
          <w:rFonts w:hint="eastAsia" w:ascii="宋体"/>
          <w:color w:val="auto"/>
          <w:sz w:val="32"/>
          <w:szCs w:val="32"/>
          <w:highlight w:val="none"/>
        </w:rPr>
      </w:pPr>
    </w:p>
    <w:p w14:paraId="3D17E75A">
      <w:pPr>
        <w:spacing w:line="400" w:lineRule="exact"/>
        <w:rPr>
          <w:rFonts w:hint="eastAsia" w:ascii="宋体"/>
          <w:color w:val="auto"/>
          <w:sz w:val="32"/>
          <w:szCs w:val="32"/>
          <w:highlight w:val="none"/>
        </w:rPr>
      </w:pPr>
    </w:p>
    <w:p w14:paraId="1C5EBEAF">
      <w:pPr>
        <w:spacing w:line="400" w:lineRule="exact"/>
        <w:rPr>
          <w:rFonts w:hint="eastAsia" w:ascii="宋体"/>
          <w:color w:val="auto"/>
          <w:sz w:val="32"/>
          <w:szCs w:val="32"/>
          <w:highlight w:val="none"/>
        </w:rPr>
      </w:pPr>
    </w:p>
    <w:p w14:paraId="53425A29">
      <w:pPr>
        <w:spacing w:line="400" w:lineRule="exact"/>
        <w:rPr>
          <w:rFonts w:hint="eastAsia" w:ascii="宋体"/>
          <w:color w:val="auto"/>
          <w:sz w:val="32"/>
          <w:szCs w:val="32"/>
          <w:highlight w:val="none"/>
        </w:rPr>
      </w:pPr>
    </w:p>
    <w:p w14:paraId="11E60D8D">
      <w:pPr>
        <w:spacing w:line="400" w:lineRule="exact"/>
        <w:rPr>
          <w:rFonts w:hint="eastAsia" w:ascii="宋体"/>
          <w:color w:val="auto"/>
          <w:sz w:val="32"/>
          <w:szCs w:val="32"/>
          <w:highlight w:val="none"/>
        </w:rPr>
      </w:pPr>
    </w:p>
    <w:p w14:paraId="4599A7B9">
      <w:pPr>
        <w:spacing w:line="400" w:lineRule="exact"/>
        <w:rPr>
          <w:rFonts w:hint="eastAsia" w:ascii="宋体"/>
          <w:color w:val="auto"/>
          <w:sz w:val="32"/>
          <w:szCs w:val="32"/>
          <w:highlight w:val="none"/>
        </w:rPr>
      </w:pPr>
    </w:p>
    <w:p w14:paraId="0DC98AE8">
      <w:pPr>
        <w:spacing w:line="400" w:lineRule="exact"/>
        <w:rPr>
          <w:rFonts w:hint="eastAsia" w:ascii="宋体"/>
          <w:color w:val="auto"/>
          <w:sz w:val="32"/>
          <w:szCs w:val="32"/>
          <w:highlight w:val="none"/>
        </w:rPr>
      </w:pPr>
    </w:p>
    <w:p w14:paraId="243DA3EC">
      <w:pPr>
        <w:widowControl w:val="0"/>
        <w:spacing w:before="240" w:after="60"/>
        <w:jc w:val="center"/>
        <w:outlineLvl w:val="0"/>
        <w:rPr>
          <w:rFonts w:hint="eastAsia" w:ascii="Arial" w:hAnsi="Arial" w:eastAsia="宋体" w:cs="Times New Roman"/>
          <w:b/>
          <w:bCs/>
          <w:color w:val="auto"/>
          <w:kern w:val="2"/>
          <w:sz w:val="44"/>
          <w:szCs w:val="44"/>
          <w:highlight w:val="none"/>
          <w:lang w:val="en-US" w:eastAsia="zh-CN" w:bidi="ar-SA"/>
        </w:rPr>
      </w:pPr>
      <w:bookmarkStart w:id="102" w:name="_Toc476436177"/>
      <w:bookmarkStart w:id="103" w:name="_Toc476436436"/>
      <w:r>
        <w:rPr>
          <w:rFonts w:hint="eastAsia" w:ascii="Arial" w:hAnsi="Arial" w:eastAsia="宋体" w:cs="Times New Roman"/>
          <w:b/>
          <w:bCs/>
          <w:color w:val="auto"/>
          <w:kern w:val="2"/>
          <w:sz w:val="44"/>
          <w:szCs w:val="44"/>
          <w:highlight w:val="none"/>
          <w:lang w:val="en-US" w:eastAsia="zh-CN" w:bidi="ar-SA"/>
        </w:rPr>
        <w:t>第六章　投标文件格式</w:t>
      </w:r>
      <w:bookmarkEnd w:id="102"/>
      <w:bookmarkEnd w:id="103"/>
    </w:p>
    <w:p w14:paraId="7810E2DE">
      <w:pPr>
        <w:rPr>
          <w:rFonts w:hint="eastAsia"/>
          <w:color w:val="auto"/>
          <w:highlight w:val="none"/>
        </w:rPr>
      </w:pPr>
    </w:p>
    <w:p w14:paraId="61C4365F">
      <w:pPr>
        <w:rPr>
          <w:rFonts w:hint="eastAsia"/>
          <w:color w:val="auto"/>
          <w:highlight w:val="none"/>
        </w:rPr>
      </w:pPr>
      <w:bookmarkStart w:id="104" w:name="_Toc254970556"/>
      <w:bookmarkStart w:id="105" w:name="_Toc254970697"/>
    </w:p>
    <w:p w14:paraId="23CE1DEC">
      <w:pPr>
        <w:rPr>
          <w:rFonts w:hint="eastAsia"/>
          <w:color w:val="auto"/>
          <w:highlight w:val="none"/>
        </w:rPr>
      </w:pPr>
    </w:p>
    <w:p w14:paraId="3CFBBB3B">
      <w:pPr>
        <w:rPr>
          <w:rFonts w:hint="eastAsia"/>
          <w:color w:val="auto"/>
          <w:highlight w:val="none"/>
        </w:rPr>
      </w:pPr>
    </w:p>
    <w:p w14:paraId="28B78193">
      <w:pPr>
        <w:rPr>
          <w:rFonts w:hint="eastAsia"/>
          <w:color w:val="auto"/>
          <w:highlight w:val="none"/>
        </w:rPr>
      </w:pPr>
    </w:p>
    <w:p w14:paraId="329469A4">
      <w:pPr>
        <w:rPr>
          <w:rFonts w:hint="eastAsia"/>
          <w:color w:val="auto"/>
          <w:highlight w:val="none"/>
        </w:rPr>
      </w:pPr>
    </w:p>
    <w:p w14:paraId="23AAB37B">
      <w:pPr>
        <w:rPr>
          <w:rFonts w:hint="eastAsia"/>
          <w:color w:val="auto"/>
          <w:highlight w:val="none"/>
        </w:rPr>
      </w:pPr>
    </w:p>
    <w:p w14:paraId="73BFDDF7">
      <w:pPr>
        <w:rPr>
          <w:rFonts w:hint="eastAsia"/>
          <w:color w:val="auto"/>
          <w:highlight w:val="none"/>
        </w:rPr>
      </w:pPr>
    </w:p>
    <w:p w14:paraId="2ECEA84E">
      <w:pPr>
        <w:rPr>
          <w:rFonts w:hint="eastAsia"/>
          <w:color w:val="auto"/>
          <w:highlight w:val="none"/>
        </w:rPr>
      </w:pPr>
    </w:p>
    <w:p w14:paraId="7312B413">
      <w:pPr>
        <w:rPr>
          <w:rFonts w:hint="eastAsia"/>
          <w:color w:val="auto"/>
          <w:highlight w:val="none"/>
        </w:rPr>
      </w:pPr>
    </w:p>
    <w:p w14:paraId="1A7CA9B8">
      <w:pPr>
        <w:rPr>
          <w:rFonts w:hint="eastAsia"/>
          <w:color w:val="auto"/>
          <w:highlight w:val="none"/>
        </w:rPr>
      </w:pPr>
    </w:p>
    <w:p w14:paraId="5FB7E429">
      <w:pPr>
        <w:rPr>
          <w:rFonts w:hint="eastAsia"/>
          <w:color w:val="auto"/>
          <w:highlight w:val="none"/>
        </w:rPr>
      </w:pPr>
    </w:p>
    <w:bookmarkEnd w:id="104"/>
    <w:bookmarkEnd w:id="105"/>
    <w:p w14:paraId="5E8A5D40">
      <w:pPr>
        <w:spacing w:line="720" w:lineRule="auto"/>
        <w:jc w:val="center"/>
        <w:rPr>
          <w:rFonts w:hint="eastAsia"/>
          <w:color w:val="auto"/>
          <w:sz w:val="32"/>
          <w:szCs w:val="32"/>
          <w:highlight w:val="none"/>
        </w:rPr>
      </w:pPr>
      <w:r>
        <w:rPr>
          <w:color w:val="auto"/>
          <w:highlight w:val="none"/>
        </w:rPr>
        <w:br w:type="page"/>
      </w:r>
      <w:r>
        <w:rPr>
          <w:rFonts w:hint="eastAsia"/>
          <w:color w:val="auto"/>
          <w:sz w:val="32"/>
          <w:szCs w:val="32"/>
          <w:highlight w:val="none"/>
        </w:rPr>
        <w:t>投标文件格式</w:t>
      </w:r>
    </w:p>
    <w:p w14:paraId="5681A4DB">
      <w:pPr>
        <w:spacing w:line="480" w:lineRule="auto"/>
        <w:jc w:val="center"/>
        <w:rPr>
          <w:rFonts w:hint="eastAsia"/>
          <w:b/>
          <w:color w:val="auto"/>
          <w:highlight w:val="none"/>
        </w:rPr>
      </w:pPr>
      <w:r>
        <w:rPr>
          <w:rFonts w:hint="eastAsia"/>
          <w:b/>
          <w:color w:val="auto"/>
          <w:highlight w:val="none"/>
        </w:rPr>
        <w:t>一、投标文件封面格式</w:t>
      </w:r>
    </w:p>
    <w:p w14:paraId="363CB744">
      <w:pPr>
        <w:spacing w:line="360" w:lineRule="exact"/>
        <w:rPr>
          <w:rFonts w:hint="eastAsia"/>
          <w:b/>
          <w:color w:val="auto"/>
          <w:highlight w:val="none"/>
        </w:rPr>
      </w:pPr>
    </w:p>
    <w:p w14:paraId="6B85B263">
      <w:pPr>
        <w:snapToGrid w:val="0"/>
        <w:spacing w:before="156" w:beforeLines="50" w:after="50" w:line="360" w:lineRule="exact"/>
        <w:rPr>
          <w:rFonts w:hint="eastAsia" w:ascii="宋体"/>
          <w:color w:val="auto"/>
          <w:szCs w:val="21"/>
          <w:highlight w:val="none"/>
        </w:rPr>
      </w:pPr>
    </w:p>
    <w:p w14:paraId="087A7DD0">
      <w:pPr>
        <w:snapToGrid w:val="0"/>
        <w:spacing w:before="156" w:beforeLines="50" w:after="50" w:line="360" w:lineRule="exact"/>
        <w:rPr>
          <w:rFonts w:hint="eastAsia" w:ascii="仿宋_GB2312" w:eastAsia="仿宋_GB2312"/>
          <w:bCs/>
          <w:color w:val="auto"/>
          <w:sz w:val="24"/>
          <w:highlight w:val="none"/>
        </w:rPr>
      </w:pPr>
      <w:bookmarkStart w:id="106" w:name="_Toc254970557"/>
      <w:bookmarkStart w:id="107" w:name="_Toc254970698"/>
      <w:r>
        <w:rPr>
          <w:rFonts w:hint="eastAsia" w:ascii="仿宋_GB2312" w:eastAsia="仿宋_GB2312"/>
          <w:color w:val="auto"/>
          <w:sz w:val="24"/>
          <w:highlight w:val="none"/>
        </w:rPr>
        <w:t xml:space="preserve">                   </w:t>
      </w:r>
    </w:p>
    <w:p w14:paraId="149DCF81">
      <w:pPr>
        <w:snapToGrid w:val="0"/>
        <w:spacing w:before="156" w:beforeLines="50" w:after="50" w:line="360" w:lineRule="exact"/>
        <w:jc w:val="center"/>
        <w:rPr>
          <w:rFonts w:hint="eastAsia" w:ascii="宋体"/>
          <w:b/>
          <w:bCs/>
          <w:color w:val="auto"/>
          <w:sz w:val="32"/>
          <w:szCs w:val="32"/>
          <w:highlight w:val="none"/>
        </w:rPr>
      </w:pPr>
      <w:r>
        <w:rPr>
          <w:rFonts w:hint="eastAsia" w:ascii="宋体"/>
          <w:b/>
          <w:bCs/>
          <w:color w:val="auto"/>
          <w:sz w:val="32"/>
          <w:szCs w:val="32"/>
          <w:highlight w:val="none"/>
        </w:rPr>
        <w:t>投标文件</w:t>
      </w:r>
    </w:p>
    <w:p w14:paraId="4737F5B2">
      <w:pPr>
        <w:snapToGrid w:val="0"/>
        <w:spacing w:before="156" w:beforeLines="50" w:after="50" w:line="360" w:lineRule="exact"/>
        <w:rPr>
          <w:rFonts w:hint="eastAsia" w:ascii="仿宋_GB2312" w:eastAsia="仿宋_GB2312"/>
          <w:bCs/>
          <w:color w:val="auto"/>
          <w:sz w:val="24"/>
          <w:highlight w:val="none"/>
        </w:rPr>
      </w:pPr>
    </w:p>
    <w:p w14:paraId="3BBFF352">
      <w:pP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 xml:space="preserve">采购项目名称： </w:t>
      </w:r>
    </w:p>
    <w:p w14:paraId="58C29276">
      <w:pP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 xml:space="preserve">采购项目编号： </w:t>
      </w:r>
    </w:p>
    <w:p w14:paraId="16964974">
      <w:pP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所投分标（如有）：</w:t>
      </w:r>
    </w:p>
    <w:p w14:paraId="6421B954">
      <w:pP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投标人名称：（盖章）</w:t>
      </w:r>
    </w:p>
    <w:p w14:paraId="3CB60DEF">
      <w:pPr>
        <w:snapToGrid w:val="0"/>
        <w:spacing w:before="156" w:beforeLines="50" w:after="50" w:line="360" w:lineRule="exact"/>
        <w:ind w:firstLine="630" w:firstLineChars="300"/>
        <w:rPr>
          <w:rFonts w:hint="eastAsia" w:ascii="宋体"/>
          <w:bCs/>
          <w:color w:val="auto"/>
          <w:szCs w:val="21"/>
          <w:highlight w:val="none"/>
        </w:rPr>
      </w:pPr>
      <w:r>
        <w:rPr>
          <w:rFonts w:hint="eastAsia" w:ascii="宋体"/>
          <w:bCs/>
          <w:color w:val="auto"/>
          <w:szCs w:val="21"/>
          <w:highlight w:val="none"/>
        </w:rPr>
        <w:t>投标人地址：</w:t>
      </w:r>
    </w:p>
    <w:p w14:paraId="4B71AB2B">
      <w:pPr>
        <w:spacing w:line="360" w:lineRule="exact"/>
        <w:rPr>
          <w:rFonts w:hint="eastAsia"/>
          <w:color w:val="auto"/>
          <w:highlight w:val="none"/>
        </w:rPr>
      </w:pPr>
      <w:r>
        <w:rPr>
          <w:rFonts w:hint="eastAsia"/>
          <w:color w:val="auto"/>
          <w:highlight w:val="none"/>
        </w:rPr>
        <w:t xml:space="preserve">                                                   年  月  日</w:t>
      </w:r>
    </w:p>
    <w:p w14:paraId="355E9594">
      <w:pPr>
        <w:spacing w:line="360" w:lineRule="exact"/>
        <w:rPr>
          <w:rFonts w:hint="eastAsia"/>
          <w:color w:val="auto"/>
          <w:highlight w:val="none"/>
        </w:rPr>
      </w:pPr>
    </w:p>
    <w:p w14:paraId="445EC262">
      <w:pPr>
        <w:spacing w:line="360" w:lineRule="exact"/>
        <w:rPr>
          <w:rFonts w:hint="eastAsia"/>
          <w:color w:val="auto"/>
          <w:highlight w:val="none"/>
        </w:rPr>
      </w:pPr>
      <w:r>
        <w:rPr>
          <w:rFonts w:hint="eastAsia" w:ascii="宋体" w:hAnsi="宋体"/>
          <w:bCs/>
          <w:color w:val="auto"/>
          <w:szCs w:val="21"/>
          <w:highlight w:val="none"/>
        </w:rPr>
        <w:t>[注：</w:t>
      </w:r>
      <w:r>
        <w:rPr>
          <w:rFonts w:hint="eastAsia" w:ascii="宋体" w:hAnsi="宋体"/>
          <w:color w:val="auto"/>
          <w:highlight w:val="none"/>
        </w:rPr>
        <w:t>投标文件由资格文件、商务技术文件、报价文件</w:t>
      </w:r>
      <w:r>
        <w:rPr>
          <w:rFonts w:hint="eastAsia" w:ascii="宋体"/>
          <w:b/>
          <w:color w:val="auto"/>
          <w:szCs w:val="21"/>
          <w:highlight w:val="none"/>
        </w:rPr>
        <w:t>三部分</w:t>
      </w:r>
      <w:r>
        <w:rPr>
          <w:rFonts w:hint="eastAsia" w:ascii="宋体"/>
          <w:color w:val="auto"/>
          <w:szCs w:val="21"/>
          <w:highlight w:val="none"/>
        </w:rPr>
        <w:t>组成</w:t>
      </w:r>
      <w:r>
        <w:rPr>
          <w:rFonts w:hint="eastAsia" w:ascii="宋体" w:hAnsi="宋体"/>
          <w:bCs/>
          <w:color w:val="auto"/>
          <w:szCs w:val="21"/>
          <w:highlight w:val="none"/>
        </w:rPr>
        <w:t>]</w:t>
      </w:r>
    </w:p>
    <w:p w14:paraId="70A7C5A6">
      <w:pPr>
        <w:spacing w:line="360" w:lineRule="exact"/>
        <w:rPr>
          <w:rFonts w:hint="eastAsia" w:ascii="宋体" w:hAnsi="宋体"/>
          <w:bCs/>
          <w:color w:val="auto"/>
          <w:szCs w:val="21"/>
          <w:highlight w:val="none"/>
        </w:rPr>
      </w:pPr>
    </w:p>
    <w:p w14:paraId="55B1C7B3">
      <w:pPr>
        <w:spacing w:line="720" w:lineRule="auto"/>
        <w:jc w:val="center"/>
        <w:rPr>
          <w:rFonts w:hint="eastAsia" w:ascii="Times New Roman" w:hAnsi="Times New Roman" w:eastAsia="宋体" w:cs="Times New Roman"/>
          <w:b/>
          <w:color w:val="auto"/>
          <w:highlight w:val="none"/>
        </w:rPr>
      </w:pPr>
      <w:r>
        <w:rPr>
          <w:b/>
          <w:color w:val="auto"/>
          <w:highlight w:val="none"/>
        </w:rPr>
        <w:br w:type="page"/>
      </w:r>
      <w:bookmarkEnd w:id="106"/>
      <w:bookmarkEnd w:id="107"/>
      <w:r>
        <w:rPr>
          <w:rFonts w:hint="eastAsia" w:ascii="Times New Roman" w:hAnsi="Times New Roman" w:eastAsia="宋体" w:cs="Times New Roman"/>
          <w:b/>
          <w:color w:val="auto"/>
          <w:highlight w:val="none"/>
        </w:rPr>
        <w:t>二、投标文件目录</w:t>
      </w:r>
    </w:p>
    <w:p w14:paraId="5556FE20">
      <w:pPr>
        <w:snapToGrid w:val="0"/>
        <w:spacing w:before="156" w:beforeLines="50" w:line="360" w:lineRule="exact"/>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1.资格文件：</w:t>
      </w:r>
    </w:p>
    <w:p w14:paraId="645C2B76">
      <w:pPr>
        <w:snapToGrid w:val="0"/>
        <w:spacing w:line="360" w:lineRule="exact"/>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（1）有效的主体资格证明文件；</w:t>
      </w:r>
    </w:p>
    <w:p w14:paraId="3B52F7D4">
      <w:pPr>
        <w:spacing w:line="370" w:lineRule="exact"/>
        <w:rPr>
          <w:rFonts w:hint="eastAsia" w:ascii="宋体" w:hAnsi="宋体" w:eastAsia="宋体" w:cs="Times New Roman"/>
          <w:b/>
          <w:color w:val="auto"/>
          <w:highlight w:val="none"/>
        </w:rPr>
      </w:pPr>
      <w:r>
        <w:rPr>
          <w:rFonts w:hint="eastAsia" w:ascii="Times New Roman" w:hAnsi="Times New Roman" w:eastAsia="宋体" w:cs="Times New Roman"/>
          <w:b/>
          <w:color w:val="auto"/>
          <w:highlight w:val="none"/>
        </w:rPr>
        <w:t xml:space="preserve">    </w:t>
      </w:r>
      <w:r>
        <w:rPr>
          <w:rFonts w:hint="eastAsia" w:ascii="宋体" w:hAnsi="宋体" w:eastAsia="宋体" w:cs="Times New Roman"/>
          <w:color w:val="auto"/>
          <w:highlight w:val="none"/>
        </w:rPr>
        <w:t xml:space="preserve"> ①投标人有效的“主体资格证明文件”（如营业执照、事业单位法人证书、执业许可证、自然人身份证等）</w:t>
      </w:r>
      <w:r>
        <w:rPr>
          <w:rFonts w:hint="eastAsia" w:ascii="Times New Roman" w:hAnsi="宋体" w:eastAsia="宋体" w:cs="Times New Roman"/>
          <w:color w:val="auto"/>
          <w:highlight w:val="none"/>
        </w:rPr>
        <w:t>复印件</w:t>
      </w:r>
      <w:r>
        <w:rPr>
          <w:rFonts w:hint="eastAsia" w:ascii="宋体" w:hAnsi="宋体" w:eastAsia="宋体" w:cs="Times New Roman"/>
          <w:color w:val="auto"/>
          <w:highlight w:val="none"/>
        </w:rPr>
        <w:t>，同时要加盖单位公章；</w:t>
      </w:r>
      <w:r>
        <w:rPr>
          <w:rFonts w:hint="eastAsia" w:ascii="宋体" w:hAnsi="宋体" w:eastAsia="宋体" w:cs="Times New Roman"/>
          <w:b/>
          <w:color w:val="auto"/>
          <w:highlight w:val="none"/>
        </w:rPr>
        <w:t>（必须提供）</w:t>
      </w:r>
    </w:p>
    <w:p w14:paraId="76BDA2BF">
      <w:pPr>
        <w:spacing w:line="370" w:lineRule="exact"/>
        <w:ind w:firstLine="420" w:firstLineChars="200"/>
        <w:rPr>
          <w:rFonts w:hint="eastAsia" w:ascii="宋体" w:hAnsi="宋体"/>
          <w:b/>
          <w:color w:val="auto"/>
          <w:highlight w:val="none"/>
        </w:rPr>
      </w:pPr>
      <w:r>
        <w:rPr>
          <w:rFonts w:hint="eastAsia" w:ascii="宋体" w:hAnsi="宋体"/>
          <w:color w:val="auto"/>
          <w:highlight w:val="none"/>
          <w:lang w:val="en-US" w:eastAsia="zh-CN"/>
        </w:rPr>
        <w:t>②</w:t>
      </w:r>
      <w:r>
        <w:rPr>
          <w:rFonts w:hint="eastAsia" w:ascii="宋体" w:hAnsi="宋体"/>
          <w:color w:val="auto"/>
          <w:highlight w:val="none"/>
        </w:rPr>
        <w:t>投标人须具备有效的《辐射安全许可证》</w:t>
      </w:r>
      <w:r>
        <w:rPr>
          <w:rFonts w:hint="eastAsia" w:ascii="宋体" w:hAnsi="宋体"/>
          <w:color w:val="auto"/>
          <w:highlight w:val="none"/>
          <w:lang w:eastAsia="zh-CN"/>
        </w:rPr>
        <w:t>；</w:t>
      </w:r>
      <w:r>
        <w:rPr>
          <w:rFonts w:hint="eastAsia" w:ascii="宋体" w:hAnsi="宋体"/>
          <w:b/>
          <w:color w:val="auto"/>
          <w:highlight w:val="none"/>
        </w:rPr>
        <w:t>（必须提供）</w:t>
      </w:r>
    </w:p>
    <w:p w14:paraId="365F731E">
      <w:pPr>
        <w:spacing w:line="370" w:lineRule="exact"/>
        <w:rPr>
          <w:rFonts w:hint="eastAsia" w:ascii="宋体" w:hAnsi="宋体" w:eastAsia="宋体" w:cs="Times New Roman"/>
          <w:b/>
          <w:color w:val="auto"/>
          <w:szCs w:val="21"/>
          <w:highlight w:val="none"/>
        </w:rPr>
      </w:pPr>
      <w:r>
        <w:rPr>
          <w:rFonts w:hint="eastAsia" w:ascii="Times New Roman" w:hAnsi="Times New Roman" w:eastAsia="宋体" w:cs="Times New Roman"/>
          <w:b/>
          <w:color w:val="auto"/>
          <w:highlight w:val="none"/>
        </w:rPr>
        <w:t xml:space="preserve">   </w:t>
      </w:r>
      <w:r>
        <w:rPr>
          <w:rFonts w:hint="eastAsia" w:ascii="宋体" w:hAnsi="宋体" w:eastAsia="宋体" w:cs="Times New Roman"/>
          <w:color w:val="auto"/>
          <w:szCs w:val="21"/>
          <w:highlight w:val="none"/>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eastAsia="宋体" w:cs="Times New Roman"/>
          <w:b/>
          <w:color w:val="auto"/>
          <w:szCs w:val="21"/>
          <w:highlight w:val="none"/>
        </w:rPr>
        <w:t>（必须提供，新成立单位按实际提供）</w:t>
      </w:r>
    </w:p>
    <w:p w14:paraId="41436698">
      <w:pPr>
        <w:snapToGrid w:val="0"/>
        <w:spacing w:line="360" w:lineRule="exact"/>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eastAsia="宋体" w:cs="Times New Roman"/>
          <w:b/>
          <w:color w:val="auto"/>
          <w:szCs w:val="21"/>
          <w:highlight w:val="none"/>
        </w:rPr>
        <w:t>（必须提供，新成立单位按实际提供）</w:t>
      </w:r>
    </w:p>
    <w:p w14:paraId="18AD362C">
      <w:pPr>
        <w:snapToGrid w:val="0"/>
        <w:spacing w:line="360" w:lineRule="exact"/>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w:t>
      </w: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财务状况报告</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（格式自拟，必须提供）</w:t>
      </w:r>
    </w:p>
    <w:p w14:paraId="2067E37D">
      <w:pPr>
        <w:snapToGrid w:val="0"/>
        <w:spacing w:line="360" w:lineRule="exact"/>
        <w:ind w:firstLine="411" w:firstLineChars="196"/>
        <w:jc w:val="left"/>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（5）</w:t>
      </w:r>
      <w:r>
        <w:rPr>
          <w:rFonts w:ascii="宋体" w:hAnsi="宋体" w:eastAsia="宋体" w:cs="Times New Roman"/>
          <w:color w:val="auto"/>
          <w:szCs w:val="21"/>
          <w:highlight w:val="none"/>
        </w:rPr>
        <w:t>具备履行合同所必需的设备和专业技术能力的证明材料</w:t>
      </w:r>
      <w:r>
        <w:rPr>
          <w:rFonts w:hint="eastAsia" w:ascii="宋体" w:hAnsi="宋体" w:eastAsia="宋体" w:cs="宋体"/>
          <w:color w:val="auto"/>
          <w:kern w:val="0"/>
          <w:szCs w:val="21"/>
          <w:highlight w:val="none"/>
        </w:rPr>
        <w:t>。</w:t>
      </w:r>
      <w:r>
        <w:rPr>
          <w:rFonts w:hint="eastAsia" w:ascii="宋体" w:hAnsi="宋体" w:eastAsia="宋体" w:cs="Times New Roman"/>
          <w:b/>
          <w:color w:val="auto"/>
          <w:szCs w:val="21"/>
          <w:highlight w:val="none"/>
        </w:rPr>
        <w:t>（内容、格式自拟，必须提供</w:t>
      </w:r>
      <w:r>
        <w:rPr>
          <w:rFonts w:hint="eastAsia" w:ascii="宋体" w:hAnsi="宋体" w:cs="Times New Roman"/>
          <w:b/>
          <w:color w:val="auto"/>
          <w:szCs w:val="21"/>
          <w:highlight w:val="none"/>
          <w:lang w:eastAsia="zh-CN"/>
        </w:rPr>
        <w:t>，</w:t>
      </w:r>
      <w:r>
        <w:rPr>
          <w:rFonts w:hint="eastAsia" w:ascii="宋体" w:hAnsi="宋体"/>
          <w:b/>
          <w:color w:val="auto"/>
          <w:szCs w:val="21"/>
          <w:highlight w:val="none"/>
          <w:lang w:val="en-US" w:eastAsia="zh-CN"/>
        </w:rPr>
        <w:t>可提供承诺函</w:t>
      </w:r>
      <w:r>
        <w:rPr>
          <w:rFonts w:hint="eastAsia" w:ascii="宋体" w:hAnsi="宋体" w:eastAsia="宋体" w:cs="Times New Roman"/>
          <w:b/>
          <w:color w:val="auto"/>
          <w:szCs w:val="21"/>
          <w:highlight w:val="none"/>
        </w:rPr>
        <w:t>）</w:t>
      </w:r>
    </w:p>
    <w:p w14:paraId="56042B6D">
      <w:pPr>
        <w:snapToGrid w:val="0"/>
        <w:spacing w:line="360" w:lineRule="exact"/>
        <w:ind w:firstLine="411" w:firstLineChars="196"/>
        <w:jc w:val="left"/>
        <w:rPr>
          <w:rFonts w:hint="eastAsia" w:ascii="宋体" w:hAnsi="宋体" w:eastAsia="宋体" w:cs="Times New Roman"/>
          <w:color w:val="auto"/>
          <w:szCs w:val="21"/>
          <w:highlight w:val="none"/>
        </w:rPr>
      </w:pPr>
      <w:r>
        <w:rPr>
          <w:rFonts w:hint="eastAsia" w:ascii="宋体" w:hAnsi="宋体" w:eastAsia="宋体" w:cs="宋体"/>
          <w:color w:val="auto"/>
          <w:kern w:val="0"/>
          <w:szCs w:val="21"/>
          <w:highlight w:val="none"/>
        </w:rPr>
        <w:t>（6）</w:t>
      </w:r>
      <w:r>
        <w:rPr>
          <w:rFonts w:hint="eastAsia" w:ascii="宋体" w:hAnsi="宋体" w:eastAsia="宋体" w:cs="Times New Roman"/>
          <w:color w:val="auto"/>
          <w:szCs w:val="21"/>
          <w:highlight w:val="none"/>
        </w:rPr>
        <w:t>参加政府采购活动前三年内在经营活动中没有重大违法记录和不良信用记录的书面声明。（</w:t>
      </w:r>
      <w:r>
        <w:rPr>
          <w:rFonts w:hint="eastAsia" w:ascii="宋体" w:hAnsi="宋体" w:eastAsia="宋体" w:cs="Times New Roman"/>
          <w:b/>
          <w:color w:val="auto"/>
          <w:szCs w:val="21"/>
          <w:highlight w:val="none"/>
        </w:rPr>
        <w:t>格式自拟，必须提供</w:t>
      </w:r>
      <w:r>
        <w:rPr>
          <w:rFonts w:hint="eastAsia" w:ascii="宋体" w:hAnsi="宋体" w:eastAsia="宋体" w:cs="Times New Roman"/>
          <w:color w:val="auto"/>
          <w:szCs w:val="21"/>
          <w:highlight w:val="none"/>
        </w:rPr>
        <w:t>）</w:t>
      </w:r>
    </w:p>
    <w:p w14:paraId="519796B4">
      <w:pPr>
        <w:snapToGrid w:val="0"/>
        <w:spacing w:line="360" w:lineRule="exact"/>
        <w:ind w:firstLine="411"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注：采购人或采购代理机构在资格审查结束前对供应商进行信用查询</w:t>
      </w:r>
    </w:p>
    <w:p w14:paraId="167EAB8C">
      <w:pPr>
        <w:snapToGrid w:val="0"/>
        <w:spacing w:line="360" w:lineRule="exact"/>
        <w:ind w:firstLine="411"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查询渠道：“信用中国”网站(www.creditchina.gov.cn) 、中国政府采购网(www.ccgp.gov.cn)</w:t>
      </w:r>
    </w:p>
    <w:p w14:paraId="32769B5F">
      <w:pPr>
        <w:snapToGrid w:val="0"/>
        <w:spacing w:line="360" w:lineRule="exact"/>
        <w:ind w:firstLine="411"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查询截止时间：资格审查结束前。</w:t>
      </w:r>
    </w:p>
    <w:p w14:paraId="39FFF014">
      <w:pPr>
        <w:snapToGrid w:val="0"/>
        <w:spacing w:line="360" w:lineRule="exact"/>
        <w:ind w:firstLine="411"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查询记录和证据留存方式：在查询网站中直接打印查询记录，打印材料作为评审资料保存。</w:t>
      </w:r>
    </w:p>
    <w:p w14:paraId="6B69D485">
      <w:pPr>
        <w:snapToGrid w:val="0"/>
        <w:spacing w:line="360" w:lineRule="exact"/>
        <w:ind w:firstLine="420" w:firstLineChars="2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549AA240">
      <w:pPr>
        <w:widowControl w:val="0"/>
        <w:snapToGrid w:val="0"/>
        <w:spacing w:line="4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（7）投标人直接控股、管理关系信息表（格式后附）；（</w:t>
      </w:r>
      <w:r>
        <w:rPr>
          <w:rFonts w:hint="eastAsia" w:ascii="宋体" w:hAnsi="宋体" w:eastAsia="宋体" w:cs="宋体"/>
          <w:b/>
          <w:bCs/>
          <w:color w:val="auto"/>
          <w:kern w:val="2"/>
          <w:sz w:val="21"/>
          <w:szCs w:val="21"/>
          <w:highlight w:val="none"/>
          <w:lang w:val="en-US" w:eastAsia="zh-CN" w:bidi="ar-SA"/>
        </w:rPr>
        <w:t>必须提供，否则作无效投标处理</w:t>
      </w:r>
      <w:r>
        <w:rPr>
          <w:rFonts w:hint="eastAsia" w:ascii="宋体" w:hAnsi="宋体" w:eastAsia="宋体" w:cs="宋体"/>
          <w:color w:val="auto"/>
          <w:kern w:val="2"/>
          <w:sz w:val="21"/>
          <w:szCs w:val="21"/>
          <w:highlight w:val="none"/>
          <w:lang w:val="en-US" w:eastAsia="zh-CN" w:bidi="ar-SA"/>
        </w:rPr>
        <w:t>）</w:t>
      </w:r>
    </w:p>
    <w:p w14:paraId="4DE96D2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（8)投标人参加本项目无围标串标行为的承诺；（</w:t>
      </w:r>
      <w:r>
        <w:rPr>
          <w:rFonts w:hint="eastAsia" w:ascii="宋体" w:hAnsi="宋体" w:eastAsia="宋体" w:cs="宋体"/>
          <w:b/>
          <w:bCs/>
          <w:color w:val="auto"/>
          <w:szCs w:val="21"/>
          <w:highlight w:val="none"/>
        </w:rPr>
        <w:t>必须提供，否则作无效投标处理</w:t>
      </w:r>
      <w:r>
        <w:rPr>
          <w:rFonts w:hint="eastAsia" w:ascii="宋体" w:hAnsi="宋体" w:eastAsia="宋体" w:cs="宋体"/>
          <w:color w:val="auto"/>
          <w:szCs w:val="21"/>
          <w:highlight w:val="none"/>
        </w:rPr>
        <w:t>）</w:t>
      </w:r>
    </w:p>
    <w:p w14:paraId="621961FE">
      <w:pPr>
        <w:widowControl w:val="0"/>
        <w:snapToGrid w:val="0"/>
        <w:spacing w:line="360" w:lineRule="exact"/>
        <w:ind w:firstLine="420" w:firstLineChars="200"/>
        <w:jc w:val="left"/>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2.商务技术文件：</w:t>
      </w:r>
    </w:p>
    <w:p w14:paraId="688D6E5B">
      <w:pPr>
        <w:widowControl w:val="0"/>
        <w:snapToGrid w:val="0"/>
        <w:spacing w:line="360" w:lineRule="exact"/>
        <w:ind w:firstLine="420" w:firstLineChars="200"/>
        <w:jc w:val="left"/>
        <w:rPr>
          <w:rFonts w:hint="eastAsia" w:ascii="宋体" w:hAnsi="Times New Roman" w:eastAsia="宋体" w:cs="Times New Roman"/>
          <w:b/>
          <w:color w:val="auto"/>
          <w:kern w:val="2"/>
          <w:sz w:val="21"/>
          <w:szCs w:val="21"/>
          <w:highlight w:val="none"/>
          <w:lang w:val="en-US" w:eastAsia="zh-CN" w:bidi="ar-SA"/>
        </w:rPr>
      </w:pPr>
      <w:r>
        <w:rPr>
          <w:rFonts w:hint="eastAsia" w:ascii="宋体" w:hAnsi="Times New Roman" w:eastAsia="宋体" w:cs="Times New Roman"/>
          <w:b/>
          <w:color w:val="auto"/>
          <w:kern w:val="2"/>
          <w:sz w:val="21"/>
          <w:szCs w:val="21"/>
          <w:highlight w:val="none"/>
          <w:lang w:val="en-US" w:eastAsia="zh-CN" w:bidi="ar-SA"/>
        </w:rPr>
        <w:t>2.1商务文件：</w:t>
      </w:r>
    </w:p>
    <w:p w14:paraId="777DA2D4">
      <w:pPr>
        <w:snapToGrid w:val="0"/>
        <w:spacing w:line="360" w:lineRule="exact"/>
        <w:ind w:firstLine="420" w:firstLineChars="200"/>
        <w:jc w:val="left"/>
        <w:rPr>
          <w:rFonts w:hint="eastAsia" w:ascii="宋体" w:hAnsi="宋体" w:eastAsia="宋体" w:cs="Times New Roman"/>
          <w:color w:val="auto"/>
          <w:highlight w:val="none"/>
        </w:rPr>
      </w:pPr>
      <w:r>
        <w:rPr>
          <w:rFonts w:hint="eastAsia" w:ascii="宋体" w:hAnsi="宋体" w:eastAsia="宋体" w:cs="Times New Roman"/>
          <w:color w:val="auto"/>
          <w:highlight w:val="none"/>
        </w:rPr>
        <w:t>（1）</w:t>
      </w:r>
      <w:r>
        <w:rPr>
          <w:rFonts w:hint="eastAsia" w:ascii="宋体" w:hAnsi="宋体" w:eastAsia="宋体" w:cs="Times New Roman"/>
          <w:color w:val="auto"/>
          <w:szCs w:val="21"/>
          <w:highlight w:val="none"/>
        </w:rPr>
        <w:t>投标保证金的提交凭证</w:t>
      </w:r>
      <w:r>
        <w:rPr>
          <w:rFonts w:hint="eastAsia" w:ascii="宋体" w:hAnsi="宋体" w:eastAsia="宋体" w:cs="Times New Roman"/>
          <w:color w:val="auto"/>
          <w:highlight w:val="none"/>
        </w:rPr>
        <w:t>；</w:t>
      </w:r>
      <w:r>
        <w:rPr>
          <w:rFonts w:hint="eastAsia" w:ascii="宋体" w:hAnsi="宋体" w:eastAsia="宋体" w:cs="Times New Roman"/>
          <w:b/>
          <w:color w:val="auto"/>
          <w:highlight w:val="none"/>
        </w:rPr>
        <w:t>（必须提供）</w:t>
      </w:r>
    </w:p>
    <w:p w14:paraId="1851E74F">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（2）投标声明书 (格式见第六章)；</w:t>
      </w:r>
      <w:r>
        <w:rPr>
          <w:rFonts w:hint="eastAsia" w:ascii="宋体" w:hAnsi="Times New Roman" w:eastAsia="宋体" w:cs="Times New Roman"/>
          <w:b/>
          <w:color w:val="auto"/>
          <w:szCs w:val="21"/>
          <w:highlight w:val="none"/>
        </w:rPr>
        <w:t>（必须提供）</w:t>
      </w:r>
    </w:p>
    <w:p w14:paraId="377EB687">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（3）法定代表人(负责人)授权委托书和委托代理人身份证正、反面复印件（格式见第六章)</w:t>
      </w:r>
      <w:r>
        <w:rPr>
          <w:rFonts w:hint="eastAsia" w:ascii="宋体" w:hAnsi="Times New Roman" w:eastAsia="宋体" w:cs="Times New Roman"/>
          <w:b/>
          <w:color w:val="auto"/>
          <w:szCs w:val="21"/>
          <w:highlight w:val="none"/>
        </w:rPr>
        <w:t>（委托时必须提供）</w:t>
      </w:r>
      <w:r>
        <w:rPr>
          <w:rFonts w:hint="eastAsia" w:ascii="宋体" w:hAnsi="Times New Roman" w:eastAsia="宋体" w:cs="Times New Roman"/>
          <w:color w:val="auto"/>
          <w:szCs w:val="21"/>
          <w:highlight w:val="none"/>
        </w:rPr>
        <w:t>；</w:t>
      </w:r>
    </w:p>
    <w:p w14:paraId="5DE0FE24">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（4）法定代表人(负责人)身份证明书（格式见第六章)、法定代表人</w:t>
      </w:r>
      <w:r>
        <w:rPr>
          <w:rFonts w:hint="eastAsia" w:ascii="宋体" w:hAnsi="Times New Roman" w:eastAsia="宋体" w:cs="Arial"/>
          <w:color w:val="auto"/>
          <w:szCs w:val="21"/>
          <w:highlight w:val="none"/>
        </w:rPr>
        <w:t>（负责人）</w:t>
      </w:r>
      <w:r>
        <w:rPr>
          <w:rFonts w:hint="eastAsia" w:ascii="宋体" w:hAnsi="Times New Roman" w:eastAsia="宋体" w:cs="Times New Roman"/>
          <w:color w:val="auto"/>
          <w:szCs w:val="21"/>
          <w:highlight w:val="none"/>
        </w:rPr>
        <w:t>有效身份证正反面复印件</w:t>
      </w:r>
      <w:r>
        <w:rPr>
          <w:rFonts w:hint="eastAsia" w:ascii="宋体" w:hAnsi="Times New Roman" w:eastAsia="宋体" w:cs="Times New Roman"/>
          <w:b/>
          <w:color w:val="auto"/>
          <w:szCs w:val="21"/>
          <w:highlight w:val="none"/>
        </w:rPr>
        <w:t>（必须提供）</w:t>
      </w:r>
      <w:r>
        <w:rPr>
          <w:rFonts w:hint="eastAsia" w:ascii="宋体" w:hAnsi="Times New Roman" w:eastAsia="宋体" w:cs="Times New Roman"/>
          <w:color w:val="auto"/>
          <w:szCs w:val="21"/>
          <w:highlight w:val="none"/>
        </w:rPr>
        <w:t xml:space="preserve">； </w:t>
      </w:r>
    </w:p>
    <w:p w14:paraId="2B36E2F0">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（5）产品销售许可证复印件；</w:t>
      </w:r>
    </w:p>
    <w:p w14:paraId="5977EF63">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（6）安全生产许可证复印件、产品代理资格证明文件复印件；</w:t>
      </w:r>
    </w:p>
    <w:p w14:paraId="1B3131FB">
      <w:pPr>
        <w:snapToGrid w:val="0"/>
        <w:spacing w:line="360" w:lineRule="exact"/>
        <w:ind w:firstLine="411" w:firstLineChars="196"/>
        <w:jc w:val="left"/>
        <w:rPr>
          <w:rFonts w:hint="eastAsia" w:ascii="宋体" w:hAnsi="Times New Roman" w:eastAsia="宋体" w:cs="Times New Roman"/>
          <w:b/>
          <w:color w:val="auto"/>
          <w:szCs w:val="21"/>
          <w:highlight w:val="none"/>
        </w:rPr>
      </w:pPr>
      <w:r>
        <w:rPr>
          <w:rFonts w:hint="eastAsia" w:ascii="宋体" w:hAnsi="Times New Roman" w:eastAsia="宋体" w:cs="Times New Roman"/>
          <w:color w:val="auto"/>
          <w:szCs w:val="21"/>
          <w:highlight w:val="none"/>
        </w:rPr>
        <w:t>（7）商务响应表（格式见第六章）；</w:t>
      </w:r>
      <w:r>
        <w:rPr>
          <w:rFonts w:hint="eastAsia" w:ascii="宋体" w:hAnsi="Times New Roman" w:eastAsia="宋体" w:cs="Times New Roman"/>
          <w:b/>
          <w:color w:val="auto"/>
          <w:szCs w:val="21"/>
          <w:highlight w:val="none"/>
        </w:rPr>
        <w:t>（必须提供）</w:t>
      </w:r>
    </w:p>
    <w:p w14:paraId="782D8802">
      <w:pPr>
        <w:snapToGrid w:val="0"/>
        <w:spacing w:line="360" w:lineRule="exact"/>
        <w:ind w:firstLine="411" w:firstLineChars="196"/>
        <w:jc w:val="left"/>
        <w:rPr>
          <w:rFonts w:hint="eastAsia" w:ascii="宋体" w:hAnsi="Times New Roman" w:eastAsia="宋体" w:cs="Times New Roman"/>
          <w:b/>
          <w:color w:val="auto"/>
          <w:szCs w:val="21"/>
          <w:highlight w:val="none"/>
        </w:rPr>
      </w:pPr>
      <w:r>
        <w:rPr>
          <w:rFonts w:hint="eastAsia" w:ascii="宋体" w:hAnsi="Times New Roman" w:eastAsia="宋体" w:cs="Times New Roman"/>
          <w:color w:val="auto"/>
          <w:szCs w:val="21"/>
          <w:highlight w:val="none"/>
        </w:rPr>
        <w:t>（8）招标项目采购需求中要求必须提供的材料等；</w:t>
      </w:r>
      <w:r>
        <w:rPr>
          <w:rFonts w:hint="eastAsia" w:ascii="Times New Roman" w:hAnsi="Times New Roman" w:eastAsia="宋体" w:cs="Times New Roman"/>
          <w:color w:val="auto"/>
          <w:highlight w:val="none"/>
        </w:rPr>
        <w:t>（招标项目采购需求中要求必须提供的材料，据实提供）</w:t>
      </w:r>
    </w:p>
    <w:p w14:paraId="48A230B1">
      <w:pPr>
        <w:snapToGrid w:val="0"/>
        <w:spacing w:line="360" w:lineRule="exact"/>
        <w:ind w:firstLine="411" w:firstLineChars="196"/>
        <w:jc w:val="left"/>
        <w:rPr>
          <w:rFonts w:hint="eastAsia" w:ascii="宋体" w:hAnsi="Times New Roman" w:eastAsia="宋体" w:cs="Times New Roman"/>
          <w:b/>
          <w:color w:val="auto"/>
          <w:szCs w:val="21"/>
          <w:highlight w:val="none"/>
        </w:rPr>
      </w:pPr>
      <w:r>
        <w:rPr>
          <w:rFonts w:hint="eastAsia" w:ascii="宋体" w:hAnsi="Times New Roman" w:eastAsia="宋体" w:cs="Times New Roman"/>
          <w:color w:val="auto"/>
          <w:szCs w:val="21"/>
          <w:highlight w:val="none"/>
        </w:rPr>
        <w:t>（9）具备法律、行政法规规定的其他条件的证明材料。</w:t>
      </w:r>
      <w:r>
        <w:rPr>
          <w:rFonts w:hint="eastAsia" w:ascii="宋体" w:hAnsi="Times New Roman" w:eastAsia="宋体" w:cs="Times New Roman"/>
          <w:b/>
          <w:color w:val="auto"/>
          <w:szCs w:val="21"/>
          <w:highlight w:val="none"/>
        </w:rPr>
        <w:t>(如有规定,则必须提供)</w:t>
      </w:r>
    </w:p>
    <w:p w14:paraId="72B03DCE">
      <w:pPr>
        <w:snapToGrid w:val="0"/>
        <w:spacing w:line="360" w:lineRule="exact"/>
        <w:ind w:firstLine="411" w:firstLineChars="196"/>
        <w:jc w:val="left"/>
        <w:rPr>
          <w:rFonts w:hint="eastAsia" w:ascii="宋体" w:hAnsi="Times New Roman" w:eastAsia="宋体" w:cs="Times New Roman"/>
          <w:b/>
          <w:bCs/>
          <w:color w:val="auto"/>
          <w:szCs w:val="21"/>
          <w:highlight w:val="none"/>
        </w:rPr>
      </w:pPr>
      <w:r>
        <w:rPr>
          <w:rFonts w:hint="eastAsia" w:ascii="宋体" w:hAnsi="Times New Roman" w:eastAsia="宋体" w:cs="Times New Roman"/>
          <w:b/>
          <w:bCs/>
          <w:color w:val="auto"/>
          <w:szCs w:val="21"/>
          <w:highlight w:val="none"/>
        </w:rPr>
        <w:t xml:space="preserve">可作为投标人资信评分的资质证明材料（可选）  </w:t>
      </w:r>
    </w:p>
    <w:p w14:paraId="722875DC">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（10）类似成功案例的业绩（投标人同类项目实施情况一览表、合同扫描件等，格式可自行调整）；</w:t>
      </w:r>
    </w:p>
    <w:p w14:paraId="5DA2EC2A">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（11）其他特殊资质证书；</w:t>
      </w:r>
    </w:p>
    <w:p w14:paraId="5E612341">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（12）节能环保产品或政府强制采购节能产品认证证书；</w:t>
      </w:r>
    </w:p>
    <w:p w14:paraId="152614F1">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（13）投标人质量管理和质量保证体系等方面的认证证书；</w:t>
      </w:r>
    </w:p>
    <w:p w14:paraId="51A66345">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（14）投标人认为可以证明其能力或业绩的其他材料；</w:t>
      </w:r>
    </w:p>
    <w:p w14:paraId="04160F09">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（15）投标人关于产品生产时间、升级或者更新淘汰计划、配件供应以及本单位债务纠纷、违法违规记录等方面的情况（内容见投标声明书）；</w:t>
      </w:r>
    </w:p>
    <w:p w14:paraId="59514371">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（16）投标人情况介绍；</w:t>
      </w:r>
    </w:p>
    <w:p w14:paraId="6BDFBAFB">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（17）投标人认为需要提供的其他材料。</w:t>
      </w:r>
    </w:p>
    <w:p w14:paraId="3082E092">
      <w:pPr>
        <w:spacing w:line="38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中小企业声明函。</w:t>
      </w:r>
      <w:r>
        <w:rPr>
          <w:rFonts w:hint="eastAsia" w:ascii="宋体" w:hAnsi="宋体" w:eastAsia="宋体" w:cs="宋体"/>
          <w:b/>
          <w:bCs/>
          <w:color w:val="auto"/>
          <w:szCs w:val="21"/>
          <w:highlight w:val="none"/>
        </w:rPr>
        <w:t>（按最新相关政策执行，格式见第六章，</w:t>
      </w:r>
      <w:r>
        <w:rPr>
          <w:rFonts w:hint="eastAsia" w:ascii="宋体" w:hAnsi="宋体" w:eastAsia="宋体" w:cs="宋体"/>
          <w:b/>
          <w:bCs/>
          <w:color w:val="auto"/>
          <w:szCs w:val="21"/>
          <w:highlight w:val="none"/>
          <w:lang w:val="en-US" w:eastAsia="zh-CN"/>
        </w:rPr>
        <w:t>如有请</w:t>
      </w:r>
      <w:r>
        <w:rPr>
          <w:rFonts w:hint="eastAsia" w:ascii="宋体" w:hAnsi="宋体" w:eastAsia="宋体" w:cs="宋体"/>
          <w:b/>
          <w:bCs/>
          <w:color w:val="auto"/>
          <w:szCs w:val="21"/>
          <w:highlight w:val="none"/>
        </w:rPr>
        <w:t>提供）</w:t>
      </w:r>
    </w:p>
    <w:p w14:paraId="306BCCCC">
      <w:pPr>
        <w:snapToGrid w:val="0"/>
        <w:spacing w:line="360" w:lineRule="exact"/>
        <w:ind w:firstLine="411" w:firstLineChars="196"/>
        <w:jc w:val="left"/>
        <w:rPr>
          <w:rFonts w:hint="eastAsia" w:ascii="宋体" w:hAnsi="Times New Roman" w:eastAsia="宋体" w:cs="Times New Roman"/>
          <w:b/>
          <w:bCs/>
          <w:color w:val="auto"/>
          <w:szCs w:val="21"/>
          <w:highlight w:val="none"/>
        </w:rPr>
      </w:pPr>
      <w:r>
        <w:rPr>
          <w:rFonts w:hint="eastAsia" w:ascii="宋体" w:hAnsi="Times New Roman" w:eastAsia="宋体" w:cs="Times New Roman"/>
          <w:color w:val="auto"/>
          <w:szCs w:val="21"/>
          <w:highlight w:val="none"/>
        </w:rPr>
        <w:t>（1</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）本国产品适用政府采购政策相关资料</w:t>
      </w:r>
      <w:r>
        <w:rPr>
          <w:rFonts w:hint="eastAsia" w:ascii="宋体" w:hAnsi="Times New Roman" w:eastAsia="宋体" w:cs="Times New Roman"/>
          <w:b/>
          <w:bCs/>
          <w:color w:val="auto"/>
          <w:szCs w:val="21"/>
          <w:highlight w:val="none"/>
        </w:rPr>
        <w:t>（格式见第六章，如有请提供）</w:t>
      </w:r>
    </w:p>
    <w:p w14:paraId="47601535">
      <w:pPr>
        <w:snapToGrid w:val="0"/>
        <w:spacing w:line="360" w:lineRule="exact"/>
        <w:ind w:firstLine="411" w:firstLineChars="196"/>
        <w:jc w:val="left"/>
        <w:rPr>
          <w:rFonts w:hint="eastAsia" w:ascii="宋体" w:hAnsi="Times New Roman" w:eastAsia="宋体" w:cs="Times New Roman"/>
          <w:b/>
          <w:bCs/>
          <w:color w:val="auto"/>
          <w:szCs w:val="21"/>
          <w:highlight w:val="none"/>
        </w:rPr>
      </w:pPr>
      <w:r>
        <w:rPr>
          <w:rFonts w:hint="eastAsia" w:ascii="宋体" w:hAnsi="Times New Roman" w:eastAsia="宋体" w:cs="Times New Roman"/>
          <w:b/>
          <w:bCs/>
          <w:color w:val="auto"/>
          <w:szCs w:val="21"/>
          <w:highlight w:val="none"/>
        </w:rPr>
        <w:t>2技术文件：</w:t>
      </w:r>
    </w:p>
    <w:p w14:paraId="74F14082">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（1）技术响应表；</w:t>
      </w:r>
      <w:r>
        <w:rPr>
          <w:rFonts w:hint="eastAsia" w:ascii="宋体" w:hAnsi="Times New Roman" w:eastAsia="宋体" w:cs="Times New Roman"/>
          <w:b/>
          <w:color w:val="auto"/>
          <w:szCs w:val="21"/>
          <w:highlight w:val="none"/>
        </w:rPr>
        <w:t>（必须提供）</w:t>
      </w:r>
    </w:p>
    <w:p w14:paraId="5D4B75FE">
      <w:pPr>
        <w:snapToGrid w:val="0"/>
        <w:spacing w:line="36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（2）设备配置清单</w:t>
      </w:r>
      <w:r>
        <w:rPr>
          <w:rFonts w:hint="eastAsia" w:ascii="宋体" w:hAnsi="Times New Roman" w:eastAsia="宋体" w:cs="Times New Roman"/>
          <w:b/>
          <w:color w:val="auto"/>
          <w:szCs w:val="21"/>
          <w:highlight w:val="none"/>
        </w:rPr>
        <w:t>（均不含报价）</w:t>
      </w:r>
      <w:r>
        <w:rPr>
          <w:rFonts w:hint="eastAsia" w:ascii="宋体" w:hAnsi="Times New Roman" w:eastAsia="宋体" w:cs="Times New Roman"/>
          <w:color w:val="auto"/>
          <w:szCs w:val="21"/>
          <w:highlight w:val="none"/>
        </w:rPr>
        <w:t>；</w:t>
      </w:r>
    </w:p>
    <w:p w14:paraId="03821717">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Times New Roman" w:hAnsi="Times New Roman" w:eastAsia="宋体" w:cs="Times New Roman"/>
          <w:color w:val="auto"/>
          <w:highlight w:val="none"/>
        </w:rPr>
        <w:t>项目实施方案、售后服务承诺书</w:t>
      </w:r>
      <w:r>
        <w:rPr>
          <w:rFonts w:hint="eastAsia" w:ascii="宋体" w:hAnsi="Times New Roman" w:eastAsia="宋体" w:cs="Times New Roman"/>
          <w:color w:val="auto"/>
          <w:szCs w:val="21"/>
          <w:highlight w:val="none"/>
        </w:rPr>
        <w:t>；</w:t>
      </w:r>
      <w:r>
        <w:rPr>
          <w:rFonts w:hint="eastAsia" w:ascii="宋体" w:hAnsi="宋体" w:eastAsia="宋体" w:cs="Times New Roman"/>
          <w:b/>
          <w:color w:val="auto"/>
          <w:szCs w:val="21"/>
          <w:highlight w:val="none"/>
        </w:rPr>
        <w:t>（格式自拟，</w:t>
      </w:r>
      <w:r>
        <w:rPr>
          <w:rFonts w:hint="eastAsia" w:ascii="宋体" w:hAnsi="Times New Roman" w:eastAsia="宋体" w:cs="Times New Roman"/>
          <w:b/>
          <w:color w:val="auto"/>
          <w:szCs w:val="21"/>
          <w:highlight w:val="none"/>
        </w:rPr>
        <w:t>必须提供</w:t>
      </w:r>
      <w:r>
        <w:rPr>
          <w:rFonts w:hint="eastAsia" w:ascii="宋体" w:hAnsi="宋体" w:eastAsia="宋体" w:cs="Times New Roman"/>
          <w:b/>
          <w:color w:val="auto"/>
          <w:szCs w:val="21"/>
          <w:highlight w:val="none"/>
        </w:rPr>
        <w:t>）</w:t>
      </w:r>
    </w:p>
    <w:p w14:paraId="0FE85B76">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（4）投标人拥有主要装备和检测设施的情况和现状（格式自拟）及项目实施人员一览表；</w:t>
      </w:r>
    </w:p>
    <w:p w14:paraId="322F3209">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（5）优惠条件：投标人承诺给予招标人的各种优惠条件，包括备品备件、专用耗材、售后服务等方面的优惠；</w:t>
      </w:r>
    </w:p>
    <w:p w14:paraId="4870A345">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（6）投标人对本项目的合理化建议和改进措施；</w:t>
      </w:r>
    </w:p>
    <w:p w14:paraId="46987658">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（7）投标人认为需要提供的其他材料。</w:t>
      </w:r>
    </w:p>
    <w:p w14:paraId="44A4C332">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（8）招标项目采购需求中要求必须提供的材料。</w:t>
      </w:r>
      <w:r>
        <w:rPr>
          <w:rFonts w:hint="eastAsia" w:ascii="Times New Roman" w:hAnsi="Times New Roman" w:eastAsia="宋体" w:cs="Times New Roman"/>
          <w:color w:val="auto"/>
          <w:highlight w:val="none"/>
        </w:rPr>
        <w:t>（招标项目采购需求中要求必须提供的材料，据实提供）</w:t>
      </w:r>
    </w:p>
    <w:p w14:paraId="6686E47F">
      <w:pPr>
        <w:snapToGrid w:val="0"/>
        <w:spacing w:line="360" w:lineRule="exact"/>
        <w:ind w:firstLine="420" w:firstLineChars="200"/>
        <w:jc w:val="left"/>
        <w:rPr>
          <w:rFonts w:hint="eastAsia"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3.报价文件：</w:t>
      </w:r>
    </w:p>
    <w:p w14:paraId="423DFB65">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（1）投标函（格式见第六章）； </w:t>
      </w:r>
    </w:p>
    <w:p w14:paraId="554298E0">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（2）投标报价明细表（格式见第六章）；</w:t>
      </w:r>
    </w:p>
    <w:p w14:paraId="06CF58E8">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（3）投标人针对报价需要说明的其他文件和说明；（格式自拟）</w:t>
      </w:r>
    </w:p>
    <w:p w14:paraId="7BDABF34">
      <w:pPr>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（4）开标一览表（格式见第六章）。</w:t>
      </w:r>
    </w:p>
    <w:p w14:paraId="019C1D73">
      <w:pPr>
        <w:tabs>
          <w:tab w:val="left" w:pos="3870"/>
          <w:tab w:val="left" w:pos="4085"/>
        </w:tabs>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w:t>
      </w:r>
      <w:r>
        <w:rPr>
          <w:rFonts w:hint="eastAsia" w:ascii="宋体" w:hAnsi="Times New Roman" w:eastAsia="宋体" w:cs="Times New Roman"/>
          <w:b/>
          <w:bCs/>
          <w:color w:val="auto"/>
          <w:szCs w:val="21"/>
          <w:highlight w:val="none"/>
        </w:rPr>
        <w:t>注：法定代表人(负责人)授权委托书、投标声明书、投标函、开标一览表必须按照招标文件格式要求签署和加盖单位公章，否则作投标无效处理。</w:t>
      </w:r>
    </w:p>
    <w:p w14:paraId="0EBD1A16">
      <w:pPr>
        <w:snapToGrid w:val="0"/>
        <w:spacing w:before="50" w:after="156" w:afterLines="50" w:line="360" w:lineRule="exact"/>
        <w:jc w:val="center"/>
        <w:outlineLvl w:val="0"/>
        <w:rPr>
          <w:rFonts w:hint="eastAsia" w:ascii="宋体" w:hAnsi="宋体" w:eastAsia="宋体" w:cs="Times New Roman"/>
          <w:b/>
          <w:color w:val="auto"/>
          <w:szCs w:val="21"/>
          <w:highlight w:val="none"/>
        </w:rPr>
      </w:pPr>
      <w:r>
        <w:rPr>
          <w:rFonts w:ascii="宋体" w:hAnsi="宋体" w:eastAsia="宋体" w:cs="Times New Roman"/>
          <w:b/>
          <w:color w:val="auto"/>
          <w:szCs w:val="21"/>
          <w:highlight w:val="none"/>
        </w:rPr>
        <w:br w:type="page"/>
      </w:r>
      <w:r>
        <w:rPr>
          <w:rFonts w:hint="eastAsia" w:ascii="宋体" w:hAnsi="宋体" w:eastAsia="宋体" w:cs="Times New Roman"/>
          <w:b/>
          <w:color w:val="auto"/>
          <w:szCs w:val="21"/>
          <w:highlight w:val="none"/>
        </w:rPr>
        <w:t>三、投标文件格式</w:t>
      </w:r>
    </w:p>
    <w:p w14:paraId="315A8524">
      <w:pPr>
        <w:snapToGrid w:val="0"/>
        <w:spacing w:before="50" w:after="156" w:afterLines="50" w:line="360" w:lineRule="exact"/>
        <w:jc w:val="left"/>
        <w:outlineLvl w:val="0"/>
        <w:rPr>
          <w:rFonts w:hint="eastAsia" w:ascii="宋体" w:hAnsi="宋体" w:eastAsia="宋体" w:cs="Times New Roman"/>
          <w:b/>
          <w:bCs/>
          <w:color w:val="auto"/>
          <w:szCs w:val="21"/>
          <w:highlight w:val="none"/>
        </w:rPr>
      </w:pPr>
      <w:r>
        <w:rPr>
          <w:rFonts w:hint="eastAsia" w:ascii="宋体" w:hAnsi="宋体" w:eastAsia="宋体" w:cs="Times New Roman"/>
          <w:b/>
          <w:color w:val="auto"/>
          <w:szCs w:val="21"/>
          <w:highlight w:val="none"/>
        </w:rPr>
        <w:t>一）</w:t>
      </w:r>
      <w:r>
        <w:rPr>
          <w:rFonts w:hint="eastAsia" w:ascii="宋体" w:hAnsi="宋体" w:eastAsia="宋体" w:cs="Times New Roman"/>
          <w:b/>
          <w:bCs/>
          <w:color w:val="auto"/>
          <w:szCs w:val="21"/>
          <w:highlight w:val="none"/>
        </w:rPr>
        <w:t>资格文件部分（格式）</w:t>
      </w:r>
    </w:p>
    <w:p w14:paraId="26EDBBE4">
      <w:pPr>
        <w:snapToGrid w:val="0"/>
        <w:spacing w:line="360" w:lineRule="exact"/>
        <w:ind w:firstLine="411" w:firstLineChars="196"/>
        <w:jc w:val="left"/>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 xml:space="preserve">    </w:t>
      </w:r>
    </w:p>
    <w:p w14:paraId="6EFC9404">
      <w:pPr>
        <w:snapToGrid w:val="0"/>
        <w:spacing w:line="360" w:lineRule="exact"/>
        <w:ind w:firstLine="210" w:firstLineChars="1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（1）有效的主体资格证明文件；</w:t>
      </w:r>
    </w:p>
    <w:p w14:paraId="3B7AC236">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w:t>
      </w:r>
      <w:r>
        <w:rPr>
          <w:rFonts w:hint="eastAsia" w:ascii="宋体" w:hAnsi="宋体" w:eastAsia="宋体" w:cs="Times New Roman"/>
          <w:color w:val="auto"/>
          <w:szCs w:val="21"/>
          <w:highlight w:val="none"/>
        </w:rPr>
        <w:t>①投标人有效的“主体资格证明文件”（如营业执照、事业单位法人证书、执业许可证、自然人身份证等）复印件，同时要加盖单位公章；</w:t>
      </w:r>
      <w:r>
        <w:rPr>
          <w:rFonts w:hint="eastAsia" w:ascii="宋体" w:hAnsi="宋体" w:eastAsia="宋体" w:cs="Times New Roman"/>
          <w:b/>
          <w:color w:val="auto"/>
          <w:szCs w:val="21"/>
          <w:highlight w:val="none"/>
        </w:rPr>
        <w:t>（必须提供）</w:t>
      </w:r>
    </w:p>
    <w:p w14:paraId="58E354AF">
      <w:pPr>
        <w:spacing w:line="370" w:lineRule="exact"/>
        <w:ind w:firstLine="420" w:firstLineChars="200"/>
        <w:rPr>
          <w:rFonts w:hint="eastAsia" w:ascii="宋体" w:hAnsi="宋体"/>
          <w:b/>
          <w:color w:val="auto"/>
          <w:highlight w:val="none"/>
        </w:rPr>
      </w:pPr>
      <w:r>
        <w:rPr>
          <w:rFonts w:hint="eastAsia" w:ascii="宋体" w:hAnsi="宋体" w:eastAsia="宋体" w:cs="Times New Roman"/>
          <w:color w:val="auto"/>
          <w:szCs w:val="21"/>
          <w:highlight w:val="none"/>
        </w:rPr>
        <w:t>②</w:t>
      </w:r>
      <w:r>
        <w:rPr>
          <w:rFonts w:hint="eastAsia" w:ascii="宋体" w:hAnsi="宋体"/>
          <w:color w:val="auto"/>
          <w:highlight w:val="none"/>
        </w:rPr>
        <w:t>投标人须具备有效的《辐射安全许可证》</w:t>
      </w:r>
      <w:r>
        <w:rPr>
          <w:rFonts w:hint="eastAsia" w:ascii="宋体" w:hAnsi="宋体"/>
          <w:color w:val="auto"/>
          <w:highlight w:val="none"/>
          <w:lang w:eastAsia="zh-CN"/>
        </w:rPr>
        <w:t>；</w:t>
      </w:r>
      <w:r>
        <w:rPr>
          <w:rFonts w:hint="eastAsia" w:ascii="宋体" w:hAnsi="宋体"/>
          <w:b/>
          <w:color w:val="auto"/>
          <w:highlight w:val="none"/>
        </w:rPr>
        <w:t>（必须提供）</w:t>
      </w:r>
    </w:p>
    <w:p w14:paraId="38DB163C">
      <w:pPr>
        <w:snapToGrid w:val="0"/>
        <w:spacing w:line="360" w:lineRule="exact"/>
        <w:ind w:firstLine="210" w:firstLineChars="100"/>
        <w:jc w:val="left"/>
        <w:rPr>
          <w:rFonts w:hint="eastAsia" w:ascii="宋体" w:hAnsi="宋体" w:eastAsia="宋体" w:cs="Times New Roman"/>
          <w:b/>
          <w:color w:val="auto"/>
          <w:szCs w:val="21"/>
          <w:highlight w:val="none"/>
        </w:rPr>
      </w:pPr>
    </w:p>
    <w:p w14:paraId="4F5A7101">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color w:val="auto"/>
          <w:szCs w:val="21"/>
          <w:highlight w:val="none"/>
        </w:rPr>
        <w:t>（2）投标截止之日前一年内投标人连续三个月的依法缴纳税费或依法免缴税费的证明；无纳税记录的，应提供由投标人所在地的税务部门出具的《依法纳税或依法免税证明》。</w:t>
      </w:r>
      <w:r>
        <w:rPr>
          <w:rFonts w:hint="eastAsia" w:ascii="宋体" w:hAnsi="宋体" w:eastAsia="宋体" w:cs="Times New Roman"/>
          <w:b/>
          <w:color w:val="auto"/>
          <w:szCs w:val="21"/>
          <w:highlight w:val="none"/>
        </w:rPr>
        <w:t>（必须提供，新成立单位按实际提供）</w:t>
      </w:r>
    </w:p>
    <w:p w14:paraId="7ABFC4A8">
      <w:pPr>
        <w:snapToGrid w:val="0"/>
        <w:spacing w:line="360" w:lineRule="exact"/>
        <w:ind w:firstLine="210" w:firstLineChars="100"/>
        <w:jc w:val="left"/>
        <w:rPr>
          <w:rFonts w:ascii="宋体" w:hAnsi="宋体" w:eastAsia="宋体" w:cs="Times New Roman"/>
          <w:color w:val="auto"/>
          <w:szCs w:val="21"/>
          <w:highlight w:val="none"/>
        </w:rPr>
      </w:pPr>
    </w:p>
    <w:p w14:paraId="3E92D29B">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color w:val="auto"/>
          <w:szCs w:val="21"/>
          <w:highlight w:val="none"/>
        </w:rPr>
        <w:t>（3）投标截止之日前一年内投标人连续三个月的依法缴纳社保费的缴费凭证；无缴费记录的，应提供由投标人所在地社保等相关部门出具的《依法缴纳或依法免缴社保费证明》。</w:t>
      </w:r>
      <w:r>
        <w:rPr>
          <w:rFonts w:hint="eastAsia" w:ascii="宋体" w:hAnsi="宋体" w:eastAsia="宋体" w:cs="Times New Roman"/>
          <w:b/>
          <w:color w:val="auto"/>
          <w:szCs w:val="21"/>
          <w:highlight w:val="none"/>
        </w:rPr>
        <w:t>（必须提供，新成立单位按实际提供）</w:t>
      </w:r>
    </w:p>
    <w:p w14:paraId="636D8066">
      <w:pPr>
        <w:snapToGrid w:val="0"/>
        <w:spacing w:line="360" w:lineRule="exact"/>
        <w:ind w:firstLine="210" w:firstLineChars="100"/>
        <w:jc w:val="left"/>
        <w:rPr>
          <w:rFonts w:hint="eastAsia" w:ascii="宋体" w:hAnsi="宋体" w:eastAsia="宋体" w:cs="Times New Roman"/>
          <w:color w:val="auto"/>
          <w:szCs w:val="21"/>
          <w:highlight w:val="none"/>
        </w:rPr>
      </w:pPr>
    </w:p>
    <w:p w14:paraId="18C7D838">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财务状况报告</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（格式自拟，必须提供）</w:t>
      </w:r>
    </w:p>
    <w:p w14:paraId="305C4C9C">
      <w:pPr>
        <w:snapToGrid w:val="0"/>
        <w:spacing w:line="360" w:lineRule="exact"/>
        <w:ind w:firstLine="210" w:firstLineChars="100"/>
        <w:jc w:val="left"/>
        <w:rPr>
          <w:rFonts w:hint="eastAsia" w:ascii="宋体" w:hAnsi="宋体" w:eastAsia="宋体" w:cs="Times New Roman"/>
          <w:b/>
          <w:color w:val="auto"/>
          <w:szCs w:val="21"/>
          <w:highlight w:val="none"/>
        </w:rPr>
      </w:pPr>
    </w:p>
    <w:p w14:paraId="585D2365">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color w:val="auto"/>
          <w:szCs w:val="21"/>
          <w:highlight w:val="none"/>
        </w:rPr>
        <w:t>（5）</w:t>
      </w:r>
      <w:r>
        <w:rPr>
          <w:rFonts w:ascii="宋体" w:hAnsi="宋体" w:eastAsia="宋体" w:cs="Times New Roman"/>
          <w:color w:val="auto"/>
          <w:szCs w:val="21"/>
          <w:highlight w:val="none"/>
        </w:rPr>
        <w:t>具备履行合同所必需的设备和专业技术能力的证明材料</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（内容、格式自拟，必须提供</w:t>
      </w:r>
      <w:r>
        <w:rPr>
          <w:rFonts w:hint="eastAsia" w:ascii="宋体" w:hAnsi="宋体" w:cs="Times New Roman"/>
          <w:b/>
          <w:color w:val="auto"/>
          <w:szCs w:val="21"/>
          <w:highlight w:val="none"/>
          <w:lang w:eastAsia="zh-CN"/>
        </w:rPr>
        <w:t>，</w:t>
      </w:r>
      <w:r>
        <w:rPr>
          <w:rFonts w:hint="eastAsia" w:ascii="宋体" w:hAnsi="宋体"/>
          <w:b/>
          <w:color w:val="auto"/>
          <w:szCs w:val="21"/>
          <w:highlight w:val="none"/>
          <w:lang w:val="en-US" w:eastAsia="zh-CN"/>
        </w:rPr>
        <w:t>可提供承诺函</w:t>
      </w:r>
      <w:r>
        <w:rPr>
          <w:rFonts w:hint="eastAsia" w:ascii="宋体" w:hAnsi="宋体" w:eastAsia="宋体" w:cs="Times New Roman"/>
          <w:b/>
          <w:color w:val="auto"/>
          <w:szCs w:val="21"/>
          <w:highlight w:val="none"/>
        </w:rPr>
        <w:t>）</w:t>
      </w:r>
    </w:p>
    <w:p w14:paraId="6C657CB4">
      <w:pPr>
        <w:snapToGrid w:val="0"/>
        <w:spacing w:line="360" w:lineRule="exact"/>
        <w:ind w:firstLine="210" w:firstLineChars="100"/>
        <w:jc w:val="left"/>
        <w:rPr>
          <w:rFonts w:hint="eastAsia" w:ascii="宋体" w:hAnsi="宋体" w:eastAsia="宋体" w:cs="Times New Roman"/>
          <w:b/>
          <w:color w:val="auto"/>
          <w:szCs w:val="21"/>
          <w:highlight w:val="none"/>
        </w:rPr>
      </w:pPr>
    </w:p>
    <w:p w14:paraId="43AF1E88">
      <w:pPr>
        <w:snapToGrid w:val="0"/>
        <w:spacing w:line="360" w:lineRule="exact"/>
        <w:ind w:firstLine="210" w:firstLineChars="1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（6）参加政府采购活动前三年内在经营活动中没有重大违法记录和不良信用记录的书面声明。（</w:t>
      </w:r>
      <w:r>
        <w:rPr>
          <w:rFonts w:hint="eastAsia" w:ascii="宋体" w:hAnsi="宋体" w:eastAsia="宋体" w:cs="Times New Roman"/>
          <w:b/>
          <w:color w:val="auto"/>
          <w:szCs w:val="21"/>
          <w:highlight w:val="none"/>
        </w:rPr>
        <w:t>格式自拟，必须提供</w:t>
      </w:r>
      <w:r>
        <w:rPr>
          <w:rFonts w:hint="eastAsia" w:ascii="宋体" w:hAnsi="宋体" w:eastAsia="宋体" w:cs="Times New Roman"/>
          <w:color w:val="auto"/>
          <w:szCs w:val="21"/>
          <w:highlight w:val="none"/>
        </w:rPr>
        <w:t>）</w:t>
      </w:r>
    </w:p>
    <w:p w14:paraId="3F609B03">
      <w:pPr>
        <w:snapToGrid w:val="0"/>
        <w:spacing w:line="360" w:lineRule="exact"/>
        <w:ind w:firstLine="210" w:firstLineChars="100"/>
        <w:jc w:val="left"/>
        <w:rPr>
          <w:rFonts w:hint="eastAsia" w:ascii="宋体" w:hAnsi="宋体" w:eastAsia="宋体" w:cs="Times New Roman"/>
          <w:color w:val="auto"/>
          <w:szCs w:val="21"/>
          <w:highlight w:val="none"/>
        </w:rPr>
      </w:pPr>
    </w:p>
    <w:p w14:paraId="67782933">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注：采购人或采购代理机构在资格审查结束前对供应商进行信用查询</w:t>
      </w:r>
    </w:p>
    <w:p w14:paraId="78FAC2DD">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查询渠道：“信用中国”网站(www.creditchina.gov.cn) 、中国政府采购网(www.ccgp.gov.cn)</w:t>
      </w:r>
    </w:p>
    <w:p w14:paraId="2267336A">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查询截止时间：资格审查结束前。</w:t>
      </w:r>
    </w:p>
    <w:p w14:paraId="56B30D12">
      <w:pPr>
        <w:snapToGrid w:val="0"/>
        <w:spacing w:line="360" w:lineRule="exact"/>
        <w:ind w:firstLine="210" w:firstLineChars="100"/>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查询记录和证据留存方式：在查询网站中直接打印查询记录，打印材料作为评审资料保存。</w:t>
      </w:r>
    </w:p>
    <w:p w14:paraId="0D9D8528">
      <w:pPr>
        <w:snapToGrid w:val="0"/>
        <w:spacing w:line="360" w:lineRule="exact"/>
        <w:ind w:firstLine="210" w:firstLineChars="100"/>
        <w:jc w:val="left"/>
        <w:rPr>
          <w:rFonts w:hint="eastAsia" w:ascii="宋体" w:hAnsi="Times New Roman" w:eastAsia="宋体" w:cs="宋体"/>
          <w:color w:val="auto"/>
          <w:kern w:val="0"/>
          <w:szCs w:val="21"/>
          <w:highlight w:val="none"/>
        </w:rPr>
      </w:pPr>
      <w:r>
        <w:rPr>
          <w:rFonts w:hint="eastAsia" w:ascii="宋体" w:hAnsi="宋体" w:eastAsia="宋体" w:cs="Times New Roman"/>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01862215">
      <w:pPr>
        <w:snapToGrid w:val="0"/>
        <w:spacing w:line="360" w:lineRule="exact"/>
        <w:ind w:firstLine="210" w:firstLineChars="100"/>
        <w:jc w:val="left"/>
        <w:rPr>
          <w:rFonts w:hint="eastAsia" w:ascii="宋体" w:hAnsi="Times New Roman" w:eastAsia="宋体" w:cs="宋体"/>
          <w:color w:val="auto"/>
          <w:kern w:val="0"/>
          <w:szCs w:val="21"/>
          <w:highlight w:val="none"/>
        </w:rPr>
      </w:pPr>
    </w:p>
    <w:p w14:paraId="5EF19C3D">
      <w:pPr>
        <w:widowControl w:val="0"/>
        <w:snapToGrid w:val="0"/>
        <w:spacing w:line="4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r>
        <w:rPr>
          <w:rFonts w:hint="eastAsia" w:ascii="宋体" w:hAnsi="宋体" w:eastAsia="宋体" w:cs="宋体"/>
          <w:color w:val="auto"/>
          <w:kern w:val="2"/>
          <w:sz w:val="21"/>
          <w:szCs w:val="21"/>
          <w:highlight w:val="none"/>
          <w:lang w:val="en-US" w:eastAsia="zh-CN" w:bidi="ar-SA"/>
        </w:rPr>
        <w:t>（7）投标人直接控股、管理关系信息表（格式后附）；（</w:t>
      </w:r>
      <w:r>
        <w:rPr>
          <w:rFonts w:hint="eastAsia" w:ascii="宋体" w:hAnsi="宋体" w:eastAsia="宋体" w:cs="宋体"/>
          <w:b/>
          <w:bCs/>
          <w:color w:val="auto"/>
          <w:kern w:val="2"/>
          <w:sz w:val="21"/>
          <w:szCs w:val="21"/>
          <w:highlight w:val="none"/>
          <w:lang w:val="en-US" w:eastAsia="zh-CN" w:bidi="ar-SA"/>
        </w:rPr>
        <w:t>必须提供，否则作无效投标处理</w:t>
      </w:r>
      <w:r>
        <w:rPr>
          <w:rFonts w:hint="eastAsia" w:ascii="宋体" w:hAnsi="宋体" w:eastAsia="宋体" w:cs="宋体"/>
          <w:color w:val="auto"/>
          <w:kern w:val="2"/>
          <w:sz w:val="21"/>
          <w:szCs w:val="21"/>
          <w:highlight w:val="none"/>
          <w:lang w:val="en-US" w:eastAsia="zh-CN" w:bidi="ar-SA"/>
        </w:rPr>
        <w:t>）</w:t>
      </w:r>
    </w:p>
    <w:p w14:paraId="1D446EE6">
      <w:pPr>
        <w:spacing w:line="400" w:lineRule="exact"/>
        <w:rPr>
          <w:rFonts w:hint="eastAsia" w:ascii="宋体" w:hAnsi="宋体" w:eastAsia="宋体" w:cs="宋体"/>
          <w:color w:val="auto"/>
          <w:szCs w:val="21"/>
          <w:highlight w:val="none"/>
        </w:rPr>
      </w:pPr>
    </w:p>
    <w:p w14:paraId="32EE3B15">
      <w:pPr>
        <w:snapToGrid w:val="0"/>
        <w:spacing w:before="50" w:after="156" w:afterLines="50" w:line="360" w:lineRule="auto"/>
        <w:jc w:val="center"/>
        <w:rPr>
          <w:rFonts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投标人直接控股股东信息表</w:t>
      </w:r>
    </w:p>
    <w:tbl>
      <w:tblPr>
        <w:tblStyle w:val="20"/>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B51025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EA3135F">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FF89AE">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29E7AE">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3874E79">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4A3798F">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备注</w:t>
            </w:r>
          </w:p>
        </w:tc>
      </w:tr>
      <w:tr w14:paraId="11D3170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F4B4C1">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432EAA">
            <w:pPr>
              <w:spacing w:line="360" w:lineRule="auto"/>
              <w:jc w:val="center"/>
              <w:rPr>
                <w:rFonts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596762">
            <w:pPr>
              <w:spacing w:line="360" w:lineRule="auto"/>
              <w:jc w:val="center"/>
              <w:rPr>
                <w:rFonts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AAE47F">
            <w:pPr>
              <w:spacing w:line="360" w:lineRule="auto"/>
              <w:jc w:val="center"/>
              <w:rPr>
                <w:rFonts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8AC28C">
            <w:pPr>
              <w:spacing w:line="360" w:lineRule="auto"/>
              <w:jc w:val="center"/>
              <w:rPr>
                <w:rFonts w:ascii="宋体" w:hAnsi="宋体" w:eastAsia="宋体" w:cs="宋体"/>
                <w:color w:val="auto"/>
                <w:kern w:val="0"/>
                <w:szCs w:val="21"/>
                <w:highlight w:val="none"/>
              </w:rPr>
            </w:pPr>
          </w:p>
        </w:tc>
      </w:tr>
      <w:tr w14:paraId="7D1E4FC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05DE4E">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AF86CE">
            <w:pPr>
              <w:spacing w:line="360" w:lineRule="auto"/>
              <w:jc w:val="center"/>
              <w:rPr>
                <w:rFonts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1402CD">
            <w:pPr>
              <w:spacing w:line="360" w:lineRule="auto"/>
              <w:jc w:val="center"/>
              <w:rPr>
                <w:rFonts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1C9097">
            <w:pPr>
              <w:spacing w:line="360" w:lineRule="auto"/>
              <w:jc w:val="center"/>
              <w:rPr>
                <w:rFonts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2EAB5C">
            <w:pPr>
              <w:spacing w:line="360" w:lineRule="auto"/>
              <w:jc w:val="center"/>
              <w:rPr>
                <w:rFonts w:ascii="宋体" w:hAnsi="宋体" w:eastAsia="宋体" w:cs="宋体"/>
                <w:color w:val="auto"/>
                <w:kern w:val="0"/>
                <w:szCs w:val="21"/>
                <w:highlight w:val="none"/>
              </w:rPr>
            </w:pPr>
          </w:p>
        </w:tc>
      </w:tr>
      <w:tr w14:paraId="2FA8C47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168E95">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D46CA3">
            <w:pPr>
              <w:spacing w:line="360" w:lineRule="auto"/>
              <w:jc w:val="center"/>
              <w:rPr>
                <w:rFonts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653356">
            <w:pPr>
              <w:spacing w:line="360" w:lineRule="auto"/>
              <w:jc w:val="center"/>
              <w:rPr>
                <w:rFonts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6B4DF5">
            <w:pPr>
              <w:spacing w:line="360" w:lineRule="auto"/>
              <w:jc w:val="center"/>
              <w:rPr>
                <w:rFonts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1C4BA4">
            <w:pPr>
              <w:spacing w:line="360" w:lineRule="auto"/>
              <w:jc w:val="center"/>
              <w:rPr>
                <w:rFonts w:ascii="宋体" w:hAnsi="宋体" w:eastAsia="宋体" w:cs="宋体"/>
                <w:color w:val="auto"/>
                <w:kern w:val="0"/>
                <w:szCs w:val="21"/>
                <w:highlight w:val="none"/>
              </w:rPr>
            </w:pPr>
          </w:p>
        </w:tc>
      </w:tr>
      <w:tr w14:paraId="04077C7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F20F98">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8DE5B9">
            <w:pPr>
              <w:spacing w:line="360" w:lineRule="auto"/>
              <w:jc w:val="center"/>
              <w:rPr>
                <w:rFonts w:ascii="宋体" w:hAnsi="宋体" w:eastAsia="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786F1E">
            <w:pPr>
              <w:spacing w:line="360" w:lineRule="auto"/>
              <w:jc w:val="center"/>
              <w:rPr>
                <w:rFonts w:ascii="宋体" w:hAnsi="宋体" w:eastAsia="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6EAC06">
            <w:pPr>
              <w:spacing w:line="360" w:lineRule="auto"/>
              <w:jc w:val="center"/>
              <w:rPr>
                <w:rFonts w:ascii="宋体" w:hAnsi="宋体" w:eastAsia="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016ACF">
            <w:pPr>
              <w:spacing w:line="360" w:lineRule="auto"/>
              <w:jc w:val="center"/>
              <w:rPr>
                <w:rFonts w:ascii="宋体" w:hAnsi="宋体" w:eastAsia="宋体" w:cs="宋体"/>
                <w:color w:val="auto"/>
                <w:kern w:val="0"/>
                <w:szCs w:val="21"/>
                <w:highlight w:val="none"/>
              </w:rPr>
            </w:pPr>
          </w:p>
        </w:tc>
      </w:tr>
    </w:tbl>
    <w:p w14:paraId="4996ACCD">
      <w:pP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注：</w:t>
      </w:r>
    </w:p>
    <w:p w14:paraId="0E8CCD79">
      <w:pPr>
        <w:snapToGrid w:val="0"/>
        <w:spacing w:line="5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8BF7134">
      <w:pPr>
        <w:snapToGrid w:val="0"/>
        <w:spacing w:line="5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31F9A799">
      <w:pPr>
        <w:snapToGrid w:val="0"/>
        <w:spacing w:line="5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566EE359">
      <w:pPr>
        <w:snapToGrid w:val="0"/>
        <w:spacing w:line="500" w:lineRule="exact"/>
        <w:jc w:val="left"/>
        <w:rPr>
          <w:rFonts w:ascii="宋体" w:hAnsi="宋体" w:eastAsia="宋体" w:cs="宋体"/>
          <w:color w:val="auto"/>
          <w:szCs w:val="21"/>
          <w:highlight w:val="none"/>
        </w:rPr>
      </w:pPr>
    </w:p>
    <w:p w14:paraId="401CD050">
      <w:pPr>
        <w:snapToGrid w:val="0"/>
        <w:spacing w:line="500" w:lineRule="exact"/>
        <w:jc w:val="left"/>
        <w:rPr>
          <w:rFonts w:ascii="宋体" w:hAnsi="宋体" w:eastAsia="宋体" w:cs="宋体"/>
          <w:color w:val="auto"/>
          <w:szCs w:val="21"/>
          <w:highlight w:val="none"/>
        </w:rPr>
      </w:pPr>
    </w:p>
    <w:p w14:paraId="16A2C038">
      <w:pPr>
        <w:snapToGrid w:val="0"/>
        <w:spacing w:line="500" w:lineRule="exact"/>
        <w:ind w:firstLine="4410" w:firstLineChars="21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投标人名称(电子签章)：</w:t>
      </w:r>
    </w:p>
    <w:p w14:paraId="6557EC26">
      <w:pPr>
        <w:snapToGrid w:val="0"/>
        <w:spacing w:line="500" w:lineRule="exact"/>
        <w:ind w:firstLine="4515" w:firstLineChars="215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日期</w:t>
      </w:r>
      <w:r>
        <w:rPr>
          <w:rFonts w:hint="eastAsia" w:ascii="宋体" w:hAnsi="宋体" w:eastAsia="宋体" w:cs="宋体"/>
          <w:color w:val="auto"/>
          <w:kern w:val="0"/>
          <w:szCs w:val="21"/>
          <w:highlight w:val="none"/>
        </w:rPr>
        <w:t xml:space="preserve">：    年  </w:t>
      </w:r>
      <w:r>
        <w:rPr>
          <w:rFonts w:hint="eastAsia" w:ascii="宋体" w:hAnsi="宋体" w:eastAsia="宋体" w:cs="宋体"/>
          <w:color w:val="auto"/>
          <w:kern w:val="0"/>
          <w:szCs w:val="21"/>
          <w:highlight w:val="none"/>
          <w:lang w:val="zh-CN"/>
        </w:rPr>
        <w:t>月</w:t>
      </w: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zh-CN"/>
        </w:rPr>
        <w:t>日</w:t>
      </w:r>
    </w:p>
    <w:p w14:paraId="00A5B6C6">
      <w:pPr>
        <w:snapToGrid w:val="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30A14D08">
      <w:pPr>
        <w:snapToGrid w:val="0"/>
        <w:spacing w:line="360" w:lineRule="auto"/>
        <w:jc w:val="center"/>
        <w:rPr>
          <w:rFonts w:ascii="宋体" w:hAnsi="宋体" w:eastAsia="宋体" w:cs="宋体"/>
          <w:color w:val="auto"/>
          <w:sz w:val="28"/>
          <w:szCs w:val="28"/>
          <w:highlight w:val="none"/>
        </w:rPr>
      </w:pPr>
      <w:r>
        <w:rPr>
          <w:rFonts w:hint="eastAsia" w:ascii="宋体" w:hAnsi="宋体" w:eastAsia="宋体" w:cs="宋体"/>
          <w:b/>
          <w:color w:val="auto"/>
          <w:sz w:val="28"/>
          <w:szCs w:val="28"/>
          <w:highlight w:val="none"/>
        </w:rPr>
        <w:t>投标人直接管理关系信息表</w:t>
      </w:r>
    </w:p>
    <w:tbl>
      <w:tblPr>
        <w:tblStyle w:val="2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01D9128">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7E14CC">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ED4437">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CF3930">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C2BD03F">
            <w:pPr>
              <w:spacing w:line="360" w:lineRule="auto"/>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备注</w:t>
            </w:r>
          </w:p>
        </w:tc>
      </w:tr>
      <w:tr w14:paraId="12E6F98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DFA828">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32FEBC">
            <w:pPr>
              <w:spacing w:line="360" w:lineRule="auto"/>
              <w:jc w:val="center"/>
              <w:rPr>
                <w:rFonts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4104BC">
            <w:pPr>
              <w:spacing w:line="360" w:lineRule="auto"/>
              <w:jc w:val="center"/>
              <w:rPr>
                <w:rFonts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05A78">
            <w:pPr>
              <w:spacing w:line="360" w:lineRule="auto"/>
              <w:jc w:val="center"/>
              <w:rPr>
                <w:rFonts w:ascii="宋体" w:hAnsi="宋体" w:eastAsia="宋体" w:cs="宋体"/>
                <w:color w:val="auto"/>
                <w:kern w:val="0"/>
                <w:szCs w:val="21"/>
                <w:highlight w:val="none"/>
              </w:rPr>
            </w:pPr>
          </w:p>
        </w:tc>
      </w:tr>
      <w:tr w14:paraId="1953359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D814EB">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9D8F8F">
            <w:pPr>
              <w:spacing w:line="360" w:lineRule="auto"/>
              <w:jc w:val="center"/>
              <w:rPr>
                <w:rFonts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BF6A58">
            <w:pPr>
              <w:spacing w:line="360" w:lineRule="auto"/>
              <w:jc w:val="center"/>
              <w:rPr>
                <w:rFonts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29825B">
            <w:pPr>
              <w:spacing w:line="360" w:lineRule="auto"/>
              <w:jc w:val="center"/>
              <w:rPr>
                <w:rFonts w:ascii="宋体" w:hAnsi="宋体" w:eastAsia="宋体" w:cs="宋体"/>
                <w:color w:val="auto"/>
                <w:kern w:val="0"/>
                <w:szCs w:val="21"/>
                <w:highlight w:val="none"/>
              </w:rPr>
            </w:pPr>
          </w:p>
        </w:tc>
      </w:tr>
      <w:tr w14:paraId="685775E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942E05">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FA65CF">
            <w:pPr>
              <w:spacing w:line="360" w:lineRule="auto"/>
              <w:jc w:val="center"/>
              <w:rPr>
                <w:rFonts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89CD01">
            <w:pPr>
              <w:spacing w:line="360" w:lineRule="auto"/>
              <w:jc w:val="center"/>
              <w:rPr>
                <w:rFonts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792358">
            <w:pPr>
              <w:spacing w:line="360" w:lineRule="auto"/>
              <w:jc w:val="center"/>
              <w:rPr>
                <w:rFonts w:ascii="宋体" w:hAnsi="宋体" w:eastAsia="宋体" w:cs="宋体"/>
                <w:color w:val="auto"/>
                <w:kern w:val="0"/>
                <w:szCs w:val="21"/>
                <w:highlight w:val="none"/>
              </w:rPr>
            </w:pPr>
          </w:p>
        </w:tc>
      </w:tr>
      <w:tr w14:paraId="0A2A4F3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86910A">
            <w:pPr>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5623DC">
            <w:pPr>
              <w:spacing w:line="360" w:lineRule="auto"/>
              <w:jc w:val="center"/>
              <w:rPr>
                <w:rFonts w:ascii="宋体" w:hAnsi="宋体" w:eastAsia="宋体" w:cs="宋体"/>
                <w:color w:val="auto"/>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40FECC">
            <w:pPr>
              <w:spacing w:line="360" w:lineRule="auto"/>
              <w:jc w:val="center"/>
              <w:rPr>
                <w:rFonts w:ascii="宋体" w:hAnsi="宋体" w:eastAsia="宋体" w:cs="宋体"/>
                <w:color w:val="auto"/>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364652">
            <w:pPr>
              <w:spacing w:line="360" w:lineRule="auto"/>
              <w:jc w:val="center"/>
              <w:rPr>
                <w:rFonts w:ascii="宋体" w:hAnsi="宋体" w:eastAsia="宋体" w:cs="宋体"/>
                <w:color w:val="auto"/>
                <w:kern w:val="0"/>
                <w:szCs w:val="21"/>
                <w:highlight w:val="none"/>
              </w:rPr>
            </w:pPr>
          </w:p>
        </w:tc>
      </w:tr>
    </w:tbl>
    <w:p w14:paraId="6308CA5D">
      <w:pPr>
        <w:snapToGrid w:val="0"/>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782EE924">
      <w:pPr>
        <w:snapToGrid w:val="0"/>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7812C652">
      <w:pPr>
        <w:snapToGrid w:val="0"/>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2.本表所指的管理关系仅限于直接管理关系，不包括间接的管理关系。</w:t>
      </w:r>
    </w:p>
    <w:p w14:paraId="17DCB09A">
      <w:pPr>
        <w:snapToGrid w:val="0"/>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3.供应商不存在直接管理关系的，则填“无”。</w:t>
      </w:r>
    </w:p>
    <w:p w14:paraId="40B11F52">
      <w:pPr>
        <w:snapToGrid w:val="0"/>
        <w:spacing w:line="360" w:lineRule="auto"/>
        <w:jc w:val="left"/>
        <w:rPr>
          <w:rFonts w:ascii="宋体" w:hAnsi="宋体" w:eastAsia="宋体" w:cs="宋体"/>
          <w:color w:val="auto"/>
          <w:szCs w:val="21"/>
          <w:highlight w:val="none"/>
        </w:rPr>
      </w:pPr>
    </w:p>
    <w:p w14:paraId="1A30F958">
      <w:pPr>
        <w:snapToGrid w:val="0"/>
        <w:spacing w:line="360" w:lineRule="auto"/>
        <w:jc w:val="left"/>
        <w:rPr>
          <w:rFonts w:ascii="宋体" w:hAnsi="宋体" w:eastAsia="宋体" w:cs="宋体"/>
          <w:color w:val="auto"/>
          <w:szCs w:val="21"/>
          <w:highlight w:val="none"/>
        </w:rPr>
      </w:pPr>
    </w:p>
    <w:p w14:paraId="039FF377">
      <w:pPr>
        <w:snapToGrid w:val="0"/>
        <w:spacing w:line="500" w:lineRule="exact"/>
        <w:ind w:firstLine="4410" w:firstLineChars="21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投标人名称(电子签章)：</w:t>
      </w:r>
    </w:p>
    <w:p w14:paraId="38AC94FB">
      <w:pPr>
        <w:snapToGrid w:val="0"/>
        <w:spacing w:line="500" w:lineRule="exact"/>
        <w:ind w:firstLine="4410" w:firstLineChars="21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日期：  年  月   日</w:t>
      </w:r>
    </w:p>
    <w:p w14:paraId="622D135F">
      <w:pPr>
        <w:snapToGrid w:val="0"/>
        <w:spacing w:before="50" w:after="156" w:afterLines="50"/>
        <w:jc w:val="left"/>
        <w:rPr>
          <w:rFonts w:ascii="宋体" w:hAnsi="宋体" w:eastAsia="宋体" w:cs="宋体"/>
          <w:color w:val="auto"/>
          <w:szCs w:val="21"/>
          <w:highlight w:val="none"/>
        </w:rPr>
      </w:pPr>
    </w:p>
    <w:p w14:paraId="0B6B6933">
      <w:pPr>
        <w:widowControl w:val="0"/>
        <w:spacing w:line="380" w:lineRule="exact"/>
        <w:ind w:firstLine="480" w:firstLineChars="200"/>
        <w:jc w:val="both"/>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1"/>
          <w:highlight w:val="none"/>
          <w:lang w:val="en-US" w:eastAsia="zh-CN" w:bidi="ar-SA"/>
        </w:rPr>
        <w:br w:type="page"/>
      </w:r>
      <w:r>
        <w:rPr>
          <w:rFonts w:hint="eastAsia" w:ascii="宋体" w:hAnsi="宋体" w:eastAsia="宋体" w:cs="宋体"/>
          <w:color w:val="auto"/>
          <w:kern w:val="2"/>
          <w:sz w:val="24"/>
          <w:szCs w:val="21"/>
          <w:highlight w:val="none"/>
          <w:lang w:val="en-US" w:eastAsia="zh-CN" w:bidi="ar-SA"/>
        </w:rPr>
        <w:t>（8)投标人参加本项目无围标串标行为的承诺；</w:t>
      </w:r>
    </w:p>
    <w:p w14:paraId="4DDB81EB">
      <w:pPr>
        <w:snapToGrid w:val="0"/>
        <w:spacing w:before="50" w:after="50"/>
        <w:jc w:val="center"/>
        <w:rPr>
          <w:rFonts w:hint="eastAsia" w:ascii="宋体" w:hAnsi="宋体" w:eastAsia="宋体" w:cs="宋体"/>
          <w:b/>
          <w:color w:val="auto"/>
          <w:sz w:val="32"/>
          <w:highlight w:val="none"/>
        </w:rPr>
      </w:pPr>
    </w:p>
    <w:p w14:paraId="0FDF0078">
      <w:pPr>
        <w:snapToGrid w:val="0"/>
        <w:spacing w:before="50" w:after="50"/>
        <w:jc w:val="center"/>
        <w:rPr>
          <w:rFonts w:hint="eastAsia" w:ascii="宋体" w:hAnsi="宋体" w:eastAsia="宋体" w:cs="宋体"/>
          <w:b/>
          <w:color w:val="auto"/>
          <w:sz w:val="28"/>
          <w:szCs w:val="22"/>
          <w:highlight w:val="none"/>
        </w:rPr>
      </w:pPr>
      <w:r>
        <w:rPr>
          <w:rFonts w:hint="eastAsia" w:ascii="宋体" w:hAnsi="宋体" w:eastAsia="宋体" w:cs="宋体"/>
          <w:b/>
          <w:color w:val="auto"/>
          <w:sz w:val="28"/>
          <w:szCs w:val="22"/>
          <w:highlight w:val="none"/>
        </w:rPr>
        <w:t>投标人参加本项目无围标串标行为的承诺函</w:t>
      </w:r>
    </w:p>
    <w:p w14:paraId="1F5CFD98">
      <w:pPr>
        <w:widowControl w:val="0"/>
        <w:spacing w:beforeLines="0" w:afterLines="0" w:line="380" w:lineRule="exact"/>
        <w:ind w:firstLine="210" w:firstLineChars="100"/>
        <w:jc w:val="both"/>
        <w:rPr>
          <w:rFonts w:hint="default" w:ascii="Times New Roman" w:hAnsi="Times New Roman" w:eastAsia="宋体" w:cs="Times New Roman"/>
          <w:color w:val="auto"/>
          <w:kern w:val="2"/>
          <w:sz w:val="21"/>
          <w:szCs w:val="21"/>
          <w:highlight w:val="none"/>
          <w:lang w:val="en-US" w:eastAsia="zh-CN" w:bidi="ar-SA"/>
        </w:rPr>
      </w:pPr>
    </w:p>
    <w:p w14:paraId="58CEE108">
      <w:pPr>
        <w:spacing w:line="440" w:lineRule="exact"/>
        <w:contextualSpacing/>
        <w:jc w:val="left"/>
        <w:rPr>
          <w:rFonts w:ascii="宋体" w:hAnsi="宋体" w:eastAsia="宋体" w:cs="宋体"/>
          <w:b/>
          <w:color w:val="auto"/>
          <w:szCs w:val="21"/>
          <w:highlight w:val="none"/>
        </w:rPr>
      </w:pPr>
      <w:bookmarkStart w:id="108" w:name="OLE_LINK45"/>
      <w:bookmarkStart w:id="109" w:name="OLE_LINK44"/>
      <w:r>
        <w:rPr>
          <w:rFonts w:hint="eastAsia" w:ascii="宋体" w:hAnsi="宋体" w:eastAsia="宋体" w:cs="宋体"/>
          <w:b/>
          <w:color w:val="auto"/>
          <w:szCs w:val="21"/>
          <w:highlight w:val="none"/>
        </w:rPr>
        <w:t>一、我方承诺无下列相互串通投标的情形：</w:t>
      </w:r>
    </w:p>
    <w:p w14:paraId="79936FC2">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1BE90A29">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17E7E2C1">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3.不同的投标人的投标文件载明的项目管理员为同一个人；</w:t>
      </w:r>
    </w:p>
    <w:p w14:paraId="5AEDD69D">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67A46857">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E073D3E">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6.不同投标人的投标保证金从同一单位或者个人账户转出。</w:t>
      </w:r>
    </w:p>
    <w:p w14:paraId="4013D581">
      <w:pPr>
        <w:spacing w:line="440" w:lineRule="exact"/>
        <w:contextualSpacing/>
        <w:jc w:val="left"/>
        <w:rPr>
          <w:rFonts w:ascii="宋体" w:hAnsi="宋体" w:eastAsia="宋体" w:cs="宋体"/>
          <w:color w:val="auto"/>
          <w:szCs w:val="21"/>
          <w:highlight w:val="none"/>
        </w:rPr>
      </w:pPr>
      <w:r>
        <w:rPr>
          <w:rFonts w:hint="eastAsia" w:ascii="宋体" w:hAnsi="宋体" w:eastAsia="宋体" w:cs="宋体"/>
          <w:b/>
          <w:color w:val="auto"/>
          <w:szCs w:val="21"/>
          <w:highlight w:val="none"/>
        </w:rPr>
        <w:t>二、我方承诺无下列恶意串通的情形：</w:t>
      </w:r>
    </w:p>
    <w:p w14:paraId="6D2F73A7">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1.投标人直接或者间接从采购人或者采购代理机构处获得其他投标人的相关信息并修改其投标文件或者响应文件；</w:t>
      </w:r>
    </w:p>
    <w:p w14:paraId="1F492FE2">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2.投标人按照采购人或者采购代理机构的授意撤换、修改投标文件或者响应文件；</w:t>
      </w:r>
    </w:p>
    <w:p w14:paraId="47B829D8">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3.投标人之间协商报价、技术方案等投标文件或者响应文件的实质性内容；</w:t>
      </w:r>
    </w:p>
    <w:p w14:paraId="29D0AB0B">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4.属于同一集团、协会、商会等组织成员的投标人按照该组织要求协同参加政府采购活动；</w:t>
      </w:r>
    </w:p>
    <w:p w14:paraId="72F362B0">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C58DBCD">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6.投标人之间商定部分投标人放弃参加政府采购活动或者放弃中标；</w:t>
      </w:r>
    </w:p>
    <w:p w14:paraId="0F6F12C5">
      <w:pPr>
        <w:spacing w:line="440" w:lineRule="exact"/>
        <w:ind w:firstLine="411" w:firstLineChars="196"/>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7.投标人与采购人或者采购代理机构之间、投标人相互之间，为谋求特定投标人中标或者排斥其他投标人的其他串通行为。</w:t>
      </w:r>
    </w:p>
    <w:p w14:paraId="48E6905A">
      <w:pPr>
        <w:spacing w:line="440" w:lineRule="exact"/>
        <w:ind w:firstLine="411" w:firstLineChars="196"/>
        <w:contextualSpacing/>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以上情形一经核查属实，接受政府采购监管部门对我方认定存在围标串标行为，我方愿意承担一切后果，并不再寻求任何旨在减轻或者免除法律责任的辩解。</w:t>
      </w:r>
      <w:bookmarkEnd w:id="108"/>
      <w:bookmarkEnd w:id="109"/>
    </w:p>
    <w:p w14:paraId="26AE783C">
      <w:pPr>
        <w:widowControl w:val="0"/>
        <w:spacing w:line="440" w:lineRule="exact"/>
        <w:ind w:firstLine="5985" w:firstLineChars="2850"/>
        <w:contextualSpacing/>
        <w:jc w:val="both"/>
        <w:rPr>
          <w:rFonts w:ascii="宋体" w:hAnsi="宋体" w:eastAsia="宋体" w:cs="宋体"/>
          <w:color w:val="auto"/>
          <w:kern w:val="2"/>
          <w:sz w:val="21"/>
          <w:szCs w:val="21"/>
          <w:highlight w:val="none"/>
          <w:lang w:val="en-US" w:eastAsia="zh-CN" w:bidi="ar-SA"/>
        </w:rPr>
      </w:pPr>
    </w:p>
    <w:p w14:paraId="412D19CD">
      <w:pPr>
        <w:spacing w:line="360" w:lineRule="auto"/>
        <w:ind w:firstLine="420" w:firstLineChars="200"/>
        <w:contextualSpacing/>
        <w:rPr>
          <w:rFonts w:ascii="宋体" w:hAnsi="宋体" w:eastAsia="宋体" w:cs="宋体"/>
          <w:color w:val="auto"/>
          <w:szCs w:val="21"/>
          <w:highlight w:val="none"/>
          <w:u w:val="single"/>
        </w:rPr>
      </w:pPr>
      <w:r>
        <w:rPr>
          <w:rFonts w:hint="eastAsia" w:ascii="Times New Roman" w:hAnsi="宋体" w:eastAsia="宋体" w:cs="宋体"/>
          <w:color w:val="auto"/>
          <w:szCs w:val="21"/>
          <w:highlight w:val="none"/>
        </w:rPr>
        <w:t>投标人名称（电子签章）：</w:t>
      </w:r>
    </w:p>
    <w:p w14:paraId="4CE3F11D">
      <w:pPr>
        <w:spacing w:line="360" w:lineRule="auto"/>
        <w:ind w:firstLine="420" w:firstLineChars="200"/>
        <w:contextualSpacing/>
        <w:rPr>
          <w:rFonts w:ascii="Times New Roman" w:hAnsi="宋体" w:eastAsia="宋体" w:cs="宋体"/>
          <w:color w:val="auto"/>
          <w:szCs w:val="21"/>
          <w:highlight w:val="none"/>
        </w:rPr>
      </w:pPr>
      <w:r>
        <w:rPr>
          <w:rFonts w:hint="eastAsia" w:ascii="Times New Roman" w:hAnsi="宋体" w:eastAsia="宋体" w:cs="宋体"/>
          <w:color w:val="auto"/>
          <w:szCs w:val="21"/>
          <w:highlight w:val="none"/>
        </w:rPr>
        <w:t>日期：  年  月   日</w:t>
      </w:r>
    </w:p>
    <w:p w14:paraId="756DCB0F">
      <w:pPr>
        <w:snapToGrid w:val="0"/>
        <w:spacing w:before="50" w:after="156" w:afterLines="50" w:line="360" w:lineRule="exact"/>
        <w:jc w:val="left"/>
        <w:outlineLvl w:val="0"/>
        <w:rPr>
          <w:rFonts w:hint="eastAsia" w:ascii="Times New Roman" w:hAnsi="Times New Roman" w:eastAsia="宋体" w:cs="Times New Roman"/>
          <w:b/>
          <w:color w:val="auto"/>
          <w:highlight w:val="none"/>
        </w:rPr>
      </w:pPr>
      <w:r>
        <w:rPr>
          <w:rFonts w:ascii="宋体" w:hAnsi="宋体" w:eastAsia="宋体" w:cs="宋体"/>
          <w:b/>
          <w:color w:val="auto"/>
          <w:sz w:val="24"/>
          <w:highlight w:val="none"/>
        </w:rPr>
        <w:br w:type="page"/>
      </w:r>
      <w:r>
        <w:rPr>
          <w:rFonts w:hint="eastAsia" w:ascii="Times New Roman" w:hAnsi="Times New Roman" w:eastAsia="宋体" w:cs="Times New Roman"/>
          <w:b/>
          <w:color w:val="auto"/>
          <w:highlight w:val="none"/>
        </w:rPr>
        <w:t>二）商务技术文件部分（格式）</w:t>
      </w:r>
    </w:p>
    <w:p w14:paraId="2DEC8894">
      <w:pPr>
        <w:snapToGrid w:val="0"/>
        <w:spacing w:before="50" w:after="156" w:afterLines="50" w:line="360" w:lineRule="exact"/>
        <w:jc w:val="left"/>
        <w:outlineLvl w:val="0"/>
        <w:rPr>
          <w:rFonts w:hint="eastAsia" w:ascii="Times New Roman" w:hAnsi="Times New Roman" w:eastAsia="宋体" w:cs="Times New Roman"/>
          <w:b/>
          <w:color w:val="auto"/>
          <w:highlight w:val="none"/>
        </w:rPr>
      </w:pPr>
      <w:r>
        <w:rPr>
          <w:rFonts w:hint="eastAsia" w:ascii="宋体" w:hAnsi="宋体" w:eastAsia="宋体" w:cs="Times New Roman"/>
          <w:b/>
          <w:color w:val="auto"/>
          <w:highlight w:val="none"/>
        </w:rPr>
        <w:t>1.商务文件：</w:t>
      </w:r>
    </w:p>
    <w:p w14:paraId="23AA125F">
      <w:pPr>
        <w:snapToGrid w:val="0"/>
        <w:spacing w:line="370" w:lineRule="exact"/>
        <w:ind w:firstLine="411" w:firstLineChars="196"/>
        <w:jc w:val="left"/>
        <w:rPr>
          <w:rFonts w:ascii="宋体" w:hAnsi="Times New Roman" w:eastAsia="宋体" w:cs="Times New Roman"/>
          <w:color w:val="auto"/>
          <w:szCs w:val="21"/>
          <w:highlight w:val="none"/>
        </w:rPr>
      </w:pPr>
      <w:r>
        <w:rPr>
          <w:rFonts w:hint="eastAsia" w:ascii="Times New Roman" w:hAnsi="Times New Roman" w:eastAsia="宋体" w:cs="Times New Roman"/>
          <w:color w:val="auto"/>
          <w:highlight w:val="none"/>
        </w:rPr>
        <w:t xml:space="preserve">    </w:t>
      </w:r>
    </w:p>
    <w:p w14:paraId="5F370396">
      <w:pPr>
        <w:snapToGrid w:val="0"/>
        <w:spacing w:line="360" w:lineRule="exact"/>
        <w:ind w:firstLine="210" w:firstLineChars="100"/>
        <w:jc w:val="left"/>
        <w:rPr>
          <w:rFonts w:hint="eastAsia" w:ascii="宋体" w:hAnsi="Times New Roman" w:eastAsia="宋体" w:cs="宋体"/>
          <w:b/>
          <w:color w:val="auto"/>
          <w:kern w:val="0"/>
          <w:szCs w:val="21"/>
          <w:highlight w:val="none"/>
        </w:rPr>
      </w:pPr>
      <w:r>
        <w:rPr>
          <w:rFonts w:hint="eastAsia" w:ascii="宋体" w:hAnsi="Times New Roman" w:eastAsia="宋体" w:cs="宋体"/>
          <w:color w:val="auto"/>
          <w:kern w:val="0"/>
          <w:szCs w:val="21"/>
          <w:highlight w:val="none"/>
        </w:rPr>
        <w:t>（1）</w:t>
      </w:r>
      <w:r>
        <w:rPr>
          <w:rFonts w:hint="eastAsia" w:ascii="宋体" w:hAnsi="宋体" w:eastAsia="宋体" w:cs="Times New Roman"/>
          <w:color w:val="auto"/>
          <w:szCs w:val="21"/>
          <w:highlight w:val="none"/>
        </w:rPr>
        <w:t>投标保证金的提交凭证</w:t>
      </w:r>
      <w:r>
        <w:rPr>
          <w:rFonts w:hint="eastAsia" w:ascii="宋体" w:hAnsi="Times New Roman" w:eastAsia="宋体" w:cs="宋体"/>
          <w:color w:val="auto"/>
          <w:kern w:val="0"/>
          <w:szCs w:val="21"/>
          <w:highlight w:val="none"/>
        </w:rPr>
        <w:t>；</w:t>
      </w:r>
      <w:r>
        <w:rPr>
          <w:rFonts w:hint="eastAsia" w:ascii="宋体" w:hAnsi="Times New Roman" w:eastAsia="宋体" w:cs="宋体"/>
          <w:b/>
          <w:color w:val="auto"/>
          <w:kern w:val="0"/>
          <w:szCs w:val="21"/>
          <w:highlight w:val="none"/>
        </w:rPr>
        <w:t>（必须提供）</w:t>
      </w:r>
    </w:p>
    <w:p w14:paraId="7A77A2A9">
      <w:pPr>
        <w:spacing w:line="360" w:lineRule="exact"/>
        <w:rPr>
          <w:rFonts w:hint="eastAsia" w:ascii="宋体" w:hAnsi="宋体" w:eastAsia="宋体" w:cs="Times New Roman"/>
          <w:color w:val="auto"/>
          <w:highlight w:val="none"/>
        </w:rPr>
      </w:pPr>
    </w:p>
    <w:p w14:paraId="43824AFC">
      <w:pPr>
        <w:snapToGrid w:val="0"/>
        <w:spacing w:line="360" w:lineRule="exact"/>
        <w:ind w:firstLine="210" w:firstLineChars="100"/>
        <w:jc w:val="left"/>
        <w:rPr>
          <w:rFonts w:hint="eastAsia" w:ascii="宋体" w:hAnsi="Times New Roman" w:eastAsia="宋体" w:cs="宋体"/>
          <w:color w:val="auto"/>
          <w:kern w:val="0"/>
          <w:szCs w:val="21"/>
          <w:highlight w:val="none"/>
        </w:rPr>
      </w:pPr>
    </w:p>
    <w:p w14:paraId="35384045">
      <w:pPr>
        <w:snapToGrid w:val="0"/>
        <w:spacing w:line="360" w:lineRule="exact"/>
        <w:ind w:firstLine="210" w:firstLineChars="100"/>
        <w:jc w:val="left"/>
        <w:rPr>
          <w:rFonts w:hint="eastAsia" w:ascii="宋体" w:hAnsi="Times New Roman" w:eastAsia="宋体" w:cs="宋体"/>
          <w:color w:val="auto"/>
          <w:kern w:val="0"/>
          <w:szCs w:val="21"/>
          <w:highlight w:val="none"/>
        </w:rPr>
      </w:pPr>
      <w:r>
        <w:rPr>
          <w:rFonts w:hint="eastAsia" w:ascii="宋体" w:hAnsi="Times New Roman" w:eastAsia="宋体" w:cs="宋体"/>
          <w:color w:val="auto"/>
          <w:kern w:val="0"/>
          <w:szCs w:val="21"/>
          <w:highlight w:val="none"/>
        </w:rPr>
        <w:t>（2）投标声明书格式：</w:t>
      </w:r>
    </w:p>
    <w:p w14:paraId="44602FFE">
      <w:pPr>
        <w:snapToGrid w:val="0"/>
        <w:spacing w:before="156" w:beforeLines="50" w:after="50" w:line="360" w:lineRule="exact"/>
        <w:jc w:val="center"/>
        <w:rPr>
          <w:rFonts w:hint="eastAsia" w:ascii="宋体" w:hAnsi="宋体" w:eastAsia="宋体" w:cs="Times New Roman"/>
          <w:b/>
          <w:color w:val="auto"/>
          <w:sz w:val="30"/>
          <w:szCs w:val="30"/>
          <w:highlight w:val="none"/>
        </w:rPr>
      </w:pPr>
      <w:r>
        <w:rPr>
          <w:rFonts w:hint="eastAsia" w:ascii="宋体" w:hAnsi="宋体" w:eastAsia="宋体" w:cs="Times New Roman"/>
          <w:b/>
          <w:color w:val="auto"/>
          <w:sz w:val="30"/>
          <w:szCs w:val="30"/>
          <w:highlight w:val="none"/>
        </w:rPr>
        <w:t>投标声明书</w:t>
      </w:r>
    </w:p>
    <w:p w14:paraId="2553C98C">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致：</w:t>
      </w:r>
      <w:r>
        <w:rPr>
          <w:rFonts w:hint="eastAsia" w:ascii="宋体" w:hAnsi="宋体" w:eastAsia="宋体" w:cs="Times New Roman"/>
          <w:color w:val="auto"/>
          <w:highlight w:val="none"/>
          <w:u w:val="single"/>
        </w:rPr>
        <w:t xml:space="preserve"> 广西国力招标有限公司 </w:t>
      </w:r>
    </w:p>
    <w:p w14:paraId="026AC362">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（投标人名称）系中华人民共和国合法企业，经营地址</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w:t>
      </w:r>
    </w:p>
    <w:p w14:paraId="1A4136C3">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我</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（姓名）系</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（投标人名称）的法定代表人（负责人），我方愿意参加贵方组织的</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项目的投标，为便于贵方公正、择优地确定中标人及其投标产品和服务，我方就本次投标有关事项郑重声明如下：</w:t>
      </w:r>
    </w:p>
    <w:p w14:paraId="7E4371B7">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1.我方向贵方提交的所有投标文件、资料都是准确的和真实的。</w:t>
      </w:r>
    </w:p>
    <w:p w14:paraId="01935CA6">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2.我方在获知本项目采购信息后，与采购人聘请的为此项目提供咨询服务的公司及其附属机构没有任何联系。</w:t>
      </w:r>
    </w:p>
    <w:p w14:paraId="250B6FF7">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3.我方此次向贵方提供的产品名称为：</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；规格型号：</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；该型号产品我方有现货可供，并已于</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年</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月生产完工或向</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（原厂商名称）购进［</w:t>
      </w:r>
      <w:r>
        <w:rPr>
          <w:rFonts w:hint="eastAsia" w:ascii="宋体" w:hAnsi="宋体" w:eastAsia="宋体" w:cs="Times New Roman"/>
          <w:b/>
          <w:color w:val="auto"/>
          <w:highlight w:val="none"/>
        </w:rPr>
        <w:t>或</w:t>
      </w:r>
      <w:r>
        <w:rPr>
          <w:rFonts w:hint="eastAsia" w:ascii="宋体" w:hAnsi="宋体" w:eastAsia="宋体" w:cs="Times New Roman"/>
          <w:color w:val="auto"/>
          <w:highlight w:val="none"/>
        </w:rPr>
        <w:t>需在中标后向</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订购］。</w:t>
      </w:r>
    </w:p>
    <w:p w14:paraId="10156236">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4.我方诚意提请贵方关注：近期有关该型号产品的生产、供货、售后服务以及性能等方面的重大决策和事项有：</w:t>
      </w:r>
    </w:p>
    <w:p w14:paraId="7B3F3DCD">
      <w:pPr>
        <w:spacing w:line="400" w:lineRule="exact"/>
        <w:rPr>
          <w:rFonts w:hint="eastAsia" w:ascii="宋体" w:hAnsi="宋体" w:eastAsia="宋体" w:cs="Times New Roman"/>
          <w:color w:val="auto"/>
          <w:highlight w:val="none"/>
          <w:u w:val="single"/>
        </w:rPr>
      </w:pPr>
      <w:r>
        <w:rPr>
          <w:rFonts w:hint="eastAsia" w:ascii="宋体" w:hAnsi="宋体" w:eastAsia="宋体" w:cs="Times New Roman"/>
          <w:color w:val="auto"/>
          <w:highlight w:val="none"/>
        </w:rPr>
        <w:t>　　</w:t>
      </w:r>
      <w:r>
        <w:rPr>
          <w:rFonts w:hint="eastAsia" w:ascii="宋体" w:hAnsi="宋体" w:eastAsia="宋体" w:cs="Times New Roman"/>
          <w:color w:val="auto"/>
          <w:highlight w:val="none"/>
          <w:u w:val="single"/>
        </w:rPr>
        <w:t>　　　　　　　　　　　　　　　　　　　　　　　　　</w:t>
      </w:r>
    </w:p>
    <w:p w14:paraId="2E551218">
      <w:pPr>
        <w:spacing w:line="400" w:lineRule="exact"/>
        <w:rPr>
          <w:rFonts w:hint="eastAsia" w:ascii="宋体" w:hAnsi="宋体" w:eastAsia="宋体" w:cs="Times New Roman"/>
          <w:color w:val="auto"/>
          <w:highlight w:val="none"/>
          <w:u w:val="single"/>
        </w:rPr>
      </w:pPr>
      <w:r>
        <w:rPr>
          <w:rFonts w:hint="eastAsia" w:ascii="宋体" w:hAnsi="宋体" w:eastAsia="宋体" w:cs="Times New Roman"/>
          <w:color w:val="auto"/>
          <w:highlight w:val="none"/>
        </w:rPr>
        <w:t>　　</w:t>
      </w:r>
      <w:r>
        <w:rPr>
          <w:rFonts w:hint="eastAsia" w:ascii="宋体" w:hAnsi="宋体" w:eastAsia="宋体" w:cs="Times New Roman"/>
          <w:color w:val="auto"/>
          <w:highlight w:val="none"/>
          <w:u w:val="single"/>
        </w:rPr>
        <w:t>　　　　　　　　　　　　　　　　　　　　　　　　　</w:t>
      </w:r>
    </w:p>
    <w:p w14:paraId="2D6FBCA3">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5.我方</w:t>
      </w:r>
      <w:r>
        <w:rPr>
          <w:rFonts w:ascii="宋体" w:hAnsi="宋体" w:eastAsia="宋体" w:cs="Times New Roman"/>
          <w:color w:val="auto"/>
          <w:highlight w:val="none"/>
        </w:rPr>
        <w:t>参加政府采购活动前</w:t>
      </w:r>
      <w:r>
        <w:rPr>
          <w:rFonts w:hint="eastAsia" w:ascii="宋体" w:hAnsi="宋体" w:eastAsia="宋体" w:cs="Times New Roman"/>
          <w:color w:val="auto"/>
          <w:highlight w:val="none"/>
        </w:rPr>
        <w:t>三</w:t>
      </w:r>
      <w:r>
        <w:rPr>
          <w:rFonts w:ascii="宋体" w:hAnsi="宋体" w:eastAsia="宋体" w:cs="Times New Roman"/>
          <w:color w:val="auto"/>
          <w:highlight w:val="none"/>
        </w:rPr>
        <w:t>年内在经营活动中重大违法记录</w:t>
      </w:r>
      <w:r>
        <w:rPr>
          <w:rFonts w:hint="eastAsia" w:ascii="宋体" w:hAnsi="宋体" w:eastAsia="宋体" w:cs="Times New Roman"/>
          <w:color w:val="auto"/>
          <w:highlight w:val="none"/>
        </w:rPr>
        <w:t>情况：</w:t>
      </w:r>
    </w:p>
    <w:p w14:paraId="7D87FFB6">
      <w:pPr>
        <w:spacing w:line="400" w:lineRule="exact"/>
        <w:rPr>
          <w:rFonts w:hint="eastAsia" w:ascii="宋体" w:hAnsi="宋体" w:eastAsia="宋体" w:cs="Times New Roman"/>
          <w:color w:val="auto"/>
          <w:highlight w:val="none"/>
          <w:u w:val="single"/>
        </w:rPr>
      </w:pPr>
      <w:r>
        <w:rPr>
          <w:rFonts w:hint="eastAsia" w:ascii="宋体" w:hAnsi="宋体" w:eastAsia="宋体" w:cs="Times New Roman"/>
          <w:color w:val="auto"/>
          <w:highlight w:val="none"/>
        </w:rPr>
        <w:t>　　</w:t>
      </w:r>
      <w:r>
        <w:rPr>
          <w:rFonts w:hint="eastAsia" w:ascii="宋体" w:hAnsi="宋体" w:eastAsia="宋体" w:cs="Times New Roman"/>
          <w:color w:val="auto"/>
          <w:highlight w:val="none"/>
          <w:u w:val="single"/>
        </w:rPr>
        <w:t>　　　　　　　　　　　　　　　　　　　　　　　　　</w:t>
      </w:r>
    </w:p>
    <w:p w14:paraId="0FE4036A">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6.以上事项如有虚假或隐瞒，我方愿意承担一切后果。</w:t>
      </w:r>
    </w:p>
    <w:p w14:paraId="47A3B9FC">
      <w:pPr>
        <w:spacing w:line="400" w:lineRule="exact"/>
        <w:rPr>
          <w:rFonts w:hint="eastAsia" w:ascii="Times New Roman" w:hAnsi="Times New Roman" w:eastAsia="宋体" w:cs="Times New Roman"/>
          <w:color w:val="auto"/>
          <w:highlight w:val="none"/>
        </w:rPr>
      </w:pPr>
    </w:p>
    <w:p w14:paraId="5E4B5D4C">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法定代表人（负责人）签字或盖章：</w:t>
      </w:r>
      <w:r>
        <w:rPr>
          <w:rFonts w:hint="eastAsia" w:ascii="Times New Roman" w:hAnsi="Times New Roman" w:eastAsia="宋体" w:cs="Times New Roman"/>
          <w:color w:val="auto"/>
          <w:highlight w:val="none"/>
          <w:u w:val="single"/>
        </w:rPr>
        <w:t xml:space="preserve">             </w:t>
      </w:r>
    </w:p>
    <w:p w14:paraId="7553724C">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投标人名称（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u w:val="single"/>
        </w:rPr>
        <w:t xml:space="preserve">               </w:t>
      </w:r>
    </w:p>
    <w:p w14:paraId="7571FC8C">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年    月    日</w:t>
      </w:r>
    </w:p>
    <w:p w14:paraId="7A0C84B8">
      <w:pPr>
        <w:spacing w:line="400" w:lineRule="exact"/>
        <w:rPr>
          <w:rFonts w:hint="eastAsia" w:ascii="Times New Roman" w:hAnsi="Times New Roman" w:eastAsia="宋体" w:cs="Times New Roman"/>
          <w:b/>
          <w:color w:val="auto"/>
          <w:highlight w:val="none"/>
        </w:rPr>
      </w:pPr>
    </w:p>
    <w:p w14:paraId="5F23840C">
      <w:pPr>
        <w:spacing w:line="400" w:lineRule="exact"/>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重大违法记录，是指供应商因违法经营受到刑事处罚或者责令停产停业、吊销许可证或者执照、较大数额罚款等行政处罚。</w:t>
      </w:r>
    </w:p>
    <w:p w14:paraId="7887AD70">
      <w:pPr>
        <w:snapToGrid w:val="0"/>
        <w:spacing w:line="360" w:lineRule="exact"/>
        <w:ind w:firstLine="210" w:firstLineChars="100"/>
        <w:jc w:val="left"/>
        <w:rPr>
          <w:rFonts w:hint="eastAsia" w:ascii="宋体" w:hAnsi="Times New Roman" w:eastAsia="宋体" w:cs="Times New Roman"/>
          <w:color w:val="auto"/>
          <w:szCs w:val="21"/>
          <w:highlight w:val="none"/>
        </w:rPr>
      </w:pPr>
      <w:r>
        <w:rPr>
          <w:rFonts w:hint="eastAsia" w:ascii="宋体" w:hAnsi="Times New Roman" w:eastAsia="宋体" w:cs="Times New Roman"/>
          <w:b/>
          <w:color w:val="auto"/>
          <w:szCs w:val="21"/>
          <w:highlight w:val="none"/>
        </w:rPr>
        <w:br w:type="page"/>
      </w:r>
      <w:r>
        <w:rPr>
          <w:rFonts w:hint="eastAsia" w:ascii="宋体" w:hAnsi="Times New Roman" w:eastAsia="宋体" w:cs="宋体"/>
          <w:color w:val="auto"/>
          <w:kern w:val="0"/>
          <w:szCs w:val="21"/>
          <w:highlight w:val="none"/>
        </w:rPr>
        <w:t xml:space="preserve">    (3) 法定代表人(负责人)授权委托书格式：</w:t>
      </w:r>
    </w:p>
    <w:p w14:paraId="0C6DD0D6">
      <w:pPr>
        <w:snapToGrid w:val="0"/>
        <w:spacing w:before="156" w:beforeLines="50" w:after="50" w:line="340" w:lineRule="exact"/>
        <w:jc w:val="center"/>
        <w:rPr>
          <w:rFonts w:hint="eastAsia" w:ascii="宋体" w:hAnsi="Times New Roman" w:eastAsia="宋体" w:cs="Times New Roman"/>
          <w:b/>
          <w:color w:val="auto"/>
          <w:sz w:val="30"/>
          <w:szCs w:val="30"/>
          <w:highlight w:val="none"/>
        </w:rPr>
      </w:pPr>
      <w:r>
        <w:rPr>
          <w:rFonts w:hint="eastAsia" w:ascii="宋体" w:hAnsi="Times New Roman" w:eastAsia="宋体" w:cs="Times New Roman"/>
          <w:b/>
          <w:color w:val="auto"/>
          <w:sz w:val="30"/>
          <w:szCs w:val="30"/>
          <w:highlight w:val="none"/>
        </w:rPr>
        <w:t>法定代表人(负责人)授权委托书</w:t>
      </w:r>
    </w:p>
    <w:p w14:paraId="651E8ACB">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致：</w:t>
      </w:r>
      <w:r>
        <w:rPr>
          <w:rFonts w:hint="eastAsia" w:ascii="Times New Roman" w:hAnsi="Times New Roman" w:eastAsia="宋体" w:cs="Times New Roman"/>
          <w:color w:val="auto"/>
          <w:highlight w:val="none"/>
          <w:u w:val="single"/>
        </w:rPr>
        <w:t xml:space="preserve"> 广西国力招标有限公司 </w:t>
      </w:r>
    </w:p>
    <w:p w14:paraId="6A4C9300">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我</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（姓名）系</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（投标人名称）的法定代表人（负责人），现授权委托本单位在职职工</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（姓名）以我方的名义参加</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项目的投标活动，并代表我方全权办理针对上述项目的投标、开标、评标、签约等具体事务和签署相关文件。</w:t>
      </w:r>
    </w:p>
    <w:p w14:paraId="1678C5B7">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我方对被授权人的签名事项负全部责任。</w:t>
      </w:r>
    </w:p>
    <w:p w14:paraId="21963CFE">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u w:val="single"/>
        </w:rPr>
        <w:t>在撤销授权的书面通知以前，本授权书一直有效。</w:t>
      </w:r>
      <w:r>
        <w:rPr>
          <w:rFonts w:hint="eastAsia" w:ascii="Times New Roman" w:hAnsi="Times New Roman" w:eastAsia="宋体" w:cs="Times New Roman"/>
          <w:color w:val="auto"/>
          <w:highlight w:val="none"/>
        </w:rPr>
        <w:t>被授权人在授权书有效期内签署的所有文件不因授权的撤销而失效。</w:t>
      </w:r>
    </w:p>
    <w:p w14:paraId="23F53E6C">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被授权人无转委托权，特此委托。</w:t>
      </w:r>
    </w:p>
    <w:p w14:paraId="53DC89CD">
      <w:pPr>
        <w:spacing w:line="400" w:lineRule="exact"/>
        <w:rPr>
          <w:rFonts w:hint="eastAsia" w:ascii="Times New Roman" w:hAnsi="Times New Roman" w:eastAsia="宋体" w:cs="Times New Roman"/>
          <w:color w:val="auto"/>
          <w:highlight w:val="none"/>
        </w:rPr>
      </w:pPr>
    </w:p>
    <w:p w14:paraId="32D0F4A5">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被授权人签字或盖章：</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法定代表人（负责人）签字或盖章：</w:t>
      </w:r>
      <w:r>
        <w:rPr>
          <w:rFonts w:hint="eastAsia" w:ascii="Times New Roman" w:hAnsi="Times New Roman" w:eastAsia="宋体" w:cs="Times New Roman"/>
          <w:color w:val="auto"/>
          <w:highlight w:val="none"/>
          <w:u w:val="single"/>
        </w:rPr>
        <w:t xml:space="preserve">            </w:t>
      </w:r>
    </w:p>
    <w:p w14:paraId="6D8E69C6">
      <w:pPr>
        <w:spacing w:line="400" w:lineRule="exact"/>
        <w:rPr>
          <w:rFonts w:hint="eastAsia"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所在部门职务：</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职务：</w:t>
      </w:r>
      <w:r>
        <w:rPr>
          <w:rFonts w:hint="eastAsia" w:ascii="Times New Roman" w:hAnsi="Times New Roman" w:eastAsia="宋体" w:cs="Times New Roman"/>
          <w:color w:val="auto"/>
          <w:highlight w:val="none"/>
          <w:u w:val="single"/>
        </w:rPr>
        <w:t xml:space="preserve">               </w:t>
      </w:r>
    </w:p>
    <w:p w14:paraId="6D7075B4">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被授权人身份证号码：</w:t>
      </w:r>
      <w:r>
        <w:rPr>
          <w:rFonts w:hint="eastAsia" w:ascii="Times New Roman" w:hAnsi="Times New Roman" w:eastAsia="宋体" w:cs="Times New Roman"/>
          <w:color w:val="auto"/>
          <w:highlight w:val="none"/>
          <w:u w:val="singl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tblGrid>
      <w:tr w14:paraId="09FF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5" w:type="dxa"/>
            <w:noWrap w:val="0"/>
            <w:vAlign w:val="top"/>
          </w:tcPr>
          <w:p w14:paraId="19FF06EF">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贴附“委托代理人有效身份证复印件”（正反两面）</w:t>
            </w:r>
          </w:p>
          <w:p w14:paraId="6C8F4A6E">
            <w:pPr>
              <w:spacing w:line="400" w:lineRule="exact"/>
              <w:rPr>
                <w:rFonts w:hint="eastAsia" w:ascii="Times New Roman" w:hAnsi="Times New Roman" w:eastAsia="宋体" w:cs="Times New Roman"/>
                <w:color w:val="auto"/>
                <w:highlight w:val="none"/>
              </w:rPr>
            </w:pPr>
          </w:p>
        </w:tc>
      </w:tr>
    </w:tbl>
    <w:p w14:paraId="1C9B772E">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投标人名称（盖章）：</w:t>
      </w:r>
    </w:p>
    <w:p w14:paraId="38866BA0">
      <w:pPr>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年    月    日</w:t>
      </w:r>
    </w:p>
    <w:p w14:paraId="298FA21C">
      <w:pPr>
        <w:snapToGrid w:val="0"/>
        <w:spacing w:before="50" w:after="156" w:afterLines="50" w:line="340" w:lineRule="exact"/>
        <w:jc w:val="left"/>
        <w:rPr>
          <w:rFonts w:hint="eastAsia" w:ascii="宋体" w:hAnsi="Times New Roman" w:eastAsia="宋体" w:cs="Times New Roman"/>
          <w:color w:val="auto"/>
          <w:szCs w:val="21"/>
          <w:highlight w:val="none"/>
        </w:rPr>
      </w:pPr>
    </w:p>
    <w:p w14:paraId="2BDB1CEE">
      <w:pPr>
        <w:snapToGrid w:val="0"/>
        <w:spacing w:before="50" w:after="156" w:afterLines="50" w:line="340" w:lineRule="exact"/>
        <w:jc w:val="left"/>
        <w:rPr>
          <w:rFonts w:hint="eastAsia" w:ascii="宋体" w:hAnsi="Times New Roman" w:eastAsia="宋体" w:cs="Times New Roman"/>
          <w:color w:val="auto"/>
          <w:szCs w:val="21"/>
          <w:highlight w:val="none"/>
        </w:rPr>
      </w:pPr>
    </w:p>
    <w:p w14:paraId="7B0818F0">
      <w:pPr>
        <w:snapToGrid w:val="0"/>
        <w:spacing w:line="360" w:lineRule="exact"/>
        <w:ind w:firstLine="210" w:firstLineChars="100"/>
        <w:jc w:val="left"/>
        <w:rPr>
          <w:rFonts w:hint="eastAsia" w:ascii="宋体" w:hAnsi="Times New Roman" w:eastAsia="宋体" w:cs="Times New Roman"/>
          <w:color w:val="auto"/>
          <w:szCs w:val="21"/>
          <w:highlight w:val="none"/>
        </w:rPr>
      </w:pPr>
      <w:r>
        <w:rPr>
          <w:rFonts w:ascii="宋体" w:hAnsi="Times New Roman" w:eastAsia="宋体" w:cs="Times New Roman"/>
          <w:color w:val="auto"/>
          <w:szCs w:val="21"/>
          <w:highlight w:val="none"/>
        </w:rPr>
        <w:br w:type="page"/>
      </w:r>
      <w:r>
        <w:rPr>
          <w:rFonts w:hint="eastAsia" w:ascii="宋体" w:hAnsi="Times New Roman" w:eastAsia="宋体" w:cs="宋体"/>
          <w:color w:val="auto"/>
          <w:kern w:val="0"/>
          <w:szCs w:val="21"/>
          <w:highlight w:val="none"/>
        </w:rPr>
        <w:t xml:space="preserve">   （4）法定代表人（负责人）身份证明书</w:t>
      </w:r>
    </w:p>
    <w:p w14:paraId="6789E703">
      <w:pPr>
        <w:spacing w:before="312" w:beforeLines="100" w:after="156" w:afterLines="50"/>
        <w:ind w:left="540"/>
        <w:jc w:val="center"/>
        <w:rPr>
          <w:rFonts w:hint="eastAsia" w:ascii="宋体" w:hAnsi="宋体" w:eastAsia="宋体" w:cs="Times New Roman"/>
          <w:color w:val="auto"/>
          <w:sz w:val="28"/>
          <w:szCs w:val="28"/>
          <w:highlight w:val="none"/>
        </w:rPr>
      </w:pPr>
      <w:r>
        <w:rPr>
          <w:rFonts w:hint="eastAsia" w:ascii="宋体" w:hAnsi="宋体" w:eastAsia="宋体" w:cs="Times New Roman"/>
          <w:b/>
          <w:color w:val="auto"/>
          <w:sz w:val="32"/>
          <w:szCs w:val="32"/>
          <w:highlight w:val="none"/>
        </w:rPr>
        <w:t>法定代表人（负责人）身份证明书</w:t>
      </w:r>
    </w:p>
    <w:p w14:paraId="6713BA2B">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 标 人：</w:t>
      </w:r>
      <w:r>
        <w:rPr>
          <w:rFonts w:hint="eastAsia" w:ascii="宋体" w:hAnsi="宋体" w:eastAsia="宋体" w:cs="Times New Roman"/>
          <w:color w:val="auto"/>
          <w:sz w:val="24"/>
          <w:highlight w:val="none"/>
          <w:u w:val="single"/>
        </w:rPr>
        <w:t xml:space="preserve">                                                        </w:t>
      </w:r>
    </w:p>
    <w:p w14:paraId="17F47E92">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单位性质：</w:t>
      </w:r>
      <w:r>
        <w:rPr>
          <w:rFonts w:hint="eastAsia" w:ascii="宋体" w:hAnsi="宋体" w:eastAsia="宋体" w:cs="Times New Roman"/>
          <w:color w:val="auto"/>
          <w:sz w:val="24"/>
          <w:highlight w:val="none"/>
          <w:u w:val="single"/>
        </w:rPr>
        <w:t xml:space="preserve">                                                        </w:t>
      </w:r>
    </w:p>
    <w:p w14:paraId="1B4215B9">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地    址：</w:t>
      </w:r>
      <w:r>
        <w:rPr>
          <w:rFonts w:hint="eastAsia" w:ascii="宋体" w:hAnsi="宋体" w:eastAsia="宋体" w:cs="Times New Roman"/>
          <w:color w:val="auto"/>
          <w:sz w:val="24"/>
          <w:highlight w:val="none"/>
          <w:u w:val="single"/>
        </w:rPr>
        <w:t xml:space="preserve">                                                        </w:t>
      </w:r>
    </w:p>
    <w:p w14:paraId="53775C1A">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成立时间：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日</w:t>
      </w:r>
    </w:p>
    <w:p w14:paraId="64A87C67">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经营期限：</w:t>
      </w:r>
      <w:r>
        <w:rPr>
          <w:rFonts w:hint="eastAsia" w:ascii="宋体" w:hAnsi="宋体" w:eastAsia="宋体" w:cs="Times New Roman"/>
          <w:color w:val="auto"/>
          <w:sz w:val="24"/>
          <w:highlight w:val="none"/>
          <w:u w:val="single"/>
        </w:rPr>
        <w:t xml:space="preserve">                                                        </w:t>
      </w:r>
    </w:p>
    <w:p w14:paraId="7857CD2E">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姓    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性      别：</w:t>
      </w:r>
      <w:r>
        <w:rPr>
          <w:rFonts w:hint="eastAsia" w:ascii="宋体" w:hAnsi="宋体" w:eastAsia="宋体" w:cs="Times New Roman"/>
          <w:color w:val="auto"/>
          <w:sz w:val="24"/>
          <w:highlight w:val="none"/>
          <w:u w:val="single"/>
        </w:rPr>
        <w:t xml:space="preserve">                </w:t>
      </w:r>
    </w:p>
    <w:p w14:paraId="340085F5">
      <w:pPr>
        <w:spacing w:line="500" w:lineRule="exact"/>
        <w:ind w:left="540"/>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年    龄：</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职      务：</w:t>
      </w:r>
      <w:r>
        <w:rPr>
          <w:rFonts w:hint="eastAsia" w:ascii="宋体" w:hAnsi="宋体" w:eastAsia="宋体" w:cs="Times New Roman"/>
          <w:color w:val="auto"/>
          <w:sz w:val="24"/>
          <w:highlight w:val="none"/>
          <w:u w:val="single"/>
        </w:rPr>
        <w:t xml:space="preserve">                </w:t>
      </w:r>
    </w:p>
    <w:p w14:paraId="1198843C">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身份证号码：</w:t>
      </w:r>
      <w:r>
        <w:rPr>
          <w:rFonts w:hint="eastAsia" w:ascii="宋体" w:hAnsi="宋体" w:eastAsia="宋体" w:cs="Times New Roman"/>
          <w:color w:val="auto"/>
          <w:sz w:val="24"/>
          <w:highlight w:val="none"/>
          <w:u w:val="single"/>
        </w:rPr>
        <w:t xml:space="preserve">                                 </w:t>
      </w:r>
    </w:p>
    <w:p w14:paraId="62891E5D">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系</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（投标人名称）的法定代表人（负责人）。</w:t>
      </w:r>
    </w:p>
    <w:p w14:paraId="745A32A0">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特此证明。</w:t>
      </w:r>
    </w:p>
    <w:p w14:paraId="65447886">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附件：法定代表人（负责人）有效身份证正反面复印件</w:t>
      </w:r>
    </w:p>
    <w:p w14:paraId="3B753B21">
      <w:pPr>
        <w:wordWrap w:val="0"/>
        <w:spacing w:line="500" w:lineRule="exact"/>
        <w:ind w:left="540"/>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投标人名称（盖章）：</w:t>
      </w:r>
      <w:r>
        <w:rPr>
          <w:rFonts w:hint="eastAsia" w:ascii="宋体" w:hAnsi="宋体" w:eastAsia="宋体" w:cs="Times New Roman"/>
          <w:color w:val="auto"/>
          <w:sz w:val="24"/>
          <w:highlight w:val="none"/>
          <w:u w:val="single"/>
        </w:rPr>
        <w:t xml:space="preserve">                          </w:t>
      </w:r>
    </w:p>
    <w:p w14:paraId="6FE9B38A">
      <w:pPr>
        <w:snapToGrid w:val="0"/>
        <w:spacing w:before="156" w:beforeLines="50" w:after="50"/>
        <w:ind w:left="540"/>
        <w:jc w:val="right"/>
        <w:rPr>
          <w:rFonts w:hint="eastAsia" w:ascii="宋体" w:hAnsi="宋体" w:eastAsia="宋体" w:cs="Times New Roman"/>
          <w:color w:val="auto"/>
          <w:sz w:val="30"/>
          <w:szCs w:val="20"/>
          <w:highlight w:val="none"/>
        </w:rPr>
      </w:pP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日</w:t>
      </w:r>
    </w:p>
    <w:p w14:paraId="6BE97E96">
      <w:pPr>
        <w:snapToGrid w:val="0"/>
        <w:spacing w:line="360" w:lineRule="exact"/>
        <w:jc w:val="left"/>
        <w:rPr>
          <w:rFonts w:hint="eastAsia" w:ascii="宋体" w:hAnsi="Times New Roman" w:eastAsia="宋体" w:cs="Times New Roman"/>
          <w:color w:val="auto"/>
          <w:szCs w:val="21"/>
          <w:highlight w:val="none"/>
        </w:rPr>
      </w:pPr>
    </w:p>
    <w:p w14:paraId="57F75051">
      <w:pPr>
        <w:snapToGrid w:val="0"/>
        <w:spacing w:line="360" w:lineRule="exact"/>
        <w:jc w:val="left"/>
        <w:rPr>
          <w:rFonts w:hint="eastAsia" w:ascii="宋体" w:hAnsi="Times New Roman" w:eastAsia="宋体" w:cs="Times New Roman"/>
          <w:color w:val="auto"/>
          <w:szCs w:val="21"/>
          <w:highlight w:val="none"/>
        </w:rPr>
      </w:pPr>
    </w:p>
    <w:p w14:paraId="0462D18F">
      <w:pPr>
        <w:snapToGrid w:val="0"/>
        <w:spacing w:line="360" w:lineRule="exact"/>
        <w:jc w:val="left"/>
        <w:rPr>
          <w:rFonts w:hint="eastAsia" w:ascii="宋体" w:hAnsi="Times New Roman" w:eastAsia="宋体" w:cs="Times New Roman"/>
          <w:color w:val="auto"/>
          <w:szCs w:val="21"/>
          <w:highlight w:val="none"/>
        </w:rPr>
      </w:pPr>
    </w:p>
    <w:p w14:paraId="20FD7246">
      <w:pPr>
        <w:snapToGrid w:val="0"/>
        <w:spacing w:line="360" w:lineRule="exact"/>
        <w:jc w:val="left"/>
        <w:rPr>
          <w:rFonts w:hint="eastAsia" w:ascii="宋体" w:hAnsi="Times New Roman" w:eastAsia="宋体" w:cs="Times New Roman"/>
          <w:color w:val="auto"/>
          <w:szCs w:val="21"/>
          <w:highlight w:val="none"/>
        </w:rPr>
      </w:pPr>
    </w:p>
    <w:p w14:paraId="1355F821">
      <w:pPr>
        <w:snapToGrid w:val="0"/>
        <w:spacing w:line="360" w:lineRule="exact"/>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w:t>
      </w:r>
    </w:p>
    <w:p w14:paraId="088CF53A">
      <w:pPr>
        <w:snapToGrid w:val="0"/>
        <w:spacing w:line="360" w:lineRule="exact"/>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（5）产品销售许可证复印件；</w:t>
      </w:r>
    </w:p>
    <w:p w14:paraId="5887FD1B">
      <w:pPr>
        <w:snapToGrid w:val="0"/>
        <w:spacing w:line="360" w:lineRule="exact"/>
        <w:jc w:val="left"/>
        <w:rPr>
          <w:rFonts w:hint="eastAsia" w:ascii="宋体" w:hAnsi="Times New Roman" w:eastAsia="宋体" w:cs="Times New Roman"/>
          <w:color w:val="auto"/>
          <w:szCs w:val="21"/>
          <w:highlight w:val="none"/>
        </w:rPr>
      </w:pPr>
    </w:p>
    <w:p w14:paraId="11520411">
      <w:pPr>
        <w:snapToGrid w:val="0"/>
        <w:spacing w:line="360" w:lineRule="exact"/>
        <w:jc w:val="left"/>
        <w:rPr>
          <w:rFonts w:hint="eastAsia" w:ascii="宋体" w:hAnsi="Times New Roman" w:eastAsia="宋体" w:cs="Times New Roman"/>
          <w:color w:val="auto"/>
          <w:szCs w:val="21"/>
          <w:highlight w:val="none"/>
        </w:rPr>
      </w:pPr>
    </w:p>
    <w:p w14:paraId="635D0C98">
      <w:pPr>
        <w:snapToGrid w:val="0"/>
        <w:spacing w:line="360" w:lineRule="exact"/>
        <w:jc w:val="left"/>
        <w:rPr>
          <w:rFonts w:hint="eastAsia" w:ascii="宋体" w:hAnsi="Times New Roman" w:eastAsia="宋体" w:cs="Times New Roman"/>
          <w:color w:val="auto"/>
          <w:szCs w:val="21"/>
          <w:highlight w:val="none"/>
        </w:rPr>
      </w:pPr>
    </w:p>
    <w:p w14:paraId="68CCD4FB">
      <w:pPr>
        <w:snapToGrid w:val="0"/>
        <w:spacing w:line="360" w:lineRule="exact"/>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（6）安全生产许可证复印件、产品代理资格证明文件复印件</w:t>
      </w:r>
    </w:p>
    <w:p w14:paraId="1A778C62">
      <w:pPr>
        <w:snapToGrid w:val="0"/>
        <w:spacing w:line="360" w:lineRule="exact"/>
        <w:jc w:val="left"/>
        <w:rPr>
          <w:rFonts w:hint="eastAsia" w:ascii="宋体" w:hAnsi="Times New Roman" w:eastAsia="宋体" w:cs="Times New Roman"/>
          <w:color w:val="auto"/>
          <w:szCs w:val="21"/>
          <w:highlight w:val="none"/>
        </w:rPr>
      </w:pPr>
    </w:p>
    <w:p w14:paraId="55836420">
      <w:pPr>
        <w:wordWrap w:val="0"/>
        <w:snapToGrid w:val="0"/>
        <w:spacing w:line="36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w:t>
      </w:r>
    </w:p>
    <w:p w14:paraId="333BCC05">
      <w:pPr>
        <w:wordWrap w:val="0"/>
        <w:snapToGrid w:val="0"/>
        <w:spacing w:line="360" w:lineRule="exact"/>
        <w:jc w:val="left"/>
        <w:rPr>
          <w:rFonts w:ascii="宋体" w:hAnsi="Times New Roman" w:eastAsia="宋体" w:cs="Times New Roman"/>
          <w:color w:val="auto"/>
          <w:szCs w:val="21"/>
          <w:highlight w:val="none"/>
        </w:rPr>
      </w:pPr>
      <w:r>
        <w:rPr>
          <w:rFonts w:ascii="宋体" w:hAnsi="Times New Roman" w:eastAsia="宋体" w:cs="Times New Roman"/>
          <w:color w:val="auto"/>
          <w:szCs w:val="21"/>
          <w:highlight w:val="none"/>
        </w:rPr>
        <w:br w:type="page"/>
      </w:r>
      <w:r>
        <w:rPr>
          <w:rFonts w:hint="eastAsia" w:ascii="宋体" w:hAnsi="Times New Roman" w:eastAsia="宋体" w:cs="Times New Roman"/>
          <w:color w:val="auto"/>
          <w:szCs w:val="21"/>
          <w:highlight w:val="none"/>
        </w:rPr>
        <w:t xml:space="preserve">    （7）商务响应表格式：</w:t>
      </w:r>
    </w:p>
    <w:p w14:paraId="53E7A01F">
      <w:pPr>
        <w:wordWrap w:val="0"/>
        <w:snapToGrid w:val="0"/>
        <w:spacing w:line="36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u w:val="single"/>
        </w:rPr>
        <w:t xml:space="preserve"> </w:t>
      </w:r>
      <w:r>
        <w:rPr>
          <w:rFonts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分标</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1FD88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14:paraId="1A4B9538">
            <w:pPr>
              <w:snapToGrid w:val="0"/>
              <w:spacing w:before="156" w:beforeLines="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A53E2CA">
            <w:pPr>
              <w:snapToGrid w:val="0"/>
              <w:spacing w:before="156" w:beforeLines="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040F78C">
            <w:pPr>
              <w:snapToGrid w:val="0"/>
              <w:spacing w:before="156" w:beforeLines="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14:paraId="01059B6A">
            <w:pPr>
              <w:snapToGrid w:val="0"/>
              <w:spacing w:before="156" w:beforeLines="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投标人的承诺或说明</w:t>
            </w:r>
          </w:p>
        </w:tc>
      </w:tr>
      <w:tr w14:paraId="5F6D0E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45D63">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交货时间及地点</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1D33203">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73D3BAE">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8ADDC31">
            <w:pPr>
              <w:rPr>
                <w:rFonts w:hint="eastAsia" w:ascii="Times New Roman" w:hAnsi="Times New Roman" w:eastAsia="宋体" w:cs="Times New Roman"/>
                <w:color w:val="auto"/>
                <w:highlight w:val="none"/>
              </w:rPr>
            </w:pPr>
          </w:p>
        </w:tc>
      </w:tr>
      <w:tr w14:paraId="51BBB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EE36C4">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质保期及售后服务要求</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67C449D8">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6C5DF97">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6E808D68">
            <w:pPr>
              <w:rPr>
                <w:rFonts w:hint="eastAsia" w:ascii="Times New Roman" w:hAnsi="Times New Roman" w:eastAsia="宋体" w:cs="Times New Roman"/>
                <w:color w:val="auto"/>
                <w:highlight w:val="none"/>
              </w:rPr>
            </w:pPr>
          </w:p>
        </w:tc>
      </w:tr>
      <w:tr w14:paraId="33707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943DB2">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付款方式</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776D0E2C">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86A52B">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5C43263F">
            <w:pPr>
              <w:rPr>
                <w:rFonts w:hint="eastAsia" w:ascii="Times New Roman" w:hAnsi="Times New Roman" w:eastAsia="宋体" w:cs="Times New Roman"/>
                <w:color w:val="auto"/>
                <w:highlight w:val="none"/>
              </w:rPr>
            </w:pPr>
          </w:p>
        </w:tc>
      </w:tr>
      <w:tr w14:paraId="6EA72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866A00">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履约保证金</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61875A47">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76C8F42">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52DAB0AD">
            <w:pPr>
              <w:rPr>
                <w:rFonts w:hint="eastAsia" w:ascii="Times New Roman" w:hAnsi="Times New Roman" w:eastAsia="宋体" w:cs="Times New Roman"/>
                <w:color w:val="auto"/>
                <w:highlight w:val="none"/>
              </w:rPr>
            </w:pPr>
          </w:p>
        </w:tc>
      </w:tr>
      <w:tr w14:paraId="33045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9A4A66">
            <w:pPr>
              <w:spacing w:line="360"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color w:val="auto"/>
                <w:szCs w:val="21"/>
                <w:highlight w:val="none"/>
              </w:rPr>
              <w:t>采购标的验收标准</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2DC29B5B">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C10A5F7">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3A63F7FD">
            <w:pPr>
              <w:rPr>
                <w:rFonts w:hint="eastAsia" w:ascii="Times New Roman" w:hAnsi="Times New Roman" w:eastAsia="宋体" w:cs="Times New Roman"/>
                <w:color w:val="auto"/>
                <w:highlight w:val="none"/>
              </w:rPr>
            </w:pPr>
          </w:p>
        </w:tc>
      </w:tr>
      <w:tr w14:paraId="7E8C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8EB921">
            <w:pPr>
              <w:keepNext w:val="0"/>
              <w:keepLines w:val="0"/>
              <w:pageBreakBefore w:val="0"/>
              <w:kinsoku/>
              <w:wordWrap/>
              <w:overflowPunct/>
              <w:topLinePunct w:val="0"/>
              <w:bidi w:val="0"/>
              <w:spacing w:line="3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其他要求</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5C146FCD">
            <w:pPr>
              <w:rPr>
                <w:rFonts w:hint="eastAsia" w:ascii="Times New Roman" w:hAnsi="Times New Roman" w:eastAsia="宋体" w:cs="Times New Roman"/>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E232CCC">
            <w:pPr>
              <w:jc w:val="center"/>
              <w:rPr>
                <w:rFonts w:hint="eastAsia" w:ascii="Times New Roman" w:hAnsi="Times New Roman" w:eastAsia="宋体" w:cs="Times New Roman"/>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2D77122">
            <w:pPr>
              <w:rPr>
                <w:rFonts w:hint="eastAsia" w:ascii="Times New Roman" w:hAnsi="Times New Roman" w:eastAsia="宋体" w:cs="Times New Roman"/>
                <w:color w:val="auto"/>
                <w:highlight w:val="none"/>
              </w:rPr>
            </w:pPr>
          </w:p>
        </w:tc>
      </w:tr>
    </w:tbl>
    <w:p w14:paraId="4B7539EA">
      <w:pPr>
        <w:snapToGrid w:val="0"/>
        <w:spacing w:before="50" w:after="50" w:line="360" w:lineRule="exact"/>
        <w:ind w:firstLine="210" w:firstLineChars="100"/>
        <w:rPr>
          <w:rFonts w:hint="eastAsia" w:ascii="宋体" w:hAnsi="Times New Roman" w:eastAsia="宋体" w:cs="Times New Roman"/>
          <w:color w:val="auto"/>
          <w:szCs w:val="21"/>
          <w:highlight w:val="none"/>
        </w:rPr>
      </w:pPr>
    </w:p>
    <w:p w14:paraId="213D9DCF">
      <w:pPr>
        <w:snapToGrid w:val="0"/>
        <w:spacing w:before="50" w:after="50" w:line="360" w:lineRule="exact"/>
        <w:ind w:firstLine="210" w:firstLineChars="100"/>
        <w:rPr>
          <w:rFonts w:hint="eastAsia" w:ascii="宋体" w:hAnsi="Times New Roman" w:eastAsia="宋体" w:cs="Times New Roman"/>
          <w:color w:val="auto"/>
          <w:spacing w:val="20"/>
          <w:szCs w:val="21"/>
          <w:highlight w:val="none"/>
          <w:u w:val="single"/>
        </w:rPr>
      </w:pPr>
      <w:r>
        <w:rPr>
          <w:rFonts w:hint="eastAsia" w:ascii="宋体" w:hAnsi="Times New Roman" w:eastAsia="宋体" w:cs="Times New Roman"/>
          <w:color w:val="auto"/>
          <w:szCs w:val="21"/>
          <w:highlight w:val="none"/>
        </w:rPr>
        <w:t>法定代表人（负责人）或委托代理人签字或盖章</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p>
    <w:p w14:paraId="7B3A0667">
      <w:pPr>
        <w:snapToGrid w:val="0"/>
        <w:spacing w:before="50" w:after="50" w:line="360" w:lineRule="exact"/>
        <w:ind w:firstLine="250" w:firstLineChars="100"/>
        <w:rPr>
          <w:rFonts w:hint="eastAsia" w:ascii="宋体" w:hAnsi="Times New Roman" w:eastAsia="宋体" w:cs="Times New Roman"/>
          <w:b/>
          <w:color w:val="auto"/>
          <w:szCs w:val="21"/>
          <w:highlight w:val="none"/>
        </w:rPr>
      </w:pPr>
      <w:r>
        <w:rPr>
          <w:rFonts w:hint="eastAsia" w:ascii="宋体" w:hAnsi="Times New Roman" w:eastAsia="宋体" w:cs="Times New Roman"/>
          <w:color w:val="auto"/>
          <w:spacing w:val="20"/>
          <w:szCs w:val="21"/>
          <w:highlight w:val="none"/>
        </w:rPr>
        <w:t>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r>
        <w:rPr>
          <w:rFonts w:hint="eastAsia" w:ascii="宋体" w:hAnsi="Times New Roman" w:eastAsia="宋体" w:cs="Times New Roman"/>
          <w:color w:val="auto"/>
          <w:spacing w:val="20"/>
          <w:szCs w:val="21"/>
          <w:highlight w:val="none"/>
        </w:rPr>
        <w:t xml:space="preserve">                 日 期：</w:t>
      </w:r>
      <w:r>
        <w:rPr>
          <w:rFonts w:hint="eastAsia" w:ascii="宋体" w:hAnsi="Times New Roman" w:eastAsia="宋体" w:cs="Times New Roman"/>
          <w:color w:val="auto"/>
          <w:spacing w:val="20"/>
          <w:szCs w:val="21"/>
          <w:highlight w:val="none"/>
          <w:u w:val="single"/>
        </w:rPr>
        <w:t xml:space="preserve">          </w:t>
      </w:r>
    </w:p>
    <w:p w14:paraId="3947DAB3">
      <w:pPr>
        <w:rPr>
          <w:rFonts w:hint="eastAsia" w:ascii="Times New Roman" w:hAnsi="Times New Roman" w:eastAsia="宋体" w:cs="Times New Roman"/>
          <w:color w:val="auto"/>
          <w:highlight w:val="none"/>
        </w:rPr>
      </w:pPr>
    </w:p>
    <w:p w14:paraId="0AD50E1E">
      <w:pPr>
        <w:rPr>
          <w:rFonts w:hint="eastAsia" w:ascii="Times New Roman" w:hAnsi="Times New Roman" w:eastAsia="宋体" w:cs="Times New Roman"/>
          <w:color w:val="auto"/>
          <w:highlight w:val="none"/>
        </w:rPr>
      </w:pPr>
    </w:p>
    <w:p w14:paraId="71AB9319">
      <w:pPr>
        <w:rPr>
          <w:rFonts w:hint="eastAsia" w:ascii="Times New Roman" w:hAnsi="Times New Roman" w:eastAsia="宋体" w:cs="Times New Roman"/>
          <w:color w:val="auto"/>
          <w:highlight w:val="none"/>
        </w:rPr>
      </w:pPr>
    </w:p>
    <w:p w14:paraId="0EDB7B77">
      <w:pPr>
        <w:rPr>
          <w:rFonts w:hint="eastAsia" w:ascii="Times New Roman" w:hAnsi="Times New Roman" w:eastAsia="宋体" w:cs="Times New Roman"/>
          <w:color w:val="auto"/>
          <w:highlight w:val="none"/>
        </w:rPr>
      </w:pPr>
    </w:p>
    <w:p w14:paraId="417DF060">
      <w:pPr>
        <w:rPr>
          <w:rFonts w:hint="eastAsia" w:ascii="Times New Roman" w:hAnsi="Times New Roman" w:eastAsia="宋体" w:cs="Times New Roman"/>
          <w:color w:val="auto"/>
          <w:highlight w:val="none"/>
        </w:rPr>
      </w:pPr>
    </w:p>
    <w:p w14:paraId="3910EF2A">
      <w:pPr>
        <w:spacing w:line="360" w:lineRule="exact"/>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br w:type="page"/>
      </w:r>
      <w:r>
        <w:rPr>
          <w:rFonts w:hint="eastAsia" w:ascii="Times New Roman" w:hAnsi="Times New Roman" w:eastAsia="宋体" w:cs="Times New Roman"/>
          <w:color w:val="auto"/>
          <w:highlight w:val="none"/>
        </w:rPr>
        <w:t xml:space="preserve">    （8）</w:t>
      </w:r>
      <w:r>
        <w:rPr>
          <w:rFonts w:hint="eastAsia" w:ascii="宋体" w:hAnsi="Times New Roman" w:eastAsia="宋体" w:cs="Times New Roman"/>
          <w:color w:val="auto"/>
          <w:szCs w:val="21"/>
          <w:highlight w:val="none"/>
        </w:rPr>
        <w:t>招标项目采购需求中要求必须提供的材料等</w:t>
      </w:r>
      <w:r>
        <w:rPr>
          <w:rFonts w:hint="eastAsia" w:ascii="Times New Roman" w:hAnsi="Times New Roman" w:eastAsia="宋体" w:cs="Times New Roman"/>
          <w:color w:val="auto"/>
          <w:highlight w:val="none"/>
        </w:rPr>
        <w:t>（招标项目采购需求中要求必须提供的材料，据实提供）</w:t>
      </w:r>
    </w:p>
    <w:p w14:paraId="7EE9F683">
      <w:pPr>
        <w:spacing w:line="360" w:lineRule="exact"/>
        <w:rPr>
          <w:rFonts w:hint="eastAsia" w:ascii="Times New Roman" w:hAnsi="Times New Roman" w:eastAsia="宋体" w:cs="Times New Roman"/>
          <w:color w:val="auto"/>
          <w:highlight w:val="none"/>
        </w:rPr>
      </w:pPr>
    </w:p>
    <w:p w14:paraId="56D1D8B3">
      <w:pPr>
        <w:snapToGrid w:val="0"/>
        <w:spacing w:line="370" w:lineRule="exact"/>
        <w:ind w:firstLine="411" w:firstLineChars="196"/>
        <w:jc w:val="left"/>
        <w:rPr>
          <w:rFonts w:hint="eastAsia" w:ascii="宋体" w:hAnsi="Times New Roman" w:eastAsia="宋体" w:cs="Times New Roman"/>
          <w:b/>
          <w:color w:val="auto"/>
          <w:szCs w:val="21"/>
          <w:highlight w:val="none"/>
        </w:rPr>
      </w:pPr>
      <w:r>
        <w:rPr>
          <w:rFonts w:hint="eastAsia" w:ascii="宋体" w:hAnsi="Times New Roman" w:eastAsia="宋体" w:cs="Times New Roman"/>
          <w:color w:val="auto"/>
          <w:szCs w:val="21"/>
          <w:highlight w:val="none"/>
        </w:rPr>
        <w:t>（9）具备法律、行政法规规定的其他条件的证明材料。</w:t>
      </w:r>
      <w:r>
        <w:rPr>
          <w:rFonts w:hint="eastAsia" w:ascii="宋体" w:hAnsi="Times New Roman" w:eastAsia="宋体" w:cs="Times New Roman"/>
          <w:b/>
          <w:color w:val="auto"/>
          <w:szCs w:val="21"/>
          <w:highlight w:val="none"/>
        </w:rPr>
        <w:t xml:space="preserve"> (如有规定,则必须提供)</w:t>
      </w:r>
    </w:p>
    <w:p w14:paraId="29B440D5">
      <w:pP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p>
    <w:p w14:paraId="477C5BCD">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（10）类似成功案例的业绩（投标人同类项目实施情况一览表、合同扫描件等，格式可自行调整）；</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732587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6943D455">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1A194B8">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采购单位名称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334C981">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设备或项目名称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C20B57">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采购数量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764C703">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合同金额</w:t>
            </w:r>
          </w:p>
        </w:tc>
        <w:tc>
          <w:tcPr>
            <w:tcW w:w="1806" w:type="dxa"/>
            <w:tcBorders>
              <w:top w:val="single" w:color="auto" w:sz="4" w:space="0"/>
              <w:left w:val="single" w:color="auto" w:sz="4" w:space="0"/>
              <w:right w:val="single" w:color="auto" w:sz="4" w:space="0"/>
            </w:tcBorders>
            <w:noWrap w:val="0"/>
            <w:vAlign w:val="center"/>
          </w:tcPr>
          <w:p w14:paraId="128C2E29">
            <w:pPr>
              <w:snapToGrid w:val="0"/>
              <w:spacing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采购单位联系人及联系电话</w:t>
            </w:r>
          </w:p>
        </w:tc>
      </w:tr>
      <w:tr w14:paraId="6D202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3FC8B1E9">
            <w:pPr>
              <w:snapToGrid w:val="0"/>
              <w:spacing w:line="360" w:lineRule="exact"/>
              <w:jc w:val="left"/>
              <w:rPr>
                <w:rFonts w:hint="eastAsia" w:ascii="宋体" w:hAnsi="Times New Roman" w:eastAsia="宋体" w:cs="Times New Roman"/>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66ABBC7E">
            <w:pPr>
              <w:snapToGrid w:val="0"/>
              <w:spacing w:line="360" w:lineRule="exact"/>
              <w:jc w:val="left"/>
              <w:rPr>
                <w:rFonts w:hint="eastAsia" w:ascii="宋体" w:hAnsi="Times New Roman" w:eastAsia="宋体" w:cs="Times New Roman"/>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E759583">
            <w:pPr>
              <w:snapToGrid w:val="0"/>
              <w:spacing w:line="360" w:lineRule="exact"/>
              <w:jc w:val="left"/>
              <w:rPr>
                <w:rFonts w:hint="eastAsia" w:ascii="宋体" w:hAnsi="Times New Roman" w:eastAsia="宋体" w:cs="Times New Roman"/>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57E4B88">
            <w:pPr>
              <w:snapToGrid w:val="0"/>
              <w:spacing w:line="360" w:lineRule="exact"/>
              <w:jc w:val="left"/>
              <w:rPr>
                <w:rFonts w:hint="eastAsia" w:ascii="宋体" w:hAnsi="Times New Roman" w:eastAsia="宋体" w:cs="Times New Roman"/>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BCBC564">
            <w:pPr>
              <w:snapToGrid w:val="0"/>
              <w:spacing w:line="360" w:lineRule="exact"/>
              <w:jc w:val="left"/>
              <w:rPr>
                <w:rFonts w:hint="eastAsia" w:ascii="宋体" w:hAnsi="Times New Roman" w:eastAsia="宋体" w:cs="Times New Roman"/>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6B6F61A8">
            <w:pPr>
              <w:snapToGrid w:val="0"/>
              <w:spacing w:line="360" w:lineRule="exact"/>
              <w:jc w:val="left"/>
              <w:rPr>
                <w:rFonts w:hint="eastAsia" w:ascii="宋体" w:hAnsi="Times New Roman" w:eastAsia="宋体" w:cs="Times New Roman"/>
                <w:color w:val="auto"/>
                <w:szCs w:val="21"/>
                <w:highlight w:val="none"/>
              </w:rPr>
            </w:pPr>
          </w:p>
        </w:tc>
      </w:tr>
      <w:tr w14:paraId="5CA10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0536349C">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740C21FC">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49805F9">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498EB5">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1A198C1">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5C32828E">
            <w:pPr>
              <w:snapToGrid w:val="0"/>
              <w:spacing w:before="50" w:after="156" w:afterLines="50" w:line="360" w:lineRule="exact"/>
              <w:jc w:val="left"/>
              <w:rPr>
                <w:rFonts w:hint="eastAsia" w:ascii="宋体" w:hAnsi="Times New Roman" w:eastAsia="宋体" w:cs="Times New Roman"/>
                <w:color w:val="auto"/>
                <w:szCs w:val="21"/>
                <w:highlight w:val="none"/>
              </w:rPr>
            </w:pPr>
          </w:p>
        </w:tc>
      </w:tr>
      <w:tr w14:paraId="0B916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7400B102">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22D20970">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C4C35BD">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21E2FFA">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0AA7AFE0">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5162948E">
            <w:pPr>
              <w:snapToGrid w:val="0"/>
              <w:spacing w:before="50" w:after="156" w:afterLines="50" w:line="360" w:lineRule="exact"/>
              <w:jc w:val="left"/>
              <w:rPr>
                <w:rFonts w:hint="eastAsia" w:ascii="宋体" w:hAnsi="Times New Roman" w:eastAsia="宋体" w:cs="Times New Roman"/>
                <w:color w:val="auto"/>
                <w:szCs w:val="21"/>
                <w:highlight w:val="none"/>
              </w:rPr>
            </w:pPr>
          </w:p>
        </w:tc>
      </w:tr>
      <w:tr w14:paraId="065283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7B5DEDEC">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7F937D69">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EE4999D">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E26D268">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F191162">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2B1CC820">
            <w:pPr>
              <w:snapToGrid w:val="0"/>
              <w:spacing w:before="50" w:after="156" w:afterLines="50" w:line="360" w:lineRule="exact"/>
              <w:jc w:val="left"/>
              <w:rPr>
                <w:rFonts w:hint="eastAsia" w:ascii="宋体" w:hAnsi="Times New Roman" w:eastAsia="宋体" w:cs="Times New Roman"/>
                <w:color w:val="auto"/>
                <w:szCs w:val="21"/>
                <w:highlight w:val="none"/>
              </w:rPr>
            </w:pPr>
          </w:p>
        </w:tc>
      </w:tr>
      <w:tr w14:paraId="3B4E4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2FBD4E16">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159E5FC7">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6BAF599">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AF6B590">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EE88531">
            <w:pPr>
              <w:snapToGrid w:val="0"/>
              <w:spacing w:before="50" w:after="156" w:afterLines="50" w:line="360" w:lineRule="exact"/>
              <w:jc w:val="left"/>
              <w:rPr>
                <w:rFonts w:hint="eastAsia" w:ascii="宋体" w:hAnsi="Times New Roman" w:eastAsia="宋体" w:cs="Times New Roman"/>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26C43FDA">
            <w:pPr>
              <w:snapToGrid w:val="0"/>
              <w:spacing w:before="50" w:after="156" w:afterLines="50" w:line="360" w:lineRule="exact"/>
              <w:jc w:val="left"/>
              <w:rPr>
                <w:rFonts w:hint="eastAsia" w:ascii="宋体" w:hAnsi="Times New Roman" w:eastAsia="宋体" w:cs="Times New Roman"/>
                <w:color w:val="auto"/>
                <w:szCs w:val="21"/>
                <w:highlight w:val="none"/>
              </w:rPr>
            </w:pPr>
          </w:p>
        </w:tc>
      </w:tr>
    </w:tbl>
    <w:p w14:paraId="3B47FA4C">
      <w:pPr>
        <w:pStyle w:val="5"/>
        <w:snapToGrid w:val="0"/>
        <w:spacing w:line="360" w:lineRule="exact"/>
        <w:rPr>
          <w:rFonts w:hint="eastAsia" w:ascii="宋体" w:eastAsia="宋体"/>
          <w:color w:val="auto"/>
          <w:sz w:val="21"/>
          <w:szCs w:val="21"/>
          <w:highlight w:val="none"/>
          <w:u w:val="single"/>
        </w:rPr>
      </w:pPr>
      <w:r>
        <w:rPr>
          <w:rFonts w:hint="eastAsia" w:ascii="宋体" w:eastAsia="宋体"/>
          <w:color w:val="auto"/>
          <w:sz w:val="21"/>
          <w:szCs w:val="21"/>
          <w:highlight w:val="none"/>
        </w:rPr>
        <w:t xml:space="preserve">  法定代表人(负责人)签字或盖章：</w:t>
      </w:r>
      <w:r>
        <w:rPr>
          <w:rFonts w:hint="eastAsia" w:ascii="宋体" w:eastAsia="宋体"/>
          <w:color w:val="auto"/>
          <w:sz w:val="21"/>
          <w:szCs w:val="21"/>
          <w:highlight w:val="none"/>
          <w:u w:val="single"/>
        </w:rPr>
        <w:t>　　　    　　</w:t>
      </w:r>
    </w:p>
    <w:p w14:paraId="6C99EE23">
      <w:pPr>
        <w:snapToGrid w:val="0"/>
        <w:spacing w:before="50" w:line="360" w:lineRule="exact"/>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年    月   日</w:t>
      </w:r>
    </w:p>
    <w:p w14:paraId="34861869">
      <w:pPr>
        <w:rPr>
          <w:rFonts w:hint="eastAsia" w:ascii="Times New Roman" w:hAnsi="Times New Roman" w:eastAsia="宋体" w:cs="Times New Roman"/>
          <w:color w:val="auto"/>
          <w:highlight w:val="none"/>
        </w:rPr>
      </w:pPr>
    </w:p>
    <w:p w14:paraId="20306D37">
      <w:pPr>
        <w:rPr>
          <w:rFonts w:hint="eastAsia" w:ascii="Times New Roman" w:hAnsi="Times New Roman" w:eastAsia="宋体" w:cs="Times New Roman"/>
          <w:color w:val="auto"/>
          <w:highlight w:val="none"/>
        </w:rPr>
      </w:pPr>
    </w:p>
    <w:p w14:paraId="2EB462F3">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（11）其他特殊资质证书；</w:t>
      </w:r>
    </w:p>
    <w:p w14:paraId="0B3BFA2B">
      <w:pPr>
        <w:snapToGrid w:val="0"/>
        <w:spacing w:line="370" w:lineRule="exact"/>
        <w:ind w:firstLine="411" w:firstLineChars="196"/>
        <w:jc w:val="left"/>
        <w:rPr>
          <w:rFonts w:hint="eastAsia" w:ascii="宋体" w:hAnsi="Times New Roman" w:eastAsia="宋体" w:cs="Times New Roman"/>
          <w:color w:val="auto"/>
          <w:szCs w:val="21"/>
          <w:highlight w:val="none"/>
        </w:rPr>
      </w:pPr>
    </w:p>
    <w:p w14:paraId="4F55F2B2">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（12）节能环保产品或政府强制采购节能产品认证证书；</w:t>
      </w:r>
    </w:p>
    <w:p w14:paraId="3042AD90">
      <w:pPr>
        <w:snapToGrid w:val="0"/>
        <w:spacing w:line="370" w:lineRule="exact"/>
        <w:ind w:firstLine="411" w:firstLineChars="196"/>
        <w:jc w:val="left"/>
        <w:rPr>
          <w:rFonts w:hint="eastAsia" w:ascii="宋体" w:hAnsi="Times New Roman" w:eastAsia="宋体" w:cs="Times New Roman"/>
          <w:color w:val="auto"/>
          <w:szCs w:val="21"/>
          <w:highlight w:val="none"/>
        </w:rPr>
      </w:pPr>
    </w:p>
    <w:p w14:paraId="0A0ED90A">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（13）投标人质量管理和质量保证体系等方面的认证证书；</w:t>
      </w:r>
    </w:p>
    <w:p w14:paraId="421BB3C1">
      <w:pPr>
        <w:snapToGrid w:val="0"/>
        <w:spacing w:line="370" w:lineRule="exact"/>
        <w:ind w:firstLine="411" w:firstLineChars="196"/>
        <w:jc w:val="left"/>
        <w:rPr>
          <w:rFonts w:hint="eastAsia" w:ascii="宋体" w:hAnsi="Times New Roman" w:eastAsia="宋体" w:cs="Times New Roman"/>
          <w:color w:val="auto"/>
          <w:szCs w:val="21"/>
          <w:highlight w:val="none"/>
        </w:rPr>
      </w:pPr>
    </w:p>
    <w:p w14:paraId="798AA781">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（14）投标人认为可以证明其能力或业绩的其他材料；（格式自拟）</w:t>
      </w:r>
    </w:p>
    <w:p w14:paraId="2B62E4F9">
      <w:pPr>
        <w:snapToGrid w:val="0"/>
        <w:spacing w:line="370" w:lineRule="exact"/>
        <w:ind w:firstLine="411" w:firstLineChars="196"/>
        <w:jc w:val="left"/>
        <w:rPr>
          <w:rFonts w:hint="eastAsia" w:ascii="宋体" w:hAnsi="Times New Roman" w:eastAsia="宋体" w:cs="Times New Roman"/>
          <w:color w:val="auto"/>
          <w:szCs w:val="21"/>
          <w:highlight w:val="none"/>
        </w:rPr>
      </w:pPr>
    </w:p>
    <w:p w14:paraId="0DB8ADAD">
      <w:pPr>
        <w:snapToGrid w:val="0"/>
        <w:spacing w:line="37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（15）投标人关于产品生产时间、升级或者更新淘汰计划、配件供应以及本单位债务纠纷、违法违规记录等方面的情况（内容见投标声明书）；</w:t>
      </w:r>
    </w:p>
    <w:p w14:paraId="3FDA9403">
      <w:pPr>
        <w:snapToGrid w:val="0"/>
        <w:spacing w:line="380" w:lineRule="exact"/>
        <w:ind w:firstLine="411" w:firstLineChars="196"/>
        <w:jc w:val="left"/>
        <w:rPr>
          <w:rFonts w:hint="eastAsia" w:ascii="宋体" w:hAnsi="Times New Roman" w:eastAsia="宋体" w:cs="Times New Roman"/>
          <w:color w:val="auto"/>
          <w:szCs w:val="21"/>
          <w:highlight w:val="none"/>
        </w:rPr>
      </w:pPr>
    </w:p>
    <w:p w14:paraId="633B53EB">
      <w:pPr>
        <w:snapToGrid w:val="0"/>
        <w:spacing w:line="38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（16）投标人情况介绍；</w:t>
      </w:r>
    </w:p>
    <w:p w14:paraId="53AD809C">
      <w:pPr>
        <w:snapToGrid w:val="0"/>
        <w:spacing w:line="380" w:lineRule="exact"/>
        <w:ind w:firstLine="411" w:firstLineChars="196"/>
        <w:jc w:val="left"/>
        <w:rPr>
          <w:rFonts w:hint="eastAsia" w:ascii="宋体" w:hAnsi="Times New Roman" w:eastAsia="宋体" w:cs="Times New Roman"/>
          <w:color w:val="auto"/>
          <w:szCs w:val="21"/>
          <w:highlight w:val="none"/>
        </w:rPr>
      </w:pPr>
    </w:p>
    <w:p w14:paraId="6728D781">
      <w:pPr>
        <w:snapToGrid w:val="0"/>
        <w:spacing w:line="380" w:lineRule="exact"/>
        <w:ind w:firstLine="411" w:firstLineChars="196"/>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（17）投标人认为需要提供的其他材料。</w:t>
      </w:r>
    </w:p>
    <w:p w14:paraId="1EB3BE3C">
      <w:pPr>
        <w:snapToGrid w:val="0"/>
        <w:spacing w:before="50" w:after="156" w:afterLines="50" w:line="360" w:lineRule="exact"/>
        <w:jc w:val="left"/>
        <w:outlineLvl w:val="0"/>
        <w:rPr>
          <w:rFonts w:hint="eastAsia" w:ascii="宋体" w:hAnsi="宋体" w:eastAsia="宋体" w:cs="宋体"/>
          <w:b w:val="0"/>
          <w:bCs/>
          <w:color w:val="auto"/>
          <w:sz w:val="24"/>
          <w:highlight w:val="none"/>
          <w:lang w:eastAsia="zh-CN"/>
        </w:rPr>
      </w:pPr>
      <w:r>
        <w:rPr>
          <w:rFonts w:ascii="宋体" w:hAnsi="Times New Roman" w:eastAsia="宋体" w:cs="Times New Roman"/>
          <w:color w:val="auto"/>
          <w:szCs w:val="21"/>
          <w:highlight w:val="none"/>
        </w:rPr>
        <w:br w:type="page"/>
      </w: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18</w:t>
      </w:r>
      <w:r>
        <w:rPr>
          <w:rFonts w:hint="eastAsia" w:ascii="宋体" w:hAnsi="宋体" w:eastAsia="宋体" w:cs="宋体"/>
          <w:b w:val="0"/>
          <w:bCs/>
          <w:color w:val="auto"/>
          <w:sz w:val="24"/>
          <w:highlight w:val="none"/>
          <w:lang w:eastAsia="zh-CN"/>
        </w:rPr>
        <w:t>）中小企业声明函。（按最新相关政策执行，格式见第六章，</w:t>
      </w:r>
      <w:r>
        <w:rPr>
          <w:rFonts w:hint="eastAsia" w:ascii="宋体" w:hAnsi="宋体" w:eastAsia="宋体" w:cs="宋体"/>
          <w:b w:val="0"/>
          <w:bCs/>
          <w:color w:val="auto"/>
          <w:sz w:val="24"/>
          <w:highlight w:val="none"/>
          <w:lang w:val="en-US" w:eastAsia="zh-CN"/>
        </w:rPr>
        <w:t>必须</w:t>
      </w:r>
      <w:r>
        <w:rPr>
          <w:rFonts w:hint="eastAsia" w:ascii="宋体" w:hAnsi="宋体" w:eastAsia="宋体" w:cs="宋体"/>
          <w:b w:val="0"/>
          <w:bCs/>
          <w:color w:val="auto"/>
          <w:sz w:val="24"/>
          <w:highlight w:val="none"/>
          <w:lang w:eastAsia="zh-CN"/>
        </w:rPr>
        <w:t>提供）</w:t>
      </w:r>
    </w:p>
    <w:p w14:paraId="5D7527E6">
      <w:pPr>
        <w:widowControl w:val="0"/>
        <w:spacing w:line="500" w:lineRule="exact"/>
        <w:jc w:val="center"/>
        <w:rPr>
          <w:rFonts w:ascii="宋体" w:hAnsi="宋体" w:eastAsia="宋体" w:cs="Times New Roman"/>
          <w:b/>
          <w:bCs/>
          <w:color w:val="auto"/>
          <w:kern w:val="2"/>
          <w:sz w:val="30"/>
          <w:szCs w:val="30"/>
          <w:highlight w:val="none"/>
          <w:lang w:val="en-US" w:eastAsia="zh-CN" w:bidi="ar-SA"/>
        </w:rPr>
      </w:pPr>
      <w:r>
        <w:rPr>
          <w:rFonts w:ascii="宋体" w:hAnsi="宋体" w:eastAsia="宋体" w:cs="Times New Roman"/>
          <w:b/>
          <w:bCs/>
          <w:color w:val="auto"/>
          <w:kern w:val="2"/>
          <w:sz w:val="30"/>
          <w:szCs w:val="30"/>
          <w:highlight w:val="none"/>
          <w:lang w:val="en-US" w:eastAsia="zh-CN" w:bidi="ar-SA"/>
        </w:rPr>
        <w:t>中小企业声明函</w:t>
      </w:r>
    </w:p>
    <w:p w14:paraId="5A61F072">
      <w:pPr>
        <w:widowControl w:val="0"/>
        <w:spacing w:line="500" w:lineRule="exact"/>
        <w:jc w:val="center"/>
        <w:rPr>
          <w:rFonts w:hint="eastAsia" w:ascii="宋体" w:hAnsi="宋体" w:eastAsia="宋体" w:cs="Times New Roman"/>
          <w:b/>
          <w:bCs/>
          <w:color w:val="auto"/>
          <w:kern w:val="2"/>
          <w:sz w:val="30"/>
          <w:szCs w:val="30"/>
          <w:highlight w:val="none"/>
          <w:lang w:val="en-US" w:eastAsia="zh-CN" w:bidi="ar-SA"/>
        </w:rPr>
      </w:pPr>
    </w:p>
    <w:p w14:paraId="3E0137AA">
      <w:pPr>
        <w:widowControl w:val="0"/>
        <w:spacing w:line="440" w:lineRule="exact"/>
        <w:ind w:firstLine="525" w:firstLineChars="25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本公司（联合体）郑重声明，根据《政府采购促进中小企业发展管理办法》（财库﹝2020﹞46 号）的规定，本公司（联合体）参加</w:t>
      </w:r>
      <w:r>
        <w:rPr>
          <w:rFonts w:hint="eastAsia" w:ascii="宋体" w:hAnsi="Times New Roman" w:eastAsia="宋体" w:cs="Times New Roman"/>
          <w:color w:val="auto"/>
          <w:kern w:val="2"/>
          <w:sz w:val="21"/>
          <w:szCs w:val="21"/>
          <w:highlight w:val="none"/>
          <w:u w:val="single"/>
          <w:lang w:val="en-US" w:eastAsia="zh-CN" w:bidi="ar-SA"/>
        </w:rPr>
        <w:t>（单位名称：广西机电职业技术学院）</w:t>
      </w:r>
      <w:r>
        <w:rPr>
          <w:rFonts w:hint="eastAsia" w:ascii="宋体" w:hAnsi="Times New Roman" w:eastAsia="宋体" w:cs="Times New Roman"/>
          <w:color w:val="auto"/>
          <w:kern w:val="2"/>
          <w:sz w:val="21"/>
          <w:szCs w:val="21"/>
          <w:highlight w:val="none"/>
          <w:lang w:val="en-US" w:eastAsia="zh-CN" w:bidi="ar-SA"/>
        </w:rPr>
        <w:t>的</w:t>
      </w:r>
      <w:r>
        <w:rPr>
          <w:rFonts w:hint="eastAsia" w:ascii="宋体" w:hAnsi="Times New Roman" w:eastAsia="宋体" w:cs="Times New Roman"/>
          <w:color w:val="auto"/>
          <w:kern w:val="2"/>
          <w:sz w:val="21"/>
          <w:szCs w:val="21"/>
          <w:highlight w:val="none"/>
          <w:u w:val="single"/>
          <w:lang w:val="en-US" w:eastAsia="zh-CN" w:bidi="ar-SA"/>
        </w:rPr>
        <w:t>（项目名称：有色金属及新材料检测人才培养基地）</w:t>
      </w:r>
      <w:r>
        <w:rPr>
          <w:rFonts w:hint="eastAsia" w:ascii="宋体" w:hAnsi="Times New Roman" w:eastAsia="宋体" w:cs="Times New Roman"/>
          <w:color w:val="auto"/>
          <w:kern w:val="2"/>
          <w:sz w:val="21"/>
          <w:szCs w:val="21"/>
          <w:highlight w:val="none"/>
          <w:lang w:val="en-US" w:eastAsia="zh-CN" w:bidi="ar-SA"/>
        </w:rPr>
        <w:t>采购活动，提供的货物全部由符合政策要求的中小企业制造。相关企业（含联合体中的中小企业、签订分包意向协议的中小企业）的具体情况如下：</w:t>
      </w:r>
    </w:p>
    <w:p w14:paraId="2768C1A7">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1.</w:t>
      </w:r>
      <w:r>
        <w:rPr>
          <w:rFonts w:hint="eastAsia" w:ascii="宋体" w:hAnsi="Times New Roman" w:eastAsia="宋体" w:cs="Times New Roman"/>
          <w:color w:val="auto"/>
          <w:kern w:val="2"/>
          <w:sz w:val="21"/>
          <w:szCs w:val="21"/>
          <w:highlight w:val="none"/>
          <w:u w:val="single"/>
          <w:lang w:val="en-US" w:eastAsia="zh-CN" w:bidi="ar-SA"/>
        </w:rPr>
        <w:t>（标的名称）</w:t>
      </w:r>
      <w:r>
        <w:rPr>
          <w:rFonts w:hint="eastAsia" w:ascii="宋体" w:hAnsi="Times New Roman" w:eastAsia="宋体" w:cs="Times New Roman"/>
          <w:color w:val="auto"/>
          <w:kern w:val="2"/>
          <w:sz w:val="21"/>
          <w:szCs w:val="21"/>
          <w:highlight w:val="none"/>
          <w:lang w:val="en-US" w:eastAsia="zh-CN" w:bidi="ar-SA"/>
        </w:rPr>
        <w:t>，属于</w:t>
      </w:r>
      <w:r>
        <w:rPr>
          <w:rFonts w:hint="eastAsia" w:ascii="宋体" w:hAnsi="Times New Roman" w:eastAsia="宋体" w:cs="Times New Roman"/>
          <w:color w:val="auto"/>
          <w:kern w:val="2"/>
          <w:sz w:val="21"/>
          <w:szCs w:val="21"/>
          <w:highlight w:val="none"/>
          <w:u w:val="single"/>
          <w:lang w:val="en-US" w:eastAsia="zh-CN" w:bidi="ar-SA"/>
        </w:rPr>
        <w:t>（采购文件中明确的所属行业）行业</w:t>
      </w:r>
      <w:r>
        <w:rPr>
          <w:rFonts w:hint="eastAsia" w:ascii="宋体" w:hAnsi="Times New Roman" w:eastAsia="宋体" w:cs="Times New Roman"/>
          <w:color w:val="auto"/>
          <w:kern w:val="2"/>
          <w:sz w:val="21"/>
          <w:szCs w:val="21"/>
          <w:highlight w:val="none"/>
          <w:lang w:val="en-US" w:eastAsia="zh-CN" w:bidi="ar-SA"/>
        </w:rPr>
        <w:t>；制造商为</w:t>
      </w:r>
      <w:r>
        <w:rPr>
          <w:rFonts w:hint="eastAsia" w:ascii="宋体" w:hAnsi="Times New Roman" w:eastAsia="宋体" w:cs="Times New Roman"/>
          <w:color w:val="auto"/>
          <w:kern w:val="2"/>
          <w:sz w:val="21"/>
          <w:szCs w:val="21"/>
          <w:highlight w:val="none"/>
          <w:u w:val="single"/>
          <w:lang w:val="en-US" w:eastAsia="zh-CN" w:bidi="ar-SA"/>
        </w:rPr>
        <w:t>：   （企业名称）</w:t>
      </w:r>
      <w:r>
        <w:rPr>
          <w:rFonts w:hint="eastAsia" w:ascii="宋体" w:hAnsi="Times New Roman" w:eastAsia="宋体" w:cs="Times New Roman"/>
          <w:color w:val="auto"/>
          <w:kern w:val="2"/>
          <w:sz w:val="21"/>
          <w:szCs w:val="21"/>
          <w:highlight w:val="none"/>
          <w:lang w:val="en-US" w:eastAsia="zh-CN" w:bidi="ar-SA"/>
        </w:rPr>
        <w:t>，从业人员</w:t>
      </w:r>
      <w:r>
        <w:rPr>
          <w:rFonts w:hint="eastAsia" w:ascii="宋体" w:hAnsi="Times New Roman" w:eastAsia="宋体" w:cs="Times New Roman"/>
          <w:color w:val="auto"/>
          <w:kern w:val="2"/>
          <w:sz w:val="21"/>
          <w:szCs w:val="21"/>
          <w:highlight w:val="none"/>
          <w:u w:val="single"/>
          <w:lang w:val="en-US" w:eastAsia="zh-CN" w:bidi="ar-SA"/>
        </w:rPr>
        <w:t xml:space="preserve">     </w:t>
      </w:r>
      <w:r>
        <w:rPr>
          <w:rFonts w:hint="eastAsia" w:ascii="宋体" w:hAnsi="Times New Roman" w:eastAsia="宋体" w:cs="Times New Roman"/>
          <w:color w:val="auto"/>
          <w:kern w:val="2"/>
          <w:sz w:val="21"/>
          <w:szCs w:val="21"/>
          <w:highlight w:val="none"/>
          <w:lang w:val="en-US" w:eastAsia="zh-CN" w:bidi="ar-SA"/>
        </w:rPr>
        <w:t>人，营业收入为</w:t>
      </w:r>
      <w:r>
        <w:rPr>
          <w:rFonts w:hint="eastAsia" w:ascii="宋体" w:hAnsi="Times New Roman" w:eastAsia="宋体" w:cs="Times New Roman"/>
          <w:color w:val="auto"/>
          <w:kern w:val="2"/>
          <w:sz w:val="21"/>
          <w:szCs w:val="21"/>
          <w:highlight w:val="none"/>
          <w:u w:val="single"/>
          <w:lang w:val="en-US" w:eastAsia="zh-CN" w:bidi="ar-SA"/>
        </w:rPr>
        <w:t xml:space="preserve">     </w:t>
      </w:r>
      <w:r>
        <w:rPr>
          <w:rFonts w:hint="eastAsia" w:ascii="宋体" w:hAnsi="Times New Roman" w:eastAsia="宋体" w:cs="Times New Roman"/>
          <w:color w:val="auto"/>
          <w:kern w:val="2"/>
          <w:sz w:val="21"/>
          <w:szCs w:val="21"/>
          <w:highlight w:val="none"/>
          <w:lang w:val="en-US" w:eastAsia="zh-CN" w:bidi="ar-SA"/>
        </w:rPr>
        <w:t>万元，资产总额为</w:t>
      </w:r>
      <w:r>
        <w:rPr>
          <w:rFonts w:hint="eastAsia" w:ascii="宋体" w:hAnsi="Times New Roman" w:eastAsia="宋体" w:cs="Times New Roman"/>
          <w:color w:val="auto"/>
          <w:kern w:val="2"/>
          <w:sz w:val="21"/>
          <w:szCs w:val="21"/>
          <w:highlight w:val="none"/>
          <w:u w:val="single"/>
          <w:lang w:val="en-US" w:eastAsia="zh-CN" w:bidi="ar-SA"/>
        </w:rPr>
        <w:t xml:space="preserve">     </w:t>
      </w:r>
      <w:r>
        <w:rPr>
          <w:rFonts w:hint="eastAsia" w:ascii="宋体" w:hAnsi="Times New Roman" w:eastAsia="宋体" w:cs="Times New Roman"/>
          <w:color w:val="auto"/>
          <w:kern w:val="2"/>
          <w:sz w:val="21"/>
          <w:szCs w:val="21"/>
          <w:highlight w:val="none"/>
          <w:lang w:val="en-US" w:eastAsia="zh-CN" w:bidi="ar-SA"/>
        </w:rPr>
        <w:t>万元，属于</w:t>
      </w:r>
      <w:r>
        <w:rPr>
          <w:rFonts w:hint="eastAsia" w:ascii="宋体" w:hAnsi="Times New Roman" w:eastAsia="宋体" w:cs="Times New Roman"/>
          <w:color w:val="auto"/>
          <w:kern w:val="2"/>
          <w:sz w:val="21"/>
          <w:szCs w:val="21"/>
          <w:highlight w:val="none"/>
          <w:u w:val="single"/>
          <w:lang w:val="en-US" w:eastAsia="zh-CN" w:bidi="ar-SA"/>
        </w:rPr>
        <w:t xml:space="preserve">      （中型企业、小型企业、微型企业）</w:t>
      </w:r>
      <w:r>
        <w:rPr>
          <w:rFonts w:hint="eastAsia" w:ascii="宋体" w:hAnsi="Times New Roman" w:eastAsia="宋体" w:cs="Times New Roman"/>
          <w:color w:val="auto"/>
          <w:kern w:val="2"/>
          <w:sz w:val="21"/>
          <w:szCs w:val="21"/>
          <w:highlight w:val="none"/>
          <w:lang w:val="en-US" w:eastAsia="zh-CN" w:bidi="ar-SA"/>
        </w:rPr>
        <w:t>；</w:t>
      </w:r>
    </w:p>
    <w:p w14:paraId="17F13FA7">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w:t>
      </w:r>
    </w:p>
    <w:p w14:paraId="32083F07">
      <w:pPr>
        <w:tabs>
          <w:tab w:val="left" w:pos="1065"/>
          <w:tab w:val="left" w:pos="4262"/>
          <w:tab w:val="left" w:pos="6477"/>
        </w:tabs>
        <w:spacing w:before="20" w:line="440" w:lineRule="exact"/>
        <w:ind w:right="84"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2</w:t>
      </w:r>
      <w:r>
        <w:rPr>
          <w:rFonts w:ascii="宋体" w:hAnsi="宋体" w:eastAsia="宋体" w:cs="Times New Roman"/>
          <w:color w:val="auto"/>
          <w:szCs w:val="21"/>
          <w:highlight w:val="none"/>
        </w:rPr>
        <w:t>.</w:t>
      </w:r>
      <w:r>
        <w:rPr>
          <w:rFonts w:hint="eastAsia" w:ascii="Times New Roman" w:hAnsi="Times New Roman" w:eastAsia="宋体" w:cs="Times New Roman"/>
          <w:color w:val="auto"/>
          <w:highlight w:val="none"/>
          <w:u w:val="single"/>
        </w:rPr>
        <w:t>（标的名称）</w:t>
      </w:r>
      <w:r>
        <w:rPr>
          <w:rFonts w:hint="eastAsia" w:ascii="Times New Roman" w:hAnsi="Times New Roman" w:eastAsia="宋体" w:cs="Times New Roman"/>
          <w:color w:val="auto"/>
          <w:highlight w:val="none"/>
        </w:rPr>
        <w:t>，属于</w:t>
      </w:r>
      <w:r>
        <w:rPr>
          <w:rFonts w:hint="eastAsia" w:ascii="Times New Roman" w:hAnsi="Times New Roman" w:eastAsia="宋体" w:cs="Times New Roman"/>
          <w:color w:val="auto"/>
          <w:highlight w:val="none"/>
          <w:u w:val="single"/>
        </w:rPr>
        <w:t>（采购文件中明确的所属行业）行业</w:t>
      </w:r>
      <w:r>
        <w:rPr>
          <w:rFonts w:hint="eastAsia" w:ascii="Times New Roman" w:hAnsi="Times New Roman" w:eastAsia="宋体" w:cs="Times New Roman"/>
          <w:color w:val="auto"/>
          <w:highlight w:val="none"/>
        </w:rPr>
        <w:t>；制造商为</w:t>
      </w:r>
      <w:r>
        <w:rPr>
          <w:rFonts w:hint="eastAsia" w:ascii="Times New Roman" w:hAnsi="Times New Roman" w:eastAsia="宋体" w:cs="Times New Roman"/>
          <w:color w:val="auto"/>
          <w:highlight w:val="none"/>
          <w:u w:val="single"/>
        </w:rPr>
        <w:t xml:space="preserve">   （企业名称）</w:t>
      </w:r>
      <w:r>
        <w:rPr>
          <w:rFonts w:hint="eastAsia" w:ascii="Times New Roman" w:hAnsi="Times New Roman" w:eastAsia="宋体" w:cs="Times New Roman"/>
          <w:color w:val="auto"/>
          <w:highlight w:val="none"/>
        </w:rPr>
        <w:t>，从业人员</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人，营业收入为</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万元，资产总额为</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万元，属于</w:t>
      </w:r>
      <w:r>
        <w:rPr>
          <w:rFonts w:hint="eastAsia" w:ascii="Times New Roman" w:hAnsi="Times New Roman" w:eastAsia="宋体" w:cs="Times New Roman"/>
          <w:color w:val="auto"/>
          <w:highlight w:val="none"/>
          <w:u w:val="single"/>
        </w:rPr>
        <w:t>（中型企业、小型企业、微型企业）</w:t>
      </w:r>
      <w:r>
        <w:rPr>
          <w:rFonts w:hint="eastAsia" w:ascii="Times New Roman" w:hAnsi="Times New Roman" w:eastAsia="宋体" w:cs="Times New Roman"/>
          <w:color w:val="auto"/>
          <w:highlight w:val="none"/>
        </w:rPr>
        <w:t>；</w:t>
      </w:r>
      <w:r>
        <w:rPr>
          <w:rFonts w:hint="eastAsia" w:ascii="宋体" w:hAnsi="宋体" w:eastAsia="宋体" w:cs="Times New Roman"/>
          <w:color w:val="auto"/>
          <w:szCs w:val="21"/>
          <w:highlight w:val="none"/>
        </w:rPr>
        <w:t xml:space="preserve"> </w:t>
      </w:r>
    </w:p>
    <w:p w14:paraId="4DA63CCF">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p>
    <w:p w14:paraId="031A5BD4">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以上企业，不属于大企业的分支机构，不存在控股股东为大企业的情形，也不存在与大企业的负责人为同一人的情形。</w:t>
      </w:r>
    </w:p>
    <w:p w14:paraId="2610D607">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本企业对上述声明内容的真实性负责。如有虚假，将依法承担相应责任。</w:t>
      </w:r>
    </w:p>
    <w:p w14:paraId="03737BA6">
      <w:pPr>
        <w:widowControl w:val="0"/>
        <w:spacing w:line="440" w:lineRule="exact"/>
        <w:ind w:firstLine="420" w:firstLineChars="200"/>
        <w:jc w:val="left"/>
        <w:rPr>
          <w:rFonts w:hint="eastAsia" w:ascii="宋体" w:hAnsi="Times New Roman" w:eastAsia="宋体" w:cs="Times New Roman"/>
          <w:color w:val="auto"/>
          <w:kern w:val="2"/>
          <w:sz w:val="21"/>
          <w:szCs w:val="21"/>
          <w:highlight w:val="none"/>
          <w:lang w:val="en-US" w:eastAsia="zh-CN" w:bidi="ar-SA"/>
        </w:rPr>
      </w:pPr>
    </w:p>
    <w:p w14:paraId="2CE3B474">
      <w:pPr>
        <w:widowControl w:val="0"/>
        <w:spacing w:line="440" w:lineRule="exact"/>
        <w:ind w:firstLine="4620" w:firstLineChars="2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企业名称（盖章）：</w:t>
      </w:r>
    </w:p>
    <w:p w14:paraId="1000D1D1">
      <w:pPr>
        <w:widowControl w:val="0"/>
        <w:spacing w:line="440" w:lineRule="exact"/>
        <w:ind w:firstLine="4620" w:firstLineChars="2200"/>
        <w:jc w:val="left"/>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日 期：</w:t>
      </w:r>
    </w:p>
    <w:p w14:paraId="1A4B6085">
      <w:pPr>
        <w:widowControl w:val="0"/>
        <w:spacing w:line="500" w:lineRule="exact"/>
        <w:jc w:val="left"/>
        <w:rPr>
          <w:rFonts w:hint="eastAsia" w:ascii="宋体" w:hAnsi="Times New Roman" w:eastAsia="宋体" w:cs="Times New Roman"/>
          <w:color w:val="auto"/>
          <w:kern w:val="2"/>
          <w:sz w:val="18"/>
          <w:szCs w:val="18"/>
          <w:highlight w:val="none"/>
          <w:lang w:val="en-US" w:eastAsia="zh-CN" w:bidi="ar-SA"/>
        </w:rPr>
      </w:pPr>
      <w:r>
        <w:rPr>
          <w:rFonts w:hint="eastAsia" w:ascii="宋体" w:hAnsi="Times New Roman" w:eastAsia="宋体" w:cs="Times New Roman"/>
          <w:color w:val="auto"/>
          <w:kern w:val="2"/>
          <w:sz w:val="18"/>
          <w:szCs w:val="18"/>
          <w:highlight w:val="none"/>
          <w:lang w:val="en-US" w:eastAsia="zh-CN" w:bidi="ar-SA"/>
        </w:rPr>
        <w:t>注：1、从业人员、营业收入、资产总额填报上一年度数据，无上一年度数据的新成立企业可不填报。</w:t>
      </w:r>
    </w:p>
    <w:p w14:paraId="21FD6902">
      <w:pPr>
        <w:snapToGrid w:val="0"/>
        <w:spacing w:line="380" w:lineRule="exact"/>
        <w:ind w:firstLine="352" w:firstLineChars="196"/>
        <w:jc w:val="left"/>
        <w:rPr>
          <w:rFonts w:hint="eastAsia" w:ascii="宋体" w:hAnsi="Times New Roman" w:eastAsia="宋体" w:cs="Times New Roman"/>
          <w:color w:val="auto"/>
          <w:sz w:val="18"/>
          <w:szCs w:val="18"/>
          <w:highlight w:val="none"/>
        </w:rPr>
      </w:pPr>
      <w:r>
        <w:rPr>
          <w:rFonts w:hint="eastAsia" w:ascii="宋体" w:hAnsi="Times New Roman" w:eastAsia="宋体" w:cs="Times New Roman"/>
          <w:color w:val="auto"/>
          <w:sz w:val="18"/>
          <w:szCs w:val="18"/>
          <w:highlight w:val="none"/>
        </w:rPr>
        <w:t>2、请根据自己的真实情况出具《中小企业声明函》。依法享受中小企业优惠政策的，采购人或者采购代理机构在公告中标结果时，同时公告其《中小企业声明函》，接受社会监督。</w:t>
      </w:r>
    </w:p>
    <w:p w14:paraId="2A7A912F">
      <w:pPr>
        <w:snapToGrid w:val="0"/>
        <w:spacing w:line="380" w:lineRule="exact"/>
        <w:ind w:firstLine="352" w:firstLineChars="196"/>
        <w:jc w:val="left"/>
        <w:rPr>
          <w:rFonts w:hint="eastAsia" w:ascii="宋体" w:hAnsi="Times New Roman" w:eastAsia="宋体" w:cs="Times New Roman"/>
          <w:color w:val="auto"/>
          <w:sz w:val="18"/>
          <w:szCs w:val="18"/>
          <w:highlight w:val="none"/>
        </w:rPr>
      </w:pPr>
      <w:r>
        <w:rPr>
          <w:rFonts w:hint="eastAsia" w:ascii="宋体" w:hAnsi="Times New Roman" w:eastAsia="宋体" w:cs="Times New Roman"/>
          <w:color w:val="auto"/>
          <w:sz w:val="18"/>
          <w:szCs w:val="18"/>
          <w:highlight w:val="none"/>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3F88A5F0">
      <w:pPr>
        <w:keepNext w:val="0"/>
        <w:keepLines w:val="0"/>
        <w:pageBreakBefore w:val="0"/>
        <w:widowControl w:val="0"/>
        <w:kinsoku/>
        <w:wordWrap/>
        <w:overflowPunct/>
        <w:topLinePunct w:val="0"/>
        <w:autoSpaceDE/>
        <w:autoSpaceDN/>
        <w:bidi w:val="0"/>
        <w:adjustRightInd/>
        <w:snapToGrid w:val="0"/>
        <w:spacing w:line="360" w:lineRule="exact"/>
        <w:ind w:firstLine="352" w:firstLineChars="196"/>
        <w:jc w:val="center"/>
        <w:textAlignment w:val="auto"/>
        <w:rPr>
          <w:rFonts w:ascii="宋体" w:hAnsi="宋体" w:eastAsia="宋体" w:cs="Arial Unicode MS"/>
          <w:color w:val="auto"/>
          <w:sz w:val="40"/>
          <w:szCs w:val="40"/>
          <w:highlight w:val="none"/>
        </w:rPr>
      </w:pPr>
      <w:r>
        <w:rPr>
          <w:rFonts w:hint="eastAsia" w:ascii="宋体" w:hAnsi="Times New Roman" w:eastAsia="宋体" w:cs="Times New Roman"/>
          <w:color w:val="auto"/>
          <w:sz w:val="18"/>
          <w:szCs w:val="18"/>
          <w:highlight w:val="none"/>
        </w:rPr>
        <w:br w:type="page"/>
      </w:r>
      <w:r>
        <w:rPr>
          <w:rFonts w:hint="eastAsia" w:ascii="宋体" w:hAnsi="宋体" w:eastAsia="宋体" w:cs="微软雅黑"/>
          <w:color w:val="auto"/>
          <w:sz w:val="40"/>
          <w:szCs w:val="40"/>
          <w:highlight w:val="none"/>
        </w:rPr>
        <w:t>中小微企业划型标准</w:t>
      </w:r>
    </w:p>
    <w:tbl>
      <w:tblPr>
        <w:tblStyle w:val="20"/>
        <w:tblW w:w="8537" w:type="dxa"/>
        <w:tblInd w:w="250" w:type="dxa"/>
        <w:tblLayout w:type="fixed"/>
        <w:tblCellMar>
          <w:top w:w="0" w:type="dxa"/>
          <w:left w:w="108" w:type="dxa"/>
          <w:bottom w:w="0" w:type="dxa"/>
          <w:right w:w="108" w:type="dxa"/>
        </w:tblCellMar>
      </w:tblPr>
      <w:tblGrid>
        <w:gridCol w:w="1820"/>
        <w:gridCol w:w="1480"/>
        <w:gridCol w:w="976"/>
        <w:gridCol w:w="1733"/>
        <w:gridCol w:w="1539"/>
        <w:gridCol w:w="989"/>
      </w:tblGrid>
      <w:tr w14:paraId="77CC87EA">
        <w:tblPrEx>
          <w:tblCellMar>
            <w:top w:w="0" w:type="dxa"/>
            <w:left w:w="108" w:type="dxa"/>
            <w:bottom w:w="0" w:type="dxa"/>
            <w:right w:w="108" w:type="dxa"/>
          </w:tblCellMar>
        </w:tblPrEx>
        <w:trPr>
          <w:trHeight w:val="889" w:hRule="atLeast"/>
        </w:trPr>
        <w:tc>
          <w:tcPr>
            <w:tcW w:w="1820" w:type="dxa"/>
            <w:tcBorders>
              <w:top w:val="single" w:color="auto" w:sz="4" w:space="0"/>
              <w:left w:val="single" w:color="auto" w:sz="4" w:space="0"/>
              <w:bottom w:val="single" w:color="auto" w:sz="4" w:space="0"/>
              <w:right w:val="single" w:color="auto" w:sz="4" w:space="0"/>
            </w:tcBorders>
            <w:noWrap w:val="0"/>
            <w:vAlign w:val="center"/>
          </w:tcPr>
          <w:p w14:paraId="60E4C77E">
            <w:pPr>
              <w:widowControl/>
              <w:jc w:val="left"/>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480" w:type="dxa"/>
            <w:tcBorders>
              <w:top w:val="single" w:color="auto" w:sz="4" w:space="0"/>
              <w:left w:val="nil"/>
              <w:bottom w:val="single" w:color="auto" w:sz="4" w:space="0"/>
              <w:right w:val="single" w:color="auto" w:sz="4" w:space="0"/>
            </w:tcBorders>
            <w:noWrap w:val="0"/>
            <w:vAlign w:val="center"/>
          </w:tcPr>
          <w:p w14:paraId="23DC9A2B">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976" w:type="dxa"/>
            <w:tcBorders>
              <w:top w:val="single" w:color="auto" w:sz="4" w:space="0"/>
              <w:left w:val="nil"/>
              <w:bottom w:val="single" w:color="auto" w:sz="4" w:space="0"/>
              <w:right w:val="single" w:color="auto" w:sz="4" w:space="0"/>
            </w:tcBorders>
            <w:noWrap w:val="0"/>
            <w:vAlign w:val="center"/>
          </w:tcPr>
          <w:p w14:paraId="2C08ED83">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733" w:type="dxa"/>
            <w:tcBorders>
              <w:top w:val="single" w:color="auto" w:sz="4" w:space="0"/>
              <w:left w:val="nil"/>
              <w:bottom w:val="single" w:color="auto" w:sz="4" w:space="0"/>
              <w:right w:val="single" w:color="auto" w:sz="4" w:space="0"/>
            </w:tcBorders>
            <w:noWrap w:val="0"/>
            <w:vAlign w:val="center"/>
          </w:tcPr>
          <w:p w14:paraId="41257DC5">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539" w:type="dxa"/>
            <w:tcBorders>
              <w:top w:val="single" w:color="auto" w:sz="4" w:space="0"/>
              <w:left w:val="nil"/>
              <w:bottom w:val="single" w:color="auto" w:sz="4" w:space="0"/>
              <w:right w:val="single" w:color="auto" w:sz="4" w:space="0"/>
            </w:tcBorders>
            <w:noWrap w:val="0"/>
            <w:vAlign w:val="center"/>
          </w:tcPr>
          <w:p w14:paraId="39E94903">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989" w:type="dxa"/>
            <w:tcBorders>
              <w:top w:val="single" w:color="auto" w:sz="4" w:space="0"/>
              <w:left w:val="nil"/>
              <w:bottom w:val="single" w:color="auto" w:sz="4" w:space="0"/>
              <w:right w:val="single" w:color="auto" w:sz="4" w:space="0"/>
            </w:tcBorders>
            <w:noWrap w:val="0"/>
            <w:vAlign w:val="center"/>
          </w:tcPr>
          <w:p w14:paraId="4C7AD830">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4AD17EDB">
        <w:tblPrEx>
          <w:tblCellMar>
            <w:top w:w="0" w:type="dxa"/>
            <w:left w:w="108" w:type="dxa"/>
            <w:bottom w:w="0" w:type="dxa"/>
            <w:right w:w="108" w:type="dxa"/>
          </w:tblCellMar>
        </w:tblPrEx>
        <w:trPr>
          <w:trHeight w:val="366" w:hRule="atLeast"/>
        </w:trPr>
        <w:tc>
          <w:tcPr>
            <w:tcW w:w="1820" w:type="dxa"/>
            <w:tcBorders>
              <w:top w:val="nil"/>
              <w:left w:val="single" w:color="auto" w:sz="4" w:space="0"/>
              <w:bottom w:val="single" w:color="auto" w:sz="4" w:space="0"/>
              <w:right w:val="single" w:color="auto" w:sz="4" w:space="0"/>
            </w:tcBorders>
            <w:noWrap w:val="0"/>
            <w:vAlign w:val="bottom"/>
          </w:tcPr>
          <w:p w14:paraId="5757A2A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480" w:type="dxa"/>
            <w:tcBorders>
              <w:top w:val="nil"/>
              <w:left w:val="nil"/>
              <w:bottom w:val="single" w:color="auto" w:sz="4" w:space="0"/>
              <w:right w:val="single" w:color="auto" w:sz="4" w:space="0"/>
            </w:tcBorders>
            <w:noWrap w:val="0"/>
            <w:vAlign w:val="center"/>
          </w:tcPr>
          <w:p w14:paraId="60B752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214E8C8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3DB18FC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539" w:type="dxa"/>
            <w:tcBorders>
              <w:top w:val="nil"/>
              <w:left w:val="nil"/>
              <w:bottom w:val="single" w:color="auto" w:sz="4" w:space="0"/>
              <w:right w:val="single" w:color="auto" w:sz="4" w:space="0"/>
            </w:tcBorders>
            <w:noWrap w:val="0"/>
            <w:vAlign w:val="center"/>
          </w:tcPr>
          <w:p w14:paraId="41EC95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89" w:type="dxa"/>
            <w:tcBorders>
              <w:top w:val="nil"/>
              <w:left w:val="nil"/>
              <w:bottom w:val="single" w:color="auto" w:sz="4" w:space="0"/>
              <w:right w:val="single" w:color="auto" w:sz="4" w:space="0"/>
            </w:tcBorders>
            <w:noWrap w:val="0"/>
            <w:vAlign w:val="center"/>
          </w:tcPr>
          <w:p w14:paraId="6BF2D6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29CBEE00">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7848C42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480" w:type="dxa"/>
            <w:tcBorders>
              <w:top w:val="nil"/>
              <w:left w:val="nil"/>
              <w:bottom w:val="single" w:color="auto" w:sz="4" w:space="0"/>
              <w:right w:val="single" w:color="auto" w:sz="4" w:space="0"/>
            </w:tcBorders>
            <w:noWrap w:val="0"/>
            <w:vAlign w:val="center"/>
          </w:tcPr>
          <w:p w14:paraId="42E13A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78C1296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2F45C6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39" w:type="dxa"/>
            <w:tcBorders>
              <w:top w:val="nil"/>
              <w:left w:val="nil"/>
              <w:bottom w:val="single" w:color="auto" w:sz="4" w:space="0"/>
              <w:right w:val="single" w:color="auto" w:sz="4" w:space="0"/>
            </w:tcBorders>
            <w:noWrap w:val="0"/>
            <w:vAlign w:val="center"/>
          </w:tcPr>
          <w:p w14:paraId="7D2AD1B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89" w:type="dxa"/>
            <w:tcBorders>
              <w:top w:val="nil"/>
              <w:left w:val="nil"/>
              <w:bottom w:val="single" w:color="auto" w:sz="4" w:space="0"/>
              <w:right w:val="single" w:color="auto" w:sz="4" w:space="0"/>
            </w:tcBorders>
            <w:noWrap w:val="0"/>
            <w:vAlign w:val="center"/>
          </w:tcPr>
          <w:p w14:paraId="548E4D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20A8FF8">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45035DD6">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4A9909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0519E4C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332C639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539" w:type="dxa"/>
            <w:tcBorders>
              <w:top w:val="nil"/>
              <w:left w:val="nil"/>
              <w:bottom w:val="single" w:color="auto" w:sz="4" w:space="0"/>
              <w:right w:val="single" w:color="auto" w:sz="4" w:space="0"/>
            </w:tcBorders>
            <w:noWrap w:val="0"/>
            <w:vAlign w:val="center"/>
          </w:tcPr>
          <w:p w14:paraId="4719017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89" w:type="dxa"/>
            <w:tcBorders>
              <w:top w:val="nil"/>
              <w:left w:val="nil"/>
              <w:bottom w:val="single" w:color="auto" w:sz="4" w:space="0"/>
              <w:right w:val="single" w:color="auto" w:sz="4" w:space="0"/>
            </w:tcBorders>
            <w:noWrap w:val="0"/>
            <w:vAlign w:val="center"/>
          </w:tcPr>
          <w:p w14:paraId="3BC0C0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475B251">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0541AF4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480" w:type="dxa"/>
            <w:tcBorders>
              <w:top w:val="nil"/>
              <w:left w:val="nil"/>
              <w:bottom w:val="single" w:color="auto" w:sz="4" w:space="0"/>
              <w:right w:val="single" w:color="auto" w:sz="4" w:space="0"/>
            </w:tcBorders>
            <w:noWrap w:val="0"/>
            <w:vAlign w:val="center"/>
          </w:tcPr>
          <w:p w14:paraId="0D8A6F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6EC446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33F885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539" w:type="dxa"/>
            <w:tcBorders>
              <w:top w:val="nil"/>
              <w:left w:val="nil"/>
              <w:bottom w:val="single" w:color="auto" w:sz="4" w:space="0"/>
              <w:right w:val="single" w:color="auto" w:sz="4" w:space="0"/>
            </w:tcBorders>
            <w:noWrap w:val="0"/>
            <w:vAlign w:val="center"/>
          </w:tcPr>
          <w:p w14:paraId="621EA31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89" w:type="dxa"/>
            <w:tcBorders>
              <w:top w:val="nil"/>
              <w:left w:val="nil"/>
              <w:bottom w:val="single" w:color="auto" w:sz="4" w:space="0"/>
              <w:right w:val="single" w:color="auto" w:sz="4" w:space="0"/>
            </w:tcBorders>
            <w:noWrap w:val="0"/>
            <w:vAlign w:val="center"/>
          </w:tcPr>
          <w:p w14:paraId="5D10BC0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4909C2E2">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748058C0">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17AA614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76" w:type="dxa"/>
            <w:tcBorders>
              <w:top w:val="nil"/>
              <w:left w:val="nil"/>
              <w:bottom w:val="single" w:color="auto" w:sz="4" w:space="0"/>
              <w:right w:val="single" w:color="auto" w:sz="4" w:space="0"/>
            </w:tcBorders>
            <w:noWrap w:val="0"/>
            <w:vAlign w:val="center"/>
          </w:tcPr>
          <w:p w14:paraId="662BFA3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4A8F30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539" w:type="dxa"/>
            <w:tcBorders>
              <w:top w:val="nil"/>
              <w:left w:val="nil"/>
              <w:bottom w:val="single" w:color="auto" w:sz="4" w:space="0"/>
              <w:right w:val="single" w:color="auto" w:sz="4" w:space="0"/>
            </w:tcBorders>
            <w:noWrap w:val="0"/>
            <w:vAlign w:val="center"/>
          </w:tcPr>
          <w:p w14:paraId="5633846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89" w:type="dxa"/>
            <w:tcBorders>
              <w:top w:val="nil"/>
              <w:left w:val="nil"/>
              <w:bottom w:val="single" w:color="auto" w:sz="4" w:space="0"/>
              <w:right w:val="single" w:color="auto" w:sz="4" w:space="0"/>
            </w:tcBorders>
            <w:noWrap w:val="0"/>
            <w:vAlign w:val="center"/>
          </w:tcPr>
          <w:p w14:paraId="74BF83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249C5C73">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569C529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480" w:type="dxa"/>
            <w:tcBorders>
              <w:top w:val="nil"/>
              <w:left w:val="nil"/>
              <w:bottom w:val="single" w:color="auto" w:sz="4" w:space="0"/>
              <w:right w:val="single" w:color="auto" w:sz="4" w:space="0"/>
            </w:tcBorders>
            <w:noWrap w:val="0"/>
            <w:vAlign w:val="center"/>
          </w:tcPr>
          <w:p w14:paraId="5C51A6B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461ED25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22502E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539" w:type="dxa"/>
            <w:tcBorders>
              <w:top w:val="nil"/>
              <w:left w:val="nil"/>
              <w:bottom w:val="single" w:color="auto" w:sz="4" w:space="0"/>
              <w:right w:val="single" w:color="auto" w:sz="4" w:space="0"/>
            </w:tcBorders>
            <w:noWrap w:val="0"/>
            <w:vAlign w:val="center"/>
          </w:tcPr>
          <w:p w14:paraId="0C0E923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89" w:type="dxa"/>
            <w:tcBorders>
              <w:top w:val="nil"/>
              <w:left w:val="nil"/>
              <w:bottom w:val="single" w:color="auto" w:sz="4" w:space="0"/>
              <w:right w:val="single" w:color="auto" w:sz="4" w:space="0"/>
            </w:tcBorders>
            <w:noWrap w:val="0"/>
            <w:vAlign w:val="center"/>
          </w:tcPr>
          <w:p w14:paraId="04F936B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5213E342">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75B29E28">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0FA79E1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3052FB5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30EF43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539" w:type="dxa"/>
            <w:tcBorders>
              <w:top w:val="nil"/>
              <w:left w:val="nil"/>
              <w:bottom w:val="single" w:color="auto" w:sz="4" w:space="0"/>
              <w:right w:val="single" w:color="auto" w:sz="4" w:space="0"/>
            </w:tcBorders>
            <w:noWrap w:val="0"/>
            <w:vAlign w:val="center"/>
          </w:tcPr>
          <w:p w14:paraId="13B6487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89" w:type="dxa"/>
            <w:tcBorders>
              <w:top w:val="nil"/>
              <w:left w:val="nil"/>
              <w:bottom w:val="single" w:color="auto" w:sz="4" w:space="0"/>
              <w:right w:val="single" w:color="auto" w:sz="4" w:space="0"/>
            </w:tcBorders>
            <w:noWrap w:val="0"/>
            <w:vAlign w:val="center"/>
          </w:tcPr>
          <w:p w14:paraId="6F158F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41B1C5A8">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310C1BF5">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480" w:type="dxa"/>
            <w:tcBorders>
              <w:top w:val="nil"/>
              <w:left w:val="nil"/>
              <w:bottom w:val="single" w:color="auto" w:sz="4" w:space="0"/>
              <w:right w:val="single" w:color="auto" w:sz="4" w:space="0"/>
            </w:tcBorders>
            <w:noWrap w:val="0"/>
            <w:vAlign w:val="center"/>
          </w:tcPr>
          <w:p w14:paraId="6D58F2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1462BD2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0649D99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539" w:type="dxa"/>
            <w:tcBorders>
              <w:top w:val="nil"/>
              <w:left w:val="nil"/>
              <w:bottom w:val="single" w:color="auto" w:sz="4" w:space="0"/>
              <w:right w:val="single" w:color="auto" w:sz="4" w:space="0"/>
            </w:tcBorders>
            <w:noWrap w:val="0"/>
            <w:vAlign w:val="center"/>
          </w:tcPr>
          <w:p w14:paraId="637DB7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89" w:type="dxa"/>
            <w:tcBorders>
              <w:top w:val="nil"/>
              <w:left w:val="nil"/>
              <w:bottom w:val="single" w:color="auto" w:sz="4" w:space="0"/>
              <w:right w:val="single" w:color="auto" w:sz="4" w:space="0"/>
            </w:tcBorders>
            <w:noWrap w:val="0"/>
            <w:vAlign w:val="center"/>
          </w:tcPr>
          <w:p w14:paraId="5EF452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B2B8862">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63EFDC83">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4B7F95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1F3B54D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1D58913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539" w:type="dxa"/>
            <w:tcBorders>
              <w:top w:val="nil"/>
              <w:left w:val="nil"/>
              <w:bottom w:val="single" w:color="auto" w:sz="4" w:space="0"/>
              <w:right w:val="single" w:color="auto" w:sz="4" w:space="0"/>
            </w:tcBorders>
            <w:noWrap w:val="0"/>
            <w:vAlign w:val="center"/>
          </w:tcPr>
          <w:p w14:paraId="721D8DA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89" w:type="dxa"/>
            <w:tcBorders>
              <w:top w:val="nil"/>
              <w:left w:val="nil"/>
              <w:bottom w:val="single" w:color="auto" w:sz="4" w:space="0"/>
              <w:right w:val="single" w:color="auto" w:sz="4" w:space="0"/>
            </w:tcBorders>
            <w:noWrap w:val="0"/>
            <w:vAlign w:val="center"/>
          </w:tcPr>
          <w:p w14:paraId="6FEE85B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0825513">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3F05F43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480" w:type="dxa"/>
            <w:tcBorders>
              <w:top w:val="nil"/>
              <w:left w:val="nil"/>
              <w:bottom w:val="single" w:color="auto" w:sz="4" w:space="0"/>
              <w:right w:val="single" w:color="auto" w:sz="4" w:space="0"/>
            </w:tcBorders>
            <w:noWrap w:val="0"/>
            <w:vAlign w:val="center"/>
          </w:tcPr>
          <w:p w14:paraId="787CF4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1D2739F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04D7CFE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39" w:type="dxa"/>
            <w:tcBorders>
              <w:top w:val="nil"/>
              <w:left w:val="nil"/>
              <w:bottom w:val="single" w:color="auto" w:sz="4" w:space="0"/>
              <w:right w:val="single" w:color="auto" w:sz="4" w:space="0"/>
            </w:tcBorders>
            <w:noWrap w:val="0"/>
            <w:vAlign w:val="center"/>
          </w:tcPr>
          <w:p w14:paraId="7CD8C30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89" w:type="dxa"/>
            <w:tcBorders>
              <w:top w:val="nil"/>
              <w:left w:val="nil"/>
              <w:bottom w:val="single" w:color="auto" w:sz="4" w:space="0"/>
              <w:right w:val="single" w:color="auto" w:sz="4" w:space="0"/>
            </w:tcBorders>
            <w:noWrap w:val="0"/>
            <w:vAlign w:val="center"/>
          </w:tcPr>
          <w:p w14:paraId="2719B8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3328034">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7A72E0A4">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4D91C10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3D2B27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0A9766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539" w:type="dxa"/>
            <w:tcBorders>
              <w:top w:val="nil"/>
              <w:left w:val="nil"/>
              <w:bottom w:val="single" w:color="auto" w:sz="4" w:space="0"/>
              <w:right w:val="single" w:color="auto" w:sz="4" w:space="0"/>
            </w:tcBorders>
            <w:noWrap w:val="0"/>
            <w:vAlign w:val="center"/>
          </w:tcPr>
          <w:p w14:paraId="3B876B2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89" w:type="dxa"/>
            <w:tcBorders>
              <w:top w:val="nil"/>
              <w:left w:val="nil"/>
              <w:bottom w:val="single" w:color="auto" w:sz="4" w:space="0"/>
              <w:right w:val="single" w:color="auto" w:sz="4" w:space="0"/>
            </w:tcBorders>
            <w:noWrap w:val="0"/>
            <w:vAlign w:val="center"/>
          </w:tcPr>
          <w:p w14:paraId="0ACBBCB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E1F1684">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078FB9E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480" w:type="dxa"/>
            <w:tcBorders>
              <w:top w:val="nil"/>
              <w:left w:val="nil"/>
              <w:bottom w:val="single" w:color="auto" w:sz="4" w:space="0"/>
              <w:right w:val="single" w:color="auto" w:sz="4" w:space="0"/>
            </w:tcBorders>
            <w:noWrap w:val="0"/>
            <w:vAlign w:val="center"/>
          </w:tcPr>
          <w:p w14:paraId="7860C6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24B6902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367857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539" w:type="dxa"/>
            <w:tcBorders>
              <w:top w:val="nil"/>
              <w:left w:val="nil"/>
              <w:bottom w:val="single" w:color="auto" w:sz="4" w:space="0"/>
              <w:right w:val="single" w:color="auto" w:sz="4" w:space="0"/>
            </w:tcBorders>
            <w:noWrap w:val="0"/>
            <w:vAlign w:val="center"/>
          </w:tcPr>
          <w:p w14:paraId="5EA625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89" w:type="dxa"/>
            <w:tcBorders>
              <w:top w:val="nil"/>
              <w:left w:val="nil"/>
              <w:bottom w:val="single" w:color="auto" w:sz="4" w:space="0"/>
              <w:right w:val="single" w:color="auto" w:sz="4" w:space="0"/>
            </w:tcBorders>
            <w:noWrap w:val="0"/>
            <w:vAlign w:val="center"/>
          </w:tcPr>
          <w:p w14:paraId="5CCD2AD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7E57120">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40567E1C">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066A2C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36848F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08CB5D8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539" w:type="dxa"/>
            <w:tcBorders>
              <w:top w:val="nil"/>
              <w:left w:val="nil"/>
              <w:bottom w:val="single" w:color="auto" w:sz="4" w:space="0"/>
              <w:right w:val="single" w:color="auto" w:sz="4" w:space="0"/>
            </w:tcBorders>
            <w:noWrap w:val="0"/>
            <w:vAlign w:val="center"/>
          </w:tcPr>
          <w:p w14:paraId="7D17AEF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89" w:type="dxa"/>
            <w:tcBorders>
              <w:top w:val="nil"/>
              <w:left w:val="nil"/>
              <w:bottom w:val="single" w:color="auto" w:sz="4" w:space="0"/>
              <w:right w:val="single" w:color="auto" w:sz="4" w:space="0"/>
            </w:tcBorders>
            <w:noWrap w:val="0"/>
            <w:vAlign w:val="center"/>
          </w:tcPr>
          <w:p w14:paraId="0819B24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6DAF52C">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0921F23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480" w:type="dxa"/>
            <w:tcBorders>
              <w:top w:val="nil"/>
              <w:left w:val="nil"/>
              <w:bottom w:val="single" w:color="auto" w:sz="4" w:space="0"/>
              <w:right w:val="single" w:color="auto" w:sz="4" w:space="0"/>
            </w:tcBorders>
            <w:noWrap w:val="0"/>
            <w:vAlign w:val="center"/>
          </w:tcPr>
          <w:p w14:paraId="74D54A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678684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60BC9F0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39" w:type="dxa"/>
            <w:tcBorders>
              <w:top w:val="nil"/>
              <w:left w:val="nil"/>
              <w:bottom w:val="single" w:color="auto" w:sz="4" w:space="0"/>
              <w:right w:val="single" w:color="auto" w:sz="4" w:space="0"/>
            </w:tcBorders>
            <w:noWrap w:val="0"/>
            <w:vAlign w:val="center"/>
          </w:tcPr>
          <w:p w14:paraId="08F40A4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89" w:type="dxa"/>
            <w:tcBorders>
              <w:top w:val="nil"/>
              <w:left w:val="nil"/>
              <w:bottom w:val="single" w:color="auto" w:sz="4" w:space="0"/>
              <w:right w:val="single" w:color="auto" w:sz="4" w:space="0"/>
            </w:tcBorders>
            <w:noWrap w:val="0"/>
            <w:vAlign w:val="center"/>
          </w:tcPr>
          <w:p w14:paraId="665637B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2D81873">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0B50F5FD">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48D5E4B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15B385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7792F68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539" w:type="dxa"/>
            <w:tcBorders>
              <w:top w:val="nil"/>
              <w:left w:val="nil"/>
              <w:bottom w:val="single" w:color="auto" w:sz="4" w:space="0"/>
              <w:right w:val="single" w:color="auto" w:sz="4" w:space="0"/>
            </w:tcBorders>
            <w:noWrap w:val="0"/>
            <w:vAlign w:val="center"/>
          </w:tcPr>
          <w:p w14:paraId="35FC007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89" w:type="dxa"/>
            <w:tcBorders>
              <w:top w:val="nil"/>
              <w:left w:val="nil"/>
              <w:bottom w:val="single" w:color="auto" w:sz="4" w:space="0"/>
              <w:right w:val="single" w:color="auto" w:sz="4" w:space="0"/>
            </w:tcBorders>
            <w:noWrap w:val="0"/>
            <w:vAlign w:val="center"/>
          </w:tcPr>
          <w:p w14:paraId="6B94E75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6D1E1FD">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7C2D95D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480" w:type="dxa"/>
            <w:tcBorders>
              <w:top w:val="nil"/>
              <w:left w:val="nil"/>
              <w:bottom w:val="single" w:color="auto" w:sz="4" w:space="0"/>
              <w:right w:val="single" w:color="auto" w:sz="4" w:space="0"/>
            </w:tcBorders>
            <w:noWrap w:val="0"/>
            <w:vAlign w:val="center"/>
          </w:tcPr>
          <w:p w14:paraId="41E573B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4AD82AC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4E8D495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39" w:type="dxa"/>
            <w:tcBorders>
              <w:top w:val="nil"/>
              <w:left w:val="nil"/>
              <w:bottom w:val="single" w:color="auto" w:sz="4" w:space="0"/>
              <w:right w:val="single" w:color="auto" w:sz="4" w:space="0"/>
            </w:tcBorders>
            <w:noWrap w:val="0"/>
            <w:vAlign w:val="center"/>
          </w:tcPr>
          <w:p w14:paraId="045E61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5114C5B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07069E5">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2C2403DC">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14DF275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53F9C16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42010E7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539" w:type="dxa"/>
            <w:tcBorders>
              <w:top w:val="nil"/>
              <w:left w:val="nil"/>
              <w:bottom w:val="single" w:color="auto" w:sz="4" w:space="0"/>
              <w:right w:val="single" w:color="auto" w:sz="4" w:space="0"/>
            </w:tcBorders>
            <w:noWrap w:val="0"/>
            <w:vAlign w:val="center"/>
          </w:tcPr>
          <w:p w14:paraId="26DCEA1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89" w:type="dxa"/>
            <w:tcBorders>
              <w:top w:val="nil"/>
              <w:left w:val="nil"/>
              <w:bottom w:val="single" w:color="auto" w:sz="4" w:space="0"/>
              <w:right w:val="single" w:color="auto" w:sz="4" w:space="0"/>
            </w:tcBorders>
            <w:noWrap w:val="0"/>
            <w:vAlign w:val="center"/>
          </w:tcPr>
          <w:p w14:paraId="7F99F0F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25E3336">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25CC722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480" w:type="dxa"/>
            <w:tcBorders>
              <w:top w:val="nil"/>
              <w:left w:val="nil"/>
              <w:bottom w:val="single" w:color="auto" w:sz="4" w:space="0"/>
              <w:right w:val="single" w:color="auto" w:sz="4" w:space="0"/>
            </w:tcBorders>
            <w:noWrap w:val="0"/>
            <w:vAlign w:val="center"/>
          </w:tcPr>
          <w:p w14:paraId="13F8A85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27F3C8B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09B768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39" w:type="dxa"/>
            <w:tcBorders>
              <w:top w:val="nil"/>
              <w:left w:val="nil"/>
              <w:bottom w:val="single" w:color="auto" w:sz="4" w:space="0"/>
              <w:right w:val="single" w:color="auto" w:sz="4" w:space="0"/>
            </w:tcBorders>
            <w:noWrap w:val="0"/>
            <w:vAlign w:val="center"/>
          </w:tcPr>
          <w:p w14:paraId="1E8741A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79B61F6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EDFB335">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3E64E94C">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749618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5C989E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047CFFF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539" w:type="dxa"/>
            <w:tcBorders>
              <w:top w:val="nil"/>
              <w:left w:val="nil"/>
              <w:bottom w:val="single" w:color="auto" w:sz="4" w:space="0"/>
              <w:right w:val="single" w:color="auto" w:sz="4" w:space="0"/>
            </w:tcBorders>
            <w:noWrap w:val="0"/>
            <w:vAlign w:val="center"/>
          </w:tcPr>
          <w:p w14:paraId="745C57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89" w:type="dxa"/>
            <w:tcBorders>
              <w:top w:val="nil"/>
              <w:left w:val="nil"/>
              <w:bottom w:val="single" w:color="auto" w:sz="4" w:space="0"/>
              <w:right w:val="single" w:color="auto" w:sz="4" w:space="0"/>
            </w:tcBorders>
            <w:noWrap w:val="0"/>
            <w:vAlign w:val="center"/>
          </w:tcPr>
          <w:p w14:paraId="62C42D1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0B580CC">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68C91CB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480" w:type="dxa"/>
            <w:tcBorders>
              <w:top w:val="nil"/>
              <w:left w:val="nil"/>
              <w:bottom w:val="single" w:color="auto" w:sz="4" w:space="0"/>
              <w:right w:val="single" w:color="auto" w:sz="4" w:space="0"/>
            </w:tcBorders>
            <w:noWrap w:val="0"/>
            <w:vAlign w:val="center"/>
          </w:tcPr>
          <w:p w14:paraId="083053E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10F6D7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65046B3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539" w:type="dxa"/>
            <w:tcBorders>
              <w:top w:val="nil"/>
              <w:left w:val="nil"/>
              <w:bottom w:val="single" w:color="auto" w:sz="4" w:space="0"/>
              <w:right w:val="single" w:color="auto" w:sz="4" w:space="0"/>
            </w:tcBorders>
            <w:noWrap w:val="0"/>
            <w:vAlign w:val="center"/>
          </w:tcPr>
          <w:p w14:paraId="647368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69F0241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D1D37B5">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39D55D8E">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48954F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2FABA4D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640C21C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539" w:type="dxa"/>
            <w:tcBorders>
              <w:top w:val="nil"/>
              <w:left w:val="nil"/>
              <w:bottom w:val="single" w:color="auto" w:sz="4" w:space="0"/>
              <w:right w:val="single" w:color="auto" w:sz="4" w:space="0"/>
            </w:tcBorders>
            <w:noWrap w:val="0"/>
            <w:vAlign w:val="center"/>
          </w:tcPr>
          <w:p w14:paraId="77741CD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89" w:type="dxa"/>
            <w:tcBorders>
              <w:top w:val="nil"/>
              <w:left w:val="nil"/>
              <w:bottom w:val="single" w:color="auto" w:sz="4" w:space="0"/>
              <w:right w:val="single" w:color="auto" w:sz="4" w:space="0"/>
            </w:tcBorders>
            <w:noWrap w:val="0"/>
            <w:vAlign w:val="center"/>
          </w:tcPr>
          <w:p w14:paraId="4B8DB8D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37C7CE">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7F3B944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480" w:type="dxa"/>
            <w:tcBorders>
              <w:top w:val="nil"/>
              <w:left w:val="nil"/>
              <w:bottom w:val="single" w:color="auto" w:sz="4" w:space="0"/>
              <w:right w:val="single" w:color="auto" w:sz="4" w:space="0"/>
            </w:tcBorders>
            <w:noWrap w:val="0"/>
            <w:vAlign w:val="center"/>
          </w:tcPr>
          <w:p w14:paraId="078C14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4E11731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0B52402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39" w:type="dxa"/>
            <w:tcBorders>
              <w:top w:val="nil"/>
              <w:left w:val="nil"/>
              <w:bottom w:val="single" w:color="auto" w:sz="4" w:space="0"/>
              <w:right w:val="single" w:color="auto" w:sz="4" w:space="0"/>
            </w:tcBorders>
            <w:noWrap w:val="0"/>
            <w:vAlign w:val="center"/>
          </w:tcPr>
          <w:p w14:paraId="6D8939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2F55547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F686FB6">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4AD364C5">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6ABF37B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5835D8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395A6E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539" w:type="dxa"/>
            <w:tcBorders>
              <w:top w:val="nil"/>
              <w:left w:val="nil"/>
              <w:bottom w:val="single" w:color="auto" w:sz="4" w:space="0"/>
              <w:right w:val="single" w:color="auto" w:sz="4" w:space="0"/>
            </w:tcBorders>
            <w:noWrap w:val="0"/>
            <w:vAlign w:val="center"/>
          </w:tcPr>
          <w:p w14:paraId="4CC94CC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89" w:type="dxa"/>
            <w:tcBorders>
              <w:top w:val="nil"/>
              <w:left w:val="nil"/>
              <w:bottom w:val="single" w:color="auto" w:sz="4" w:space="0"/>
              <w:right w:val="single" w:color="auto" w:sz="4" w:space="0"/>
            </w:tcBorders>
            <w:noWrap w:val="0"/>
            <w:vAlign w:val="center"/>
          </w:tcPr>
          <w:p w14:paraId="395BAB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FE159C9">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6FC7CC0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480" w:type="dxa"/>
            <w:tcBorders>
              <w:top w:val="nil"/>
              <w:left w:val="nil"/>
              <w:bottom w:val="single" w:color="auto" w:sz="4" w:space="0"/>
              <w:right w:val="single" w:color="auto" w:sz="4" w:space="0"/>
            </w:tcBorders>
            <w:noWrap w:val="0"/>
            <w:vAlign w:val="center"/>
          </w:tcPr>
          <w:p w14:paraId="78FAAE8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1F933BE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22F1E07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539" w:type="dxa"/>
            <w:tcBorders>
              <w:top w:val="nil"/>
              <w:left w:val="nil"/>
              <w:bottom w:val="single" w:color="auto" w:sz="4" w:space="0"/>
              <w:right w:val="single" w:color="auto" w:sz="4" w:space="0"/>
            </w:tcBorders>
            <w:noWrap w:val="0"/>
            <w:vAlign w:val="center"/>
          </w:tcPr>
          <w:p w14:paraId="1FD88F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989" w:type="dxa"/>
            <w:tcBorders>
              <w:top w:val="nil"/>
              <w:left w:val="nil"/>
              <w:bottom w:val="single" w:color="auto" w:sz="4" w:space="0"/>
              <w:right w:val="single" w:color="auto" w:sz="4" w:space="0"/>
            </w:tcBorders>
            <w:noWrap w:val="0"/>
            <w:vAlign w:val="center"/>
          </w:tcPr>
          <w:p w14:paraId="518B94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0F7BFA47">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20DB4304">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03EB93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76" w:type="dxa"/>
            <w:tcBorders>
              <w:top w:val="nil"/>
              <w:left w:val="nil"/>
              <w:bottom w:val="single" w:color="auto" w:sz="4" w:space="0"/>
              <w:right w:val="single" w:color="auto" w:sz="4" w:space="0"/>
            </w:tcBorders>
            <w:noWrap w:val="0"/>
            <w:vAlign w:val="center"/>
          </w:tcPr>
          <w:p w14:paraId="7EEBCE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1E321C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539" w:type="dxa"/>
            <w:tcBorders>
              <w:top w:val="nil"/>
              <w:left w:val="nil"/>
              <w:bottom w:val="single" w:color="auto" w:sz="4" w:space="0"/>
              <w:right w:val="single" w:color="auto" w:sz="4" w:space="0"/>
            </w:tcBorders>
            <w:noWrap w:val="0"/>
            <w:vAlign w:val="center"/>
          </w:tcPr>
          <w:p w14:paraId="6F6EFDF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989" w:type="dxa"/>
            <w:tcBorders>
              <w:top w:val="nil"/>
              <w:left w:val="nil"/>
              <w:bottom w:val="single" w:color="auto" w:sz="4" w:space="0"/>
              <w:right w:val="single" w:color="auto" w:sz="4" w:space="0"/>
            </w:tcBorders>
            <w:noWrap w:val="0"/>
            <w:vAlign w:val="center"/>
          </w:tcPr>
          <w:p w14:paraId="2A1329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1208B581">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0C06666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480" w:type="dxa"/>
            <w:tcBorders>
              <w:top w:val="nil"/>
              <w:left w:val="nil"/>
              <w:bottom w:val="single" w:color="auto" w:sz="4" w:space="0"/>
              <w:right w:val="single" w:color="auto" w:sz="4" w:space="0"/>
            </w:tcBorders>
            <w:noWrap w:val="0"/>
            <w:vAlign w:val="center"/>
          </w:tcPr>
          <w:p w14:paraId="07769BF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05AE3E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009A9C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539" w:type="dxa"/>
            <w:tcBorders>
              <w:top w:val="nil"/>
              <w:left w:val="nil"/>
              <w:bottom w:val="single" w:color="auto" w:sz="4" w:space="0"/>
              <w:right w:val="single" w:color="auto" w:sz="4" w:space="0"/>
            </w:tcBorders>
            <w:noWrap w:val="0"/>
            <w:vAlign w:val="center"/>
          </w:tcPr>
          <w:p w14:paraId="75DF1D7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89" w:type="dxa"/>
            <w:tcBorders>
              <w:top w:val="nil"/>
              <w:left w:val="nil"/>
              <w:bottom w:val="single" w:color="auto" w:sz="4" w:space="0"/>
              <w:right w:val="single" w:color="auto" w:sz="4" w:space="0"/>
            </w:tcBorders>
            <w:noWrap w:val="0"/>
            <w:vAlign w:val="center"/>
          </w:tcPr>
          <w:p w14:paraId="591E2E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66F3F131">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7C97B958">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7E880E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76" w:type="dxa"/>
            <w:tcBorders>
              <w:top w:val="nil"/>
              <w:left w:val="nil"/>
              <w:bottom w:val="single" w:color="auto" w:sz="4" w:space="0"/>
              <w:right w:val="single" w:color="auto" w:sz="4" w:space="0"/>
            </w:tcBorders>
            <w:noWrap w:val="0"/>
            <w:vAlign w:val="center"/>
          </w:tcPr>
          <w:p w14:paraId="528C398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16C7AFB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539" w:type="dxa"/>
            <w:tcBorders>
              <w:top w:val="nil"/>
              <w:left w:val="nil"/>
              <w:bottom w:val="single" w:color="auto" w:sz="4" w:space="0"/>
              <w:right w:val="single" w:color="auto" w:sz="4" w:space="0"/>
            </w:tcBorders>
            <w:noWrap w:val="0"/>
            <w:vAlign w:val="center"/>
          </w:tcPr>
          <w:p w14:paraId="309AEB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89" w:type="dxa"/>
            <w:tcBorders>
              <w:top w:val="nil"/>
              <w:left w:val="nil"/>
              <w:bottom w:val="single" w:color="auto" w:sz="4" w:space="0"/>
              <w:right w:val="single" w:color="auto" w:sz="4" w:space="0"/>
            </w:tcBorders>
            <w:noWrap w:val="0"/>
            <w:vAlign w:val="center"/>
          </w:tcPr>
          <w:p w14:paraId="5057704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77474DAF">
        <w:tblPrEx>
          <w:tblCellMar>
            <w:top w:w="0" w:type="dxa"/>
            <w:left w:w="108" w:type="dxa"/>
            <w:bottom w:w="0" w:type="dxa"/>
            <w:right w:w="108" w:type="dxa"/>
          </w:tblCellMar>
        </w:tblPrEx>
        <w:trPr>
          <w:trHeight w:val="366" w:hRule="atLeast"/>
        </w:trPr>
        <w:tc>
          <w:tcPr>
            <w:tcW w:w="1820" w:type="dxa"/>
            <w:vMerge w:val="restart"/>
            <w:tcBorders>
              <w:top w:val="nil"/>
              <w:left w:val="single" w:color="auto" w:sz="4" w:space="0"/>
              <w:bottom w:val="single" w:color="auto" w:sz="4" w:space="0"/>
              <w:right w:val="single" w:color="auto" w:sz="4" w:space="0"/>
            </w:tcBorders>
            <w:noWrap w:val="0"/>
            <w:vAlign w:val="bottom"/>
          </w:tcPr>
          <w:p w14:paraId="054CA42D">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480" w:type="dxa"/>
            <w:tcBorders>
              <w:top w:val="nil"/>
              <w:left w:val="nil"/>
              <w:bottom w:val="single" w:color="auto" w:sz="4" w:space="0"/>
              <w:right w:val="single" w:color="auto" w:sz="4" w:space="0"/>
            </w:tcBorders>
            <w:noWrap w:val="0"/>
            <w:vAlign w:val="center"/>
          </w:tcPr>
          <w:p w14:paraId="277FC25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3F47979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6BC41A8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39" w:type="dxa"/>
            <w:tcBorders>
              <w:top w:val="nil"/>
              <w:left w:val="nil"/>
              <w:bottom w:val="single" w:color="auto" w:sz="4" w:space="0"/>
              <w:right w:val="single" w:color="auto" w:sz="4" w:space="0"/>
            </w:tcBorders>
            <w:noWrap w:val="0"/>
            <w:vAlign w:val="center"/>
          </w:tcPr>
          <w:p w14:paraId="30C8BD7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6DDC13E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2D7CD34">
        <w:tblPrEx>
          <w:tblCellMar>
            <w:top w:w="0" w:type="dxa"/>
            <w:left w:w="108" w:type="dxa"/>
            <w:bottom w:w="0" w:type="dxa"/>
            <w:right w:w="108" w:type="dxa"/>
          </w:tblCellMar>
        </w:tblPrEx>
        <w:trPr>
          <w:trHeight w:val="366" w:hRule="atLeast"/>
        </w:trPr>
        <w:tc>
          <w:tcPr>
            <w:tcW w:w="1820" w:type="dxa"/>
            <w:vMerge w:val="continue"/>
            <w:tcBorders>
              <w:top w:val="nil"/>
              <w:left w:val="single" w:color="auto" w:sz="4" w:space="0"/>
              <w:bottom w:val="single" w:color="auto" w:sz="4" w:space="0"/>
              <w:right w:val="single" w:color="auto" w:sz="4" w:space="0"/>
            </w:tcBorders>
            <w:noWrap w:val="0"/>
            <w:vAlign w:val="center"/>
          </w:tcPr>
          <w:p w14:paraId="107FA35A">
            <w:pPr>
              <w:widowControl/>
              <w:jc w:val="left"/>
              <w:rPr>
                <w:rFonts w:ascii="宋体" w:hAnsi="宋体" w:eastAsia="宋体" w:cs="宋体"/>
                <w:b/>
                <w:bCs/>
                <w:color w:val="auto"/>
                <w:kern w:val="0"/>
                <w:sz w:val="18"/>
                <w:szCs w:val="18"/>
                <w:highlight w:val="none"/>
              </w:rPr>
            </w:pPr>
          </w:p>
        </w:tc>
        <w:tc>
          <w:tcPr>
            <w:tcW w:w="1480" w:type="dxa"/>
            <w:tcBorders>
              <w:top w:val="nil"/>
              <w:left w:val="nil"/>
              <w:bottom w:val="single" w:color="auto" w:sz="4" w:space="0"/>
              <w:right w:val="single" w:color="auto" w:sz="4" w:space="0"/>
            </w:tcBorders>
            <w:noWrap w:val="0"/>
            <w:vAlign w:val="center"/>
          </w:tcPr>
          <w:p w14:paraId="24699C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76" w:type="dxa"/>
            <w:tcBorders>
              <w:top w:val="nil"/>
              <w:left w:val="nil"/>
              <w:bottom w:val="single" w:color="auto" w:sz="4" w:space="0"/>
              <w:right w:val="single" w:color="auto" w:sz="4" w:space="0"/>
            </w:tcBorders>
            <w:noWrap w:val="0"/>
            <w:vAlign w:val="center"/>
          </w:tcPr>
          <w:p w14:paraId="7EFDD8F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733" w:type="dxa"/>
            <w:tcBorders>
              <w:top w:val="nil"/>
              <w:left w:val="nil"/>
              <w:bottom w:val="single" w:color="auto" w:sz="4" w:space="0"/>
              <w:right w:val="single" w:color="auto" w:sz="4" w:space="0"/>
            </w:tcBorders>
            <w:noWrap w:val="0"/>
            <w:vAlign w:val="center"/>
          </w:tcPr>
          <w:p w14:paraId="54E385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539" w:type="dxa"/>
            <w:tcBorders>
              <w:top w:val="nil"/>
              <w:left w:val="nil"/>
              <w:bottom w:val="single" w:color="auto" w:sz="4" w:space="0"/>
              <w:right w:val="single" w:color="auto" w:sz="4" w:space="0"/>
            </w:tcBorders>
            <w:noWrap w:val="0"/>
            <w:vAlign w:val="center"/>
          </w:tcPr>
          <w:p w14:paraId="6C93A8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89" w:type="dxa"/>
            <w:tcBorders>
              <w:top w:val="nil"/>
              <w:left w:val="nil"/>
              <w:bottom w:val="single" w:color="auto" w:sz="4" w:space="0"/>
              <w:right w:val="single" w:color="auto" w:sz="4" w:space="0"/>
            </w:tcBorders>
            <w:noWrap w:val="0"/>
            <w:vAlign w:val="center"/>
          </w:tcPr>
          <w:p w14:paraId="21D689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B7CBF31">
        <w:tblPrEx>
          <w:tblCellMar>
            <w:top w:w="0" w:type="dxa"/>
            <w:left w:w="108" w:type="dxa"/>
            <w:bottom w:w="0" w:type="dxa"/>
            <w:right w:w="108" w:type="dxa"/>
          </w:tblCellMar>
        </w:tblPrEx>
        <w:trPr>
          <w:trHeight w:val="420" w:hRule="atLeast"/>
        </w:trPr>
        <w:tc>
          <w:tcPr>
            <w:tcW w:w="1820" w:type="dxa"/>
            <w:tcBorders>
              <w:top w:val="nil"/>
              <w:left w:val="single" w:color="auto" w:sz="4" w:space="0"/>
              <w:bottom w:val="single" w:color="auto" w:sz="4" w:space="0"/>
              <w:right w:val="single" w:color="auto" w:sz="4" w:space="0"/>
            </w:tcBorders>
            <w:noWrap w:val="0"/>
            <w:vAlign w:val="bottom"/>
          </w:tcPr>
          <w:p w14:paraId="627EE61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480" w:type="dxa"/>
            <w:tcBorders>
              <w:top w:val="nil"/>
              <w:left w:val="nil"/>
              <w:bottom w:val="single" w:color="auto" w:sz="4" w:space="0"/>
              <w:right w:val="single" w:color="auto" w:sz="4" w:space="0"/>
            </w:tcBorders>
            <w:noWrap w:val="0"/>
            <w:vAlign w:val="center"/>
          </w:tcPr>
          <w:p w14:paraId="375172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76" w:type="dxa"/>
            <w:tcBorders>
              <w:top w:val="nil"/>
              <w:left w:val="nil"/>
              <w:bottom w:val="single" w:color="auto" w:sz="4" w:space="0"/>
              <w:right w:val="single" w:color="auto" w:sz="4" w:space="0"/>
            </w:tcBorders>
            <w:noWrap w:val="0"/>
            <w:vAlign w:val="center"/>
          </w:tcPr>
          <w:p w14:paraId="52E1CC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733" w:type="dxa"/>
            <w:tcBorders>
              <w:top w:val="nil"/>
              <w:left w:val="nil"/>
              <w:bottom w:val="single" w:color="auto" w:sz="4" w:space="0"/>
              <w:right w:val="single" w:color="auto" w:sz="4" w:space="0"/>
            </w:tcBorders>
            <w:noWrap w:val="0"/>
            <w:vAlign w:val="center"/>
          </w:tcPr>
          <w:p w14:paraId="27E434E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539" w:type="dxa"/>
            <w:tcBorders>
              <w:top w:val="nil"/>
              <w:left w:val="nil"/>
              <w:bottom w:val="single" w:color="auto" w:sz="4" w:space="0"/>
              <w:right w:val="single" w:color="auto" w:sz="4" w:space="0"/>
            </w:tcBorders>
            <w:noWrap w:val="0"/>
            <w:vAlign w:val="center"/>
          </w:tcPr>
          <w:p w14:paraId="3CD68D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89" w:type="dxa"/>
            <w:tcBorders>
              <w:top w:val="nil"/>
              <w:left w:val="nil"/>
              <w:bottom w:val="single" w:color="auto" w:sz="4" w:space="0"/>
              <w:right w:val="single" w:color="auto" w:sz="4" w:space="0"/>
            </w:tcBorders>
            <w:noWrap w:val="0"/>
            <w:vAlign w:val="center"/>
          </w:tcPr>
          <w:p w14:paraId="7B50CC4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054FD92B">
      <w:pPr>
        <w:snapToGrid w:val="0"/>
        <w:spacing w:line="380" w:lineRule="exact"/>
        <w:ind w:firstLine="411" w:firstLineChars="196"/>
        <w:jc w:val="left"/>
        <w:rPr>
          <w:rFonts w:hint="eastAsia" w:ascii="宋体" w:hAnsi="Times New Roman" w:eastAsia="宋体" w:cs="Times New Roman"/>
          <w:color w:val="auto"/>
          <w:sz w:val="18"/>
          <w:szCs w:val="18"/>
          <w:highlight w:val="none"/>
        </w:rPr>
      </w:pPr>
      <w:r>
        <w:rPr>
          <w:rFonts w:hint="eastAsia" w:ascii="宋体" w:hAnsi="宋体" w:eastAsia="宋体" w:cs="Times New Roman"/>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84B4DC5">
      <w:pPr>
        <w:snapToGrid w:val="0"/>
        <w:spacing w:line="380" w:lineRule="exact"/>
        <w:ind w:firstLine="470" w:firstLineChars="196"/>
        <w:jc w:val="left"/>
        <w:rPr>
          <w:rFonts w:hint="eastAsia" w:ascii="Times New Roman" w:hAnsi="Times New Roman" w:eastAsia="宋体" w:cs="Times New Roman"/>
          <w:color w:val="auto"/>
          <w:highlight w:val="none"/>
        </w:rPr>
      </w:pPr>
      <w:r>
        <w:rPr>
          <w:rFonts w:ascii="宋体" w:hAnsi="宋体" w:eastAsia="宋体" w:cs="宋体"/>
          <w:b/>
          <w:color w:val="auto"/>
          <w:sz w:val="24"/>
          <w:highlight w:val="none"/>
        </w:rPr>
        <w:br w:type="page"/>
      </w:r>
      <w:r>
        <w:rPr>
          <w:rFonts w:hint="eastAsia" w:ascii="Times New Roman" w:hAnsi="Times New Roman" w:eastAsia="宋体" w:cs="Times New Roman"/>
          <w:color w:val="auto"/>
          <w:highlight w:val="none"/>
        </w:rPr>
        <w:t>（1</w:t>
      </w:r>
      <w:r>
        <w:rPr>
          <w:rFonts w:hint="eastAsia" w:ascii="Calibri" w:hAnsi="Times New Roman" w:eastAsia="宋体" w:cs="Times New Roman"/>
          <w:color w:val="auto"/>
          <w:highlight w:val="none"/>
          <w:lang w:val="en-US" w:eastAsia="zh-CN"/>
        </w:rPr>
        <w:t>9</w:t>
      </w:r>
      <w:r>
        <w:rPr>
          <w:rFonts w:hint="eastAsia" w:ascii="Times New Roman" w:hAnsi="Times New Roman" w:eastAsia="宋体" w:cs="Times New Roman"/>
          <w:color w:val="auto"/>
          <w:highlight w:val="none"/>
        </w:rPr>
        <w:t>）本国产品适用政府采购政策相关资料。</w:t>
      </w:r>
    </w:p>
    <w:p w14:paraId="52451EEB">
      <w:pPr>
        <w:spacing w:line="72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1）关于符合本国产品标准的声明函</w:t>
      </w:r>
    </w:p>
    <w:p w14:paraId="2F849839">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4EB64895">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（产品名称1）</w:t>
      </w:r>
      <w:r>
        <w:rPr>
          <w:rStyle w:val="24"/>
          <w:rFonts w:hint="eastAsia" w:ascii="Times New Roman" w:hAnsi="宋体" w:eastAsia="宋体" w:cs="宋体"/>
          <w:color w:val="auto"/>
          <w:kern w:val="2"/>
          <w:sz w:val="21"/>
          <w:szCs w:val="21"/>
          <w:highlight w:val="none"/>
          <w:shd w:val="clear" w:color="auto" w:fill="FFFFFF"/>
          <w:vertAlign w:val="superscript"/>
          <w:lang w:val="en-US" w:eastAsia="zh-CN" w:bidi="ar-SA"/>
        </w:rPr>
        <w:t>1</w:t>
      </w:r>
      <w:r>
        <w:rPr>
          <w:rFonts w:hint="eastAsia" w:ascii="宋体" w:hAnsi="宋体" w:eastAsia="宋体" w:cs="宋体"/>
          <w:color w:val="auto"/>
          <w:kern w:val="0"/>
          <w:sz w:val="21"/>
          <w:szCs w:val="21"/>
          <w:highlight w:val="none"/>
          <w:shd w:val="clear" w:color="auto" w:fill="FFFFFF"/>
          <w:lang w:val="en-US" w:eastAsia="zh-CN" w:bidi="ar-SA"/>
        </w:rPr>
        <w:t>，生产厂为</w:t>
      </w:r>
      <w:r>
        <w:rPr>
          <w:rStyle w:val="24"/>
          <w:rFonts w:hint="eastAsia" w:ascii="Times New Roman" w:hAnsi="宋体" w:eastAsia="宋体" w:cs="宋体"/>
          <w:color w:val="auto"/>
          <w:kern w:val="2"/>
          <w:sz w:val="21"/>
          <w:szCs w:val="21"/>
          <w:highlight w:val="none"/>
          <w:shd w:val="clear" w:color="auto" w:fill="FFFFFF"/>
          <w:lang w:val="en-US" w:eastAsia="zh-CN" w:bidi="ar-SA"/>
        </w:rPr>
        <w:t>（厂名）</w:t>
      </w:r>
      <w:r>
        <w:rPr>
          <w:rStyle w:val="24"/>
          <w:rFonts w:hint="eastAsia" w:ascii="Times New Roman" w:hAnsi="宋体" w:eastAsia="宋体" w:cs="宋体"/>
          <w:color w:val="auto"/>
          <w:kern w:val="2"/>
          <w:sz w:val="21"/>
          <w:szCs w:val="21"/>
          <w:highlight w:val="none"/>
          <w:shd w:val="clear" w:color="auto" w:fill="FFFFFF"/>
          <w:vertAlign w:val="superscript"/>
          <w:lang w:val="en-US" w:eastAsia="zh-CN" w:bidi="ar-SA"/>
        </w:rPr>
        <w:t>2</w:t>
      </w:r>
      <w:r>
        <w:rPr>
          <w:rFonts w:hint="eastAsia" w:ascii="宋体" w:hAnsi="宋体" w:eastAsia="宋体" w:cs="宋体"/>
          <w:color w:val="auto"/>
          <w:kern w:val="0"/>
          <w:sz w:val="21"/>
          <w:szCs w:val="21"/>
          <w:highlight w:val="none"/>
          <w:shd w:val="clear" w:color="auto" w:fill="FFFFFF"/>
          <w:lang w:val="en-US" w:eastAsia="zh-CN" w:bidi="ar-SA"/>
        </w:rPr>
        <w:t>，厂址为</w:t>
      </w:r>
      <w:r>
        <w:rPr>
          <w:rStyle w:val="24"/>
          <w:rFonts w:hint="eastAsia" w:ascii="Times New Roman" w:hAnsi="宋体" w:eastAsia="宋体" w:cs="宋体"/>
          <w:color w:val="auto"/>
          <w:kern w:val="2"/>
          <w:sz w:val="21"/>
          <w:szCs w:val="21"/>
          <w:highlight w:val="none"/>
          <w:shd w:val="clear" w:color="auto" w:fill="FFFFFF"/>
          <w:lang w:val="en-US" w:eastAsia="zh-CN" w:bidi="ar-SA"/>
        </w:rPr>
        <w:t>（生产厂址）</w:t>
      </w:r>
      <w:r>
        <w:rPr>
          <w:rFonts w:hint="eastAsia" w:ascii="宋体" w:hAnsi="宋体" w:eastAsia="宋体" w:cs="宋体"/>
          <w:color w:val="auto"/>
          <w:kern w:val="0"/>
          <w:sz w:val="21"/>
          <w:szCs w:val="21"/>
          <w:highlight w:val="none"/>
          <w:shd w:val="clear" w:color="auto" w:fill="FFFFFF"/>
          <w:lang w:val="en-US" w:eastAsia="zh-CN" w:bidi="ar-SA"/>
        </w:rPr>
        <w:t>。</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（产品名称1）</w:t>
      </w:r>
      <w:r>
        <w:rPr>
          <w:rFonts w:hint="eastAsia" w:ascii="宋体" w:hAnsi="宋体" w:eastAsia="宋体" w:cs="宋体"/>
          <w:color w:val="auto"/>
          <w:kern w:val="0"/>
          <w:sz w:val="21"/>
          <w:szCs w:val="21"/>
          <w:highlight w:val="none"/>
          <w:shd w:val="clear" w:color="auto" w:fill="FFFFFF"/>
          <w:lang w:val="en-US" w:eastAsia="zh-CN" w:bidi="ar-SA"/>
        </w:rPr>
        <w:t>的中国境内生产的组件成本占比≥</w:t>
      </w:r>
      <w:r>
        <w:rPr>
          <w:rStyle w:val="24"/>
          <w:rFonts w:hint="eastAsia" w:ascii="Times New Roman" w:hAnsi="宋体" w:eastAsia="宋体" w:cs="宋体"/>
          <w:color w:val="auto"/>
          <w:kern w:val="2"/>
          <w:sz w:val="21"/>
          <w:szCs w:val="21"/>
          <w:highlight w:val="none"/>
          <w:shd w:val="clear" w:color="auto" w:fill="FFFFFF"/>
          <w:lang w:val="en-US" w:eastAsia="zh-CN" w:bidi="ar-SA"/>
        </w:rPr>
        <w:t>（规定比例）</w:t>
      </w:r>
      <w:r>
        <w:rPr>
          <w:rStyle w:val="24"/>
          <w:rFonts w:hint="eastAsia" w:ascii="Times New Roman" w:hAnsi="宋体" w:eastAsia="宋体" w:cs="宋体"/>
          <w:color w:val="auto"/>
          <w:kern w:val="2"/>
          <w:sz w:val="21"/>
          <w:szCs w:val="21"/>
          <w:highlight w:val="none"/>
          <w:shd w:val="clear" w:color="auto" w:fill="FFFFFF"/>
          <w:vertAlign w:val="superscript"/>
          <w:lang w:val="en-US" w:eastAsia="zh-CN" w:bidi="ar-SA"/>
        </w:rPr>
        <w:t>3</w:t>
      </w:r>
      <w:r>
        <w:rPr>
          <w:rFonts w:hint="eastAsia" w:ascii="宋体" w:hAnsi="宋体" w:eastAsia="宋体" w:cs="宋体"/>
          <w:color w:val="auto"/>
          <w:kern w:val="0"/>
          <w:sz w:val="21"/>
          <w:szCs w:val="21"/>
          <w:highlight w:val="none"/>
          <w:shd w:val="clear" w:color="auto" w:fill="FFFFFF"/>
          <w:lang w:val="en-US" w:eastAsia="zh-CN" w:bidi="ar-SA"/>
        </w:rPr>
        <w:t>。</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（产品名称1）</w:t>
      </w:r>
      <w:r>
        <w:rPr>
          <w:rFonts w:hint="eastAsia" w:ascii="宋体" w:hAnsi="宋体" w:eastAsia="宋体" w:cs="宋体"/>
          <w:color w:val="auto"/>
          <w:kern w:val="0"/>
          <w:sz w:val="21"/>
          <w:szCs w:val="21"/>
          <w:highlight w:val="none"/>
          <w:shd w:val="clear" w:color="auto" w:fill="FFFFFF"/>
          <w:lang w:val="en-US" w:eastAsia="zh-CN" w:bidi="ar-SA"/>
        </w:rPr>
        <w:t>的</w:t>
      </w:r>
      <w:r>
        <w:rPr>
          <w:rStyle w:val="24"/>
          <w:rFonts w:hint="eastAsia" w:ascii="Times New Roman" w:hAnsi="宋体" w:eastAsia="宋体" w:cs="宋体"/>
          <w:color w:val="auto"/>
          <w:kern w:val="2"/>
          <w:sz w:val="21"/>
          <w:szCs w:val="21"/>
          <w:highlight w:val="none"/>
          <w:shd w:val="clear" w:color="auto" w:fill="FFFFFF"/>
          <w:lang w:val="en-US" w:eastAsia="zh-CN" w:bidi="ar-SA"/>
        </w:rPr>
        <w:t>（关键组件）</w:t>
      </w:r>
      <w:r>
        <w:rPr>
          <w:rStyle w:val="24"/>
          <w:rFonts w:hint="eastAsia" w:ascii="Times New Roman" w:hAnsi="宋体" w:eastAsia="宋体" w:cs="宋体"/>
          <w:color w:val="auto"/>
          <w:kern w:val="2"/>
          <w:sz w:val="21"/>
          <w:szCs w:val="21"/>
          <w:highlight w:val="none"/>
          <w:shd w:val="clear" w:color="auto" w:fill="FFFFFF"/>
          <w:vertAlign w:val="superscript"/>
          <w:lang w:val="en-US" w:eastAsia="zh-CN" w:bidi="ar-SA"/>
        </w:rPr>
        <w:t>4</w:t>
      </w:r>
      <w:r>
        <w:rPr>
          <w:rFonts w:hint="eastAsia" w:ascii="宋体" w:hAnsi="宋体" w:eastAsia="宋体" w:cs="宋体"/>
          <w:color w:val="auto"/>
          <w:kern w:val="0"/>
          <w:sz w:val="21"/>
          <w:szCs w:val="21"/>
          <w:highlight w:val="none"/>
          <w:shd w:val="clear" w:color="auto" w:fill="FFFFFF"/>
          <w:lang w:val="en-US" w:eastAsia="zh-CN" w:bidi="ar-SA"/>
        </w:rPr>
        <w:t>在中国境内生产。</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（产品名称1）</w:t>
      </w:r>
      <w:r>
        <w:rPr>
          <w:rFonts w:hint="eastAsia" w:ascii="宋体" w:hAnsi="宋体" w:eastAsia="宋体" w:cs="宋体"/>
          <w:color w:val="auto"/>
          <w:kern w:val="0"/>
          <w:sz w:val="21"/>
          <w:szCs w:val="21"/>
          <w:highlight w:val="none"/>
          <w:shd w:val="clear" w:color="auto" w:fill="FFFFFF"/>
          <w:lang w:val="en-US" w:eastAsia="zh-CN" w:bidi="ar-SA"/>
        </w:rPr>
        <w:t>的</w:t>
      </w:r>
      <w:r>
        <w:rPr>
          <w:rStyle w:val="24"/>
          <w:rFonts w:hint="eastAsia" w:ascii="Times New Roman" w:hAnsi="宋体" w:eastAsia="宋体" w:cs="宋体"/>
          <w:color w:val="auto"/>
          <w:kern w:val="2"/>
          <w:sz w:val="21"/>
          <w:szCs w:val="21"/>
          <w:highlight w:val="none"/>
          <w:shd w:val="clear" w:color="auto" w:fill="FFFFFF"/>
          <w:lang w:val="en-US" w:eastAsia="zh-CN" w:bidi="ar-SA"/>
        </w:rPr>
        <w:t>（关键工序）</w:t>
      </w:r>
      <w:r>
        <w:rPr>
          <w:rStyle w:val="24"/>
          <w:rFonts w:hint="eastAsia" w:ascii="Times New Roman" w:hAnsi="宋体" w:eastAsia="宋体" w:cs="宋体"/>
          <w:color w:val="auto"/>
          <w:kern w:val="2"/>
          <w:sz w:val="21"/>
          <w:szCs w:val="21"/>
          <w:highlight w:val="none"/>
          <w:shd w:val="clear" w:color="auto" w:fill="FFFFFF"/>
          <w:vertAlign w:val="superscript"/>
          <w:lang w:val="en-US" w:eastAsia="zh-CN" w:bidi="ar-SA"/>
        </w:rPr>
        <w:t>5</w:t>
      </w:r>
      <w:r>
        <w:rPr>
          <w:rFonts w:hint="eastAsia" w:ascii="宋体" w:hAnsi="宋体" w:eastAsia="宋体" w:cs="宋体"/>
          <w:color w:val="auto"/>
          <w:kern w:val="0"/>
          <w:sz w:val="21"/>
          <w:szCs w:val="21"/>
          <w:highlight w:val="none"/>
          <w:shd w:val="clear" w:color="auto" w:fill="FFFFFF"/>
          <w:lang w:val="en-US" w:eastAsia="zh-CN" w:bidi="ar-SA"/>
        </w:rPr>
        <w:t>在中国境内完成。</w:t>
      </w:r>
    </w:p>
    <w:p w14:paraId="701C7F5C">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，生产厂为</w:t>
      </w:r>
      <w:r>
        <w:rPr>
          <w:rStyle w:val="24"/>
          <w:rFonts w:hint="eastAsia" w:ascii="Times New Roman" w:hAnsi="宋体" w:eastAsia="宋体" w:cs="宋体"/>
          <w:color w:val="auto"/>
          <w:kern w:val="2"/>
          <w:sz w:val="21"/>
          <w:szCs w:val="21"/>
          <w:highlight w:val="none"/>
          <w:shd w:val="clear" w:color="auto" w:fill="FFFFFF"/>
          <w:lang w:val="en-US" w:eastAsia="zh-CN" w:bidi="ar-SA"/>
        </w:rPr>
        <w:t>（厂名）</w:t>
      </w:r>
      <w:r>
        <w:rPr>
          <w:rFonts w:hint="eastAsia" w:ascii="宋体" w:hAnsi="宋体" w:eastAsia="宋体" w:cs="宋体"/>
          <w:color w:val="auto"/>
          <w:kern w:val="0"/>
          <w:sz w:val="21"/>
          <w:szCs w:val="21"/>
          <w:highlight w:val="none"/>
          <w:shd w:val="clear" w:color="auto" w:fill="FFFFFF"/>
          <w:lang w:val="en-US" w:eastAsia="zh-CN" w:bidi="ar-SA"/>
        </w:rPr>
        <w:t>，厂址为</w:t>
      </w:r>
      <w:r>
        <w:rPr>
          <w:rStyle w:val="24"/>
          <w:rFonts w:hint="eastAsia" w:ascii="Times New Roman" w:hAnsi="宋体" w:eastAsia="宋体" w:cs="宋体"/>
          <w:color w:val="auto"/>
          <w:kern w:val="2"/>
          <w:sz w:val="21"/>
          <w:szCs w:val="21"/>
          <w:highlight w:val="none"/>
          <w:shd w:val="clear" w:color="auto" w:fill="FFFFFF"/>
          <w:lang w:val="en-US" w:eastAsia="zh-CN" w:bidi="ar-SA"/>
        </w:rPr>
        <w:t>（生产厂址）</w:t>
      </w:r>
      <w:r>
        <w:rPr>
          <w:rFonts w:hint="eastAsia" w:ascii="宋体" w:hAnsi="宋体" w:eastAsia="宋体" w:cs="宋体"/>
          <w:color w:val="auto"/>
          <w:kern w:val="0"/>
          <w:sz w:val="21"/>
          <w:szCs w:val="21"/>
          <w:highlight w:val="none"/>
          <w:shd w:val="clear" w:color="auto" w:fill="FFFFFF"/>
          <w:lang w:val="en-US" w:eastAsia="zh-CN" w:bidi="ar-SA"/>
        </w:rPr>
        <w:t>。</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的中国境内生产的组件成本占比≥</w:t>
      </w:r>
      <w:r>
        <w:rPr>
          <w:rStyle w:val="24"/>
          <w:rFonts w:hint="eastAsia" w:ascii="Times New Roman" w:hAnsi="宋体" w:eastAsia="宋体" w:cs="宋体"/>
          <w:color w:val="auto"/>
          <w:kern w:val="2"/>
          <w:sz w:val="21"/>
          <w:szCs w:val="21"/>
          <w:highlight w:val="none"/>
          <w:shd w:val="clear" w:color="auto" w:fill="FFFFFF"/>
          <w:lang w:val="en-US" w:eastAsia="zh-CN" w:bidi="ar-SA"/>
        </w:rPr>
        <w:t>（规定比例）</w:t>
      </w:r>
      <w:r>
        <w:rPr>
          <w:rFonts w:hint="eastAsia" w:ascii="宋体" w:hAnsi="宋体" w:eastAsia="宋体" w:cs="宋体"/>
          <w:color w:val="auto"/>
          <w:kern w:val="0"/>
          <w:sz w:val="21"/>
          <w:szCs w:val="21"/>
          <w:highlight w:val="none"/>
          <w:shd w:val="clear" w:color="auto" w:fill="FFFFFF"/>
          <w:lang w:val="en-US" w:eastAsia="zh-CN" w:bidi="ar-SA"/>
        </w:rPr>
        <w:t>。</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w:t>
      </w:r>
      <w:r>
        <w:rPr>
          <w:rStyle w:val="24"/>
          <w:rFonts w:hint="eastAsia" w:ascii="Times New Roman" w:hAnsi="宋体" w:eastAsia="宋体" w:cs="宋体"/>
          <w:color w:val="auto"/>
          <w:kern w:val="2"/>
          <w:sz w:val="21"/>
          <w:szCs w:val="21"/>
          <w:highlight w:val="none"/>
          <w:shd w:val="clear" w:color="auto" w:fill="FFFFFF"/>
          <w:lang w:val="en-US" w:eastAsia="zh-CN" w:bidi="ar-SA"/>
        </w:rPr>
        <w:t>（关键组件）</w:t>
      </w:r>
      <w:r>
        <w:rPr>
          <w:rFonts w:hint="eastAsia" w:ascii="宋体" w:hAnsi="宋体" w:eastAsia="宋体" w:cs="宋体"/>
          <w:color w:val="auto"/>
          <w:kern w:val="0"/>
          <w:sz w:val="21"/>
          <w:szCs w:val="21"/>
          <w:highlight w:val="none"/>
          <w:shd w:val="clear" w:color="auto" w:fill="FFFFFF"/>
          <w:lang w:val="en-US" w:eastAsia="zh-CN" w:bidi="ar-SA"/>
        </w:rPr>
        <w:t>在中国境内生产。</w:t>
      </w:r>
      <w:r>
        <w:rPr>
          <w:rStyle w:val="24"/>
          <w:rFonts w:hint="eastAsia" w:ascii="Times New Roman" w:hAnsi="宋体" w:eastAsia="宋体" w:cs="宋体"/>
          <w:color w:val="auto"/>
          <w:kern w:val="2"/>
          <w:sz w:val="21"/>
          <w:szCs w:val="21"/>
          <w:highlight w:val="non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w:t>
      </w:r>
      <w:r>
        <w:rPr>
          <w:rStyle w:val="24"/>
          <w:rFonts w:hint="eastAsia" w:ascii="Times New Roman" w:hAnsi="宋体" w:eastAsia="宋体" w:cs="宋体"/>
          <w:color w:val="auto"/>
          <w:kern w:val="2"/>
          <w:sz w:val="21"/>
          <w:szCs w:val="21"/>
          <w:highlight w:val="none"/>
          <w:shd w:val="clear" w:color="auto" w:fill="FFFFFF"/>
          <w:lang w:val="en-US" w:eastAsia="zh-CN" w:bidi="ar-SA"/>
        </w:rPr>
        <w:t>（关键工序）</w:t>
      </w:r>
      <w:r>
        <w:rPr>
          <w:rFonts w:hint="eastAsia" w:ascii="宋体" w:hAnsi="宋体" w:eastAsia="宋体" w:cs="宋体"/>
          <w:color w:val="auto"/>
          <w:kern w:val="0"/>
          <w:sz w:val="21"/>
          <w:szCs w:val="21"/>
          <w:highlight w:val="none"/>
          <w:shd w:val="clear" w:color="auto" w:fill="FFFFFF"/>
          <w:lang w:val="en-US" w:eastAsia="zh-CN" w:bidi="ar-SA"/>
        </w:rPr>
        <w:t>在中国境内完成。</w:t>
      </w:r>
    </w:p>
    <w:p w14:paraId="4B8E15DD">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w:t>
      </w:r>
    </w:p>
    <w:p w14:paraId="505A5881">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本公司（单位）对上述声明内容的真实性负责。如有虚假，愿承担相应法律责任。</w:t>
      </w:r>
    </w:p>
    <w:p w14:paraId="7FA5085A">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shd w:val="clear" w:color="auto" w:fill="FFFFFF"/>
          <w:lang w:val="en-US" w:eastAsia="zh-CN" w:bidi="ar-SA"/>
        </w:rPr>
      </w:pPr>
    </w:p>
    <w:p w14:paraId="3E90FBC9">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公司（单位）名称（盖章）：      </w:t>
      </w:r>
    </w:p>
    <w:p w14:paraId="4F93DDB2">
      <w:pPr>
        <w:widowControl/>
        <w:shd w:val="clear" w:color="auto" w:fill="FFFFFF"/>
        <w:spacing w:before="0" w:beforeAutospacing="0" w:after="0" w:afterAutospacing="0" w:line="480" w:lineRule="exact"/>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日期：　　　年　　月　日    </w:t>
      </w:r>
    </w:p>
    <w:p w14:paraId="59DDB0BA">
      <w:pPr>
        <w:spacing w:line="400" w:lineRule="exact"/>
        <w:ind w:firstLine="420" w:firstLineChars="200"/>
        <w:jc w:val="left"/>
        <w:rPr>
          <w:rFonts w:hint="eastAsia" w:ascii="宋体" w:hAnsi="宋体" w:eastAsia="宋体" w:cs="宋体"/>
          <w:color w:val="auto"/>
          <w:szCs w:val="21"/>
          <w:highlight w:val="none"/>
        </w:rPr>
      </w:pPr>
    </w:p>
    <w:p w14:paraId="52E21187">
      <w:pPr>
        <w:spacing w:line="400" w:lineRule="exact"/>
        <w:ind w:firstLine="420" w:firstLineChars="200"/>
        <w:jc w:val="left"/>
        <w:rPr>
          <w:rFonts w:hint="eastAsia" w:ascii="宋体" w:hAnsi="宋体" w:eastAsia="宋体" w:cs="宋体"/>
          <w:color w:val="auto"/>
          <w:szCs w:val="21"/>
          <w:highlight w:val="none"/>
        </w:rPr>
      </w:pPr>
    </w:p>
    <w:p w14:paraId="33AFB789">
      <w:pPr>
        <w:spacing w:line="4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关于符合本国产品标准的声明函说明： </w:t>
      </w:r>
    </w:p>
    <w:p w14:paraId="3AE98B76">
      <w:pPr>
        <w:widowControl/>
        <w:shd w:val="clear" w:color="auto" w:fill="FFFFFF"/>
        <w:spacing w:before="0" w:beforeAutospacing="0" w:after="0" w:afterAutospacing="0" w:line="480" w:lineRule="exact"/>
        <w:ind w:firstLine="42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1.产品如有型号，请在“产品名称”栏一并填写。</w:t>
      </w:r>
    </w:p>
    <w:p w14:paraId="6C8B13EC">
      <w:pPr>
        <w:widowControl/>
        <w:shd w:val="clear" w:color="auto" w:fill="FFFFFF"/>
        <w:spacing w:before="0" w:beforeAutospacing="0" w:after="0" w:afterAutospacing="0" w:line="480" w:lineRule="exact"/>
        <w:ind w:firstLine="42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2.生产厂名与厂址应与生产厂营业执照载明的相关信息保持一致。</w:t>
      </w:r>
    </w:p>
    <w:p w14:paraId="47A7F038">
      <w:pPr>
        <w:widowControl/>
        <w:shd w:val="clear" w:color="auto" w:fill="FFFFFF"/>
        <w:spacing w:before="0" w:beforeAutospacing="0" w:after="0" w:afterAutospacing="0" w:line="480" w:lineRule="exact"/>
        <w:ind w:firstLine="42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3.该产品的中国境内生产的组件成本占比相关要求实施前，“规定比例”栏可不填，下同。</w:t>
      </w:r>
    </w:p>
    <w:p w14:paraId="375086E5">
      <w:pPr>
        <w:widowControl/>
        <w:shd w:val="clear" w:color="auto" w:fill="FFFFFF"/>
        <w:spacing w:before="0" w:beforeAutospacing="0" w:after="0" w:afterAutospacing="0" w:line="480" w:lineRule="exact"/>
        <w:ind w:firstLine="42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4.该产品的关键组件要求实施前，“关键组件”栏可不填，下同。</w:t>
      </w:r>
    </w:p>
    <w:p w14:paraId="44F2024F">
      <w:pPr>
        <w:widowControl/>
        <w:shd w:val="clear" w:color="auto" w:fill="FFFFFF"/>
        <w:spacing w:before="0" w:beforeAutospacing="0" w:after="0" w:afterAutospacing="0" w:line="480" w:lineRule="exact"/>
        <w:ind w:firstLine="42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5.该产品的关键工序要求实施前，“关键工序”栏可不填，下同。</w:t>
      </w:r>
    </w:p>
    <w:p w14:paraId="689F2C3B">
      <w:pPr>
        <w:spacing w:line="720" w:lineRule="auto"/>
        <w:jc w:val="center"/>
        <w:rPr>
          <w:rFonts w:ascii="宋体" w:hAnsi="宋体" w:eastAsia="宋体" w:cs="宋体"/>
          <w:b/>
          <w:bCs/>
          <w:color w:val="auto"/>
          <w:sz w:val="28"/>
          <w:szCs w:val="28"/>
          <w:highlight w:val="none"/>
        </w:rPr>
      </w:pPr>
      <w:r>
        <w:rPr>
          <w:rFonts w:ascii="Times New Roman" w:hAnsi="Times New Roman" w:eastAsia="宋体" w:cs="Times New Roman"/>
          <w:color w:val="auto"/>
          <w:highlight w:val="none"/>
        </w:rPr>
        <w:br w:type="page"/>
      </w:r>
      <w:r>
        <w:rPr>
          <w:rFonts w:hint="eastAsia" w:ascii="宋体" w:hAnsi="宋体" w:eastAsia="宋体" w:cs="宋体"/>
          <w:b/>
          <w:bCs/>
          <w:color w:val="auto"/>
          <w:sz w:val="28"/>
          <w:szCs w:val="28"/>
          <w:highlight w:val="none"/>
        </w:rPr>
        <w:t>2）</w:t>
      </w:r>
      <w:r>
        <w:rPr>
          <w:rFonts w:ascii="宋体" w:hAnsi="宋体" w:eastAsia="宋体" w:cs="宋体"/>
          <w:b/>
          <w:bCs/>
          <w:color w:val="auto"/>
          <w:sz w:val="28"/>
          <w:szCs w:val="28"/>
          <w:highlight w:val="none"/>
        </w:rPr>
        <w:t>关于本国产品比例的承诺函（如适用）</w:t>
      </w:r>
    </w:p>
    <w:p w14:paraId="01CABBD3">
      <w:pPr>
        <w:spacing w:line="400" w:lineRule="exact"/>
        <w:ind w:firstLine="420" w:firstLineChars="200"/>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44F8C073">
      <w:pPr>
        <w:spacing w:line="400" w:lineRule="exact"/>
        <w:ind w:firstLine="420" w:firstLineChars="200"/>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本公司(单位)对上述承诺内容的真实性负责。如有虚假，愿承担相应法律责任。</w:t>
      </w:r>
    </w:p>
    <w:p w14:paraId="2FD50F9B">
      <w:pPr>
        <w:widowControl/>
        <w:shd w:val="clear" w:color="auto" w:fill="FFFFFF"/>
        <w:spacing w:before="0" w:beforeAutospacing="0" w:after="0" w:afterAutospacing="0" w:line="480" w:lineRule="exact"/>
        <w:jc w:val="left"/>
        <w:rPr>
          <w:rFonts w:hint="eastAsia" w:ascii="宋体" w:hAnsi="宋体" w:eastAsia="宋体" w:cs="宋体"/>
          <w:color w:val="auto"/>
          <w:kern w:val="0"/>
          <w:sz w:val="21"/>
          <w:szCs w:val="21"/>
          <w:highlight w:val="none"/>
          <w:shd w:val="clear" w:color="auto" w:fill="FFFFFF"/>
          <w:lang w:val="en-US" w:eastAsia="zh-CN" w:bidi="ar-SA"/>
        </w:rPr>
      </w:pPr>
    </w:p>
    <w:p w14:paraId="49DDBF9F">
      <w:pPr>
        <w:widowControl/>
        <w:shd w:val="clear" w:color="auto" w:fill="FFFFFF"/>
        <w:spacing w:before="0" w:beforeAutospacing="0" w:after="0" w:afterAutospacing="0" w:line="480" w:lineRule="exact"/>
        <w:ind w:firstLine="210" w:firstLineChars="1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公司（单位）名称（盖章）：      </w:t>
      </w:r>
    </w:p>
    <w:p w14:paraId="35203293">
      <w:pPr>
        <w:spacing w:line="720" w:lineRule="auto"/>
        <w:ind w:firstLine="210" w:firstLineChars="100"/>
        <w:rPr>
          <w:rFonts w:hint="eastAsia" w:ascii="宋体" w:hAnsi="宋体" w:eastAsia="宋体" w:cs="宋体"/>
          <w:color w:val="auto"/>
          <w:sz w:val="24"/>
          <w:highlight w:val="none"/>
        </w:rPr>
      </w:pPr>
      <w:r>
        <w:rPr>
          <w:rFonts w:hint="eastAsia" w:ascii="宋体" w:hAnsi="宋体" w:eastAsia="宋体" w:cs="宋体"/>
          <w:color w:val="auto"/>
          <w:szCs w:val="21"/>
          <w:highlight w:val="none"/>
          <w:shd w:val="clear" w:color="auto" w:fill="FFFFFF"/>
        </w:rPr>
        <w:t>日期：　　　年　　 月 　日   </w:t>
      </w:r>
    </w:p>
    <w:p w14:paraId="1820FF24">
      <w:pPr>
        <w:spacing w:line="720" w:lineRule="auto"/>
        <w:rPr>
          <w:rFonts w:hint="eastAsia" w:ascii="Times New Roman" w:hAnsi="Times New Roman" w:eastAsia="宋体" w:cs="Times New Roman"/>
          <w:b/>
          <w:color w:val="auto"/>
          <w:highlight w:val="none"/>
        </w:rPr>
      </w:pPr>
      <w:r>
        <w:rPr>
          <w:rFonts w:hint="eastAsia" w:ascii="宋体" w:hAnsi="宋体" w:eastAsia="宋体" w:cs="宋体"/>
          <w:color w:val="auto"/>
          <w:kern w:val="0"/>
          <w:szCs w:val="21"/>
          <w:highlight w:val="none"/>
          <w:shd w:val="clear" w:color="auto" w:fill="FFFFFF"/>
        </w:rPr>
        <w:t>注：当采购项目或采购包中含有多种产品，符合有关政策的，供应商还应当提供本承诺函。</w:t>
      </w:r>
      <w:r>
        <w:rPr>
          <w:rFonts w:ascii="Times New Roman" w:hAnsi="Times New Roman" w:eastAsia="宋体" w:cs="Times New Roman"/>
          <w:color w:val="auto"/>
          <w:highlight w:val="none"/>
        </w:rPr>
        <w:br w:type="page"/>
      </w:r>
      <w:r>
        <w:rPr>
          <w:rFonts w:hint="eastAsia" w:ascii="宋体" w:hAnsi="宋体" w:eastAsia="宋体" w:cs="宋体"/>
          <w:b/>
          <w:color w:val="auto"/>
          <w:sz w:val="24"/>
          <w:szCs w:val="32"/>
          <w:highlight w:val="none"/>
        </w:rPr>
        <w:t>2.技术文件部分（格式）</w:t>
      </w:r>
    </w:p>
    <w:p w14:paraId="3ADA736D">
      <w:pPr>
        <w:snapToGrid w:val="0"/>
        <w:spacing w:line="38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（1）技术响应表格式： </w:t>
      </w:r>
    </w:p>
    <w:tbl>
      <w:tblPr>
        <w:tblStyle w:val="2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30B3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noWrap w:val="0"/>
            <w:vAlign w:val="center"/>
          </w:tcPr>
          <w:p w14:paraId="6080DB59">
            <w:pPr>
              <w:widowControl w:val="0"/>
              <w:spacing w:line="400" w:lineRule="exact"/>
              <w:jc w:val="center"/>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8287745">
            <w:pPr>
              <w:widowControl w:val="0"/>
              <w:spacing w:line="400" w:lineRule="exact"/>
              <w:jc w:val="center"/>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B166117">
            <w:pPr>
              <w:widowControl w:val="0"/>
              <w:spacing w:line="400" w:lineRule="exact"/>
              <w:jc w:val="center"/>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E706651">
            <w:pPr>
              <w:widowControl w:val="0"/>
              <w:spacing w:line="400" w:lineRule="exact"/>
              <w:jc w:val="center"/>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偏离说明</w:t>
            </w:r>
          </w:p>
        </w:tc>
      </w:tr>
      <w:tr w14:paraId="0C91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0EAB628E">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16D778B9">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30D90A41">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627A76A">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r>
      <w:tr w14:paraId="39D5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680D87B4">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451EB45">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2C6D8E1D">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024E244B">
            <w:pPr>
              <w:widowControl w:val="0"/>
              <w:spacing w:line="600" w:lineRule="exact"/>
              <w:ind w:left="5250"/>
              <w:jc w:val="center"/>
              <w:rPr>
                <w:rFonts w:ascii="宋体" w:hAnsi="宋体" w:eastAsia="宋体" w:cs="Courier New"/>
                <w:color w:val="auto"/>
                <w:kern w:val="2"/>
                <w:sz w:val="21"/>
                <w:szCs w:val="21"/>
                <w:highlight w:val="none"/>
                <w:lang w:val="en-US" w:eastAsia="zh-CN" w:bidi="ar-SA"/>
              </w:rPr>
            </w:pPr>
          </w:p>
        </w:tc>
      </w:tr>
      <w:tr w14:paraId="619B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63D60E56">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293DD37">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20C90713">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094E424A">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r>
      <w:tr w14:paraId="7C95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26ABB1E3">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45AE8C2">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54943D8">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62174CE4">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r>
      <w:tr w14:paraId="7201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35376DF">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9EADD12">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9BBD20C">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4EE79D31">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r>
      <w:tr w14:paraId="0E0C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49B275DE">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9F12A97">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EC2069F">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26221C9F">
            <w:pPr>
              <w:widowControl w:val="0"/>
              <w:spacing w:line="600" w:lineRule="exact"/>
              <w:ind w:left="5250"/>
              <w:jc w:val="both"/>
              <w:rPr>
                <w:rFonts w:ascii="宋体" w:hAnsi="宋体" w:eastAsia="宋体" w:cs="Courier New"/>
                <w:color w:val="auto"/>
                <w:kern w:val="2"/>
                <w:sz w:val="21"/>
                <w:szCs w:val="21"/>
                <w:highlight w:val="none"/>
                <w:lang w:val="en-US" w:eastAsia="zh-CN" w:bidi="ar-SA"/>
              </w:rPr>
            </w:pPr>
          </w:p>
        </w:tc>
      </w:tr>
    </w:tbl>
    <w:p w14:paraId="5D3D17CC">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w:t>
      </w:r>
    </w:p>
    <w:p w14:paraId="23744B23">
      <w:pPr>
        <w:spacing w:line="360" w:lineRule="exac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注：投标人应根据投标设备的性能指标、对照招标文件要求在技术响应表中详细列明招标要求及投标设备技术规格的响应情况，并填写“</w:t>
      </w:r>
      <w:r>
        <w:rPr>
          <w:rFonts w:ascii="宋体" w:hAnsi="宋体" w:eastAsia="宋体" w:cs="Times New Roman"/>
          <w:b/>
          <w:color w:val="auto"/>
          <w:szCs w:val="21"/>
          <w:highlight w:val="none"/>
        </w:rPr>
        <w:t>偏离说明</w:t>
      </w:r>
      <w:r>
        <w:rPr>
          <w:rFonts w:hint="eastAsia" w:ascii="宋体" w:hAnsi="宋体" w:eastAsia="宋体" w:cs="Times New Roman"/>
          <w:b/>
          <w:color w:val="auto"/>
          <w:szCs w:val="21"/>
          <w:highlight w:val="none"/>
        </w:rPr>
        <w:t>”。“偏离</w:t>
      </w:r>
      <w:r>
        <w:rPr>
          <w:rFonts w:ascii="宋体" w:hAnsi="宋体" w:eastAsia="宋体" w:cs="Times New Roman"/>
          <w:b/>
          <w:color w:val="auto"/>
          <w:szCs w:val="21"/>
          <w:highlight w:val="none"/>
        </w:rPr>
        <w:t>说明</w:t>
      </w:r>
      <w:r>
        <w:rPr>
          <w:rFonts w:hint="eastAsia" w:ascii="宋体" w:hAnsi="宋体" w:eastAsia="宋体" w:cs="Times New Roman"/>
          <w:b/>
          <w:color w:val="auto"/>
          <w:szCs w:val="21"/>
          <w:highlight w:val="none"/>
        </w:rPr>
        <w:t>”栏注明“正偏离”、“负偏离”或“无偏离”。投标技术规格与招标要求相同的为无偏离，投标技术规格高于招标要求的为正偏离，低于招标要求的为负偏离。</w:t>
      </w:r>
    </w:p>
    <w:p w14:paraId="12B295BE">
      <w:pPr>
        <w:rPr>
          <w:rFonts w:hint="eastAsia" w:ascii="宋体" w:hAnsi="宋体" w:eastAsia="宋体" w:cs="Times New Roman"/>
          <w:color w:val="auto"/>
          <w:highlight w:val="none"/>
        </w:rPr>
      </w:pPr>
    </w:p>
    <w:p w14:paraId="50AFAC88">
      <w:pPr>
        <w:spacing w:line="400" w:lineRule="exact"/>
        <w:rPr>
          <w:rFonts w:hint="eastAsia" w:ascii="宋体" w:hAnsi="宋体" w:eastAsia="宋体" w:cs="Times New Roman"/>
          <w:color w:val="auto"/>
          <w:highlight w:val="none"/>
          <w:u w:val="single"/>
        </w:rPr>
      </w:pPr>
      <w:r>
        <w:rPr>
          <w:rFonts w:hint="eastAsia" w:ascii="宋体" w:hAnsi="宋体" w:eastAsia="宋体" w:cs="Times New Roman"/>
          <w:color w:val="auto"/>
          <w:highlight w:val="none"/>
        </w:rPr>
        <w:t>法定代表人（负责人）或委托代理人签字或盖章：</w:t>
      </w:r>
      <w:r>
        <w:rPr>
          <w:rFonts w:hint="eastAsia" w:ascii="宋体" w:hAnsi="宋体" w:eastAsia="宋体" w:cs="Times New Roman"/>
          <w:color w:val="auto"/>
          <w:highlight w:val="none"/>
          <w:u w:val="single"/>
        </w:rPr>
        <w:t xml:space="preserve">                 </w:t>
      </w:r>
    </w:p>
    <w:p w14:paraId="2FD83616">
      <w:pPr>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宋体" w:eastAsia="宋体" w:cs="Times New Roman"/>
          <w:color w:val="auto"/>
          <w:highlight w:val="none"/>
        </w:rPr>
        <w:t>：</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 xml:space="preserve">          日 期：</w:t>
      </w:r>
      <w:r>
        <w:rPr>
          <w:rFonts w:hint="eastAsia" w:ascii="宋体" w:hAnsi="宋体" w:eastAsia="宋体" w:cs="Times New Roman"/>
          <w:color w:val="auto"/>
          <w:highlight w:val="none"/>
          <w:u w:val="single"/>
        </w:rPr>
        <w:t xml:space="preserve">              </w:t>
      </w:r>
    </w:p>
    <w:p w14:paraId="24835745">
      <w:pPr>
        <w:rPr>
          <w:rFonts w:hint="eastAsia" w:ascii="宋体" w:hAnsi="宋体" w:eastAsia="宋体" w:cs="Times New Roman"/>
          <w:color w:val="auto"/>
          <w:highlight w:val="none"/>
        </w:rPr>
      </w:pPr>
    </w:p>
    <w:p w14:paraId="43F758EE">
      <w:pPr>
        <w:spacing w:line="400" w:lineRule="exact"/>
        <w:ind w:firstLine="420"/>
        <w:rPr>
          <w:rFonts w:ascii="宋体" w:hAnsi="宋体" w:eastAsia="宋体" w:cs="Times New Roman"/>
          <w:color w:val="auto"/>
          <w:highlight w:val="none"/>
        </w:rPr>
      </w:pPr>
      <w:r>
        <w:rPr>
          <w:rFonts w:hint="eastAsia" w:ascii="宋体" w:hAnsi="宋体" w:eastAsia="宋体" w:cs="Times New Roman"/>
          <w:color w:val="auto"/>
          <w:highlight w:val="none"/>
        </w:rPr>
        <w:t>（2）设备配置清单格式：</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1530"/>
        <w:gridCol w:w="890"/>
        <w:gridCol w:w="1588"/>
        <w:gridCol w:w="1718"/>
        <w:gridCol w:w="1918"/>
        <w:gridCol w:w="967"/>
      </w:tblGrid>
      <w:tr w14:paraId="1ADBB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27749677">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228D9EF">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设备名称</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4401C394">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品牌</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3E401B3">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规格型号</w:t>
            </w:r>
          </w:p>
        </w:tc>
        <w:tc>
          <w:tcPr>
            <w:tcW w:w="1718" w:type="dxa"/>
            <w:tcBorders>
              <w:top w:val="single" w:color="auto" w:sz="4" w:space="0"/>
              <w:left w:val="single" w:color="auto" w:sz="4" w:space="0"/>
              <w:bottom w:val="single" w:color="auto" w:sz="4" w:space="0"/>
              <w:right w:val="single" w:color="auto" w:sz="4" w:space="0"/>
            </w:tcBorders>
            <w:noWrap w:val="0"/>
            <w:vAlign w:val="center"/>
          </w:tcPr>
          <w:p w14:paraId="38C4DECD">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单位及数量</w:t>
            </w:r>
          </w:p>
        </w:tc>
        <w:tc>
          <w:tcPr>
            <w:tcW w:w="1918" w:type="dxa"/>
            <w:tcBorders>
              <w:top w:val="single" w:color="auto" w:sz="4" w:space="0"/>
              <w:left w:val="single" w:color="auto" w:sz="4" w:space="0"/>
              <w:bottom w:val="single" w:color="auto" w:sz="4" w:space="0"/>
              <w:right w:val="single" w:color="auto" w:sz="4" w:space="0"/>
            </w:tcBorders>
            <w:noWrap w:val="0"/>
            <w:vAlign w:val="center"/>
          </w:tcPr>
          <w:p w14:paraId="3C82BFA9">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性能及指标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6551846C">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产地</w:t>
            </w:r>
          </w:p>
        </w:tc>
      </w:tr>
      <w:tr w14:paraId="5DEA5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FDDD556">
            <w:pPr>
              <w:snapToGrid w:val="0"/>
              <w:spacing w:before="50" w:after="50" w:line="360" w:lineRule="exact"/>
              <w:jc w:val="center"/>
              <w:rPr>
                <w:rFonts w:hint="eastAsia" w:ascii="宋体" w:hAnsi="宋体" w:eastAsia="宋体" w:cs="Times New Roman"/>
                <w:color w:val="auto"/>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7D9A50A">
            <w:pPr>
              <w:snapToGrid w:val="0"/>
              <w:spacing w:before="50" w:after="50" w:line="360" w:lineRule="exact"/>
              <w:jc w:val="center"/>
              <w:rPr>
                <w:rFonts w:hint="eastAsia" w:ascii="宋体" w:hAnsi="宋体" w:eastAsia="宋体" w:cs="Times New Roman"/>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1925552A">
            <w:pPr>
              <w:snapToGrid w:val="0"/>
              <w:spacing w:before="50" w:after="50" w:line="360" w:lineRule="exact"/>
              <w:jc w:val="center"/>
              <w:rPr>
                <w:rFonts w:hint="eastAsia" w:ascii="宋体" w:hAnsi="宋体" w:eastAsia="宋体" w:cs="Times New Roman"/>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04CF7054">
            <w:pPr>
              <w:snapToGrid w:val="0"/>
              <w:spacing w:before="50" w:after="50" w:line="360" w:lineRule="exact"/>
              <w:jc w:val="center"/>
              <w:rPr>
                <w:rFonts w:hint="eastAsia" w:ascii="宋体" w:hAnsi="宋体" w:eastAsia="宋体" w:cs="Times New Roman"/>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144146DF">
            <w:pPr>
              <w:snapToGrid w:val="0"/>
              <w:spacing w:before="50" w:after="50" w:line="360" w:lineRule="exact"/>
              <w:jc w:val="center"/>
              <w:rPr>
                <w:rFonts w:hint="eastAsia" w:ascii="宋体" w:hAnsi="宋体" w:eastAsia="宋体" w:cs="Times New Roman"/>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3A936B26">
            <w:pPr>
              <w:snapToGrid w:val="0"/>
              <w:spacing w:before="50" w:after="50" w:line="360" w:lineRule="exact"/>
              <w:jc w:val="center"/>
              <w:rPr>
                <w:rFonts w:hint="eastAsia" w:ascii="宋体" w:hAnsi="宋体" w:eastAsia="宋体" w:cs="Times New Roman"/>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7F49641C">
            <w:pPr>
              <w:snapToGrid w:val="0"/>
              <w:spacing w:before="50" w:after="50" w:line="360" w:lineRule="exact"/>
              <w:jc w:val="center"/>
              <w:rPr>
                <w:rFonts w:hint="eastAsia" w:ascii="宋体" w:hAnsi="宋体" w:eastAsia="宋体" w:cs="Times New Roman"/>
                <w:color w:val="auto"/>
                <w:szCs w:val="21"/>
                <w:highlight w:val="none"/>
              </w:rPr>
            </w:pPr>
          </w:p>
        </w:tc>
      </w:tr>
      <w:tr w14:paraId="45F90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4"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2EAFD38B">
            <w:pPr>
              <w:snapToGrid w:val="0"/>
              <w:spacing w:before="50" w:after="50" w:line="360" w:lineRule="exact"/>
              <w:jc w:val="center"/>
              <w:rPr>
                <w:rFonts w:hint="eastAsia" w:ascii="宋体" w:hAnsi="宋体" w:eastAsia="宋体" w:cs="Times New Roman"/>
                <w:color w:val="auto"/>
                <w:szCs w:val="21"/>
                <w:highlight w:val="none"/>
              </w:rPr>
            </w:pP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383197A">
            <w:pPr>
              <w:snapToGrid w:val="0"/>
              <w:spacing w:before="50" w:after="50" w:line="360" w:lineRule="exact"/>
              <w:jc w:val="center"/>
              <w:rPr>
                <w:rFonts w:hint="eastAsia" w:ascii="宋体" w:hAnsi="宋体" w:eastAsia="宋体" w:cs="Times New Roman"/>
                <w:color w:val="auto"/>
                <w:szCs w:val="21"/>
                <w:highlight w:val="none"/>
              </w:rPr>
            </w:pPr>
          </w:p>
        </w:tc>
        <w:tc>
          <w:tcPr>
            <w:tcW w:w="890" w:type="dxa"/>
            <w:tcBorders>
              <w:top w:val="single" w:color="auto" w:sz="4" w:space="0"/>
              <w:left w:val="single" w:color="auto" w:sz="4" w:space="0"/>
              <w:bottom w:val="single" w:color="auto" w:sz="4" w:space="0"/>
              <w:right w:val="single" w:color="auto" w:sz="4" w:space="0"/>
            </w:tcBorders>
            <w:noWrap w:val="0"/>
            <w:vAlign w:val="center"/>
          </w:tcPr>
          <w:p w14:paraId="2250B751">
            <w:pPr>
              <w:snapToGrid w:val="0"/>
              <w:spacing w:before="50" w:after="50" w:line="360" w:lineRule="exact"/>
              <w:jc w:val="center"/>
              <w:rPr>
                <w:rFonts w:hint="eastAsia" w:ascii="宋体" w:hAnsi="宋体" w:eastAsia="宋体" w:cs="Times New Roman"/>
                <w:color w:val="auto"/>
                <w:szCs w:val="21"/>
                <w:highlight w:val="none"/>
              </w:rPr>
            </w:pPr>
          </w:p>
        </w:tc>
        <w:tc>
          <w:tcPr>
            <w:tcW w:w="1588" w:type="dxa"/>
            <w:tcBorders>
              <w:top w:val="single" w:color="auto" w:sz="4" w:space="0"/>
              <w:left w:val="single" w:color="auto" w:sz="4" w:space="0"/>
              <w:bottom w:val="single" w:color="auto" w:sz="4" w:space="0"/>
              <w:right w:val="single" w:color="auto" w:sz="4" w:space="0"/>
            </w:tcBorders>
            <w:noWrap w:val="0"/>
            <w:vAlign w:val="center"/>
          </w:tcPr>
          <w:p w14:paraId="41367FFF">
            <w:pPr>
              <w:snapToGrid w:val="0"/>
              <w:spacing w:before="50" w:after="50" w:line="360" w:lineRule="exact"/>
              <w:jc w:val="center"/>
              <w:rPr>
                <w:rFonts w:hint="eastAsia" w:ascii="宋体" w:hAnsi="宋体" w:eastAsia="宋体" w:cs="Times New Roman"/>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14:paraId="68E6A4EC">
            <w:pPr>
              <w:snapToGrid w:val="0"/>
              <w:spacing w:before="50" w:after="50" w:line="360" w:lineRule="exact"/>
              <w:jc w:val="center"/>
              <w:rPr>
                <w:rFonts w:hint="eastAsia" w:ascii="宋体" w:hAnsi="宋体" w:eastAsia="宋体" w:cs="Times New Roman"/>
                <w:color w:val="auto"/>
                <w:szCs w:val="21"/>
                <w:highlight w:val="none"/>
              </w:rPr>
            </w:pPr>
          </w:p>
        </w:tc>
        <w:tc>
          <w:tcPr>
            <w:tcW w:w="1918" w:type="dxa"/>
            <w:tcBorders>
              <w:top w:val="single" w:color="auto" w:sz="4" w:space="0"/>
              <w:left w:val="single" w:color="auto" w:sz="4" w:space="0"/>
              <w:bottom w:val="single" w:color="auto" w:sz="4" w:space="0"/>
              <w:right w:val="single" w:color="auto" w:sz="4" w:space="0"/>
            </w:tcBorders>
            <w:noWrap w:val="0"/>
            <w:vAlign w:val="center"/>
          </w:tcPr>
          <w:p w14:paraId="54EE4BC7">
            <w:pPr>
              <w:snapToGrid w:val="0"/>
              <w:spacing w:before="50" w:after="50" w:line="360" w:lineRule="exact"/>
              <w:jc w:val="center"/>
              <w:rPr>
                <w:rFonts w:hint="eastAsia" w:ascii="宋体" w:hAnsi="宋体" w:eastAsia="宋体" w:cs="Times New Roman"/>
                <w:color w:val="auto"/>
                <w:szCs w:val="21"/>
                <w:highlight w:val="none"/>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33DECD2D">
            <w:pPr>
              <w:snapToGrid w:val="0"/>
              <w:spacing w:before="50" w:after="50" w:line="360" w:lineRule="exact"/>
              <w:jc w:val="center"/>
              <w:rPr>
                <w:rFonts w:hint="eastAsia" w:ascii="宋体" w:hAnsi="宋体" w:eastAsia="宋体" w:cs="Times New Roman"/>
                <w:color w:val="auto"/>
                <w:szCs w:val="21"/>
                <w:highlight w:val="none"/>
              </w:rPr>
            </w:pPr>
          </w:p>
        </w:tc>
      </w:tr>
    </w:tbl>
    <w:p w14:paraId="604956B4">
      <w:pPr>
        <w:snapToGrid w:val="0"/>
        <w:spacing w:before="50" w:after="50" w:line="360" w:lineRule="exact"/>
        <w:rPr>
          <w:rFonts w:hint="eastAsia" w:ascii="宋体" w:hAnsi="宋体" w:eastAsia="宋体" w:cs="Times New Roman"/>
          <w:color w:val="auto"/>
          <w:spacing w:val="20"/>
          <w:szCs w:val="21"/>
          <w:highlight w:val="none"/>
          <w:u w:val="single"/>
        </w:rPr>
      </w:pPr>
      <w:r>
        <w:rPr>
          <w:rFonts w:hint="eastAsia" w:ascii="宋体" w:hAnsi="宋体" w:eastAsia="宋体" w:cs="Times New Roman"/>
          <w:color w:val="auto"/>
          <w:szCs w:val="21"/>
          <w:highlight w:val="none"/>
        </w:rPr>
        <w:t>法定代表人（负责人）或委托代理人签字或盖章</w:t>
      </w:r>
      <w:r>
        <w:rPr>
          <w:rFonts w:hint="eastAsia" w:ascii="宋体" w:hAnsi="宋体" w:eastAsia="宋体" w:cs="Times New Roman"/>
          <w:color w:val="auto"/>
          <w:spacing w:val="20"/>
          <w:szCs w:val="21"/>
          <w:highlight w:val="none"/>
        </w:rPr>
        <w:t>：</w:t>
      </w:r>
      <w:r>
        <w:rPr>
          <w:rFonts w:hint="eastAsia" w:ascii="宋体" w:hAnsi="宋体" w:eastAsia="宋体" w:cs="Times New Roman"/>
          <w:color w:val="auto"/>
          <w:spacing w:val="20"/>
          <w:szCs w:val="21"/>
          <w:highlight w:val="none"/>
          <w:u w:val="single"/>
        </w:rPr>
        <w:t xml:space="preserve">         </w:t>
      </w:r>
    </w:p>
    <w:p w14:paraId="5C23A0CF">
      <w:pPr>
        <w:snapToGrid w:val="0"/>
        <w:spacing w:before="50" w:after="156" w:afterLines="50" w:line="360" w:lineRule="exact"/>
        <w:jc w:val="left"/>
        <w:rPr>
          <w:rFonts w:hint="eastAsia" w:ascii="宋体" w:hAnsi="宋体" w:eastAsia="宋体" w:cs="Times New Roman"/>
          <w:color w:val="auto"/>
          <w:spacing w:val="20"/>
          <w:szCs w:val="21"/>
          <w:highlight w:val="none"/>
          <w:u w:val="single"/>
        </w:rPr>
      </w:pPr>
      <w:r>
        <w:rPr>
          <w:rFonts w:hint="eastAsia" w:ascii="宋体" w:hAnsi="宋体" w:eastAsia="宋体" w:cs="Times New Roman"/>
          <w:color w:val="auto"/>
          <w:spacing w:val="20"/>
          <w:szCs w:val="21"/>
          <w:highlight w:val="none"/>
        </w:rPr>
        <w:t>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宋体" w:eastAsia="宋体" w:cs="Times New Roman"/>
          <w:color w:val="auto"/>
          <w:spacing w:val="20"/>
          <w:szCs w:val="21"/>
          <w:highlight w:val="none"/>
        </w:rPr>
        <w:t>：</w:t>
      </w:r>
      <w:r>
        <w:rPr>
          <w:rFonts w:hint="eastAsia" w:ascii="宋体" w:hAnsi="宋体" w:eastAsia="宋体" w:cs="Times New Roman"/>
          <w:color w:val="auto"/>
          <w:spacing w:val="20"/>
          <w:szCs w:val="21"/>
          <w:highlight w:val="none"/>
          <w:u w:val="single"/>
        </w:rPr>
        <w:t xml:space="preserve">            </w:t>
      </w:r>
      <w:r>
        <w:rPr>
          <w:rFonts w:hint="eastAsia" w:ascii="宋体" w:hAnsi="宋体" w:eastAsia="宋体" w:cs="Times New Roman"/>
          <w:color w:val="auto"/>
          <w:spacing w:val="20"/>
          <w:szCs w:val="21"/>
          <w:highlight w:val="none"/>
        </w:rPr>
        <w:t xml:space="preserve">              日  期：</w:t>
      </w:r>
      <w:r>
        <w:rPr>
          <w:rFonts w:hint="eastAsia" w:ascii="宋体" w:hAnsi="宋体" w:eastAsia="宋体" w:cs="Times New Roman"/>
          <w:color w:val="auto"/>
          <w:spacing w:val="20"/>
          <w:szCs w:val="21"/>
          <w:highlight w:val="none"/>
          <w:u w:val="single"/>
        </w:rPr>
        <w:t xml:space="preserve">          </w:t>
      </w:r>
    </w:p>
    <w:p w14:paraId="53D80DBF">
      <w:pPr>
        <w:spacing w:line="360" w:lineRule="exact"/>
        <w:rPr>
          <w:rFonts w:hint="eastAsia" w:ascii="宋体" w:hAnsi="宋体" w:eastAsia="宋体" w:cs="Times New Roman"/>
          <w:color w:val="auto"/>
          <w:highlight w:val="none"/>
        </w:rPr>
      </w:pPr>
    </w:p>
    <w:p w14:paraId="1FC63D26">
      <w:pPr>
        <w:spacing w:line="36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非招标文件必须要求时可附：①原厂出厂配置表及原厂中文使用说明书（格式自拟）</w:t>
      </w:r>
    </w:p>
    <w:p w14:paraId="3BB870A8">
      <w:pPr>
        <w:spacing w:line="36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②产品出厂标准、质量检测报告及精度检测报告或数据（格式自拟）</w:t>
      </w:r>
    </w:p>
    <w:p w14:paraId="22A997D1">
      <w:pPr>
        <w:snapToGrid w:val="0"/>
        <w:spacing w:line="380" w:lineRule="exact"/>
        <w:jc w:val="left"/>
        <w:rPr>
          <w:rFonts w:hint="eastAsia" w:ascii="宋体" w:hAnsi="Times New Roman" w:eastAsia="宋体" w:cs="Times New Roman"/>
          <w:color w:val="auto"/>
          <w:szCs w:val="21"/>
          <w:highlight w:val="none"/>
        </w:rPr>
      </w:pPr>
      <w:r>
        <w:rPr>
          <w:rFonts w:ascii="Times New Roman" w:hAnsi="Times New Roman" w:eastAsia="宋体" w:cs="Times New Roman"/>
          <w:color w:val="auto"/>
          <w:highlight w:val="none"/>
        </w:rPr>
        <w:br w:type="page"/>
      </w:r>
      <w:r>
        <w:rPr>
          <w:rFonts w:hint="eastAsia" w:ascii="Times New Roman" w:hAnsi="Times New Roman" w:eastAsia="宋体" w:cs="Times New Roman"/>
          <w:color w:val="auto"/>
          <w:highlight w:val="none"/>
        </w:rPr>
        <w:t xml:space="preserve"> </w:t>
      </w:r>
      <w:r>
        <w:rPr>
          <w:rFonts w:hint="eastAsia" w:ascii="宋体" w:hAnsi="Times New Roman" w:eastAsia="宋体" w:cs="Times New Roman"/>
          <w:color w:val="auto"/>
          <w:szCs w:val="21"/>
          <w:highlight w:val="none"/>
        </w:rPr>
        <w:t xml:space="preserve">   （3）</w:t>
      </w:r>
      <w:r>
        <w:rPr>
          <w:rFonts w:hint="eastAsia" w:ascii="Times New Roman" w:hAnsi="Times New Roman" w:eastAsia="宋体" w:cs="Times New Roman"/>
          <w:color w:val="auto"/>
          <w:highlight w:val="none"/>
        </w:rPr>
        <w:t>项目实施方案、售后服务承诺书</w:t>
      </w:r>
      <w:r>
        <w:rPr>
          <w:rFonts w:hint="eastAsia" w:ascii="宋体" w:hAnsi="Times New Roman" w:eastAsia="宋体" w:cs="Times New Roman"/>
          <w:color w:val="auto"/>
          <w:szCs w:val="21"/>
          <w:highlight w:val="none"/>
        </w:rPr>
        <w:t>；</w:t>
      </w:r>
      <w:r>
        <w:rPr>
          <w:rFonts w:hint="eastAsia" w:ascii="宋体" w:hAnsi="宋体" w:eastAsia="宋体" w:cs="Times New Roman"/>
          <w:b/>
          <w:color w:val="auto"/>
          <w:szCs w:val="21"/>
          <w:highlight w:val="none"/>
        </w:rPr>
        <w:t>（格式自拟，</w:t>
      </w:r>
      <w:r>
        <w:rPr>
          <w:rFonts w:hint="eastAsia" w:ascii="宋体" w:hAnsi="Times New Roman" w:eastAsia="宋体" w:cs="Times New Roman"/>
          <w:b/>
          <w:color w:val="auto"/>
          <w:szCs w:val="21"/>
          <w:highlight w:val="none"/>
        </w:rPr>
        <w:t>必须提供</w:t>
      </w:r>
      <w:r>
        <w:rPr>
          <w:rFonts w:hint="eastAsia" w:ascii="宋体" w:hAnsi="宋体" w:eastAsia="宋体" w:cs="Times New Roman"/>
          <w:b/>
          <w:color w:val="auto"/>
          <w:szCs w:val="21"/>
          <w:highlight w:val="none"/>
        </w:rPr>
        <w:t>）</w:t>
      </w:r>
    </w:p>
    <w:p w14:paraId="784A3ADB">
      <w:pPr>
        <w:snapToGrid w:val="0"/>
        <w:spacing w:line="380" w:lineRule="exact"/>
        <w:jc w:val="left"/>
        <w:rPr>
          <w:rFonts w:hint="eastAsia" w:ascii="宋体" w:hAnsi="Times New Roman" w:eastAsia="宋体" w:cs="Times New Roman"/>
          <w:color w:val="auto"/>
          <w:szCs w:val="21"/>
          <w:highlight w:val="none"/>
        </w:rPr>
      </w:pPr>
    </w:p>
    <w:p w14:paraId="7A9C3A3D">
      <w:pPr>
        <w:snapToGrid w:val="0"/>
        <w:spacing w:line="380" w:lineRule="exact"/>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（4）投标人拥有主要装备和检测设施的情况和现状（格式自拟）及项目实施人员一览表（参考格式）</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2FE67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14:paraId="1D055838">
            <w:pPr>
              <w:snapToGrid w:val="0"/>
              <w:spacing w:before="156" w:beforeLines="50" w:after="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C36E284">
            <w:pPr>
              <w:snapToGrid w:val="0"/>
              <w:spacing w:before="156" w:beforeLines="50" w:after="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370AEF2">
            <w:pPr>
              <w:snapToGrid w:val="0"/>
              <w:spacing w:before="156" w:beforeLines="50" w:after="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C7137ED">
            <w:pPr>
              <w:snapToGrid w:val="0"/>
              <w:spacing w:before="156" w:beforeLines="50" w:after="50" w:line="360" w:lineRule="exact"/>
              <w:jc w:val="center"/>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78A82914">
            <w:pPr>
              <w:snapToGrid w:val="0"/>
              <w:spacing w:before="156" w:beforeLines="50" w:after="50" w:line="200" w:lineRule="exact"/>
              <w:jc w:val="center"/>
              <w:rPr>
                <w:rFonts w:hint="eastAsia" w:ascii="宋体" w:hAnsi="Times New Roman" w:eastAsia="宋体" w:cs="Times New Roman"/>
                <w:bCs/>
                <w:color w:val="auto"/>
                <w:szCs w:val="21"/>
                <w:highlight w:val="none"/>
              </w:rPr>
            </w:pPr>
            <w:r>
              <w:rPr>
                <w:rFonts w:hint="eastAsia" w:ascii="宋体" w:hAnsi="Times New Roman" w:eastAsia="宋体" w:cs="Times New Roman"/>
                <w:bCs/>
                <w:color w:val="auto"/>
                <w:szCs w:val="21"/>
                <w:highlight w:val="none"/>
              </w:rPr>
              <w:t>参加本单位</w:t>
            </w:r>
          </w:p>
          <w:p w14:paraId="4359CF00">
            <w:pPr>
              <w:snapToGrid w:val="0"/>
              <w:spacing w:before="156" w:beforeLines="50" w:after="50" w:line="200" w:lineRule="exact"/>
              <w:jc w:val="center"/>
              <w:rPr>
                <w:rFonts w:hint="eastAsia" w:ascii="宋体" w:hAnsi="Times New Roman" w:eastAsia="宋体" w:cs="Times New Roman"/>
                <w:bCs/>
                <w:color w:val="auto"/>
                <w:szCs w:val="21"/>
                <w:highlight w:val="none"/>
              </w:rPr>
            </w:pPr>
            <w:r>
              <w:rPr>
                <w:rFonts w:hint="eastAsia" w:ascii="宋体" w:hAnsi="Times New Roman" w:eastAsia="宋体" w:cs="Times New Roman"/>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78A3F2E">
            <w:pPr>
              <w:snapToGrid w:val="0"/>
              <w:spacing w:before="156" w:beforeLines="50" w:after="50" w:line="360" w:lineRule="exact"/>
              <w:jc w:val="center"/>
              <w:rPr>
                <w:rFonts w:hint="eastAsia" w:ascii="宋体" w:hAnsi="Times New Roman" w:eastAsia="宋体" w:cs="Times New Roman"/>
                <w:bCs/>
                <w:color w:val="auto"/>
                <w:szCs w:val="21"/>
                <w:highlight w:val="none"/>
              </w:rPr>
            </w:pPr>
            <w:r>
              <w:rPr>
                <w:rFonts w:hint="eastAsia" w:ascii="宋体" w:hAnsi="Times New Roman" w:eastAsia="宋体" w:cs="Times New Roman"/>
                <w:bCs/>
                <w:color w:val="auto"/>
                <w:szCs w:val="21"/>
                <w:highlight w:val="none"/>
              </w:rPr>
              <w:t>劳动合同编号</w:t>
            </w:r>
          </w:p>
        </w:tc>
      </w:tr>
      <w:tr w14:paraId="5EDC1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6B520592">
            <w:pPr>
              <w:snapToGrid w:val="0"/>
              <w:spacing w:before="156" w:beforeLines="50" w:after="50" w:line="360" w:lineRule="exact"/>
              <w:rPr>
                <w:rFonts w:hint="eastAsia" w:ascii="宋体" w:hAnsi="Times New Roman" w:eastAsia="宋体" w:cs="Times New Roman"/>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CC2EF07">
            <w:pPr>
              <w:snapToGrid w:val="0"/>
              <w:spacing w:before="156" w:beforeLines="50" w:after="50" w:line="360" w:lineRule="exact"/>
              <w:rPr>
                <w:rFonts w:hint="eastAsia" w:ascii="宋体" w:hAnsi="Times New Roman" w:eastAsia="宋体" w:cs="Times New Roman"/>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5886EDCB">
            <w:pPr>
              <w:snapToGrid w:val="0"/>
              <w:spacing w:before="156" w:beforeLines="50" w:after="50" w:line="360" w:lineRule="exact"/>
              <w:rPr>
                <w:rFonts w:hint="eastAsia" w:ascii="宋体" w:hAnsi="Times New Roman" w:eastAsia="宋体" w:cs="Times New Roman"/>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7B468838">
            <w:pPr>
              <w:snapToGrid w:val="0"/>
              <w:spacing w:before="156" w:beforeLines="50" w:after="50" w:line="360" w:lineRule="exact"/>
              <w:rPr>
                <w:rFonts w:hint="eastAsia" w:ascii="宋体" w:hAnsi="Times New Roman" w:eastAsia="宋体" w:cs="Times New Roman"/>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08BC501B">
            <w:pPr>
              <w:snapToGrid w:val="0"/>
              <w:spacing w:before="156" w:beforeLines="50" w:after="50" w:line="360" w:lineRule="exact"/>
              <w:rPr>
                <w:rFonts w:hint="eastAsia" w:ascii="宋体" w:hAnsi="Times New Roman" w:eastAsia="宋体"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ED76D52">
            <w:pPr>
              <w:snapToGrid w:val="0"/>
              <w:spacing w:before="156" w:beforeLines="50" w:after="50" w:line="360" w:lineRule="exact"/>
              <w:rPr>
                <w:rFonts w:hint="eastAsia" w:ascii="宋体" w:hAnsi="Times New Roman" w:eastAsia="宋体" w:cs="Times New Roman"/>
                <w:color w:val="auto"/>
                <w:szCs w:val="21"/>
                <w:highlight w:val="none"/>
              </w:rPr>
            </w:pPr>
          </w:p>
        </w:tc>
      </w:tr>
      <w:tr w14:paraId="57EEF0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003743A5">
            <w:pPr>
              <w:snapToGrid w:val="0"/>
              <w:spacing w:before="156" w:beforeLines="50" w:after="50" w:line="360" w:lineRule="exact"/>
              <w:rPr>
                <w:rFonts w:hint="eastAsia" w:ascii="宋体" w:hAnsi="Times New Roman" w:eastAsia="宋体" w:cs="Times New Roman"/>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63482C5">
            <w:pPr>
              <w:snapToGrid w:val="0"/>
              <w:spacing w:before="156" w:beforeLines="50" w:after="50" w:line="360" w:lineRule="exact"/>
              <w:rPr>
                <w:rFonts w:hint="eastAsia" w:ascii="宋体" w:hAnsi="Times New Roman" w:eastAsia="宋体" w:cs="Times New Roman"/>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04AA39BC">
            <w:pPr>
              <w:snapToGrid w:val="0"/>
              <w:spacing w:before="156" w:beforeLines="50" w:after="50" w:line="360" w:lineRule="exact"/>
              <w:rPr>
                <w:rFonts w:hint="eastAsia" w:ascii="宋体" w:hAnsi="Times New Roman" w:eastAsia="宋体" w:cs="Times New Roman"/>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4EB2440">
            <w:pPr>
              <w:snapToGrid w:val="0"/>
              <w:spacing w:before="156" w:beforeLines="50" w:after="50" w:line="360" w:lineRule="exact"/>
              <w:rPr>
                <w:rFonts w:hint="eastAsia" w:ascii="宋体" w:hAnsi="Times New Roman" w:eastAsia="宋体" w:cs="Times New Roman"/>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5FDC865D">
            <w:pPr>
              <w:snapToGrid w:val="0"/>
              <w:spacing w:before="156" w:beforeLines="50" w:after="50" w:line="360" w:lineRule="exact"/>
              <w:rPr>
                <w:rFonts w:hint="eastAsia" w:ascii="宋体" w:hAnsi="Times New Roman" w:eastAsia="宋体"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E48B14E">
            <w:pPr>
              <w:snapToGrid w:val="0"/>
              <w:spacing w:before="156" w:beforeLines="50" w:after="50" w:line="360" w:lineRule="exact"/>
              <w:rPr>
                <w:rFonts w:hint="eastAsia" w:ascii="宋体" w:hAnsi="Times New Roman" w:eastAsia="宋体" w:cs="Times New Roman"/>
                <w:color w:val="auto"/>
                <w:szCs w:val="21"/>
                <w:highlight w:val="none"/>
              </w:rPr>
            </w:pPr>
          </w:p>
        </w:tc>
      </w:tr>
      <w:tr w14:paraId="6B302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6849713C">
            <w:pPr>
              <w:snapToGrid w:val="0"/>
              <w:spacing w:before="156" w:beforeLines="50" w:after="50" w:line="360" w:lineRule="exact"/>
              <w:rPr>
                <w:rFonts w:hint="eastAsia" w:ascii="宋体" w:hAnsi="Times New Roman" w:eastAsia="宋体" w:cs="Times New Roman"/>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04271E2E">
            <w:pPr>
              <w:snapToGrid w:val="0"/>
              <w:spacing w:before="156" w:beforeLines="50" w:after="50" w:line="360" w:lineRule="exact"/>
              <w:rPr>
                <w:rFonts w:hint="eastAsia" w:ascii="宋体" w:hAnsi="Times New Roman" w:eastAsia="宋体" w:cs="Times New Roman"/>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265DB6C6">
            <w:pPr>
              <w:widowControl w:val="0"/>
              <w:snapToGrid w:val="0"/>
              <w:spacing w:before="156" w:beforeLines="50" w:after="50" w:line="360" w:lineRule="exact"/>
              <w:ind w:left="5250" w:leftChars="2500"/>
              <w:jc w:val="both"/>
              <w:rPr>
                <w:rFonts w:hint="eastAsia" w:ascii="宋体" w:hAnsi="Times New Roman" w:eastAsia="宋体" w:cs="Courier New"/>
                <w:color w:val="auto"/>
                <w:kern w:val="2"/>
                <w:sz w:val="21"/>
                <w:szCs w:val="21"/>
                <w:highlight w:val="none"/>
                <w:lang w:val="en-US" w:eastAsia="zh-CN" w:bidi="ar-SA"/>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6530A2A1">
            <w:pPr>
              <w:snapToGrid w:val="0"/>
              <w:spacing w:before="156" w:beforeLines="50" w:after="50" w:line="360" w:lineRule="exact"/>
              <w:rPr>
                <w:rFonts w:hint="eastAsia" w:ascii="宋体" w:hAnsi="Times New Roman" w:eastAsia="宋体" w:cs="Times New Roman"/>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59599F2F">
            <w:pPr>
              <w:snapToGrid w:val="0"/>
              <w:spacing w:before="156" w:beforeLines="50" w:after="50" w:line="360" w:lineRule="exact"/>
              <w:rPr>
                <w:rFonts w:hint="eastAsia" w:ascii="宋体" w:hAnsi="Times New Roman" w:eastAsia="宋体"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B1B363D">
            <w:pPr>
              <w:snapToGrid w:val="0"/>
              <w:spacing w:before="156" w:beforeLines="50" w:after="50" w:line="360" w:lineRule="exact"/>
              <w:rPr>
                <w:rFonts w:hint="eastAsia" w:ascii="宋体" w:hAnsi="Times New Roman" w:eastAsia="宋体" w:cs="Times New Roman"/>
                <w:color w:val="auto"/>
                <w:szCs w:val="21"/>
                <w:highlight w:val="none"/>
              </w:rPr>
            </w:pPr>
          </w:p>
        </w:tc>
      </w:tr>
    </w:tbl>
    <w:p w14:paraId="54C72D97">
      <w:pPr>
        <w:snapToGrid w:val="0"/>
        <w:spacing w:before="50" w:after="50" w:line="360" w:lineRule="exact"/>
        <w:rPr>
          <w:rFonts w:hint="eastAsia" w:ascii="宋体" w:hAnsi="Times New Roman" w:eastAsia="宋体" w:cs="Times New Roman"/>
          <w:color w:val="auto"/>
          <w:spacing w:val="20"/>
          <w:szCs w:val="21"/>
          <w:highlight w:val="none"/>
          <w:u w:val="single"/>
        </w:rPr>
      </w:pPr>
      <w:r>
        <w:rPr>
          <w:rFonts w:hint="eastAsia" w:ascii="宋体" w:hAnsi="Times New Roman" w:eastAsia="宋体" w:cs="Times New Roman"/>
          <w:color w:val="auto"/>
          <w:szCs w:val="21"/>
          <w:highlight w:val="none"/>
        </w:rPr>
        <w:t>法定代表人（负责人）或委托代理人签字或盖章</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p>
    <w:p w14:paraId="088003F3">
      <w:pPr>
        <w:snapToGrid w:val="0"/>
        <w:spacing w:before="50" w:after="50"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pacing w:val="20"/>
          <w:szCs w:val="21"/>
          <w:highlight w:val="none"/>
        </w:rPr>
        <w:t>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r>
        <w:rPr>
          <w:rFonts w:hint="eastAsia" w:ascii="宋体" w:hAnsi="Times New Roman" w:eastAsia="宋体" w:cs="Times New Roman"/>
          <w:color w:val="auto"/>
          <w:spacing w:val="20"/>
          <w:szCs w:val="21"/>
          <w:highlight w:val="none"/>
        </w:rPr>
        <w:t xml:space="preserve">            日 期：</w:t>
      </w:r>
      <w:r>
        <w:rPr>
          <w:rFonts w:hint="eastAsia" w:ascii="宋体" w:hAnsi="Times New Roman" w:eastAsia="宋体" w:cs="Times New Roman"/>
          <w:color w:val="auto"/>
          <w:spacing w:val="20"/>
          <w:szCs w:val="21"/>
          <w:highlight w:val="none"/>
          <w:u w:val="single"/>
        </w:rPr>
        <w:t xml:space="preserve">            </w:t>
      </w:r>
    </w:p>
    <w:p w14:paraId="791A937D">
      <w:pPr>
        <w:rPr>
          <w:rFonts w:hint="eastAsia" w:ascii="Times New Roman" w:hAnsi="Times New Roman" w:eastAsia="宋体" w:cs="Times New Roman"/>
          <w:color w:val="auto"/>
          <w:highlight w:val="none"/>
        </w:rPr>
      </w:pPr>
    </w:p>
    <w:p w14:paraId="75FD1303">
      <w:pPr>
        <w:rPr>
          <w:rFonts w:hint="eastAsia" w:ascii="Times New Roman" w:hAnsi="Times New Roman" w:eastAsia="宋体" w:cs="Times New Roman"/>
          <w:color w:val="auto"/>
          <w:highlight w:val="none"/>
        </w:rPr>
      </w:pPr>
    </w:p>
    <w:p w14:paraId="28B504EA">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r>
        <w:rPr>
          <w:rFonts w:hint="eastAsia" w:ascii="宋体" w:hAnsi="Times New Roman" w:eastAsia="宋体" w:cs="Times New Roman"/>
          <w:color w:val="auto"/>
          <w:szCs w:val="21"/>
          <w:highlight w:val="none"/>
        </w:rPr>
        <w:t>（5）投标人承诺给予招标人的各种优惠条件，包括备品备件、专用耗材、售后服务等方面的优惠；</w:t>
      </w:r>
    </w:p>
    <w:p w14:paraId="10852504">
      <w:pPr>
        <w:snapToGrid w:val="0"/>
        <w:spacing w:before="50" w:after="156" w:afterLines="50" w:line="36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备品备件、专用耗材、售后服务优惠表格式：</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906"/>
        <w:gridCol w:w="3269"/>
        <w:gridCol w:w="1440"/>
        <w:gridCol w:w="1488"/>
        <w:gridCol w:w="2281"/>
      </w:tblGrid>
      <w:tr w14:paraId="74608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0" w:hRule="exact"/>
          <w:jc w:val="center"/>
        </w:trPr>
        <w:tc>
          <w:tcPr>
            <w:tcW w:w="90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C558AB">
            <w:pPr>
              <w:widowControl w:val="0"/>
              <w:snapToGrid w:val="0"/>
              <w:spacing w:before="295" w:after="295" w:line="30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lang w:val="en-US" w:eastAsia="zh-CN" w:bidi="ar-SA"/>
              </w:rPr>
              <w:t>序号</w:t>
            </w:r>
          </w:p>
        </w:tc>
        <w:tc>
          <w:tcPr>
            <w:tcW w:w="3269" w:type="dxa"/>
            <w:tcBorders>
              <w:top w:val="single" w:color="auto" w:sz="4" w:space="0"/>
              <w:left w:val="single" w:color="auto" w:sz="4" w:space="0"/>
              <w:bottom w:val="single" w:color="auto" w:sz="2" w:space="0"/>
              <w:right w:val="single" w:color="auto" w:sz="4" w:space="0"/>
            </w:tcBorders>
            <w:noWrap w:val="0"/>
            <w:vAlign w:val="center"/>
          </w:tcPr>
          <w:p w14:paraId="1A8F7110">
            <w:pPr>
              <w:widowControl w:val="0"/>
              <w:snapToGrid w:val="0"/>
              <w:spacing w:before="295" w:after="295" w:line="30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lang w:val="en-US" w:eastAsia="zh-CN" w:bidi="ar-SA"/>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26534E08">
            <w:pPr>
              <w:widowControl w:val="0"/>
              <w:snapToGrid w:val="0"/>
              <w:spacing w:before="295" w:after="295" w:line="30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lang w:val="en-US" w:eastAsia="zh-CN" w:bidi="ar-SA"/>
              </w:rPr>
              <w:t>适用机型</w:t>
            </w:r>
          </w:p>
        </w:tc>
        <w:tc>
          <w:tcPr>
            <w:tcW w:w="1488" w:type="dxa"/>
            <w:tcBorders>
              <w:top w:val="single" w:color="auto" w:sz="4" w:space="0"/>
              <w:left w:val="single" w:color="auto" w:sz="4" w:space="0"/>
              <w:bottom w:val="single" w:color="auto" w:sz="2" w:space="0"/>
              <w:right w:val="single" w:color="auto" w:sz="4" w:space="0"/>
            </w:tcBorders>
            <w:noWrap w:val="0"/>
            <w:tcMar>
              <w:top w:w="15" w:type="dxa"/>
              <w:left w:w="15" w:type="dxa"/>
              <w:right w:w="15" w:type="dxa"/>
            </w:tcMar>
            <w:vAlign w:val="center"/>
          </w:tcPr>
          <w:p w14:paraId="165F2526">
            <w:pPr>
              <w:widowControl w:val="0"/>
              <w:snapToGrid w:val="0"/>
              <w:spacing w:before="295" w:after="295" w:line="30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lang w:val="en-US" w:eastAsia="zh-CN" w:bidi="ar-SA"/>
              </w:rPr>
              <w:t>单价</w:t>
            </w:r>
          </w:p>
        </w:tc>
        <w:tc>
          <w:tcPr>
            <w:tcW w:w="2281" w:type="dxa"/>
            <w:tcBorders>
              <w:top w:val="single" w:color="auto" w:sz="4" w:space="0"/>
              <w:left w:val="single" w:color="auto" w:sz="4" w:space="0"/>
              <w:bottom w:val="single" w:color="auto" w:sz="2" w:space="0"/>
              <w:right w:val="single" w:color="auto" w:sz="4" w:space="0"/>
            </w:tcBorders>
            <w:noWrap w:val="0"/>
            <w:vAlign w:val="center"/>
          </w:tcPr>
          <w:p w14:paraId="74A30D85">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比市场价优惠率</w:t>
            </w:r>
          </w:p>
        </w:tc>
      </w:tr>
      <w:tr w14:paraId="7DB62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04A11B16">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3269" w:type="dxa"/>
            <w:tcBorders>
              <w:top w:val="single" w:color="auto" w:sz="2" w:space="0"/>
              <w:left w:val="single" w:color="auto" w:sz="2" w:space="0"/>
              <w:bottom w:val="single" w:color="auto" w:sz="6" w:space="0"/>
              <w:right w:val="single" w:color="auto" w:sz="4" w:space="0"/>
            </w:tcBorders>
            <w:noWrap w:val="0"/>
            <w:vAlign w:val="center"/>
          </w:tcPr>
          <w:p w14:paraId="6B6D1770">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315E18AB">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88" w:type="dxa"/>
            <w:tcBorders>
              <w:top w:val="single" w:color="auto" w:sz="2" w:space="0"/>
              <w:left w:val="single" w:color="auto" w:sz="6" w:space="0"/>
              <w:bottom w:val="single" w:color="auto" w:sz="6" w:space="0"/>
              <w:right w:val="single" w:color="auto" w:sz="6" w:space="0"/>
            </w:tcBorders>
            <w:noWrap w:val="0"/>
            <w:tcMar>
              <w:top w:w="15" w:type="dxa"/>
              <w:left w:w="15" w:type="dxa"/>
              <w:right w:w="15" w:type="dxa"/>
            </w:tcMar>
            <w:vAlign w:val="center"/>
          </w:tcPr>
          <w:p w14:paraId="3E1037DB">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2281" w:type="dxa"/>
            <w:tcBorders>
              <w:top w:val="single" w:color="auto" w:sz="2" w:space="0"/>
              <w:left w:val="single" w:color="auto" w:sz="6" w:space="0"/>
              <w:bottom w:val="single" w:color="auto" w:sz="6" w:space="0"/>
              <w:right w:val="single" w:color="auto" w:sz="2" w:space="0"/>
            </w:tcBorders>
            <w:noWrap w:val="0"/>
            <w:vAlign w:val="center"/>
          </w:tcPr>
          <w:p w14:paraId="0F5AD491">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u w:val="single"/>
                <w:lang w:val="en-US" w:eastAsia="zh-CN" w:bidi="ar-SA"/>
              </w:rPr>
              <w:t xml:space="preserve">          </w:t>
            </w:r>
            <w:r>
              <w:rPr>
                <w:rFonts w:hint="eastAsia" w:ascii="宋体" w:hAnsi="Times New Roman" w:eastAsia="宋体" w:cs="Courier New"/>
                <w:color w:val="auto"/>
                <w:kern w:val="2"/>
                <w:sz w:val="21"/>
                <w:szCs w:val="21"/>
                <w:highlight w:val="none"/>
                <w:lang w:val="en-US" w:eastAsia="zh-CN" w:bidi="ar-SA"/>
              </w:rPr>
              <w:t>%</w:t>
            </w:r>
          </w:p>
        </w:tc>
      </w:tr>
      <w:tr w14:paraId="62AEB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1ABEB239">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07AF70B4">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09E5E5A2">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4C37FEFD">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60C58B3D">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u w:val="single"/>
                <w:lang w:val="en-US" w:eastAsia="zh-CN" w:bidi="ar-SA"/>
              </w:rPr>
              <w:t xml:space="preserve">          </w:t>
            </w:r>
            <w:r>
              <w:rPr>
                <w:rFonts w:hint="eastAsia" w:ascii="宋体" w:hAnsi="Times New Roman" w:eastAsia="宋体" w:cs="Courier New"/>
                <w:color w:val="auto"/>
                <w:kern w:val="2"/>
                <w:sz w:val="21"/>
                <w:szCs w:val="21"/>
                <w:highlight w:val="none"/>
                <w:lang w:val="en-US" w:eastAsia="zh-CN" w:bidi="ar-SA"/>
              </w:rPr>
              <w:t>%</w:t>
            </w:r>
          </w:p>
        </w:tc>
      </w:tr>
      <w:tr w14:paraId="4BED8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7" w:hRule="exact"/>
          <w:jc w:val="center"/>
        </w:trPr>
        <w:tc>
          <w:tcPr>
            <w:tcW w:w="906" w:type="dxa"/>
            <w:tcBorders>
              <w:top w:val="single" w:color="auto" w:sz="4" w:space="0"/>
              <w:left w:val="single" w:color="auto" w:sz="4" w:space="0"/>
              <w:bottom w:val="single" w:color="auto" w:sz="4" w:space="0"/>
              <w:right w:val="single" w:color="auto" w:sz="2" w:space="0"/>
            </w:tcBorders>
            <w:noWrap w:val="0"/>
            <w:tcMar>
              <w:top w:w="15" w:type="dxa"/>
              <w:left w:w="15" w:type="dxa"/>
              <w:right w:w="15" w:type="dxa"/>
            </w:tcMar>
            <w:vAlign w:val="center"/>
          </w:tcPr>
          <w:p w14:paraId="5B366376">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3269" w:type="dxa"/>
            <w:tcBorders>
              <w:top w:val="single" w:color="auto" w:sz="6" w:space="0"/>
              <w:left w:val="single" w:color="auto" w:sz="2" w:space="0"/>
              <w:bottom w:val="single" w:color="auto" w:sz="6" w:space="0"/>
              <w:right w:val="single" w:color="auto" w:sz="4" w:space="0"/>
            </w:tcBorders>
            <w:noWrap w:val="0"/>
            <w:vAlign w:val="center"/>
          </w:tcPr>
          <w:p w14:paraId="4E58B9E3">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5AAB799E">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1488" w:type="dxa"/>
            <w:tcBorders>
              <w:top w:val="single" w:color="auto" w:sz="6" w:space="0"/>
              <w:left w:val="single" w:color="auto" w:sz="6" w:space="0"/>
              <w:bottom w:val="single" w:color="auto" w:sz="6" w:space="0"/>
              <w:right w:val="single" w:color="auto" w:sz="6" w:space="0"/>
            </w:tcBorders>
            <w:noWrap w:val="0"/>
            <w:tcMar>
              <w:top w:w="15" w:type="dxa"/>
              <w:left w:w="15" w:type="dxa"/>
              <w:right w:w="15" w:type="dxa"/>
            </w:tcMar>
            <w:vAlign w:val="center"/>
          </w:tcPr>
          <w:p w14:paraId="390ADC06">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p>
        </w:tc>
        <w:tc>
          <w:tcPr>
            <w:tcW w:w="2281" w:type="dxa"/>
            <w:tcBorders>
              <w:top w:val="single" w:color="auto" w:sz="6" w:space="0"/>
              <w:left w:val="single" w:color="auto" w:sz="6" w:space="0"/>
              <w:bottom w:val="single" w:color="auto" w:sz="6" w:space="0"/>
              <w:right w:val="single" w:color="auto" w:sz="2" w:space="0"/>
            </w:tcBorders>
            <w:noWrap w:val="0"/>
            <w:vAlign w:val="center"/>
          </w:tcPr>
          <w:p w14:paraId="4490DD09">
            <w:pPr>
              <w:widowControl w:val="0"/>
              <w:snapToGrid w:val="0"/>
              <w:spacing w:before="295" w:after="295" w:line="360" w:lineRule="exact"/>
              <w:jc w:val="center"/>
              <w:rPr>
                <w:rFonts w:hint="eastAsia" w:ascii="宋体" w:hAnsi="Times New Roman" w:eastAsia="宋体" w:cs="Courier New"/>
                <w:color w:val="auto"/>
                <w:kern w:val="2"/>
                <w:sz w:val="21"/>
                <w:szCs w:val="21"/>
                <w:highlight w:val="none"/>
                <w:lang w:val="en-US" w:eastAsia="zh-CN" w:bidi="ar-SA"/>
              </w:rPr>
            </w:pPr>
            <w:r>
              <w:rPr>
                <w:rFonts w:hint="eastAsia" w:ascii="宋体" w:hAnsi="Times New Roman" w:eastAsia="宋体" w:cs="Courier New"/>
                <w:color w:val="auto"/>
                <w:kern w:val="2"/>
                <w:sz w:val="21"/>
                <w:szCs w:val="21"/>
                <w:highlight w:val="none"/>
                <w:u w:val="single"/>
                <w:lang w:val="en-US" w:eastAsia="zh-CN" w:bidi="ar-SA"/>
              </w:rPr>
              <w:t xml:space="preserve">          </w:t>
            </w:r>
            <w:r>
              <w:rPr>
                <w:rFonts w:hint="eastAsia" w:ascii="宋体" w:hAnsi="Times New Roman" w:eastAsia="宋体" w:cs="Courier New"/>
                <w:color w:val="auto"/>
                <w:kern w:val="2"/>
                <w:sz w:val="21"/>
                <w:szCs w:val="21"/>
                <w:highlight w:val="none"/>
                <w:lang w:val="en-US" w:eastAsia="zh-CN" w:bidi="ar-SA"/>
              </w:rPr>
              <w:t>%</w:t>
            </w:r>
          </w:p>
        </w:tc>
      </w:tr>
    </w:tbl>
    <w:p w14:paraId="3580C941">
      <w:pPr>
        <w:snapToGrid w:val="0"/>
        <w:spacing w:before="50" w:after="50" w:line="360" w:lineRule="exact"/>
        <w:rPr>
          <w:rFonts w:hint="eastAsia" w:ascii="宋体" w:hAnsi="Times New Roman" w:eastAsia="宋体" w:cs="Times New Roman"/>
          <w:color w:val="auto"/>
          <w:spacing w:val="20"/>
          <w:szCs w:val="21"/>
          <w:highlight w:val="none"/>
        </w:rPr>
      </w:pPr>
    </w:p>
    <w:p w14:paraId="1B3D571B">
      <w:pPr>
        <w:snapToGrid w:val="0"/>
        <w:spacing w:before="50" w:after="50" w:line="360" w:lineRule="exact"/>
        <w:rPr>
          <w:rFonts w:hint="eastAsia" w:ascii="宋体" w:hAnsi="Times New Roman" w:eastAsia="宋体" w:cs="Times New Roman"/>
          <w:color w:val="auto"/>
          <w:spacing w:val="20"/>
          <w:szCs w:val="21"/>
          <w:highlight w:val="none"/>
          <w:u w:val="single"/>
        </w:rPr>
      </w:pPr>
      <w:r>
        <w:rPr>
          <w:rFonts w:hint="eastAsia" w:ascii="宋体" w:hAnsi="Times New Roman" w:eastAsia="宋体" w:cs="Times New Roman"/>
          <w:color w:val="auto"/>
          <w:szCs w:val="21"/>
          <w:highlight w:val="none"/>
        </w:rPr>
        <w:t>法定代表人（负责人）或委托代理人签字或盖章</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p>
    <w:p w14:paraId="72AE3E59">
      <w:pPr>
        <w:snapToGrid w:val="0"/>
        <w:spacing w:before="50" w:after="50"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pacing w:val="20"/>
          <w:szCs w:val="21"/>
          <w:highlight w:val="none"/>
        </w:rPr>
        <w:t>投标人</w:t>
      </w:r>
      <w:r>
        <w:rPr>
          <w:rFonts w:hint="eastAsia" w:ascii="Times New Roman" w:hAnsi="Times New Roman" w:eastAsia="宋体" w:cs="Times New Roman"/>
          <w:color w:val="auto"/>
          <w:highlight w:val="none"/>
        </w:rPr>
        <w:t>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r>
        <w:rPr>
          <w:rFonts w:hint="eastAsia" w:ascii="宋体" w:hAnsi="Times New Roman" w:eastAsia="宋体" w:cs="Times New Roman"/>
          <w:color w:val="auto"/>
          <w:spacing w:val="20"/>
          <w:szCs w:val="21"/>
          <w:highlight w:val="none"/>
        </w:rPr>
        <w:t xml:space="preserve">            日 期：</w:t>
      </w:r>
      <w:r>
        <w:rPr>
          <w:rFonts w:hint="eastAsia" w:ascii="宋体" w:hAnsi="Times New Roman" w:eastAsia="宋体" w:cs="Times New Roman"/>
          <w:color w:val="auto"/>
          <w:spacing w:val="20"/>
          <w:szCs w:val="21"/>
          <w:highlight w:val="none"/>
          <w:u w:val="single"/>
        </w:rPr>
        <w:t xml:space="preserve">            </w:t>
      </w:r>
    </w:p>
    <w:p w14:paraId="2921A22E">
      <w:pPr>
        <w:rPr>
          <w:rFonts w:hint="eastAsia" w:ascii="Times New Roman" w:hAnsi="Times New Roman" w:eastAsia="宋体" w:cs="Times New Roman"/>
          <w:color w:val="auto"/>
          <w:highlight w:val="none"/>
        </w:rPr>
      </w:pPr>
    </w:p>
    <w:p w14:paraId="22BC7552">
      <w:pPr>
        <w:rPr>
          <w:rFonts w:hint="eastAsia" w:ascii="Times New Roman" w:hAnsi="Times New Roman" w:eastAsia="宋体" w:cs="Times New Roman"/>
          <w:color w:val="auto"/>
          <w:highlight w:val="none"/>
        </w:rPr>
      </w:pPr>
    </w:p>
    <w:p w14:paraId="007FB3D4">
      <w:pPr>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（6）投标人对本项目的合理化建议和改进措施（格式自拟）</w:t>
      </w:r>
    </w:p>
    <w:p w14:paraId="219F8674">
      <w:pPr>
        <w:spacing w:line="360" w:lineRule="exact"/>
        <w:rPr>
          <w:rFonts w:hint="eastAsia" w:ascii="宋体" w:hAnsi="Times New Roman" w:eastAsia="宋体" w:cs="Times New Roman"/>
          <w:color w:val="auto"/>
          <w:szCs w:val="21"/>
          <w:highlight w:val="none"/>
        </w:rPr>
      </w:pPr>
    </w:p>
    <w:p w14:paraId="0CBB0EBE">
      <w:pPr>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（7）投标人认为需要提供的其他材料（格式自拟）</w:t>
      </w:r>
    </w:p>
    <w:p w14:paraId="1484B692">
      <w:pPr>
        <w:rPr>
          <w:rFonts w:hint="eastAsia" w:ascii="Times New Roman" w:hAnsi="Times New Roman" w:eastAsia="宋体" w:cs="Times New Roman"/>
          <w:color w:val="auto"/>
          <w:highlight w:val="none"/>
        </w:rPr>
      </w:pPr>
    </w:p>
    <w:p w14:paraId="609C59B5">
      <w:pPr>
        <w:spacing w:line="36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r>
        <w:rPr>
          <w:rFonts w:hint="eastAsia" w:ascii="宋体" w:hAnsi="Times New Roman" w:eastAsia="宋体" w:cs="Times New Roman"/>
          <w:color w:val="auto"/>
          <w:szCs w:val="21"/>
          <w:highlight w:val="none"/>
        </w:rPr>
        <w:t xml:space="preserve">   （8）招标项目采购需求中要求必须提供的材料（招标项目采购需求中要求必须提供的材料，据实提供）</w:t>
      </w:r>
    </w:p>
    <w:p w14:paraId="03ABA7CC">
      <w:pPr>
        <w:spacing w:line="360" w:lineRule="auto"/>
        <w:ind w:firstLine="420" w:firstLineChars="200"/>
        <w:rPr>
          <w:rFonts w:hint="eastAsia" w:ascii="Times New Roman" w:hAnsi="Times New Roman" w:eastAsia="宋体" w:cs="Times New Roman"/>
          <w:b/>
          <w:color w:val="auto"/>
          <w:highlight w:val="none"/>
        </w:rPr>
      </w:pPr>
      <w:r>
        <w:rPr>
          <w:rFonts w:ascii="Times New Roman" w:hAnsi="Times New Roman" w:eastAsia="宋体" w:cs="Times New Roman"/>
          <w:color w:val="auto"/>
          <w:highlight w:val="none"/>
        </w:rPr>
        <w:br w:type="page"/>
      </w:r>
      <w:r>
        <w:rPr>
          <w:rFonts w:hint="eastAsia" w:ascii="Times New Roman" w:hAnsi="Times New Roman" w:eastAsia="宋体" w:cs="Times New Roman"/>
          <w:b/>
          <w:color w:val="auto"/>
          <w:highlight w:val="none"/>
        </w:rPr>
        <w:t>三）报价文件部分 （格式）</w:t>
      </w:r>
    </w:p>
    <w:p w14:paraId="143EFB1C">
      <w:pPr>
        <w:spacing w:line="36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w:t>
      </w:r>
      <w:r>
        <w:rPr>
          <w:rFonts w:hint="eastAsia" w:ascii="宋体" w:hAnsi="Times New Roman" w:eastAsia="宋体" w:cs="Times New Roman"/>
          <w:color w:val="auto"/>
          <w:szCs w:val="21"/>
          <w:highlight w:val="none"/>
        </w:rPr>
        <w:t>（1）投标函格式</w:t>
      </w:r>
    </w:p>
    <w:p w14:paraId="567A2DAB">
      <w:pPr>
        <w:snapToGrid w:val="0"/>
        <w:spacing w:before="156" w:beforeLines="50" w:after="50" w:line="360" w:lineRule="exact"/>
        <w:jc w:val="center"/>
        <w:rPr>
          <w:rFonts w:hint="eastAsia" w:ascii="宋体" w:hAnsi="Times New Roman" w:eastAsia="宋体" w:cs="Times New Roman"/>
          <w:b/>
          <w:color w:val="auto"/>
          <w:sz w:val="24"/>
          <w:szCs w:val="21"/>
          <w:highlight w:val="none"/>
        </w:rPr>
      </w:pPr>
      <w:r>
        <w:rPr>
          <w:rFonts w:hint="eastAsia" w:ascii="宋体" w:hAnsi="Times New Roman" w:eastAsia="宋体" w:cs="Times New Roman"/>
          <w:b/>
          <w:color w:val="auto"/>
          <w:sz w:val="24"/>
          <w:szCs w:val="21"/>
          <w:highlight w:val="none"/>
        </w:rPr>
        <w:t>投 标 函</w:t>
      </w:r>
    </w:p>
    <w:p w14:paraId="0FC958FA">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highlight w:val="none"/>
          <w:u w:val="single"/>
        </w:rPr>
        <w:t xml:space="preserve">广西国力招标有限公司 </w:t>
      </w:r>
    </w:p>
    <w:p w14:paraId="73C2D2D6">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根据贵方为</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项目的招标公告（项目编号：</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），签字代表</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（全名）经正式授权并代表投标人</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（投标人名称）上传并提交加密的电子投标文件一份。</w:t>
      </w:r>
    </w:p>
    <w:p w14:paraId="06DD790A">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据此函，签字代表宣布同意如下：</w:t>
      </w:r>
    </w:p>
    <w:p w14:paraId="6271D15C">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7B72A1F1">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2.投标人在投标之前已经与贵方进行了充分的沟通，完全理解并接受招标文件的各项规定和要求，对招标文件的合理性、合法性不再有异议。</w:t>
      </w:r>
    </w:p>
    <w:p w14:paraId="6CEAD744">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3.本投标有效期自提交投标文件截止之日起</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天。</w:t>
      </w:r>
    </w:p>
    <w:p w14:paraId="30ECE561">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4.如中标，本投标文件至本项目合同履行完毕止均保持有效，本投标人将按“招标文件”及政府采购法律、法规的规定履行合同责任和义务。</w:t>
      </w:r>
    </w:p>
    <w:p w14:paraId="67FFF528">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5.投标人同意按照贵方要求提供与投标有关的一切数据或资料。</w:t>
      </w:r>
    </w:p>
    <w:p w14:paraId="315A3BFA">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6.与本投标有关的一切正式往来信函请寄：</w:t>
      </w:r>
    </w:p>
    <w:p w14:paraId="1E97C1E9">
      <w:pPr>
        <w:snapToGrid w:val="0"/>
        <w:spacing w:line="400" w:lineRule="exact"/>
        <w:rPr>
          <w:rFonts w:hint="eastAsia" w:ascii="宋体" w:hAnsi="宋体" w:eastAsia="宋体" w:cs="Times New Roman"/>
          <w:color w:val="auto"/>
          <w:szCs w:val="21"/>
          <w:highlight w:val="none"/>
        </w:rPr>
      </w:pPr>
    </w:p>
    <w:p w14:paraId="66B814D6">
      <w:pPr>
        <w:snapToGrid w:val="0"/>
        <w:spacing w:line="400" w:lineRule="exact"/>
        <w:rPr>
          <w:rFonts w:hint="eastAsia" w:ascii="宋体" w:hAnsi="Times New Roman" w:eastAsia="宋体" w:cs="Times New Roman"/>
          <w:color w:val="auto"/>
          <w:szCs w:val="21"/>
          <w:highlight w:val="none"/>
          <w:u w:val="single"/>
        </w:rPr>
      </w:pPr>
      <w:r>
        <w:rPr>
          <w:rFonts w:hint="eastAsia" w:ascii="宋体" w:hAnsi="Times New Roman" w:eastAsia="宋体" w:cs="Times New Roman"/>
          <w:color w:val="auto"/>
          <w:szCs w:val="21"/>
          <w:highlight w:val="none"/>
        </w:rPr>
        <w:t>地址：</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邮编：</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电话：</w:t>
      </w:r>
      <w:r>
        <w:rPr>
          <w:rFonts w:hint="eastAsia" w:ascii="宋体" w:hAnsi="Times New Roman" w:eastAsia="宋体" w:cs="Times New Roman"/>
          <w:color w:val="auto"/>
          <w:szCs w:val="21"/>
          <w:highlight w:val="none"/>
          <w:u w:val="single"/>
        </w:rPr>
        <w:t xml:space="preserve">               </w:t>
      </w:r>
    </w:p>
    <w:p w14:paraId="19F0D7F3">
      <w:pPr>
        <w:snapToGrid w:val="0"/>
        <w:spacing w:line="400" w:lineRule="exact"/>
        <w:rPr>
          <w:rFonts w:hint="eastAsia" w:ascii="宋体" w:hAnsi="Times New Roman" w:eastAsia="宋体" w:cs="Times New Roman"/>
          <w:color w:val="auto"/>
          <w:szCs w:val="21"/>
          <w:highlight w:val="none"/>
          <w:u w:val="single"/>
        </w:rPr>
      </w:pPr>
      <w:r>
        <w:rPr>
          <w:rFonts w:hint="eastAsia" w:ascii="宋体" w:hAnsi="Times New Roman" w:eastAsia="宋体" w:cs="Times New Roman"/>
          <w:color w:val="auto"/>
          <w:szCs w:val="21"/>
          <w:highlight w:val="none"/>
        </w:rPr>
        <w:t>传真：</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投标人代表姓名：</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职务：</w:t>
      </w:r>
      <w:r>
        <w:rPr>
          <w:rFonts w:hint="eastAsia" w:ascii="宋体" w:hAnsi="Times New Roman" w:eastAsia="宋体" w:cs="Times New Roman"/>
          <w:color w:val="auto"/>
          <w:szCs w:val="21"/>
          <w:highlight w:val="none"/>
          <w:u w:val="single"/>
        </w:rPr>
        <w:t xml:space="preserve">               </w:t>
      </w:r>
    </w:p>
    <w:p w14:paraId="5E004C51">
      <w:pPr>
        <w:snapToGrid w:val="0"/>
        <w:spacing w:line="40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开户银行：</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银行账号：</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w:t>
      </w:r>
    </w:p>
    <w:p w14:paraId="18082A99">
      <w:pPr>
        <w:snapToGrid w:val="0"/>
        <w:spacing w:line="400" w:lineRule="exact"/>
        <w:rPr>
          <w:rFonts w:hint="eastAsia" w:ascii="宋体" w:hAnsi="Times New Roman" w:eastAsia="宋体" w:cs="Times New Roman"/>
          <w:color w:val="auto"/>
          <w:szCs w:val="21"/>
          <w:highlight w:val="none"/>
        </w:rPr>
      </w:pPr>
    </w:p>
    <w:p w14:paraId="485FDC55">
      <w:pPr>
        <w:snapToGrid w:val="0"/>
        <w:spacing w:line="40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法定代表人（负责人）或委托代理人签字或盖章:</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w:t>
      </w:r>
    </w:p>
    <w:p w14:paraId="314EAAF9">
      <w:pPr>
        <w:snapToGrid w:val="0"/>
        <w:spacing w:line="400" w:lineRule="exact"/>
        <w:rPr>
          <w:rFonts w:hint="eastAsia" w:ascii="宋体" w:hAnsi="Times New Roman" w:eastAsia="宋体" w:cs="Times New Roman"/>
          <w:color w:val="auto"/>
          <w:szCs w:val="21"/>
          <w:highlight w:val="none"/>
        </w:rPr>
      </w:pPr>
      <w:r>
        <w:rPr>
          <w:rFonts w:hint="eastAsia" w:ascii="Times New Roman" w:hAnsi="Times New Roman" w:eastAsia="宋体" w:cs="Times New Roman"/>
          <w:color w:val="auto"/>
          <w:highlight w:val="none"/>
        </w:rPr>
        <w:t>投标人名称（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u w:val="single"/>
        </w:rPr>
        <w:t xml:space="preserve">              </w:t>
      </w:r>
    </w:p>
    <w:p w14:paraId="63A86116">
      <w:pPr>
        <w:snapToGrid w:val="0"/>
        <w:spacing w:line="400" w:lineRule="exact"/>
        <w:jc w:val="left"/>
        <w:rPr>
          <w:rFonts w:hint="eastAsia" w:ascii="宋体" w:hAnsi="宋体" w:eastAsia="宋体" w:cs="Times New Roman"/>
          <w:color w:val="auto"/>
          <w:szCs w:val="21"/>
          <w:highlight w:val="none"/>
        </w:rPr>
      </w:pPr>
      <w:r>
        <w:rPr>
          <w:rFonts w:hint="eastAsia" w:ascii="宋体" w:hAnsi="Times New Roman" w:eastAsia="宋体" w:cs="Times New Roman"/>
          <w:color w:val="auto"/>
          <w:szCs w:val="21"/>
          <w:highlight w:val="none"/>
        </w:rPr>
        <w:t>日期:</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年</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月</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日</w:t>
      </w:r>
    </w:p>
    <w:p w14:paraId="5CC4EBB4">
      <w:pPr>
        <w:rPr>
          <w:rFonts w:hint="eastAsia" w:ascii="Times New Roman" w:hAnsi="Times New Roman" w:eastAsia="宋体" w:cs="Times New Roman"/>
          <w:color w:val="auto"/>
          <w:highlight w:val="none"/>
        </w:rPr>
      </w:pPr>
    </w:p>
    <w:p w14:paraId="3555FE6F">
      <w:pPr>
        <w:rPr>
          <w:rFonts w:hint="eastAsia" w:ascii="Times New Roman" w:hAnsi="Times New Roman" w:eastAsia="宋体" w:cs="Times New Roman"/>
          <w:color w:val="auto"/>
          <w:highlight w:val="none"/>
        </w:rPr>
      </w:pPr>
    </w:p>
    <w:p w14:paraId="627A7E0F">
      <w:pPr>
        <w:rPr>
          <w:rFonts w:hint="eastAsia" w:ascii="Times New Roman" w:hAnsi="Times New Roman" w:eastAsia="宋体" w:cs="Times New Roman"/>
          <w:color w:val="auto"/>
          <w:highlight w:val="none"/>
        </w:rPr>
      </w:pPr>
    </w:p>
    <w:p w14:paraId="02D036E1">
      <w:pPr>
        <w:spacing w:line="360" w:lineRule="exact"/>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br w:type="page"/>
      </w:r>
      <w:r>
        <w:rPr>
          <w:rFonts w:hint="eastAsia" w:ascii="宋体" w:hAnsi="Times New Roman" w:eastAsia="宋体" w:cs="Times New Roman"/>
          <w:color w:val="auto"/>
          <w:szCs w:val="21"/>
          <w:highlight w:val="none"/>
        </w:rPr>
        <w:t xml:space="preserve">    （2）投标报价明细表格式</w:t>
      </w:r>
    </w:p>
    <w:p w14:paraId="5F47E062">
      <w:pPr>
        <w:spacing w:line="360" w:lineRule="exact"/>
        <w:jc w:val="center"/>
        <w:rPr>
          <w:rFonts w:hint="eastAsia" w:ascii="Times New Roman" w:hAnsi="Times New Roman" w:eastAsia="宋体" w:cs="Times New Roman"/>
          <w:b/>
          <w:color w:val="auto"/>
          <w:highlight w:val="none"/>
        </w:rPr>
      </w:pPr>
      <w:r>
        <w:rPr>
          <w:rFonts w:hint="eastAsia" w:ascii="Times New Roman" w:hAnsi="Times New Roman" w:eastAsia="宋体" w:cs="Times New Roman"/>
          <w:b/>
          <w:color w:val="auto"/>
          <w:highlight w:val="none"/>
        </w:rPr>
        <w:t>投标报价明细表</w:t>
      </w:r>
    </w:p>
    <w:p w14:paraId="20DE0C98">
      <w:pPr>
        <w:wordWrap w:val="0"/>
        <w:snapToGrid w:val="0"/>
        <w:spacing w:line="360" w:lineRule="exact"/>
        <w:ind w:firstLine="420" w:firstLineChars="200"/>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金额单位：人民币（元）</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1"/>
        <w:gridCol w:w="1200"/>
        <w:gridCol w:w="1325"/>
        <w:gridCol w:w="1049"/>
        <w:gridCol w:w="2512"/>
        <w:gridCol w:w="1256"/>
        <w:gridCol w:w="1518"/>
      </w:tblGrid>
      <w:tr w14:paraId="7A9CE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center"/>
          </w:tcPr>
          <w:p w14:paraId="312DBD8F">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5515250">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设备名称</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6EA1FEC9">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品牌、规格型号、生产厂家</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435E0DA0">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单位及数量</w:t>
            </w:r>
          </w:p>
        </w:tc>
        <w:tc>
          <w:tcPr>
            <w:tcW w:w="2512" w:type="dxa"/>
            <w:tcBorders>
              <w:top w:val="single" w:color="auto" w:sz="4" w:space="0"/>
              <w:left w:val="single" w:color="auto" w:sz="4" w:space="0"/>
              <w:bottom w:val="single" w:color="auto" w:sz="4" w:space="0"/>
              <w:right w:val="single" w:color="auto" w:sz="4" w:space="0"/>
            </w:tcBorders>
            <w:noWrap w:val="0"/>
            <w:vAlign w:val="center"/>
          </w:tcPr>
          <w:p w14:paraId="7392DE60">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技术参数及性能（配置）</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423580B7">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单价</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17FEA739">
            <w:pPr>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w:t>
            </w:r>
          </w:p>
        </w:tc>
      </w:tr>
      <w:tr w14:paraId="069BD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top"/>
          </w:tcPr>
          <w:p w14:paraId="01132D3B">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56021BAC">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1B695A8E">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049" w:type="dxa"/>
            <w:tcBorders>
              <w:top w:val="single" w:color="auto" w:sz="4" w:space="0"/>
              <w:left w:val="single" w:color="auto" w:sz="4" w:space="0"/>
              <w:bottom w:val="single" w:color="auto" w:sz="4" w:space="0"/>
              <w:right w:val="single" w:color="auto" w:sz="4" w:space="0"/>
            </w:tcBorders>
            <w:noWrap w:val="0"/>
            <w:vAlign w:val="top"/>
          </w:tcPr>
          <w:p w14:paraId="602AA239">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2512" w:type="dxa"/>
            <w:tcBorders>
              <w:top w:val="single" w:color="auto" w:sz="4" w:space="0"/>
              <w:left w:val="single" w:color="auto" w:sz="4" w:space="0"/>
              <w:bottom w:val="single" w:color="auto" w:sz="4" w:space="0"/>
              <w:right w:val="single" w:color="auto" w:sz="4" w:space="0"/>
            </w:tcBorders>
            <w:noWrap w:val="0"/>
            <w:vAlign w:val="top"/>
          </w:tcPr>
          <w:p w14:paraId="35E82907">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56" w:type="dxa"/>
            <w:tcBorders>
              <w:top w:val="single" w:color="auto" w:sz="4" w:space="0"/>
              <w:left w:val="single" w:color="auto" w:sz="4" w:space="0"/>
              <w:bottom w:val="single" w:color="auto" w:sz="4" w:space="0"/>
              <w:right w:val="single" w:color="auto" w:sz="4" w:space="0"/>
            </w:tcBorders>
            <w:noWrap w:val="0"/>
            <w:vAlign w:val="top"/>
          </w:tcPr>
          <w:p w14:paraId="51536422">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top"/>
          </w:tcPr>
          <w:p w14:paraId="5D53EAB0">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r>
      <w:tr w14:paraId="17C23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top"/>
          </w:tcPr>
          <w:p w14:paraId="4B1297E7">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919A557">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00BB59B8">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049" w:type="dxa"/>
            <w:tcBorders>
              <w:top w:val="single" w:color="auto" w:sz="4" w:space="0"/>
              <w:left w:val="single" w:color="auto" w:sz="4" w:space="0"/>
              <w:bottom w:val="single" w:color="auto" w:sz="4" w:space="0"/>
              <w:right w:val="single" w:color="auto" w:sz="4" w:space="0"/>
            </w:tcBorders>
            <w:noWrap w:val="0"/>
            <w:vAlign w:val="top"/>
          </w:tcPr>
          <w:p w14:paraId="2B0415E3">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2512" w:type="dxa"/>
            <w:tcBorders>
              <w:top w:val="single" w:color="auto" w:sz="4" w:space="0"/>
              <w:left w:val="single" w:color="auto" w:sz="4" w:space="0"/>
              <w:bottom w:val="single" w:color="auto" w:sz="4" w:space="0"/>
              <w:right w:val="single" w:color="auto" w:sz="4" w:space="0"/>
            </w:tcBorders>
            <w:noWrap w:val="0"/>
            <w:vAlign w:val="top"/>
          </w:tcPr>
          <w:p w14:paraId="3FE5412D">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56" w:type="dxa"/>
            <w:tcBorders>
              <w:top w:val="single" w:color="auto" w:sz="4" w:space="0"/>
              <w:left w:val="single" w:color="auto" w:sz="4" w:space="0"/>
              <w:bottom w:val="single" w:color="auto" w:sz="4" w:space="0"/>
              <w:right w:val="single" w:color="auto" w:sz="4" w:space="0"/>
            </w:tcBorders>
            <w:noWrap w:val="0"/>
            <w:vAlign w:val="top"/>
          </w:tcPr>
          <w:p w14:paraId="28032E21">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top"/>
          </w:tcPr>
          <w:p w14:paraId="04EE56E8">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r>
      <w:tr w14:paraId="68C3B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top"/>
          </w:tcPr>
          <w:p w14:paraId="5211DD8C">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536EF2A5">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r>
              <w:rPr>
                <w:rFonts w:hint="eastAsia" w:ascii="宋体" w:hAnsi="Times New Roman" w:eastAsia="宋体" w:cs="Times New Roman"/>
                <w:color w:val="auto"/>
                <w:spacing w:val="20"/>
                <w:szCs w:val="21"/>
                <w:highlight w:val="none"/>
              </w:rPr>
              <w:t>……</w:t>
            </w:r>
          </w:p>
        </w:tc>
        <w:tc>
          <w:tcPr>
            <w:tcW w:w="1325" w:type="dxa"/>
            <w:tcBorders>
              <w:top w:val="single" w:color="auto" w:sz="4" w:space="0"/>
              <w:left w:val="single" w:color="auto" w:sz="4" w:space="0"/>
              <w:bottom w:val="single" w:color="auto" w:sz="4" w:space="0"/>
              <w:right w:val="single" w:color="auto" w:sz="4" w:space="0"/>
            </w:tcBorders>
            <w:noWrap w:val="0"/>
            <w:vAlign w:val="top"/>
          </w:tcPr>
          <w:p w14:paraId="1FACA163">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049" w:type="dxa"/>
            <w:tcBorders>
              <w:top w:val="single" w:color="auto" w:sz="4" w:space="0"/>
              <w:left w:val="single" w:color="auto" w:sz="4" w:space="0"/>
              <w:bottom w:val="single" w:color="auto" w:sz="4" w:space="0"/>
              <w:right w:val="single" w:color="auto" w:sz="4" w:space="0"/>
            </w:tcBorders>
            <w:noWrap w:val="0"/>
            <w:vAlign w:val="top"/>
          </w:tcPr>
          <w:p w14:paraId="04462688">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2512" w:type="dxa"/>
            <w:tcBorders>
              <w:top w:val="single" w:color="auto" w:sz="4" w:space="0"/>
              <w:left w:val="single" w:color="auto" w:sz="4" w:space="0"/>
              <w:bottom w:val="single" w:color="auto" w:sz="4" w:space="0"/>
              <w:right w:val="single" w:color="auto" w:sz="4" w:space="0"/>
            </w:tcBorders>
            <w:noWrap w:val="0"/>
            <w:vAlign w:val="top"/>
          </w:tcPr>
          <w:p w14:paraId="583E6071">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256" w:type="dxa"/>
            <w:tcBorders>
              <w:top w:val="single" w:color="auto" w:sz="4" w:space="0"/>
              <w:left w:val="single" w:color="auto" w:sz="4" w:space="0"/>
              <w:bottom w:val="single" w:color="auto" w:sz="4" w:space="0"/>
              <w:right w:val="single" w:color="auto" w:sz="4" w:space="0"/>
            </w:tcBorders>
            <w:noWrap w:val="0"/>
            <w:vAlign w:val="top"/>
          </w:tcPr>
          <w:p w14:paraId="20AA05BC">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c>
          <w:tcPr>
            <w:tcW w:w="1518" w:type="dxa"/>
            <w:tcBorders>
              <w:top w:val="single" w:color="auto" w:sz="4" w:space="0"/>
              <w:left w:val="single" w:color="auto" w:sz="4" w:space="0"/>
              <w:bottom w:val="single" w:color="auto" w:sz="4" w:space="0"/>
              <w:right w:val="single" w:color="auto" w:sz="4" w:space="0"/>
            </w:tcBorders>
            <w:noWrap w:val="0"/>
            <w:vAlign w:val="top"/>
          </w:tcPr>
          <w:p w14:paraId="66B5EB72">
            <w:pPr>
              <w:tabs>
                <w:tab w:val="left" w:pos="1418"/>
              </w:tabs>
              <w:snapToGrid w:val="0"/>
              <w:spacing w:before="50" w:after="50" w:line="360" w:lineRule="exact"/>
              <w:jc w:val="center"/>
              <w:rPr>
                <w:rFonts w:hint="eastAsia" w:ascii="宋体" w:hAnsi="Times New Roman" w:eastAsia="宋体" w:cs="Times New Roman"/>
                <w:color w:val="auto"/>
                <w:spacing w:val="20"/>
                <w:szCs w:val="21"/>
                <w:highlight w:val="none"/>
              </w:rPr>
            </w:pPr>
          </w:p>
        </w:tc>
      </w:tr>
      <w:tr w14:paraId="4F618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431" w:type="dxa"/>
            <w:gridSpan w:val="7"/>
            <w:tcBorders>
              <w:top w:val="single" w:color="auto" w:sz="4" w:space="0"/>
              <w:left w:val="single" w:color="auto" w:sz="4" w:space="0"/>
              <w:bottom w:val="single" w:color="auto" w:sz="4" w:space="0"/>
              <w:right w:val="single" w:color="auto" w:sz="4" w:space="0"/>
            </w:tcBorders>
            <w:noWrap w:val="0"/>
            <w:vAlign w:val="top"/>
          </w:tcPr>
          <w:p w14:paraId="44978863">
            <w:pPr>
              <w:tabs>
                <w:tab w:val="left" w:pos="1418"/>
              </w:tabs>
              <w:wordWrap w:val="0"/>
              <w:snapToGrid w:val="0"/>
              <w:spacing w:before="50" w:after="50" w:line="360" w:lineRule="exact"/>
              <w:rPr>
                <w:rFonts w:hint="eastAsia" w:ascii="宋体" w:hAnsi="Times New Roman" w:eastAsia="宋体" w:cs="Times New Roman"/>
                <w:color w:val="auto"/>
                <w:spacing w:val="20"/>
                <w:szCs w:val="21"/>
                <w:highlight w:val="none"/>
              </w:rPr>
            </w:pPr>
            <w:r>
              <w:rPr>
                <w:rFonts w:hint="eastAsia" w:ascii="宋体" w:hAnsi="Times New Roman" w:eastAsia="宋体" w:cs="Times New Roman"/>
                <w:color w:val="auto"/>
                <w:spacing w:val="20"/>
                <w:szCs w:val="21"/>
                <w:highlight w:val="none"/>
              </w:rPr>
              <w:t xml:space="preserve">投标总价（合计金额大写）：                  ¥ </w:t>
            </w:r>
            <w:r>
              <w:rPr>
                <w:rFonts w:hint="eastAsia" w:ascii="宋体" w:hAnsi="Times New Roman" w:eastAsia="宋体" w:cs="Times New Roman"/>
                <w:color w:val="auto"/>
                <w:spacing w:val="20"/>
                <w:szCs w:val="21"/>
                <w:highlight w:val="none"/>
                <w:u w:val="single"/>
              </w:rPr>
              <w:t xml:space="preserve">           </w:t>
            </w:r>
          </w:p>
        </w:tc>
      </w:tr>
    </w:tbl>
    <w:p w14:paraId="52662461">
      <w:pPr>
        <w:rPr>
          <w:rFonts w:hint="eastAsia" w:ascii="Times New Roman" w:hAnsi="Times New Roman" w:eastAsia="宋体" w:cs="Times New Roman"/>
          <w:color w:val="auto"/>
          <w:highlight w:val="none"/>
        </w:rPr>
      </w:pPr>
    </w:p>
    <w:p w14:paraId="7181F131">
      <w:pPr>
        <w:snapToGrid w:val="0"/>
        <w:spacing w:before="50" w:after="50" w:line="360" w:lineRule="exact"/>
        <w:rPr>
          <w:rFonts w:hint="eastAsia" w:ascii="宋体" w:hAnsi="Times New Roman" w:eastAsia="宋体" w:cs="Times New Roman"/>
          <w:color w:val="auto"/>
          <w:spacing w:val="20"/>
          <w:szCs w:val="21"/>
          <w:highlight w:val="none"/>
          <w:u w:val="single"/>
        </w:rPr>
      </w:pPr>
      <w:r>
        <w:rPr>
          <w:rFonts w:hint="eastAsia" w:ascii="宋体" w:hAnsi="Times New Roman" w:eastAsia="宋体" w:cs="Times New Roman"/>
          <w:color w:val="auto"/>
          <w:szCs w:val="21"/>
          <w:highlight w:val="none"/>
        </w:rPr>
        <w:t>法定代表人（负责人）或委托代理人签字或盖章</w:t>
      </w:r>
      <w:r>
        <w:rPr>
          <w:rFonts w:hint="eastAsia" w:ascii="宋体" w:hAnsi="Times New Roman" w:eastAsia="宋体" w:cs="Times New Roman"/>
          <w:color w:val="auto"/>
          <w:spacing w:val="20"/>
          <w:szCs w:val="21"/>
          <w:highlight w:val="none"/>
        </w:rPr>
        <w:t>：</w:t>
      </w:r>
      <w:r>
        <w:rPr>
          <w:rFonts w:hint="eastAsia" w:ascii="宋体" w:hAnsi="Times New Roman" w:eastAsia="宋体" w:cs="Times New Roman"/>
          <w:color w:val="auto"/>
          <w:spacing w:val="20"/>
          <w:szCs w:val="21"/>
          <w:highlight w:val="none"/>
          <w:u w:val="single"/>
        </w:rPr>
        <w:t xml:space="preserve">            </w:t>
      </w:r>
    </w:p>
    <w:p w14:paraId="694D4791">
      <w:pP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投标人名称（</w:t>
      </w:r>
      <w:r>
        <w:rPr>
          <w:rFonts w:hint="eastAsia" w:ascii="宋体" w:hAnsi="Times New Roman" w:eastAsia="宋体" w:cs="Times New Roman"/>
          <w:color w:val="auto"/>
          <w:szCs w:val="21"/>
          <w:highlight w:val="none"/>
        </w:rPr>
        <w:t>盖章</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 xml:space="preserve">           日  期：</w:t>
      </w:r>
      <w:r>
        <w:rPr>
          <w:rFonts w:hint="eastAsia" w:ascii="Times New Roman" w:hAnsi="Times New Roman" w:eastAsia="宋体" w:cs="Times New Roman"/>
          <w:color w:val="auto"/>
          <w:highlight w:val="none"/>
          <w:u w:val="single"/>
        </w:rPr>
        <w:t xml:space="preserve">                    </w:t>
      </w:r>
    </w:p>
    <w:p w14:paraId="40F3CA77">
      <w:pPr>
        <w:rPr>
          <w:rFonts w:hint="eastAsia" w:ascii="Times New Roman" w:hAnsi="Times New Roman" w:eastAsia="宋体" w:cs="Times New Roman"/>
          <w:color w:val="auto"/>
          <w:highlight w:val="none"/>
        </w:rPr>
      </w:pPr>
    </w:p>
    <w:p w14:paraId="7C27A3E6">
      <w:pPr>
        <w:rPr>
          <w:rFonts w:hint="eastAsia" w:ascii="Times New Roman" w:hAnsi="Times New Roman" w:eastAsia="宋体" w:cs="Times New Roman"/>
          <w:color w:val="auto"/>
          <w:highlight w:val="none"/>
        </w:rPr>
      </w:pPr>
    </w:p>
    <w:p w14:paraId="53E734CB">
      <w:pPr>
        <w:spacing w:line="360" w:lineRule="exact"/>
        <w:rPr>
          <w:rFonts w:hint="eastAsia" w:ascii="宋体" w:hAnsi="Times New Roman" w:eastAsia="宋体" w:cs="Times New Roman"/>
          <w:color w:val="auto"/>
          <w:szCs w:val="21"/>
          <w:highlight w:val="none"/>
        </w:rPr>
      </w:pPr>
      <w:r>
        <w:rPr>
          <w:rFonts w:hint="eastAsia" w:ascii="Times New Roman" w:hAnsi="Times New Roman" w:eastAsia="宋体" w:cs="Times New Roman"/>
          <w:color w:val="auto"/>
          <w:highlight w:val="none"/>
        </w:rPr>
        <w:t xml:space="preserve">  </w:t>
      </w:r>
      <w:r>
        <w:rPr>
          <w:rFonts w:hint="eastAsia" w:ascii="宋体" w:hAnsi="Times New Roman" w:eastAsia="宋体" w:cs="Times New Roman"/>
          <w:color w:val="auto"/>
          <w:szCs w:val="21"/>
          <w:highlight w:val="none"/>
        </w:rPr>
        <w:t xml:space="preserve">  </w:t>
      </w:r>
    </w:p>
    <w:p w14:paraId="777CC4EF">
      <w:pPr>
        <w:spacing w:line="360" w:lineRule="exac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（3）投标人针对报价需要说明的其他文件和说明；（格式自拟）</w:t>
      </w:r>
    </w:p>
    <w:p w14:paraId="1F0EDA66">
      <w:pPr>
        <w:rPr>
          <w:rFonts w:hint="eastAsia" w:ascii="Times New Roman" w:hAnsi="Times New Roman" w:eastAsia="宋体" w:cs="Times New Roman"/>
          <w:color w:val="auto"/>
          <w:highlight w:val="none"/>
        </w:rPr>
      </w:pPr>
    </w:p>
    <w:p w14:paraId="419532DD">
      <w:pPr>
        <w:spacing w:line="720" w:lineRule="auto"/>
        <w:rPr>
          <w:rFonts w:hint="eastAsia" w:ascii="宋体" w:hAnsi="宋体" w:eastAsia="宋体" w:cs="Times New Roman"/>
          <w:b/>
          <w:color w:val="auto"/>
          <w:highlight w:val="none"/>
        </w:rPr>
      </w:pPr>
      <w:r>
        <w:rPr>
          <w:rFonts w:ascii="Times New Roman" w:hAnsi="Times New Roman" w:eastAsia="宋体" w:cs="Times New Roman"/>
          <w:color w:val="auto"/>
          <w:highlight w:val="none"/>
        </w:rPr>
        <w:br w:type="page"/>
      </w:r>
      <w:r>
        <w:rPr>
          <w:rFonts w:hint="eastAsia" w:ascii="Times New Roman" w:hAnsi="Times New Roman" w:eastAsia="宋体" w:cs="Times New Roman"/>
          <w:color w:val="auto"/>
          <w:highlight w:val="none"/>
        </w:rPr>
        <w:t xml:space="preserve">    </w:t>
      </w:r>
      <w:r>
        <w:rPr>
          <w:rFonts w:hint="eastAsia" w:ascii="宋体" w:hAnsi="宋体" w:eastAsia="宋体" w:cs="Times New Roman"/>
          <w:b/>
          <w:color w:val="auto"/>
          <w:highlight w:val="none"/>
        </w:rPr>
        <w:t>（4）开标一览表</w:t>
      </w:r>
    </w:p>
    <w:p w14:paraId="013A40F7">
      <w:pPr>
        <w:jc w:val="center"/>
        <w:rPr>
          <w:rFonts w:hint="eastAsia" w:ascii="宋体" w:hAnsi="宋体" w:eastAsia="宋体" w:cs="Times New Roman"/>
          <w:b/>
          <w:color w:val="auto"/>
          <w:highlight w:val="none"/>
        </w:rPr>
      </w:pPr>
      <w:r>
        <w:rPr>
          <w:rFonts w:hint="eastAsia" w:ascii="宋体" w:hAnsi="宋体" w:eastAsia="宋体" w:cs="Times New Roman"/>
          <w:b/>
          <w:color w:val="auto"/>
          <w:highlight w:val="none"/>
        </w:rPr>
        <w:t>开标一览表</w:t>
      </w:r>
    </w:p>
    <w:p w14:paraId="4E1F1F1B">
      <w:pPr>
        <w:spacing w:line="36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采购项目名称： </w:t>
      </w:r>
      <w:r>
        <w:rPr>
          <w:rFonts w:ascii="宋体" w:hAnsi="宋体" w:eastAsia="宋体" w:cs="Times New Roman"/>
          <w:color w:val="auto"/>
          <w:highlight w:val="none"/>
        </w:rPr>
        <w:t xml:space="preserve">                                                   </w:t>
      </w:r>
    </w:p>
    <w:p w14:paraId="4FDF5C19">
      <w:pPr>
        <w:spacing w:line="36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采购项目编号：                                                       金额单位：人  民币（元）</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713"/>
        <w:gridCol w:w="1276"/>
        <w:gridCol w:w="1276"/>
        <w:gridCol w:w="1447"/>
      </w:tblGrid>
      <w:tr w14:paraId="6551C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CB21BCC">
            <w:pPr>
              <w:snapToGrid w:val="0"/>
              <w:spacing w:before="50" w:after="50" w:line="36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03D52FF8">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2AE3FB9">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1B1C4BB9">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产地</w:t>
            </w:r>
          </w:p>
        </w:tc>
        <w:tc>
          <w:tcPr>
            <w:tcW w:w="1713" w:type="dxa"/>
            <w:tcBorders>
              <w:top w:val="single" w:color="auto" w:sz="4" w:space="0"/>
              <w:left w:val="single" w:color="auto" w:sz="4" w:space="0"/>
              <w:bottom w:val="single" w:color="auto" w:sz="4" w:space="0"/>
              <w:right w:val="single" w:color="auto" w:sz="4" w:space="0"/>
            </w:tcBorders>
            <w:noWrap w:val="0"/>
            <w:vAlign w:val="center"/>
          </w:tcPr>
          <w:p w14:paraId="5D9F5D0A">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品牌及厂家</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499F32">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规格型号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8208FB2">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单价</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67D56F8">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投标报价</w:t>
            </w:r>
          </w:p>
        </w:tc>
      </w:tr>
      <w:tr w14:paraId="4B84B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06D5B5F">
            <w:pPr>
              <w:jc w:val="center"/>
              <w:rPr>
                <w:rFonts w:hint="eastAsia" w:ascii="宋体" w:hAnsi="宋体" w:eastAsia="宋体" w:cs="Times New Roman"/>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14807EDB">
            <w:pPr>
              <w:jc w:val="center"/>
              <w:rPr>
                <w:rFonts w:hint="eastAsia" w:ascii="宋体" w:hAnsi="宋体" w:eastAsia="宋体" w:cs="Times New Roman"/>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33CF573">
            <w:pPr>
              <w:jc w:val="center"/>
              <w:rPr>
                <w:rFonts w:hint="eastAsia" w:ascii="宋体" w:hAnsi="宋体" w:eastAsia="宋体" w:cs="Times New Roman"/>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36BAB928">
            <w:pPr>
              <w:jc w:val="center"/>
              <w:rPr>
                <w:rFonts w:hint="eastAsia" w:ascii="宋体" w:hAnsi="宋体" w:eastAsia="宋体" w:cs="Times New Roman"/>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15FE5137">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B94A296">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60E226">
            <w:pPr>
              <w:jc w:val="center"/>
              <w:rPr>
                <w:rFonts w:hint="eastAsia" w:ascii="宋体" w:hAnsi="宋体" w:eastAsia="宋体" w:cs="Times New Roman"/>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521F94B">
            <w:pPr>
              <w:jc w:val="center"/>
              <w:rPr>
                <w:rFonts w:hint="eastAsia" w:ascii="宋体" w:hAnsi="宋体" w:eastAsia="宋体" w:cs="Times New Roman"/>
                <w:color w:val="auto"/>
                <w:highlight w:val="none"/>
              </w:rPr>
            </w:pPr>
          </w:p>
        </w:tc>
      </w:tr>
      <w:tr w14:paraId="523C0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27F79EB9">
            <w:pPr>
              <w:jc w:val="center"/>
              <w:rPr>
                <w:rFonts w:hint="eastAsia" w:ascii="宋体" w:hAnsi="宋体" w:eastAsia="宋体" w:cs="Times New Roman"/>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4A6801B7">
            <w:pPr>
              <w:jc w:val="center"/>
              <w:rPr>
                <w:rFonts w:hint="eastAsia" w:ascii="宋体" w:hAnsi="宋体" w:eastAsia="宋体" w:cs="Times New Roman"/>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172904B">
            <w:pPr>
              <w:jc w:val="center"/>
              <w:rPr>
                <w:rFonts w:hint="eastAsia" w:ascii="宋体" w:hAnsi="宋体" w:eastAsia="宋体" w:cs="Times New Roman"/>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7626954D">
            <w:pPr>
              <w:jc w:val="center"/>
              <w:rPr>
                <w:rFonts w:hint="eastAsia" w:ascii="宋体" w:hAnsi="宋体" w:eastAsia="宋体" w:cs="Times New Roman"/>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1C40834D">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627F407">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D7F3048">
            <w:pPr>
              <w:jc w:val="center"/>
              <w:rPr>
                <w:rFonts w:hint="eastAsia" w:ascii="宋体" w:hAnsi="宋体" w:eastAsia="宋体" w:cs="Times New Roman"/>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A9E1947">
            <w:pPr>
              <w:jc w:val="center"/>
              <w:rPr>
                <w:rFonts w:hint="eastAsia" w:ascii="宋体" w:hAnsi="宋体" w:eastAsia="宋体" w:cs="Times New Roman"/>
                <w:color w:val="auto"/>
                <w:highlight w:val="none"/>
              </w:rPr>
            </w:pPr>
          </w:p>
        </w:tc>
      </w:tr>
      <w:tr w14:paraId="2CB45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2306B576">
            <w:pPr>
              <w:jc w:val="center"/>
              <w:rPr>
                <w:rFonts w:hint="eastAsia" w:ascii="宋体" w:hAnsi="宋体" w:eastAsia="宋体" w:cs="Times New Roman"/>
                <w:color w:val="auto"/>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2ACFE898">
            <w:pPr>
              <w:jc w:val="center"/>
              <w:rPr>
                <w:rFonts w:hint="eastAsia" w:ascii="宋体" w:hAnsi="宋体" w:eastAsia="宋体" w:cs="Times New Roman"/>
                <w:color w:val="auto"/>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28531E">
            <w:pPr>
              <w:jc w:val="center"/>
              <w:rPr>
                <w:rFonts w:hint="eastAsia" w:ascii="宋体" w:hAnsi="宋体" w:eastAsia="宋体" w:cs="Times New Roman"/>
                <w:color w:val="auto"/>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0B230C05">
            <w:pPr>
              <w:jc w:val="center"/>
              <w:rPr>
                <w:rFonts w:hint="eastAsia" w:ascii="宋体" w:hAnsi="宋体" w:eastAsia="宋体" w:cs="Times New Roman"/>
                <w:color w:val="auto"/>
                <w:highlight w:val="none"/>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14:paraId="31C23E9C">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A7CB283">
            <w:pPr>
              <w:jc w:val="center"/>
              <w:rPr>
                <w:rFonts w:hint="eastAsia" w:ascii="宋体" w:hAnsi="宋体" w:eastAsia="宋体" w:cs="Times New Roman"/>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C6E5E9">
            <w:pPr>
              <w:jc w:val="center"/>
              <w:rPr>
                <w:rFonts w:hint="eastAsia" w:ascii="宋体" w:hAnsi="宋体" w:eastAsia="宋体" w:cs="Times New Roman"/>
                <w:color w:val="auto"/>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1DB79F6">
            <w:pPr>
              <w:jc w:val="center"/>
              <w:rPr>
                <w:rFonts w:hint="eastAsia" w:ascii="宋体" w:hAnsi="宋体" w:eastAsia="宋体" w:cs="Times New Roman"/>
                <w:color w:val="auto"/>
                <w:highlight w:val="none"/>
              </w:rPr>
            </w:pPr>
          </w:p>
        </w:tc>
      </w:tr>
      <w:tr w14:paraId="2BA36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14:paraId="519FEB87">
            <w:pPr>
              <w:wordWrap w:val="0"/>
              <w:snapToGrid w:val="0"/>
              <w:spacing w:line="360" w:lineRule="exact"/>
              <w:jc w:val="left"/>
              <w:rPr>
                <w:rFonts w:hint="eastAsia" w:ascii="宋体" w:hAnsi="宋体" w:eastAsia="宋体" w:cs="Times New Roman"/>
                <w:color w:val="auto"/>
                <w:szCs w:val="21"/>
                <w:highlight w:val="none"/>
                <w:u w:val="single"/>
              </w:rPr>
            </w:pPr>
            <w:r>
              <w:rPr>
                <w:rFonts w:hint="eastAsia" w:ascii="宋体" w:hAnsi="宋体" w:eastAsia="宋体" w:cs="Times New Roman"/>
                <w:color w:val="auto"/>
                <w:highlight w:val="none"/>
              </w:rPr>
              <w:t>投标总价（</w:t>
            </w:r>
            <w:r>
              <w:rPr>
                <w:rFonts w:hint="eastAsia" w:ascii="宋体" w:hAnsi="宋体" w:eastAsia="宋体" w:cs="Times New Roman"/>
                <w:color w:val="auto"/>
                <w:szCs w:val="21"/>
                <w:highlight w:val="none"/>
              </w:rPr>
              <w:t>合计金额大写）：                                       ¥</w:t>
            </w:r>
            <w:r>
              <w:rPr>
                <w:rFonts w:hint="eastAsia" w:ascii="宋体" w:hAnsi="宋体" w:eastAsia="宋体" w:cs="Times New Roman"/>
                <w:color w:val="auto"/>
                <w:szCs w:val="21"/>
                <w:highlight w:val="none"/>
                <w:u w:val="single"/>
              </w:rPr>
              <w:t xml:space="preserve">            </w:t>
            </w:r>
          </w:p>
        </w:tc>
      </w:tr>
    </w:tbl>
    <w:p w14:paraId="644F404B">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注：1.报价一经涂改，应在涂改处加盖单位公章或者由法定代表人（负责人）或授权委托人签字或盖章，否则其投标作无效标处理。</w:t>
      </w:r>
    </w:p>
    <w:p w14:paraId="66E24095">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2.凡需用专用辅材、耗材的专用设备类采购项目，应按招标文件规定的辅材、耗材量或按耗材的常规试用量提供报价。</w:t>
      </w:r>
    </w:p>
    <w:p w14:paraId="21BAE429">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3.开标一览表中的“设备名称”、“数量”、“单价”、“投标报价”列必须填写；设备类项目“品牌及厂家”和“规格型号”列必须填写（定制产品和服务除外）。</w:t>
      </w:r>
    </w:p>
    <w:p w14:paraId="7E65BADC">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4.投标费用包括项目实施所需的人工费、服务费、运输费、安装调试费、获取及制作标书费、税费及其他一切费用。</w:t>
      </w:r>
    </w:p>
    <w:p w14:paraId="32EE3501">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5.以上报价应与“投标报价明细表”中的“投标总价”相一致。</w:t>
      </w:r>
    </w:p>
    <w:p w14:paraId="16DE3234">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w:t>
      </w:r>
      <w:r>
        <w:rPr>
          <w:rFonts w:hint="eastAsia" w:ascii="宋体" w:hAnsi="宋体" w:eastAsia="宋体" w:cs="Times New Roman"/>
          <w:b/>
          <w:color w:val="auto"/>
          <w:sz w:val="20"/>
          <w:highlight w:val="none"/>
        </w:rPr>
        <w:t xml:space="preserve"> </w:t>
      </w:r>
      <w:r>
        <w:rPr>
          <w:rFonts w:hint="eastAsia" w:ascii="宋体" w:hAnsi="宋体" w:eastAsia="宋体" w:cs="Times New Roman"/>
          <w:color w:val="auto"/>
          <w:sz w:val="20"/>
          <w:highlight w:val="none"/>
        </w:rPr>
        <w:t>6.联合体投标时，开标一览表中投标人名称必须注明联合体并加盖联合体各方公章，同时须提供联合协议。</w:t>
      </w:r>
    </w:p>
    <w:p w14:paraId="64C11ABB">
      <w:pPr>
        <w:spacing w:line="360" w:lineRule="exact"/>
        <w:rPr>
          <w:rFonts w:hint="eastAsia" w:ascii="宋体" w:hAnsi="宋体" w:eastAsia="宋体" w:cs="Times New Roman"/>
          <w:color w:val="auto"/>
          <w:sz w:val="20"/>
          <w:highlight w:val="none"/>
        </w:rPr>
      </w:pPr>
      <w:r>
        <w:rPr>
          <w:rFonts w:hint="eastAsia" w:ascii="宋体" w:hAnsi="宋体" w:eastAsia="宋体" w:cs="Times New Roman"/>
          <w:color w:val="auto"/>
          <w:sz w:val="20"/>
          <w:highlight w:val="none"/>
        </w:rPr>
        <w:t xml:space="preserve">    7.项目中如有多个分标的，每一分标的开标一览表必须分别按格式要求填写并签字、盖章。</w:t>
      </w:r>
    </w:p>
    <w:p w14:paraId="37547916">
      <w:pPr>
        <w:snapToGrid w:val="0"/>
        <w:spacing w:before="50" w:after="50" w:line="360" w:lineRule="exact"/>
        <w:ind w:left="-2" w:leftChars="-1" w:right="-816" w:rightChars="-389"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法定代表人(负责人)或委托代理人（签字或盖章）：</w:t>
      </w:r>
      <w:r>
        <w:rPr>
          <w:rFonts w:hint="eastAsia" w:ascii="宋体" w:hAnsi="宋体" w:eastAsia="宋体" w:cs="Times New Roman"/>
          <w:color w:val="auto"/>
          <w:szCs w:val="21"/>
          <w:highlight w:val="none"/>
          <w:u w:val="single"/>
        </w:rPr>
        <w:t xml:space="preserve">                   </w:t>
      </w:r>
    </w:p>
    <w:p w14:paraId="4FB2DBC0">
      <w:pPr>
        <w:snapToGrid w:val="0"/>
        <w:spacing w:before="50" w:after="50" w:line="360" w:lineRule="exact"/>
        <w:ind w:right="-816" w:rightChars="-389"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投标人名称（盖章）：</w:t>
      </w:r>
      <w:r>
        <w:rPr>
          <w:rFonts w:hint="eastAsia" w:ascii="宋体" w:hAnsi="宋体" w:eastAsia="宋体" w:cs="Times New Roman"/>
          <w:color w:val="auto"/>
          <w:szCs w:val="21"/>
          <w:highlight w:val="none"/>
          <w:u w:val="single"/>
        </w:rPr>
        <w:t xml:space="preserve">                               </w:t>
      </w:r>
    </w:p>
    <w:p w14:paraId="10D6A52C">
      <w:pPr>
        <w:snapToGrid w:val="0"/>
        <w:spacing w:before="50" w:after="50" w:line="360" w:lineRule="exact"/>
        <w:ind w:right="-816" w:rightChars="-389"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日期：    年    月    日</w:t>
      </w:r>
    </w:p>
    <w:p w14:paraId="027E1354">
      <w:pPr>
        <w:snapToGrid w:val="0"/>
        <w:spacing w:before="50" w:after="50" w:line="360" w:lineRule="exact"/>
        <w:ind w:right="-816" w:rightChars="-389" w:firstLine="420"/>
        <w:rPr>
          <w:rFonts w:hint="eastAsia" w:ascii="宋体" w:hAnsi="宋体"/>
          <w:color w:val="auto"/>
          <w:szCs w:val="21"/>
          <w:highlight w:val="none"/>
        </w:rPr>
      </w:pPr>
    </w:p>
    <w:p w14:paraId="3C87BEBD">
      <w:pPr>
        <w:rPr>
          <w:color w:val="auto"/>
          <w:highlight w:val="none"/>
        </w:rPr>
      </w:pPr>
    </w:p>
    <w:sectPr>
      <w:headerReference r:id="rId7" w:type="default"/>
      <w:footerReference r:id="rId8" w:type="default"/>
      <w:pgSz w:w="11906" w:h="16838"/>
      <w:pgMar w:top="1134" w:right="1134" w:bottom="1134" w:left="1134"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B978EB-7534-4ED9-AB0F-0251E9DD4DB2}"/>
  </w:font>
  <w:font w:name="黑体">
    <w:panose1 w:val="02010609060101010101"/>
    <w:charset w:val="86"/>
    <w:family w:val="auto"/>
    <w:pitch w:val="default"/>
    <w:sig w:usb0="800002BF" w:usb1="38CF7CFA" w:usb2="00000016" w:usb3="00000000" w:csb0="00040001" w:csb1="00000000"/>
    <w:embedRegular r:id="rId2" w:fontKey="{EB7F1CEB-2652-4FFF-8BD6-51D03F437BD0}"/>
  </w:font>
  <w:font w:name="Courier New">
    <w:panose1 w:val="02070309020205020404"/>
    <w:charset w:val="01"/>
    <w:family w:val="modern"/>
    <w:pitch w:val="default"/>
    <w:sig w:usb0="E0002EFF" w:usb1="C0007843" w:usb2="00000009" w:usb3="00000000" w:csb0="400001FF" w:csb1="FFFF0000"/>
    <w:embedRegular r:id="rId3" w:fontKey="{FEC07200-9C7C-4EEA-920D-5E26E6C5EAE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EAD3259-2E8A-408F-922A-BD8C051CB4AE}"/>
  </w:font>
  <w:font w:name="仿宋_GB2312">
    <w:altName w:val="仿宋"/>
    <w:panose1 w:val="02010609030101010101"/>
    <w:charset w:val="86"/>
    <w:family w:val="modern"/>
    <w:pitch w:val="default"/>
    <w:sig w:usb0="00000001" w:usb1="080E0000" w:usb2="00000000" w:usb3="00000000" w:csb0="00040000" w:csb1="00000000"/>
    <w:embedRegular r:id="rId5" w:fontKey="{4F5A9773-BC23-4DCE-932E-3CC21D1F416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6" w:fontKey="{912A640B-4631-477C-85DA-F91BA5059D1B}"/>
  </w:font>
  <w:font w:name="Verdana">
    <w:panose1 w:val="020B0604030504040204"/>
    <w:charset w:val="00"/>
    <w:family w:val="auto"/>
    <w:pitch w:val="default"/>
    <w:sig w:usb0="A00006FF" w:usb1="4000205B" w:usb2="0000001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embedRegular r:id="rId7" w:fontKey="{09FD3595-EAAE-453A-BB36-106BAD422291}"/>
  </w:font>
  <w:font w:name="Segoe UI">
    <w:panose1 w:val="020B0502040204020203"/>
    <w:charset w:val="00"/>
    <w:family w:val="auto"/>
    <w:pitch w:val="default"/>
    <w:sig w:usb0="E4002EFF" w:usb1="C000E47F" w:usb2="00000009" w:usb3="00000000" w:csb0="200001FF" w:csb1="00000000"/>
    <w:embedRegular r:id="rId8" w:fontKey="{39424EC0-C5BD-42EA-A8F1-A32DABB283BC}"/>
  </w:font>
  <w:font w:name="Cambria">
    <w:panose1 w:val="02040503050406030204"/>
    <w:charset w:val="00"/>
    <w:family w:val="auto"/>
    <w:pitch w:val="default"/>
    <w:sig w:usb0="E00006FF" w:usb1="420024FF" w:usb2="02000000" w:usb3="00000000" w:csb0="2000019F" w:csb1="00000000"/>
    <w:embedRegular r:id="rId9" w:fontKey="{A77B2635-3043-4834-A489-0A282A1F8387}"/>
  </w:font>
  <w:font w:name="仿宋">
    <w:panose1 w:val="02010609060101010101"/>
    <w:charset w:val="86"/>
    <w:family w:val="modern"/>
    <w:pitch w:val="default"/>
    <w:sig w:usb0="800002BF" w:usb1="38CF7CFA" w:usb2="00000016" w:usb3="00000000" w:csb0="00040001" w:csb1="00000000"/>
    <w:embedRegular r:id="rId10" w:fontKey="{2C2C2D54-FA50-4434-B3C7-DB6EBE10D16A}"/>
  </w:font>
  <w:font w:name="Arial Unicode MS">
    <w:panose1 w:val="020B0604020202020204"/>
    <w:charset w:val="86"/>
    <w:family w:val="roman"/>
    <w:pitch w:val="default"/>
    <w:sig w:usb0="FFFFFFFF" w:usb1="E9FFFFFF" w:usb2="0000003F" w:usb3="00000000" w:csb0="603F01FF" w:csb1="FFFF0000"/>
    <w:embedRegular r:id="rId11" w:fontKey="{9FF26C6C-1368-4692-A31B-2B2B7397C32B}"/>
  </w:font>
  <w:font w:name="微软雅黑">
    <w:panose1 w:val="020B0503020204020204"/>
    <w:charset w:val="86"/>
    <w:family w:val="swiss"/>
    <w:pitch w:val="default"/>
    <w:sig w:usb0="80000287" w:usb1="2ACF3C50" w:usb2="00000016" w:usb3="00000000" w:csb0="0004001F" w:csb1="00000000"/>
    <w:embedRegular r:id="rId12" w:fontKey="{B9F84C89-DF70-42B3-9C23-69F4636340B4}"/>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61256">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11782F">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4E11782F">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5C11B">
    <w:pPr>
      <w:framePr w:wrap="around" w:vAnchor="text" w:hAnchor="margin" w:xAlign="center" w:y="1"/>
      <w:widowControl w:val="0"/>
      <w:snapToGrid w:val="0"/>
      <w:jc w:val="left"/>
      <w:rPr>
        <w:rStyle w:val="23"/>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23"/>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end"/>
    </w:r>
  </w:p>
  <w:p w14:paraId="4EE0433F">
    <w:pPr>
      <w:widowControl w:val="0"/>
      <w:snapToGrid w:val="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6A6C9">
    <w:pPr>
      <w:widowControl w:val="0"/>
      <w:snapToGrid w:val="0"/>
      <w:ind w:right="36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569D2">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B07CCD">
                          <w:pPr>
                            <w:pStyle w:val="12"/>
                            <w:rPr>
                              <w:rStyle w:val="23"/>
                            </w:rPr>
                          </w:pPr>
                          <w:r>
                            <w:fldChar w:fldCharType="begin"/>
                          </w:r>
                          <w:r>
                            <w:rPr>
                              <w:rStyle w:val="23"/>
                            </w:rPr>
                            <w:instrText xml:space="preserve">PAGE  </w:instrText>
                          </w:r>
                          <w:r>
                            <w:fldChar w:fldCharType="separate"/>
                          </w:r>
                          <w:r>
                            <w:rPr>
                              <w:rStyle w:val="23"/>
                            </w:rPr>
                            <w:t>31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5FB07CCD">
                    <w:pPr>
                      <w:pStyle w:val="12"/>
                      <w:rPr>
                        <w:rStyle w:val="23"/>
                      </w:rPr>
                    </w:pPr>
                    <w:r>
                      <w:fldChar w:fldCharType="begin"/>
                    </w:r>
                    <w:r>
                      <w:rPr>
                        <w:rStyle w:val="23"/>
                      </w:rPr>
                      <w:instrText xml:space="preserve">PAGE  </w:instrText>
                    </w:r>
                    <w:r>
                      <w:fldChar w:fldCharType="separate"/>
                    </w:r>
                    <w:r>
                      <w:rPr>
                        <w:rStyle w:val="23"/>
                      </w:rP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25E62">
    <w:pPr>
      <w:widowControl w:val="0"/>
      <w:pBdr>
        <w:bottom w:val="single" w:color="auto" w:sz="6" w:space="1"/>
      </w:pBdr>
      <w:snapToGrid w:val="0"/>
      <w:jc w:val="right"/>
      <w:rPr>
        <w:rFonts w:hint="eastAsia" w:ascii="Times New Roman" w:hAnsi="Times New Roman" w:eastAsia="宋体" w:cs="Times New Roman"/>
        <w:kern w:val="2"/>
        <w:sz w:val="18"/>
        <w:szCs w:val="18"/>
        <w:lang w:val="en-US" w:eastAsia="zh-CN" w:bidi="ar-SA"/>
      </w:rPr>
    </w:pPr>
    <w:r>
      <w:rPr>
        <w:rFonts w:hint="eastAsia" w:ascii="宋体" w:hAnsi="宋体" w:cs="宋体"/>
        <w:kern w:val="0"/>
        <w:sz w:val="18"/>
        <w:szCs w:val="21"/>
        <w:lang w:val="en-US" w:eastAsia="zh-CN" w:bidi="ar-SA"/>
      </w:rPr>
      <w:t>有色金属及新材料检测人才培养基地（GXZC2026-G1-002196-GLZB）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2967F">
    <w:pPr>
      <w:pStyle w:val="13"/>
      <w:wordWrap w:val="0"/>
      <w:jc w:val="right"/>
      <w:rPr>
        <w:rFonts w:hint="eastAsia" w:eastAsia="宋体"/>
        <w:lang w:eastAsia="zh-CN"/>
      </w:rPr>
    </w:pPr>
    <w:r>
      <w:rPr>
        <w:rFonts w:hint="eastAsia"/>
        <w:lang w:eastAsia="zh-CN"/>
      </w:rPr>
      <w:t>有色金属及新材料检测人才培养基地（</w:t>
    </w:r>
    <w:r>
      <w:rPr>
        <w:rFonts w:hint="eastAsia"/>
        <w:lang w:val="en-US" w:eastAsia="zh-CN"/>
      </w:rPr>
      <w:t>GXZC2026-G1-002196-GLZB</w:t>
    </w: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520E011F"/>
    <w:rsid w:val="0091447E"/>
    <w:rsid w:val="01F6647B"/>
    <w:rsid w:val="02097642"/>
    <w:rsid w:val="022C7591"/>
    <w:rsid w:val="03F13384"/>
    <w:rsid w:val="04265E95"/>
    <w:rsid w:val="0443021A"/>
    <w:rsid w:val="054B19F8"/>
    <w:rsid w:val="06AC476E"/>
    <w:rsid w:val="06D70245"/>
    <w:rsid w:val="08DA7E5B"/>
    <w:rsid w:val="08EE49A8"/>
    <w:rsid w:val="096B3CA2"/>
    <w:rsid w:val="0C0168D0"/>
    <w:rsid w:val="0C413F5F"/>
    <w:rsid w:val="0C6F6E97"/>
    <w:rsid w:val="0D840D7E"/>
    <w:rsid w:val="0DB255B9"/>
    <w:rsid w:val="0E383038"/>
    <w:rsid w:val="0E7B38CA"/>
    <w:rsid w:val="0E8F3154"/>
    <w:rsid w:val="0F8B27C3"/>
    <w:rsid w:val="11102D80"/>
    <w:rsid w:val="12264E92"/>
    <w:rsid w:val="12C07F40"/>
    <w:rsid w:val="13D579A8"/>
    <w:rsid w:val="14D84158"/>
    <w:rsid w:val="14E95410"/>
    <w:rsid w:val="15672AB9"/>
    <w:rsid w:val="16016C39"/>
    <w:rsid w:val="171700AD"/>
    <w:rsid w:val="19004393"/>
    <w:rsid w:val="19044A6A"/>
    <w:rsid w:val="192F4FE6"/>
    <w:rsid w:val="197A2957"/>
    <w:rsid w:val="1A050E31"/>
    <w:rsid w:val="1AE04FE1"/>
    <w:rsid w:val="1C337A35"/>
    <w:rsid w:val="1CB74868"/>
    <w:rsid w:val="1CC0773A"/>
    <w:rsid w:val="1D01180E"/>
    <w:rsid w:val="1D393B13"/>
    <w:rsid w:val="1E8052E4"/>
    <w:rsid w:val="1EE14E53"/>
    <w:rsid w:val="1EEF31DF"/>
    <w:rsid w:val="1F27076F"/>
    <w:rsid w:val="1F5F4ACA"/>
    <w:rsid w:val="20B32118"/>
    <w:rsid w:val="20FE1470"/>
    <w:rsid w:val="21785889"/>
    <w:rsid w:val="21D643D6"/>
    <w:rsid w:val="22565E73"/>
    <w:rsid w:val="22575CC1"/>
    <w:rsid w:val="22E27D46"/>
    <w:rsid w:val="23E763D9"/>
    <w:rsid w:val="2418246B"/>
    <w:rsid w:val="262A15FC"/>
    <w:rsid w:val="264B6CA9"/>
    <w:rsid w:val="26ED09FC"/>
    <w:rsid w:val="27390866"/>
    <w:rsid w:val="279A389C"/>
    <w:rsid w:val="27DC1012"/>
    <w:rsid w:val="27F90666"/>
    <w:rsid w:val="28E673D7"/>
    <w:rsid w:val="2AC60CE9"/>
    <w:rsid w:val="2B1E59DA"/>
    <w:rsid w:val="2B76150A"/>
    <w:rsid w:val="2BCC1E01"/>
    <w:rsid w:val="2C0D6C02"/>
    <w:rsid w:val="2E675CCA"/>
    <w:rsid w:val="2EA44D58"/>
    <w:rsid w:val="2EDC0415"/>
    <w:rsid w:val="2F0C6937"/>
    <w:rsid w:val="2FE5288F"/>
    <w:rsid w:val="33364265"/>
    <w:rsid w:val="34FF38FF"/>
    <w:rsid w:val="352C5760"/>
    <w:rsid w:val="35995B05"/>
    <w:rsid w:val="36030B1C"/>
    <w:rsid w:val="36403628"/>
    <w:rsid w:val="36C039EF"/>
    <w:rsid w:val="37EA7F4A"/>
    <w:rsid w:val="38167527"/>
    <w:rsid w:val="3932513E"/>
    <w:rsid w:val="394D396C"/>
    <w:rsid w:val="3A323415"/>
    <w:rsid w:val="3A55156E"/>
    <w:rsid w:val="3A68087D"/>
    <w:rsid w:val="3A867289"/>
    <w:rsid w:val="3A8803C7"/>
    <w:rsid w:val="3B0A329D"/>
    <w:rsid w:val="3B9D6819"/>
    <w:rsid w:val="3C627D44"/>
    <w:rsid w:val="3EC4699A"/>
    <w:rsid w:val="3F0F512E"/>
    <w:rsid w:val="400746BA"/>
    <w:rsid w:val="413E130B"/>
    <w:rsid w:val="41595E60"/>
    <w:rsid w:val="417A760D"/>
    <w:rsid w:val="42D81431"/>
    <w:rsid w:val="43FB0440"/>
    <w:rsid w:val="44693FAA"/>
    <w:rsid w:val="4476189F"/>
    <w:rsid w:val="44AB2641"/>
    <w:rsid w:val="453B031E"/>
    <w:rsid w:val="461E63CC"/>
    <w:rsid w:val="46CD43CA"/>
    <w:rsid w:val="49BD4ED7"/>
    <w:rsid w:val="49C502AA"/>
    <w:rsid w:val="49DE05A0"/>
    <w:rsid w:val="4AD44C97"/>
    <w:rsid w:val="4BF86001"/>
    <w:rsid w:val="4C4C6FD2"/>
    <w:rsid w:val="4D6820FB"/>
    <w:rsid w:val="4E1474AB"/>
    <w:rsid w:val="4F097C45"/>
    <w:rsid w:val="50350D26"/>
    <w:rsid w:val="520E011F"/>
    <w:rsid w:val="52DA57E8"/>
    <w:rsid w:val="54282CE7"/>
    <w:rsid w:val="5479292E"/>
    <w:rsid w:val="55232DE1"/>
    <w:rsid w:val="56295BF4"/>
    <w:rsid w:val="577D2F13"/>
    <w:rsid w:val="57A53A3A"/>
    <w:rsid w:val="57A777B2"/>
    <w:rsid w:val="57EA07A3"/>
    <w:rsid w:val="58067DB8"/>
    <w:rsid w:val="59F14D83"/>
    <w:rsid w:val="5BA540A7"/>
    <w:rsid w:val="5CCF4084"/>
    <w:rsid w:val="5D9129E1"/>
    <w:rsid w:val="5DBF160B"/>
    <w:rsid w:val="5E152896"/>
    <w:rsid w:val="5E97045B"/>
    <w:rsid w:val="5EE76C49"/>
    <w:rsid w:val="60B1554D"/>
    <w:rsid w:val="618446C0"/>
    <w:rsid w:val="62B94A5C"/>
    <w:rsid w:val="646330D4"/>
    <w:rsid w:val="64833A5B"/>
    <w:rsid w:val="65637788"/>
    <w:rsid w:val="66524D8D"/>
    <w:rsid w:val="66E14E64"/>
    <w:rsid w:val="674F49BA"/>
    <w:rsid w:val="6792697A"/>
    <w:rsid w:val="67CE3504"/>
    <w:rsid w:val="683B71D8"/>
    <w:rsid w:val="6A32716F"/>
    <w:rsid w:val="6B317799"/>
    <w:rsid w:val="6B7A54E2"/>
    <w:rsid w:val="6D112EF3"/>
    <w:rsid w:val="6E19577A"/>
    <w:rsid w:val="6F3111CA"/>
    <w:rsid w:val="6F360B2D"/>
    <w:rsid w:val="6F405DFC"/>
    <w:rsid w:val="70792581"/>
    <w:rsid w:val="70E37598"/>
    <w:rsid w:val="7122298F"/>
    <w:rsid w:val="7196129C"/>
    <w:rsid w:val="71FD199E"/>
    <w:rsid w:val="72396373"/>
    <w:rsid w:val="73821585"/>
    <w:rsid w:val="74D21540"/>
    <w:rsid w:val="776D742D"/>
    <w:rsid w:val="780800BC"/>
    <w:rsid w:val="787E7A8A"/>
    <w:rsid w:val="7B035110"/>
    <w:rsid w:val="7C58402B"/>
    <w:rsid w:val="7D10284B"/>
    <w:rsid w:val="7D877203"/>
    <w:rsid w:val="7DFD6D81"/>
    <w:rsid w:val="7E462FD2"/>
    <w:rsid w:val="7E5316BF"/>
    <w:rsid w:val="7F1C6E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2940"/>
    </w:pPr>
  </w:style>
  <w:style w:type="paragraph" w:styleId="4">
    <w:name w:val="Normal Indent"/>
    <w:basedOn w:val="1"/>
    <w:qFormat/>
    <w:uiPriority w:val="0"/>
    <w:pPr>
      <w:ind w:firstLine="420"/>
    </w:pPr>
    <w:rPr>
      <w:szCs w:val="20"/>
    </w:rPr>
  </w:style>
  <w:style w:type="paragraph" w:styleId="5">
    <w:name w:val="caption"/>
    <w:basedOn w:val="1"/>
    <w:next w:val="1"/>
    <w:qFormat/>
    <w:uiPriority w:val="0"/>
    <w:pPr>
      <w:spacing w:before="152" w:after="160"/>
    </w:pPr>
    <w:rPr>
      <w:rFonts w:ascii="Arial" w:hAnsi="Arial" w:eastAsia="黑体" w:cs="Arial"/>
      <w:sz w:val="20"/>
      <w:szCs w:val="20"/>
      <w:lang w:bidi="ar-SA"/>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w:basedOn w:val="1"/>
    <w:next w:val="1"/>
    <w:qFormat/>
    <w:uiPriority w:val="0"/>
    <w:pPr>
      <w:spacing w:line="380" w:lineRule="exact"/>
    </w:pPr>
    <w:rPr>
      <w:sz w:val="24"/>
    </w:rPr>
  </w:style>
  <w:style w:type="paragraph" w:styleId="8">
    <w:name w:val="Body Text Indent"/>
    <w:basedOn w:val="1"/>
    <w:qFormat/>
    <w:uiPriority w:val="0"/>
    <w:pPr>
      <w:ind w:firstLine="352" w:firstLineChars="352"/>
    </w:pPr>
    <w:rPr>
      <w:rFonts w:ascii="仿宋_GB2312" w:eastAsia="仿宋_GB2312"/>
      <w:sz w:val="32"/>
      <w:szCs w:val="20"/>
    </w:rPr>
  </w:style>
  <w:style w:type="paragraph" w:styleId="9">
    <w:name w:val="Plain Text"/>
    <w:basedOn w:val="1"/>
    <w:qFormat/>
    <w:uiPriority w:val="0"/>
    <w:rPr>
      <w:rFonts w:ascii="宋体"/>
      <w:szCs w:val="21"/>
    </w:rPr>
  </w:style>
  <w:style w:type="paragraph" w:styleId="10">
    <w:name w:val="Date"/>
    <w:basedOn w:val="1"/>
    <w:next w:val="1"/>
    <w:qFormat/>
    <w:uiPriority w:val="0"/>
    <w:pPr>
      <w:ind w:left="2500" w:leftChars="2500"/>
    </w:pPr>
    <w:rPr>
      <w:rFonts w:ascii="宋体" w:cs="Courier New"/>
      <w:szCs w:val="21"/>
      <w:lang w:bidi="ar-SA"/>
    </w:rPr>
  </w:style>
  <w:style w:type="paragraph" w:styleId="11">
    <w:name w:val="Body Text Indent 2"/>
    <w:basedOn w:val="1"/>
    <w:qFormat/>
    <w:uiPriority w:val="0"/>
    <w:pPr>
      <w:snapToGrid w:val="0"/>
      <w:spacing w:line="480" w:lineRule="exact"/>
      <w:ind w:firstLine="562" w:firstLineChars="200"/>
    </w:pPr>
    <w:rPr>
      <w:rFonts w:ascii="楷体_GB2312" w:eastAsia="楷体_GB2312"/>
      <w:b/>
      <w:bCs/>
      <w:kern w:val="0"/>
      <w:sz w:val="2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15">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16">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17">
    <w:name w:val="Normal (Web)"/>
    <w:basedOn w:val="1"/>
    <w:qFormat/>
    <w:uiPriority w:val="0"/>
    <w:pPr>
      <w:widowControl/>
      <w:spacing w:before="100" w:beforeAutospacing="1" w:after="100" w:afterAutospacing="1"/>
      <w:jc w:val="left"/>
    </w:pPr>
    <w:rPr>
      <w:rFonts w:ascii="宋体"/>
      <w:kern w:val="0"/>
      <w:sz w:val="24"/>
    </w:rPr>
  </w:style>
  <w:style w:type="paragraph" w:styleId="18">
    <w:name w:val="Title"/>
    <w:basedOn w:val="1"/>
    <w:qFormat/>
    <w:uiPriority w:val="0"/>
    <w:pPr>
      <w:spacing w:before="240" w:after="60"/>
      <w:jc w:val="center"/>
      <w:outlineLvl w:val="0"/>
    </w:pPr>
    <w:rPr>
      <w:rFonts w:ascii="Arial" w:hAnsi="Arial"/>
      <w:b/>
      <w:bCs/>
      <w:sz w:val="32"/>
      <w:szCs w:val="32"/>
    </w:rPr>
  </w:style>
  <w:style w:type="paragraph" w:styleId="19">
    <w:name w:val="Body Text First Indent"/>
    <w:basedOn w:val="7"/>
    <w:next w:val="15"/>
    <w:unhideWhenUsed/>
    <w:qFormat/>
    <w:uiPriority w:val="99"/>
    <w:pPr>
      <w:spacing w:beforeLines="0" w:afterLines="0"/>
      <w:ind w:firstLine="420" w:firstLineChars="100"/>
    </w:pPr>
    <w:rPr>
      <w:rFonts w:hint="default"/>
      <w:sz w:val="24"/>
    </w:rPr>
  </w:style>
  <w:style w:type="character" w:styleId="22">
    <w:name w:val="Strong"/>
    <w:basedOn w:val="21"/>
    <w:qFormat/>
    <w:uiPriority w:val="0"/>
    <w:rPr>
      <w:b/>
    </w:rPr>
  </w:style>
  <w:style w:type="character" w:styleId="23">
    <w:name w:val="page number"/>
    <w:qFormat/>
    <w:uiPriority w:val="0"/>
  </w:style>
  <w:style w:type="character" w:styleId="24">
    <w:name w:val="Emphasis"/>
    <w:qFormat/>
    <w:uiPriority w:val="0"/>
    <w:rPr>
      <w:color w:val="CC0000"/>
    </w:rPr>
  </w:style>
  <w:style w:type="character" w:styleId="25">
    <w:name w:val="Hyperlink"/>
    <w:qFormat/>
    <w:uiPriority w:val="0"/>
    <w:rPr>
      <w:color w:val="0000FF"/>
      <w:u w:val="single"/>
    </w:rPr>
  </w:style>
  <w:style w:type="paragraph" w:customStyle="1" w:styleId="26">
    <w:name w:val="Char Char Char3"/>
    <w:basedOn w:val="1"/>
    <w:qFormat/>
    <w:uiPriority w:val="0"/>
    <w:pPr>
      <w:spacing w:after="160" w:line="240" w:lineRule="exact"/>
    </w:pPr>
    <w:rPr>
      <w:rFonts w:ascii="Verdana" w:hAnsi="Verdana"/>
      <w:kern w:val="0"/>
      <w:sz w:val="20"/>
      <w:szCs w:val="20"/>
      <w:lang w:eastAsia="en-US"/>
    </w:rPr>
  </w:style>
  <w:style w:type="character" w:customStyle="1" w:styleId="27">
    <w:name w:val="font51"/>
    <w:basedOn w:val="21"/>
    <w:qFormat/>
    <w:uiPriority w:val="0"/>
    <w:rPr>
      <w:rFonts w:ascii="宋体" w:hAnsi="宋体" w:eastAsia="宋体" w:cs="宋体"/>
      <w:color w:val="000000"/>
      <w:sz w:val="18"/>
      <w:szCs w:val="18"/>
      <w:u w:val="none"/>
    </w:rPr>
  </w:style>
  <w:style w:type="character" w:customStyle="1" w:styleId="28">
    <w:name w:val="font61"/>
    <w:basedOn w:val="21"/>
    <w:qFormat/>
    <w:uiPriority w:val="0"/>
    <w:rPr>
      <w:rFonts w:hint="eastAsia" w:ascii="宋体" w:hAnsi="宋体" w:eastAsia="宋体" w:cs="宋体"/>
      <w:color w:val="000000"/>
      <w:sz w:val="24"/>
      <w:szCs w:val="24"/>
      <w:u w:val="none"/>
    </w:rPr>
  </w:style>
  <w:style w:type="paragraph" w:customStyle="1" w:styleId="2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2446\Desktop\6.26&#23384;&#26700;&#38754;&#31295;&#26377;&#33394;&#37329;&#23646;&#21450;&#26032;&#26448;&#26009;&#26816;&#27979;&#20154;&#25165;&#22521;&#20859;&#22522;&#22320;&#65288;&#24191;&#35199;&#26426;&#30005;&#32844;&#19994;&#25216;&#26415;&#23398;&#38498;%20&#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6.26存桌面稿有色金属及新材料检测人才培养基地（广西机电职业技术学院 ）.dot</Template>
  <Pages>85</Pages>
  <Words>7132</Words>
  <Characters>8670</Characters>
  <Lines>0</Lines>
  <Paragraphs>0</Paragraphs>
  <TotalTime>5</TotalTime>
  <ScaleCrop>false</ScaleCrop>
  <LinksUpToDate>false</LinksUpToDate>
  <CharactersWithSpaces>8778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2026-06-28T06:35:00Z</dcterms:created>
  <dc:creator>招标代理机构</dc:creator>
  <cp:lastModifiedBy>招标代理</cp:lastModifiedBy>
  <dcterms:modified xsi:type="dcterms:W3CDTF">2026-07-13T00:54:17Z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eyJoZGlkIjoiNThhMGNjNzRjODA1MzlmOTNhODQ1NTg4YWM3YjQ2ZjQiLCJ1c2VySWQiOiIxNjUxMjY0MDU4In0=</vt:lpwstr>
  </property>
  <property fmtid="{D5CDD505-2E9C-101B-9397-08002B2CF9AE}" pid="4" name="ICV">
    <vt:lpwstr>D710F6BE654D42E0999F4904EFC9E5A8_13</vt:lpwstr>
  </property>
</Properties>
</file>