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22B48">
      <w:pPr>
        <w:jc w:val="both"/>
        <w:rPr>
          <w:rFonts w:hint="eastAsia" w:ascii="华文新魏" w:hAnsi="宋体" w:eastAsia="华文新魏"/>
          <w:color w:val="auto"/>
          <w:sz w:val="52"/>
          <w:szCs w:val="52"/>
          <w:highlight w:val="none"/>
        </w:rPr>
      </w:pPr>
    </w:p>
    <w:p w14:paraId="29187144">
      <w:pPr>
        <w:spacing w:line="360" w:lineRule="auto"/>
        <w:jc w:val="center"/>
        <w:rPr>
          <w:rFonts w:hint="eastAsia" w:ascii="华文新魏" w:hAnsi="宋体" w:eastAsia="华文新魏"/>
          <w:color w:val="auto"/>
          <w:sz w:val="84"/>
          <w:szCs w:val="84"/>
          <w:highlight w:val="none"/>
        </w:rPr>
      </w:pPr>
      <w:r>
        <w:rPr>
          <w:rFonts w:hint="eastAsia" w:ascii="华文新魏" w:hAnsi="宋体" w:eastAsia="华文新魏"/>
          <w:color w:val="auto"/>
          <w:sz w:val="84"/>
          <w:szCs w:val="84"/>
          <w:highlight w:val="none"/>
        </w:rPr>
        <w:t>广西国力招标有限公司</w:t>
      </w:r>
    </w:p>
    <w:p w14:paraId="2459048A">
      <w:pPr>
        <w:spacing w:before="156" w:beforeLines="50"/>
        <w:jc w:val="center"/>
        <w:rPr>
          <w:rFonts w:hint="eastAsia" w:ascii="楷体" w:hAnsi="楷体" w:eastAsia="楷体"/>
          <w:color w:val="auto"/>
          <w:sz w:val="48"/>
          <w:szCs w:val="48"/>
          <w:highlight w:val="none"/>
        </w:rPr>
      </w:pPr>
    </w:p>
    <w:p w14:paraId="757AF8CE">
      <w:pPr>
        <w:spacing w:before="156" w:beforeLines="50"/>
        <w:jc w:val="center"/>
        <w:rPr>
          <w:rFonts w:hint="eastAsia" w:ascii="楷体" w:hAnsi="楷体" w:eastAsia="楷体"/>
          <w:color w:val="auto"/>
          <w:sz w:val="72"/>
          <w:szCs w:val="72"/>
          <w:highlight w:val="none"/>
        </w:rPr>
      </w:pPr>
      <w:r>
        <w:rPr>
          <w:rFonts w:hint="eastAsia" w:ascii="楷体" w:hAnsi="楷体" w:eastAsia="楷体"/>
          <w:color w:val="auto"/>
          <w:sz w:val="72"/>
          <w:szCs w:val="72"/>
          <w:highlight w:val="none"/>
        </w:rPr>
        <w:t>竞争性谈判文件</w:t>
      </w:r>
    </w:p>
    <w:p w14:paraId="7BF01216">
      <w:pPr>
        <w:pStyle w:val="20"/>
        <w:snapToGrid w:val="0"/>
        <w:spacing w:before="120" w:after="120" w:line="360" w:lineRule="auto"/>
        <w:rPr>
          <w:rFonts w:hint="eastAsia" w:ascii="仿宋_GB2312" w:hAnsi="宋体" w:eastAsia="仿宋_GB2312"/>
          <w:b/>
          <w:bCs/>
          <w:color w:val="auto"/>
          <w:sz w:val="30"/>
          <w:szCs w:val="30"/>
          <w:highlight w:val="none"/>
        </w:rPr>
      </w:pPr>
    </w:p>
    <w:p w14:paraId="34C51E00">
      <w:pPr>
        <w:pStyle w:val="20"/>
        <w:snapToGrid w:val="0"/>
        <w:spacing w:before="120" w:after="120" w:line="360" w:lineRule="auto"/>
        <w:jc w:val="center"/>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drawing>
          <wp:inline distT="0" distB="0" distL="114300" distR="114300">
            <wp:extent cx="2284730" cy="1624965"/>
            <wp:effectExtent l="0" t="0" r="1270" b="13335"/>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10"/>
                    <a:stretch>
                      <a:fillRect/>
                    </a:stretch>
                  </pic:blipFill>
                  <pic:spPr>
                    <a:xfrm>
                      <a:off x="0" y="0"/>
                      <a:ext cx="2284730" cy="1624965"/>
                    </a:xfrm>
                    <a:prstGeom prst="rect">
                      <a:avLst/>
                    </a:prstGeom>
                    <a:noFill/>
                    <a:ln>
                      <a:noFill/>
                    </a:ln>
                  </pic:spPr>
                </pic:pic>
              </a:graphicData>
            </a:graphic>
          </wp:inline>
        </w:drawing>
      </w:r>
    </w:p>
    <w:p w14:paraId="6FCF7F2B">
      <w:pPr>
        <w:pStyle w:val="20"/>
        <w:snapToGrid w:val="0"/>
        <w:spacing w:before="120" w:after="120" w:line="800" w:lineRule="exact"/>
        <w:ind w:firstLine="1793" w:firstLineChars="496"/>
        <w:rPr>
          <w:rFonts w:hint="eastAsia" w:hAnsi="宋体"/>
          <w:b/>
          <w:bCs/>
          <w:color w:val="auto"/>
          <w:sz w:val="36"/>
          <w:szCs w:val="36"/>
          <w:highlight w:val="none"/>
        </w:rPr>
      </w:pPr>
    </w:p>
    <w:p w14:paraId="1E46A9E4">
      <w:pPr>
        <w:pStyle w:val="20"/>
        <w:snapToGrid w:val="0"/>
        <w:spacing w:before="120" w:after="120" w:line="800" w:lineRule="exact"/>
        <w:ind w:firstLine="1446" w:firstLineChars="400"/>
        <w:jc w:val="left"/>
        <w:rPr>
          <w:rFonts w:hint="eastAsia" w:hAnsi="宋体" w:eastAsia="宋体"/>
          <w:b/>
          <w:bCs/>
          <w:color w:val="auto"/>
          <w:sz w:val="36"/>
          <w:szCs w:val="36"/>
          <w:highlight w:val="none"/>
          <w:lang w:eastAsia="zh-CN"/>
        </w:rPr>
      </w:pPr>
      <w:r>
        <w:rPr>
          <w:rFonts w:hint="eastAsia" w:hAnsi="宋体"/>
          <w:b/>
          <w:bCs/>
          <w:color w:val="auto"/>
          <w:sz w:val="36"/>
          <w:szCs w:val="36"/>
          <w:highlight w:val="none"/>
        </w:rPr>
        <w:t>采购项目编号：</w:t>
      </w:r>
      <w:r>
        <w:rPr>
          <w:rFonts w:hint="eastAsia" w:hAnsi="宋体"/>
          <w:b/>
          <w:bCs/>
          <w:color w:val="auto"/>
          <w:sz w:val="36"/>
          <w:szCs w:val="36"/>
          <w:highlight w:val="none"/>
          <w:lang w:eastAsia="zh-CN"/>
        </w:rPr>
        <w:t>GXZC2026-J1-001734-GLZB</w:t>
      </w:r>
    </w:p>
    <w:p w14:paraId="29CAD0AB">
      <w:pPr>
        <w:pBdr>
          <w:bottom w:val="thickThinSmallGap" w:color="auto" w:sz="24" w:space="1"/>
        </w:pBdr>
        <w:snapToGrid w:val="0"/>
        <w:spacing w:before="156" w:beforeLines="50" w:line="800" w:lineRule="exact"/>
        <w:ind w:firstLine="0" w:firstLineChars="0"/>
        <w:rPr>
          <w:rFonts w:hint="eastAsia" w:ascii="宋体" w:hAnsi="宋体" w:eastAsia="宋体"/>
          <w:b/>
          <w:color w:val="auto"/>
          <w:sz w:val="36"/>
          <w:szCs w:val="36"/>
          <w:highlight w:val="none"/>
          <w:lang w:eastAsia="zh-CN"/>
        </w:rPr>
      </w:pPr>
      <w:r>
        <w:rPr>
          <w:rFonts w:hint="eastAsia" w:ascii="宋体" w:hAnsi="宋体"/>
          <w:b/>
          <w:color w:val="auto"/>
          <w:sz w:val="36"/>
          <w:szCs w:val="36"/>
          <w:highlight w:val="none"/>
        </w:rPr>
        <w:t>采购项目名称：</w:t>
      </w:r>
      <w:r>
        <w:rPr>
          <w:rFonts w:hint="eastAsia" w:ascii="宋体" w:hAnsi="宋体"/>
          <w:b/>
          <w:color w:val="auto"/>
          <w:sz w:val="36"/>
          <w:szCs w:val="36"/>
          <w:highlight w:val="none"/>
          <w:lang w:eastAsia="zh-CN"/>
        </w:rPr>
        <w:t>安全生产智慧实训基地专用设备采购</w:t>
      </w:r>
    </w:p>
    <w:p w14:paraId="0FB12B5B">
      <w:pPr>
        <w:pBdr>
          <w:bottom w:val="thickThinSmallGap" w:color="auto" w:sz="24" w:space="1"/>
        </w:pBdr>
        <w:snapToGrid w:val="0"/>
        <w:spacing w:before="156" w:beforeLines="50" w:line="600" w:lineRule="exact"/>
        <w:jc w:val="center"/>
        <w:rPr>
          <w:rFonts w:hint="eastAsia" w:ascii="宋体" w:hAnsi="宋体"/>
          <w:b/>
          <w:color w:val="auto"/>
          <w:sz w:val="36"/>
          <w:szCs w:val="36"/>
          <w:highlight w:val="none"/>
        </w:rPr>
      </w:pPr>
    </w:p>
    <w:p w14:paraId="23D1D3DB">
      <w:pPr>
        <w:pBdr>
          <w:bottom w:val="thickThinSmallGap" w:color="auto" w:sz="24" w:space="1"/>
        </w:pBdr>
        <w:snapToGrid w:val="0"/>
        <w:spacing w:before="156" w:beforeLines="50" w:line="600" w:lineRule="exact"/>
        <w:jc w:val="center"/>
        <w:rPr>
          <w:rFonts w:hint="eastAsia" w:ascii="宋体" w:hAnsi="宋体"/>
          <w:b/>
          <w:color w:val="auto"/>
          <w:sz w:val="36"/>
          <w:szCs w:val="36"/>
          <w:highlight w:val="none"/>
        </w:rPr>
      </w:pPr>
      <w:r>
        <w:rPr>
          <w:rFonts w:hint="eastAsia" w:hAnsi="宋体"/>
          <w:b/>
          <w:bCs/>
          <w:color w:val="auto"/>
          <w:sz w:val="36"/>
          <w:szCs w:val="36"/>
          <w:highlight w:val="none"/>
        </w:rPr>
        <w:t>（</w:t>
      </w:r>
      <w:r>
        <w:rPr>
          <w:rFonts w:hint="eastAsia" w:hAnsi="宋体"/>
          <w:b/>
          <w:bCs/>
          <w:color w:val="auto"/>
          <w:sz w:val="36"/>
          <w:szCs w:val="36"/>
          <w:highlight w:val="none"/>
          <w:lang w:eastAsia="zh-CN"/>
        </w:rPr>
        <w:t>GXGL2026S-J296-Z</w:t>
      </w:r>
      <w:r>
        <w:rPr>
          <w:rFonts w:hint="eastAsia" w:hAnsi="宋体"/>
          <w:b/>
          <w:bCs/>
          <w:color w:val="auto"/>
          <w:sz w:val="36"/>
          <w:szCs w:val="36"/>
          <w:highlight w:val="none"/>
        </w:rPr>
        <w:t>）</w:t>
      </w:r>
    </w:p>
    <w:p w14:paraId="1CF1639B">
      <w:pPr>
        <w:snapToGrid w:val="0"/>
        <w:spacing w:before="156" w:beforeLines="50" w:line="560" w:lineRule="exact"/>
        <w:ind w:firstLine="1506" w:firstLineChars="500"/>
        <w:rPr>
          <w:rFonts w:hint="eastAsia" w:ascii="宋体" w:hAnsi="宋体"/>
          <w:b/>
          <w:color w:val="auto"/>
          <w:sz w:val="32"/>
          <w:szCs w:val="32"/>
          <w:highlight w:val="none"/>
        </w:rPr>
      </w:pPr>
      <w:r>
        <w:rPr>
          <w:rFonts w:hint="eastAsia" w:ascii="宋体" w:hAnsi="宋体"/>
          <w:b/>
          <w:color w:val="auto"/>
          <w:sz w:val="30"/>
          <w:szCs w:val="72"/>
          <w:highlight w:val="none"/>
        </w:rPr>
        <w:t>采   购   人：</w:t>
      </w:r>
      <w:r>
        <w:rPr>
          <w:rFonts w:hint="eastAsia" w:ascii="宋体" w:hAnsi="宋体"/>
          <w:b/>
          <w:color w:val="auto"/>
          <w:sz w:val="32"/>
          <w:szCs w:val="32"/>
          <w:highlight w:val="none"/>
        </w:rPr>
        <w:t xml:space="preserve"> 广西安全工程职业技术学院</w:t>
      </w:r>
    </w:p>
    <w:p w14:paraId="1E92F570">
      <w:pPr>
        <w:snapToGrid w:val="0"/>
        <w:spacing w:before="156" w:beforeLines="50" w:line="560" w:lineRule="exact"/>
        <w:ind w:firstLine="1506" w:firstLineChars="500"/>
        <w:rPr>
          <w:rFonts w:hint="eastAsia" w:ascii="宋体" w:hAnsi="宋体"/>
          <w:b/>
          <w:color w:val="auto"/>
          <w:sz w:val="30"/>
          <w:szCs w:val="72"/>
          <w:highlight w:val="none"/>
        </w:rPr>
      </w:pPr>
      <w:r>
        <w:rPr>
          <w:rFonts w:hint="eastAsia" w:ascii="宋体" w:hAnsi="宋体"/>
          <w:b/>
          <w:color w:val="auto"/>
          <w:sz w:val="30"/>
          <w:szCs w:val="72"/>
          <w:highlight w:val="none"/>
        </w:rPr>
        <w:t>采购代理机构：广西国力招标有限公司</w:t>
      </w:r>
    </w:p>
    <w:p w14:paraId="0906FFEB">
      <w:pPr>
        <w:snapToGrid w:val="0"/>
        <w:spacing w:before="156" w:beforeLines="50" w:line="560" w:lineRule="exact"/>
        <w:jc w:val="center"/>
        <w:rPr>
          <w:rFonts w:hint="eastAsia" w:ascii="宋体" w:hAnsi="宋体"/>
          <w:b/>
          <w:color w:val="auto"/>
          <w:sz w:val="30"/>
          <w:szCs w:val="72"/>
          <w:highlight w:val="none"/>
        </w:rPr>
      </w:pPr>
      <w:r>
        <w:rPr>
          <w:rFonts w:hint="eastAsia" w:ascii="宋体" w:hAnsi="宋体"/>
          <w:b/>
          <w:color w:val="auto"/>
          <w:sz w:val="30"/>
          <w:szCs w:val="72"/>
          <w:highlight w:val="none"/>
          <w:lang w:eastAsia="zh-CN"/>
        </w:rPr>
        <w:t>2026</w:t>
      </w:r>
      <w:r>
        <w:rPr>
          <w:rFonts w:hint="eastAsia" w:ascii="宋体" w:hAnsi="宋体"/>
          <w:b/>
          <w:color w:val="auto"/>
          <w:sz w:val="30"/>
          <w:szCs w:val="72"/>
          <w:highlight w:val="none"/>
        </w:rPr>
        <w:t>年</w:t>
      </w:r>
      <w:r>
        <w:rPr>
          <w:rFonts w:hint="eastAsia" w:ascii="宋体" w:hAnsi="宋体"/>
          <w:b/>
          <w:color w:val="auto"/>
          <w:sz w:val="30"/>
          <w:szCs w:val="72"/>
          <w:highlight w:val="none"/>
          <w:lang w:val="en-US" w:eastAsia="zh-CN"/>
        </w:rPr>
        <w:t>7</w:t>
      </w:r>
      <w:r>
        <w:rPr>
          <w:rFonts w:hint="eastAsia" w:ascii="宋体" w:hAnsi="宋体"/>
          <w:b/>
          <w:color w:val="auto"/>
          <w:sz w:val="30"/>
          <w:szCs w:val="72"/>
          <w:highlight w:val="none"/>
        </w:rPr>
        <w:t>月</w:t>
      </w:r>
    </w:p>
    <w:p w14:paraId="2B39C73B">
      <w:pPr>
        <w:jc w:val="center"/>
        <w:rPr>
          <w:rFonts w:hint="eastAsia" w:ascii="宋体" w:hAnsi="宋体"/>
          <w:b/>
          <w:color w:val="auto"/>
          <w:sz w:val="36"/>
          <w:szCs w:val="36"/>
          <w:highlight w:val="none"/>
        </w:rPr>
        <w:sectPr>
          <w:headerReference r:id="rId3" w:type="default"/>
          <w:pgSz w:w="11910" w:h="16840"/>
          <w:pgMar w:top="1338" w:right="1500" w:bottom="1338" w:left="1680" w:header="720" w:footer="720" w:gutter="0"/>
          <w:cols w:space="720" w:num="1"/>
          <w:titlePg/>
        </w:sectPr>
      </w:pPr>
    </w:p>
    <w:p w14:paraId="49C40F7F">
      <w:pPr>
        <w:jc w:val="center"/>
        <w:rPr>
          <w:rFonts w:hint="eastAsia" w:ascii="宋体" w:hAnsi="宋体"/>
          <w:b/>
          <w:color w:val="auto"/>
          <w:sz w:val="36"/>
          <w:szCs w:val="36"/>
          <w:highlight w:val="none"/>
        </w:rPr>
      </w:pPr>
      <w:r>
        <w:rPr>
          <w:rFonts w:hint="eastAsia" w:ascii="宋体" w:hAnsi="宋体"/>
          <w:b/>
          <w:color w:val="auto"/>
          <w:sz w:val="36"/>
          <w:szCs w:val="36"/>
          <w:highlight w:val="none"/>
        </w:rPr>
        <w:t>目  录</w:t>
      </w:r>
    </w:p>
    <w:p w14:paraId="4C4E2DC3">
      <w:pPr>
        <w:jc w:val="center"/>
        <w:rPr>
          <w:rFonts w:hint="eastAsia" w:ascii="宋体" w:hAnsi="宋体"/>
          <w:b/>
          <w:color w:val="auto"/>
          <w:sz w:val="44"/>
          <w:szCs w:val="44"/>
          <w:highlight w:val="none"/>
        </w:rPr>
      </w:pPr>
    </w:p>
    <w:p w14:paraId="307739B5">
      <w:pPr>
        <w:pStyle w:val="26"/>
        <w:tabs>
          <w:tab w:val="right" w:leader="dot" w:pos="8820"/>
        </w:tabs>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TOC \o "1-1" \h \z \u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"_Toc476258756"</w:instrText>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Style w:val="43"/>
          <w:rFonts w:hint="eastAsia" w:ascii="宋体" w:hAnsi="宋体" w:eastAsia="宋体" w:cs="宋体"/>
          <w:color w:val="auto"/>
          <w:sz w:val="28"/>
          <w:szCs w:val="28"/>
          <w:highlight w:val="none"/>
        </w:rPr>
        <w:t>第一章  竞争性谈判公告</w:t>
      </w:r>
      <w:bookmarkStart w:id="0" w:name="_Hlt60754088"/>
      <w:bookmarkStart w:id="1" w:name="_Hlt33457698"/>
      <w:bookmarkStart w:id="2" w:name="_Hlt42671918"/>
      <w:bookmarkStart w:id="3" w:name="_Hlt181110813"/>
      <w:bookmarkStart w:id="4" w:name="_Hlt33457699"/>
      <w:bookmarkStart w:id="5" w:name="_Hlt60754089"/>
      <w:bookmarkStart w:id="6" w:name="_Hlt42671919"/>
      <w:r>
        <w:rPr>
          <w:rFonts w:hint="eastAsia" w:ascii="宋体" w:hAnsi="宋体" w:eastAsia="宋体" w:cs="宋体"/>
          <w:color w:val="auto"/>
          <w:sz w:val="28"/>
          <w:szCs w:val="28"/>
          <w:highlight w:val="none"/>
        </w:rPr>
        <w:tab/>
      </w:r>
      <w:bookmarkEnd w:id="0"/>
      <w:bookmarkEnd w:id="1"/>
      <w:bookmarkEnd w:id="2"/>
      <w:bookmarkEnd w:id="3"/>
      <w:bookmarkEnd w:id="4"/>
      <w:bookmarkEnd w:id="5"/>
      <w:bookmarkEnd w:id="6"/>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_Toc476258756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29203BD">
      <w:pPr>
        <w:pStyle w:val="26"/>
        <w:tabs>
          <w:tab w:val="right" w:leader="dot" w:pos="88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"_Toc476258757"</w:instrText>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Style w:val="43"/>
          <w:rFonts w:hint="eastAsia" w:ascii="宋体" w:hAnsi="宋体" w:eastAsia="宋体" w:cs="宋体"/>
          <w:color w:val="auto"/>
          <w:sz w:val="28"/>
          <w:szCs w:val="28"/>
          <w:highlight w:val="none"/>
        </w:rPr>
        <w:t>第二章  谈判供应商须知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_Toc476258757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04CDB9B">
      <w:pPr>
        <w:pStyle w:val="26"/>
        <w:tabs>
          <w:tab w:val="right" w:leader="dot" w:pos="88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"_Toc476258758"</w:instrText>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Style w:val="43"/>
          <w:rFonts w:hint="eastAsia" w:ascii="宋体" w:hAnsi="宋体" w:eastAsia="宋体" w:cs="宋体"/>
          <w:color w:val="auto"/>
          <w:sz w:val="28"/>
          <w:szCs w:val="28"/>
          <w:highlight w:val="none"/>
        </w:rPr>
        <w:t>第三章  采购需</w:t>
      </w:r>
      <w:bookmarkStart w:id="7" w:name="_Hlt476673918"/>
      <w:bookmarkStart w:id="8" w:name="_Hlt476673919"/>
      <w:r>
        <w:rPr>
          <w:rStyle w:val="43"/>
          <w:rFonts w:hint="eastAsia" w:ascii="宋体" w:hAnsi="宋体" w:eastAsia="宋体" w:cs="宋体"/>
          <w:color w:val="auto"/>
          <w:sz w:val="28"/>
          <w:szCs w:val="28"/>
          <w:highlight w:val="none"/>
        </w:rPr>
        <w:t>求</w:t>
      </w:r>
      <w:bookmarkEnd w:id="7"/>
      <w:bookmarkEnd w:id="8"/>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_Toc476258758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17F0B24">
      <w:pPr>
        <w:pStyle w:val="26"/>
        <w:tabs>
          <w:tab w:val="right" w:leader="dot" w:pos="88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"_Toc476258759"</w:instrText>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Style w:val="43"/>
          <w:rFonts w:hint="eastAsia" w:ascii="宋体" w:hAnsi="宋体" w:eastAsia="宋体" w:cs="宋体"/>
          <w:color w:val="auto"/>
          <w:sz w:val="28"/>
          <w:szCs w:val="28"/>
          <w:highlight w:val="none"/>
        </w:rPr>
        <w:t>第四章  竞争性谈判响应文件格式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_Toc476258759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C048AF7">
      <w:pPr>
        <w:pStyle w:val="26"/>
        <w:tabs>
          <w:tab w:val="right" w:leader="dot" w:pos="88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"_Toc476258760"</w:instrText>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Style w:val="43"/>
          <w:rFonts w:hint="eastAsia" w:ascii="宋体" w:hAnsi="宋体" w:eastAsia="宋体" w:cs="宋体"/>
          <w:color w:val="auto"/>
          <w:kern w:val="0"/>
          <w:sz w:val="28"/>
          <w:szCs w:val="28"/>
          <w:highlight w:val="none"/>
        </w:rPr>
        <w:t>第五章  合同主要条款</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_Toc476258760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91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52B5D47">
      <w:pPr>
        <w:pStyle w:val="26"/>
        <w:tabs>
          <w:tab w:val="right" w:leader="dot" w:pos="88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"_Toc476258761"</w:instrText>
      </w:r>
      <w:r>
        <w:rPr>
          <w:rStyle w:val="43"/>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Style w:val="43"/>
          <w:rFonts w:hint="eastAsia" w:ascii="宋体" w:hAnsi="宋体" w:eastAsia="宋体" w:cs="宋体"/>
          <w:color w:val="auto"/>
          <w:kern w:val="0"/>
          <w:sz w:val="28"/>
          <w:szCs w:val="28"/>
          <w:highlight w:val="none"/>
        </w:rPr>
        <w:t>第六章  评定标准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_Toc476258761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98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F22DF50">
      <w:pPr>
        <w:spacing w:line="400" w:lineRule="exact"/>
        <w:jc w:val="center"/>
        <w:rPr>
          <w:rFonts w:hint="eastAsia" w:ascii="仿宋_GB2312" w:hAnsi="宋体" w:eastAsia="仿宋_GB2312"/>
          <w:b/>
          <w:color w:val="auto"/>
          <w:sz w:val="32"/>
          <w:szCs w:val="32"/>
          <w:highlight w:val="none"/>
        </w:rPr>
      </w:pPr>
      <w:r>
        <w:rPr>
          <w:rFonts w:hint="eastAsia" w:ascii="宋体" w:hAnsi="宋体" w:eastAsia="宋体" w:cs="宋体"/>
          <w:b/>
          <w:color w:val="auto"/>
          <w:sz w:val="28"/>
          <w:szCs w:val="28"/>
          <w:highlight w:val="none"/>
        </w:rPr>
        <w:fldChar w:fldCharType="end"/>
      </w:r>
    </w:p>
    <w:p w14:paraId="3440CE47">
      <w:pPr>
        <w:spacing w:line="400" w:lineRule="exact"/>
        <w:jc w:val="center"/>
        <w:rPr>
          <w:rFonts w:hint="eastAsia" w:ascii="仿宋_GB2312" w:hAnsi="宋体" w:eastAsia="仿宋_GB2312"/>
          <w:b/>
          <w:color w:val="auto"/>
          <w:sz w:val="32"/>
          <w:szCs w:val="32"/>
          <w:highlight w:val="none"/>
        </w:rPr>
      </w:pPr>
    </w:p>
    <w:p w14:paraId="4B44DB6F">
      <w:pPr>
        <w:spacing w:line="400" w:lineRule="exact"/>
        <w:jc w:val="center"/>
        <w:rPr>
          <w:rFonts w:hint="eastAsia" w:ascii="仿宋_GB2312" w:hAnsi="宋体" w:eastAsia="仿宋_GB2312"/>
          <w:b/>
          <w:color w:val="auto"/>
          <w:sz w:val="32"/>
          <w:szCs w:val="32"/>
          <w:highlight w:val="none"/>
        </w:rPr>
      </w:pPr>
    </w:p>
    <w:p w14:paraId="1E90FB84">
      <w:pPr>
        <w:spacing w:line="400" w:lineRule="exact"/>
        <w:jc w:val="center"/>
        <w:rPr>
          <w:rFonts w:hint="eastAsia" w:ascii="仿宋_GB2312" w:hAnsi="宋体" w:eastAsia="仿宋_GB2312"/>
          <w:b/>
          <w:color w:val="auto"/>
          <w:sz w:val="32"/>
          <w:szCs w:val="32"/>
          <w:highlight w:val="none"/>
        </w:rPr>
      </w:pPr>
    </w:p>
    <w:p w14:paraId="27A19983">
      <w:pPr>
        <w:spacing w:line="400" w:lineRule="exact"/>
        <w:jc w:val="center"/>
        <w:rPr>
          <w:rFonts w:hint="eastAsia" w:ascii="仿宋_GB2312" w:hAnsi="宋体" w:eastAsia="仿宋_GB2312"/>
          <w:b/>
          <w:color w:val="auto"/>
          <w:sz w:val="32"/>
          <w:szCs w:val="32"/>
          <w:highlight w:val="none"/>
        </w:rPr>
      </w:pPr>
    </w:p>
    <w:p w14:paraId="7E4046D6">
      <w:pPr>
        <w:spacing w:line="400" w:lineRule="exact"/>
        <w:jc w:val="center"/>
        <w:rPr>
          <w:rFonts w:hint="eastAsia" w:ascii="仿宋_GB2312" w:hAnsi="宋体" w:eastAsia="仿宋_GB2312"/>
          <w:b/>
          <w:color w:val="auto"/>
          <w:sz w:val="32"/>
          <w:szCs w:val="32"/>
          <w:highlight w:val="none"/>
        </w:rPr>
      </w:pPr>
    </w:p>
    <w:p w14:paraId="1B78B1CE">
      <w:pPr>
        <w:spacing w:line="400" w:lineRule="exact"/>
        <w:jc w:val="center"/>
        <w:rPr>
          <w:rFonts w:hint="eastAsia" w:ascii="仿宋_GB2312" w:hAnsi="宋体" w:eastAsia="仿宋_GB2312"/>
          <w:b/>
          <w:color w:val="auto"/>
          <w:sz w:val="32"/>
          <w:szCs w:val="32"/>
          <w:highlight w:val="none"/>
        </w:rPr>
      </w:pPr>
    </w:p>
    <w:p w14:paraId="0D382779">
      <w:pPr>
        <w:spacing w:line="400" w:lineRule="exact"/>
        <w:jc w:val="center"/>
        <w:rPr>
          <w:rFonts w:hint="eastAsia" w:ascii="仿宋_GB2312" w:hAnsi="宋体" w:eastAsia="仿宋_GB2312"/>
          <w:b/>
          <w:color w:val="auto"/>
          <w:sz w:val="32"/>
          <w:szCs w:val="32"/>
          <w:highlight w:val="none"/>
        </w:rPr>
      </w:pPr>
    </w:p>
    <w:p w14:paraId="2A7B7035">
      <w:pPr>
        <w:spacing w:line="400" w:lineRule="exact"/>
        <w:jc w:val="center"/>
        <w:rPr>
          <w:rFonts w:hint="eastAsia" w:ascii="仿宋_GB2312" w:hAnsi="宋体" w:eastAsia="仿宋_GB2312"/>
          <w:b/>
          <w:color w:val="auto"/>
          <w:sz w:val="32"/>
          <w:szCs w:val="32"/>
          <w:highlight w:val="none"/>
        </w:rPr>
      </w:pPr>
    </w:p>
    <w:p w14:paraId="526FEB2F">
      <w:pPr>
        <w:spacing w:line="400" w:lineRule="exact"/>
        <w:jc w:val="center"/>
        <w:rPr>
          <w:rFonts w:hint="eastAsia" w:ascii="仿宋_GB2312" w:hAnsi="宋体" w:eastAsia="仿宋_GB2312"/>
          <w:b/>
          <w:color w:val="auto"/>
          <w:sz w:val="32"/>
          <w:szCs w:val="32"/>
          <w:highlight w:val="none"/>
        </w:rPr>
      </w:pPr>
    </w:p>
    <w:p w14:paraId="1D56094F">
      <w:pPr>
        <w:spacing w:line="400" w:lineRule="exact"/>
        <w:jc w:val="center"/>
        <w:rPr>
          <w:rFonts w:hint="eastAsia" w:ascii="仿宋_GB2312" w:hAnsi="宋体" w:eastAsia="仿宋_GB2312"/>
          <w:b/>
          <w:color w:val="auto"/>
          <w:sz w:val="32"/>
          <w:szCs w:val="32"/>
          <w:highlight w:val="none"/>
        </w:rPr>
      </w:pPr>
    </w:p>
    <w:p w14:paraId="29631A65">
      <w:pPr>
        <w:spacing w:line="400" w:lineRule="exact"/>
        <w:jc w:val="center"/>
        <w:rPr>
          <w:rFonts w:hint="eastAsia" w:ascii="仿宋_GB2312" w:hAnsi="宋体" w:eastAsia="仿宋_GB2312"/>
          <w:b/>
          <w:color w:val="auto"/>
          <w:sz w:val="32"/>
          <w:szCs w:val="32"/>
          <w:highlight w:val="none"/>
        </w:rPr>
      </w:pPr>
    </w:p>
    <w:p w14:paraId="3CCEDD61">
      <w:pPr>
        <w:spacing w:line="400" w:lineRule="exact"/>
        <w:jc w:val="center"/>
        <w:rPr>
          <w:rFonts w:hint="eastAsia" w:ascii="黑体" w:hAnsi="宋体" w:eastAsia="黑体"/>
          <w:b/>
          <w:color w:val="auto"/>
          <w:sz w:val="32"/>
          <w:szCs w:val="32"/>
          <w:highlight w:val="none"/>
        </w:rPr>
      </w:pPr>
    </w:p>
    <w:p w14:paraId="654714CD">
      <w:pPr>
        <w:spacing w:line="400" w:lineRule="exact"/>
        <w:jc w:val="center"/>
        <w:rPr>
          <w:rFonts w:hint="eastAsia" w:ascii="黑体" w:hAnsi="宋体" w:eastAsia="黑体"/>
          <w:b/>
          <w:color w:val="auto"/>
          <w:sz w:val="32"/>
          <w:szCs w:val="32"/>
          <w:highlight w:val="none"/>
        </w:rPr>
      </w:pPr>
    </w:p>
    <w:p w14:paraId="1B0BDD78">
      <w:pPr>
        <w:spacing w:line="400" w:lineRule="exact"/>
        <w:jc w:val="center"/>
        <w:rPr>
          <w:rFonts w:hint="eastAsia" w:ascii="黑体" w:hAnsi="宋体" w:eastAsia="黑体"/>
          <w:b/>
          <w:color w:val="auto"/>
          <w:sz w:val="32"/>
          <w:szCs w:val="32"/>
          <w:highlight w:val="none"/>
        </w:rPr>
      </w:pPr>
    </w:p>
    <w:p w14:paraId="7DB86130">
      <w:pPr>
        <w:spacing w:line="400" w:lineRule="exact"/>
        <w:jc w:val="center"/>
        <w:rPr>
          <w:rFonts w:hint="eastAsia" w:ascii="黑体" w:hAnsi="宋体" w:eastAsia="黑体"/>
          <w:b/>
          <w:color w:val="auto"/>
          <w:sz w:val="32"/>
          <w:szCs w:val="32"/>
          <w:highlight w:val="none"/>
        </w:rPr>
      </w:pPr>
    </w:p>
    <w:p w14:paraId="4349DDA5">
      <w:pPr>
        <w:spacing w:line="400" w:lineRule="exact"/>
        <w:jc w:val="center"/>
        <w:rPr>
          <w:rFonts w:hint="eastAsia" w:ascii="黑体" w:hAnsi="宋体" w:eastAsia="黑体"/>
          <w:b/>
          <w:color w:val="auto"/>
          <w:sz w:val="32"/>
          <w:szCs w:val="32"/>
          <w:highlight w:val="none"/>
        </w:rPr>
      </w:pPr>
    </w:p>
    <w:p w14:paraId="360963DE">
      <w:pPr>
        <w:spacing w:line="400" w:lineRule="exact"/>
        <w:jc w:val="center"/>
        <w:rPr>
          <w:rFonts w:hint="eastAsia" w:ascii="黑体" w:hAnsi="宋体" w:eastAsia="黑体"/>
          <w:b/>
          <w:color w:val="auto"/>
          <w:sz w:val="32"/>
          <w:szCs w:val="32"/>
          <w:highlight w:val="none"/>
        </w:rPr>
      </w:pPr>
    </w:p>
    <w:p w14:paraId="634E58DF">
      <w:pPr>
        <w:spacing w:line="400" w:lineRule="exact"/>
        <w:jc w:val="center"/>
        <w:rPr>
          <w:rFonts w:hint="eastAsia" w:ascii="黑体" w:hAnsi="宋体" w:eastAsia="黑体"/>
          <w:b/>
          <w:color w:val="auto"/>
          <w:sz w:val="32"/>
          <w:szCs w:val="32"/>
          <w:highlight w:val="none"/>
        </w:rPr>
      </w:pPr>
    </w:p>
    <w:p w14:paraId="4C1371ED">
      <w:pPr>
        <w:spacing w:line="400" w:lineRule="exact"/>
        <w:jc w:val="center"/>
        <w:rPr>
          <w:rFonts w:hint="eastAsia" w:ascii="黑体" w:hAnsi="宋体" w:eastAsia="黑体"/>
          <w:b/>
          <w:color w:val="auto"/>
          <w:sz w:val="32"/>
          <w:szCs w:val="32"/>
          <w:highlight w:val="none"/>
        </w:rPr>
      </w:pPr>
    </w:p>
    <w:p w14:paraId="2291AAC5">
      <w:pPr>
        <w:spacing w:line="400" w:lineRule="exact"/>
        <w:jc w:val="center"/>
        <w:rPr>
          <w:rFonts w:hint="eastAsia" w:ascii="黑体" w:hAnsi="宋体" w:eastAsia="黑体"/>
          <w:b/>
          <w:color w:val="auto"/>
          <w:sz w:val="32"/>
          <w:szCs w:val="32"/>
          <w:highlight w:val="none"/>
        </w:rPr>
      </w:pPr>
    </w:p>
    <w:p w14:paraId="7B2E11BB">
      <w:pPr>
        <w:spacing w:line="400" w:lineRule="exact"/>
        <w:jc w:val="center"/>
        <w:rPr>
          <w:rFonts w:hint="eastAsia" w:ascii="宋体" w:hAnsi="宋体"/>
          <w:b/>
          <w:color w:val="auto"/>
          <w:sz w:val="32"/>
          <w:szCs w:val="32"/>
          <w:highlight w:val="none"/>
        </w:rPr>
      </w:pPr>
    </w:p>
    <w:p w14:paraId="1B701326">
      <w:pPr>
        <w:spacing w:line="400" w:lineRule="exact"/>
        <w:jc w:val="center"/>
        <w:rPr>
          <w:rFonts w:hint="eastAsia" w:ascii="宋体" w:hAnsi="宋体"/>
          <w:b/>
          <w:color w:val="auto"/>
          <w:sz w:val="32"/>
          <w:szCs w:val="32"/>
          <w:highlight w:val="none"/>
        </w:rPr>
      </w:pPr>
    </w:p>
    <w:p w14:paraId="0B38E837">
      <w:pPr>
        <w:spacing w:line="400" w:lineRule="exact"/>
        <w:jc w:val="center"/>
        <w:rPr>
          <w:rFonts w:hint="eastAsia" w:ascii="宋体" w:hAnsi="宋体"/>
          <w:b/>
          <w:color w:val="auto"/>
          <w:sz w:val="32"/>
          <w:szCs w:val="32"/>
          <w:highlight w:val="none"/>
        </w:rPr>
      </w:pPr>
    </w:p>
    <w:p w14:paraId="013B2C90">
      <w:pPr>
        <w:spacing w:line="400" w:lineRule="exact"/>
        <w:jc w:val="center"/>
        <w:rPr>
          <w:rFonts w:hint="eastAsia" w:ascii="宋体" w:hAnsi="宋体"/>
          <w:b/>
          <w:color w:val="auto"/>
          <w:sz w:val="32"/>
          <w:szCs w:val="32"/>
          <w:highlight w:val="none"/>
        </w:rPr>
      </w:pPr>
    </w:p>
    <w:p w14:paraId="4DFB8DB3">
      <w:pPr>
        <w:spacing w:line="400" w:lineRule="exact"/>
        <w:jc w:val="center"/>
        <w:rPr>
          <w:rFonts w:hint="eastAsia" w:ascii="宋体" w:hAnsi="宋体"/>
          <w:b/>
          <w:color w:val="auto"/>
          <w:sz w:val="32"/>
          <w:szCs w:val="32"/>
          <w:highlight w:val="none"/>
        </w:rPr>
      </w:pPr>
    </w:p>
    <w:p w14:paraId="715D45D2">
      <w:pPr>
        <w:spacing w:line="400" w:lineRule="exact"/>
        <w:jc w:val="center"/>
        <w:rPr>
          <w:rFonts w:hint="eastAsia" w:ascii="宋体" w:hAnsi="宋体"/>
          <w:b/>
          <w:color w:val="auto"/>
          <w:sz w:val="32"/>
          <w:szCs w:val="32"/>
          <w:highlight w:val="none"/>
        </w:rPr>
      </w:pPr>
    </w:p>
    <w:p w14:paraId="4FB745E3">
      <w:pPr>
        <w:spacing w:line="400" w:lineRule="exact"/>
        <w:jc w:val="center"/>
        <w:rPr>
          <w:rFonts w:hint="eastAsia" w:ascii="宋体" w:hAnsi="宋体"/>
          <w:b/>
          <w:color w:val="auto"/>
          <w:sz w:val="32"/>
          <w:szCs w:val="32"/>
          <w:highlight w:val="none"/>
        </w:rPr>
      </w:pPr>
    </w:p>
    <w:p w14:paraId="6843B231">
      <w:pPr>
        <w:spacing w:line="400" w:lineRule="exact"/>
        <w:jc w:val="center"/>
        <w:rPr>
          <w:rFonts w:hint="eastAsia" w:ascii="宋体" w:hAnsi="宋体"/>
          <w:b/>
          <w:color w:val="auto"/>
          <w:sz w:val="32"/>
          <w:szCs w:val="32"/>
          <w:highlight w:val="none"/>
        </w:rPr>
      </w:pPr>
    </w:p>
    <w:p w14:paraId="517E780A">
      <w:pPr>
        <w:spacing w:line="400" w:lineRule="exact"/>
        <w:jc w:val="center"/>
        <w:rPr>
          <w:rFonts w:hint="eastAsia" w:ascii="宋体" w:hAnsi="宋体"/>
          <w:b/>
          <w:color w:val="auto"/>
          <w:sz w:val="32"/>
          <w:szCs w:val="32"/>
          <w:highlight w:val="none"/>
        </w:rPr>
      </w:pPr>
    </w:p>
    <w:p w14:paraId="78618CCA">
      <w:pPr>
        <w:spacing w:line="400" w:lineRule="exact"/>
        <w:jc w:val="center"/>
        <w:rPr>
          <w:rFonts w:hint="eastAsia" w:ascii="宋体" w:hAnsi="宋体"/>
          <w:b/>
          <w:color w:val="auto"/>
          <w:sz w:val="32"/>
          <w:szCs w:val="32"/>
          <w:highlight w:val="none"/>
        </w:rPr>
      </w:pPr>
    </w:p>
    <w:p w14:paraId="6EEAAE10">
      <w:pPr>
        <w:spacing w:line="400" w:lineRule="exact"/>
        <w:jc w:val="center"/>
        <w:rPr>
          <w:rFonts w:hint="eastAsia" w:ascii="宋体" w:hAnsi="宋体"/>
          <w:b/>
          <w:color w:val="auto"/>
          <w:sz w:val="32"/>
          <w:szCs w:val="32"/>
          <w:highlight w:val="none"/>
        </w:rPr>
      </w:pPr>
    </w:p>
    <w:p w14:paraId="4E5E68A8">
      <w:pPr>
        <w:spacing w:line="400" w:lineRule="exact"/>
        <w:jc w:val="center"/>
        <w:rPr>
          <w:rFonts w:hint="eastAsia" w:ascii="宋体" w:hAnsi="宋体"/>
          <w:b/>
          <w:color w:val="auto"/>
          <w:sz w:val="32"/>
          <w:szCs w:val="32"/>
          <w:highlight w:val="none"/>
        </w:rPr>
      </w:pPr>
    </w:p>
    <w:p w14:paraId="48BB2C03">
      <w:pPr>
        <w:spacing w:line="400" w:lineRule="exact"/>
        <w:jc w:val="center"/>
        <w:rPr>
          <w:rFonts w:hint="eastAsia" w:ascii="宋体" w:hAnsi="宋体"/>
          <w:b/>
          <w:color w:val="auto"/>
          <w:sz w:val="32"/>
          <w:szCs w:val="32"/>
          <w:highlight w:val="none"/>
        </w:rPr>
      </w:pPr>
    </w:p>
    <w:p w14:paraId="140BF97C">
      <w:pPr>
        <w:spacing w:line="400" w:lineRule="exact"/>
        <w:jc w:val="center"/>
        <w:rPr>
          <w:rFonts w:hint="eastAsia" w:ascii="宋体" w:hAnsi="宋体"/>
          <w:b/>
          <w:color w:val="auto"/>
          <w:sz w:val="32"/>
          <w:szCs w:val="32"/>
          <w:highlight w:val="none"/>
        </w:rPr>
      </w:pPr>
    </w:p>
    <w:p w14:paraId="2CA0F684">
      <w:pPr>
        <w:spacing w:line="400" w:lineRule="exact"/>
        <w:jc w:val="center"/>
        <w:rPr>
          <w:rFonts w:hint="eastAsia" w:ascii="宋体" w:hAnsi="宋体"/>
          <w:b/>
          <w:color w:val="auto"/>
          <w:sz w:val="32"/>
          <w:szCs w:val="32"/>
          <w:highlight w:val="none"/>
        </w:rPr>
      </w:pPr>
    </w:p>
    <w:p w14:paraId="62A6A9C1">
      <w:pPr>
        <w:spacing w:line="400" w:lineRule="exact"/>
        <w:jc w:val="center"/>
        <w:rPr>
          <w:rFonts w:hint="eastAsia" w:ascii="宋体" w:hAnsi="宋体"/>
          <w:b/>
          <w:color w:val="auto"/>
          <w:sz w:val="32"/>
          <w:szCs w:val="32"/>
          <w:highlight w:val="none"/>
        </w:rPr>
      </w:pPr>
    </w:p>
    <w:p w14:paraId="55DD62F2">
      <w:pPr>
        <w:pStyle w:val="34"/>
        <w:rPr>
          <w:rFonts w:hint="eastAsia"/>
          <w:color w:val="auto"/>
          <w:sz w:val="44"/>
          <w:szCs w:val="44"/>
          <w:highlight w:val="none"/>
        </w:rPr>
      </w:pPr>
      <w:bookmarkStart w:id="9" w:name="_Toc476258662"/>
      <w:bookmarkStart w:id="10" w:name="_Toc476258756"/>
      <w:r>
        <w:rPr>
          <w:rFonts w:hint="eastAsia"/>
          <w:color w:val="auto"/>
          <w:sz w:val="44"/>
          <w:szCs w:val="44"/>
          <w:highlight w:val="none"/>
        </w:rPr>
        <w:t>第一章  竞争性谈判公告</w:t>
      </w:r>
      <w:bookmarkEnd w:id="9"/>
      <w:bookmarkEnd w:id="10"/>
    </w:p>
    <w:p w14:paraId="29F944B8">
      <w:pPr>
        <w:jc w:val="center"/>
        <w:rPr>
          <w:rFonts w:hint="eastAsia" w:ascii="华文新魏" w:hAnsi="宋体" w:eastAsia="华文新魏"/>
          <w:color w:val="auto"/>
          <w:sz w:val="44"/>
          <w:szCs w:val="44"/>
          <w:highlight w:val="none"/>
        </w:rPr>
      </w:pPr>
      <w:r>
        <w:rPr>
          <w:rFonts w:ascii="华文新魏" w:hAnsi="宋体" w:eastAsia="华文新魏"/>
          <w:color w:val="auto"/>
          <w:sz w:val="44"/>
          <w:szCs w:val="44"/>
          <w:highlight w:val="none"/>
        </w:rPr>
        <w:br w:type="page"/>
      </w:r>
    </w:p>
    <w:p w14:paraId="4B8EE9E7">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广西国力招标有限公司</w:t>
      </w:r>
    </w:p>
    <w:p w14:paraId="7658E2A3">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竞争性谈判公告</w:t>
      </w:r>
    </w:p>
    <w:p w14:paraId="06A551F5">
      <w:pPr>
        <w:spacing w:line="380" w:lineRule="exact"/>
        <w:rPr>
          <w:rFonts w:ascii="宋体" w:hAnsi="宋体"/>
          <w:color w:val="auto"/>
          <w:szCs w:val="21"/>
          <w:highlight w:val="none"/>
        </w:rPr>
      </w:pPr>
    </w:p>
    <w:p w14:paraId="584E59B9">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0AFE4D1D">
      <w:pPr>
        <w:pBdr>
          <w:top w:val="single" w:color="auto" w:sz="4" w:space="1"/>
          <w:left w:val="single" w:color="auto" w:sz="4" w:space="4"/>
          <w:bottom w:val="single" w:color="auto" w:sz="4" w:space="1"/>
          <w:right w:val="single" w:color="auto" w:sz="4" w:space="4"/>
        </w:pBdr>
        <w:spacing w:line="380" w:lineRule="exact"/>
        <w:ind w:firstLine="420" w:firstLineChars="200"/>
        <w:rPr>
          <w:rFonts w:ascii="宋体" w:hAnsi="宋体"/>
          <w:color w:val="auto"/>
          <w:szCs w:val="21"/>
          <w:highlight w:val="none"/>
        </w:rPr>
      </w:pPr>
      <w:r>
        <w:rPr>
          <w:rFonts w:hint="eastAsia" w:ascii="宋体" w:hAnsi="宋体"/>
          <w:color w:val="auto"/>
          <w:szCs w:val="21"/>
          <w:highlight w:val="none"/>
          <w:u w:val="single"/>
        </w:rPr>
        <w:t>安全生产智慧实训基地专用设备采购</w:t>
      </w:r>
      <w:r>
        <w:rPr>
          <w:rFonts w:hint="eastAsia" w:ascii="宋体" w:hAnsi="宋体"/>
          <w:color w:val="auto"/>
          <w:szCs w:val="21"/>
          <w:highlight w:val="none"/>
        </w:rPr>
        <w:t>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rPr>
        <w:t>获取采购文件，并于</w:t>
      </w:r>
      <w:r>
        <w:rPr>
          <w:rFonts w:hint="eastAsia" w:ascii="宋体" w:hAnsi="宋体"/>
          <w:color w:val="auto"/>
          <w:szCs w:val="21"/>
          <w:highlight w:val="none"/>
          <w:u w:val="single"/>
          <w:lang w:eastAsia="zh-CN"/>
        </w:rPr>
        <w:t>2026年7月31日9:30</w:t>
      </w:r>
      <w:r>
        <w:rPr>
          <w:rFonts w:hint="eastAsia" w:ascii="宋体" w:hAnsi="宋体"/>
          <w:bCs/>
          <w:color w:val="auto"/>
          <w:szCs w:val="21"/>
          <w:highlight w:val="none"/>
        </w:rPr>
        <w:t>（北京时间）前提交响应</w:t>
      </w:r>
      <w:r>
        <w:rPr>
          <w:rFonts w:ascii="宋体" w:hAnsi="宋体"/>
          <w:bCs/>
          <w:color w:val="auto"/>
          <w:szCs w:val="21"/>
          <w:highlight w:val="none"/>
        </w:rPr>
        <w:t>文件</w:t>
      </w:r>
      <w:r>
        <w:rPr>
          <w:rFonts w:hint="eastAsia" w:ascii="宋体" w:hAnsi="宋体"/>
          <w:color w:val="auto"/>
          <w:szCs w:val="21"/>
          <w:highlight w:val="none"/>
        </w:rPr>
        <w:t>。</w:t>
      </w:r>
    </w:p>
    <w:p w14:paraId="5648EAC2">
      <w:pPr>
        <w:spacing w:line="380" w:lineRule="exact"/>
        <w:rPr>
          <w:rFonts w:ascii="宋体" w:hAnsi="宋体"/>
          <w:color w:val="auto"/>
          <w:szCs w:val="21"/>
          <w:highlight w:val="none"/>
        </w:rPr>
      </w:pPr>
    </w:p>
    <w:p w14:paraId="38CBA10F">
      <w:pPr>
        <w:spacing w:line="380" w:lineRule="exact"/>
        <w:rPr>
          <w:rFonts w:ascii="宋体" w:hAnsi="宋体"/>
          <w:b/>
          <w:color w:val="auto"/>
          <w:highlight w:val="none"/>
        </w:rPr>
      </w:pPr>
      <w:bookmarkStart w:id="11" w:name="_Toc35393798"/>
      <w:bookmarkStart w:id="12" w:name="_Toc28359089"/>
      <w:bookmarkStart w:id="13" w:name="_Toc35393629"/>
      <w:bookmarkStart w:id="14" w:name="_Toc28359012"/>
      <w:r>
        <w:rPr>
          <w:rFonts w:hint="eastAsia" w:ascii="宋体" w:hAnsi="宋体"/>
          <w:b/>
          <w:color w:val="auto"/>
          <w:highlight w:val="none"/>
        </w:rPr>
        <w:t>一、项目基本情况</w:t>
      </w:r>
      <w:bookmarkEnd w:id="11"/>
      <w:bookmarkEnd w:id="12"/>
      <w:bookmarkEnd w:id="13"/>
      <w:bookmarkEnd w:id="14"/>
    </w:p>
    <w:p w14:paraId="0F686A78">
      <w:pPr>
        <w:widowControl/>
        <w:adjustRightInd w:val="0"/>
        <w:snapToGrid w:val="0"/>
        <w:spacing w:line="400" w:lineRule="exact"/>
        <w:jc w:val="left"/>
        <w:rPr>
          <w:rFonts w:hint="eastAsia" w:ascii="宋体" w:hAnsi="宋体" w:cs="宋体"/>
          <w:color w:val="auto"/>
          <w:kern w:val="0"/>
          <w:szCs w:val="21"/>
          <w:highlight w:val="none"/>
        </w:rPr>
      </w:pPr>
      <w:r>
        <w:rPr>
          <w:rFonts w:ascii="宋体" w:hAnsi="宋体" w:cs="宋体"/>
          <w:color w:val="auto"/>
          <w:kern w:val="0"/>
          <w:szCs w:val="21"/>
          <w:highlight w:val="none"/>
        </w:rPr>
        <w:t>  项目编号：</w:t>
      </w:r>
      <w:r>
        <w:rPr>
          <w:rFonts w:hint="eastAsia" w:ascii="宋体" w:hAnsi="宋体" w:cs="宋体"/>
          <w:color w:val="auto"/>
          <w:kern w:val="0"/>
          <w:szCs w:val="21"/>
          <w:highlight w:val="none"/>
        </w:rPr>
        <w:t>GXZC2026-J1-001734-GLZB</w:t>
      </w:r>
    </w:p>
    <w:p w14:paraId="7D457C7C">
      <w:pPr>
        <w:widowControl/>
        <w:adjustRightInd w:val="0"/>
        <w:snapToGrid w:val="0"/>
        <w:spacing w:line="400" w:lineRule="exact"/>
        <w:jc w:val="left"/>
        <w:rPr>
          <w:rFonts w:ascii="宋体" w:hAnsi="宋体" w:cs="宋体"/>
          <w:color w:val="auto"/>
          <w:kern w:val="0"/>
          <w:szCs w:val="21"/>
          <w:highlight w:val="none"/>
        </w:rPr>
      </w:pPr>
      <w:r>
        <w:rPr>
          <w:rFonts w:ascii="宋体" w:hAnsi="宋体" w:cs="宋体"/>
          <w:color w:val="auto"/>
          <w:kern w:val="0"/>
          <w:szCs w:val="21"/>
          <w:highlight w:val="none"/>
        </w:rPr>
        <w:t>  项目名称：</w:t>
      </w:r>
      <w:r>
        <w:rPr>
          <w:rFonts w:hint="eastAsia" w:ascii="宋体" w:hAnsi="宋体" w:cs="宋体"/>
          <w:color w:val="auto"/>
          <w:kern w:val="0"/>
          <w:szCs w:val="21"/>
          <w:highlight w:val="none"/>
        </w:rPr>
        <w:t>安全生产智慧实训基地专用设备采购</w:t>
      </w:r>
    </w:p>
    <w:p w14:paraId="6F1ABE8F">
      <w:pPr>
        <w:widowControl/>
        <w:adjustRightInd w:val="0"/>
        <w:snapToGrid w:val="0"/>
        <w:spacing w:line="400" w:lineRule="exact"/>
        <w:jc w:val="left"/>
        <w:rPr>
          <w:rFonts w:hint="default" w:ascii="宋体" w:hAnsi="宋体" w:cs="宋体"/>
          <w:color w:val="auto"/>
          <w:kern w:val="0"/>
          <w:szCs w:val="21"/>
          <w:highlight w:val="none"/>
          <w:lang w:val="en-US" w:eastAsia="zh-CN"/>
        </w:rPr>
      </w:pPr>
      <w:r>
        <w:rPr>
          <w:rFonts w:ascii="宋体" w:hAnsi="宋体" w:cs="宋体"/>
          <w:color w:val="auto"/>
          <w:kern w:val="0"/>
          <w:szCs w:val="21"/>
          <w:highlight w:val="none"/>
        </w:rPr>
        <w:t>  预算总金额（元）：</w:t>
      </w:r>
      <w:r>
        <w:rPr>
          <w:rFonts w:hint="eastAsia" w:ascii="宋体" w:hAnsi="宋体" w:cs="宋体"/>
          <w:color w:val="auto"/>
          <w:kern w:val="0"/>
          <w:szCs w:val="21"/>
          <w:highlight w:val="none"/>
        </w:rPr>
        <w:t>174363</w:t>
      </w:r>
      <w:r>
        <w:rPr>
          <w:rFonts w:hint="eastAsia" w:ascii="宋体" w:hAnsi="宋体" w:cs="宋体"/>
          <w:color w:val="auto"/>
          <w:kern w:val="0"/>
          <w:szCs w:val="21"/>
          <w:highlight w:val="none"/>
          <w:lang w:val="en-US" w:eastAsia="zh-CN"/>
        </w:rPr>
        <w:t>0.00</w:t>
      </w:r>
    </w:p>
    <w:p w14:paraId="466BBF09">
      <w:pPr>
        <w:widowControl/>
        <w:adjustRightInd w:val="0"/>
        <w:snapToGrid w:val="0"/>
        <w:spacing w:line="400" w:lineRule="exact"/>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采购需求：</w:t>
      </w:r>
    </w:p>
    <w:p w14:paraId="7B6C792E">
      <w:pPr>
        <w:spacing w:line="380" w:lineRule="exact"/>
        <w:ind w:left="420" w:leftChars="200"/>
        <w:rPr>
          <w:rFonts w:hint="eastAsia" w:ascii="宋体" w:hAnsi="宋体"/>
          <w:color w:val="auto"/>
          <w:highlight w:val="none"/>
        </w:rPr>
      </w:pPr>
      <w:r>
        <w:rPr>
          <w:rFonts w:ascii="宋体" w:hAnsi="宋体" w:cs="宋体"/>
          <w:color w:val="auto"/>
          <w:kern w:val="0"/>
          <w:szCs w:val="21"/>
          <w:highlight w:val="none"/>
        </w:rPr>
        <w:t>标项一</w:t>
      </w:r>
      <w:r>
        <w:rPr>
          <w:rFonts w:ascii="宋体" w:hAnsi="宋体" w:cs="宋体"/>
          <w:color w:val="auto"/>
          <w:kern w:val="0"/>
          <w:szCs w:val="21"/>
          <w:highlight w:val="none"/>
        </w:rPr>
        <w:br w:type="textWrapping"/>
      </w:r>
      <w:r>
        <w:rPr>
          <w:rFonts w:hint="eastAsia" w:ascii="宋体" w:hAnsi="宋体"/>
          <w:color w:val="auto"/>
          <w:highlight w:val="none"/>
        </w:rPr>
        <w:t>标项名称：化工安全智能实训室</w:t>
      </w:r>
    </w:p>
    <w:p w14:paraId="413E8942">
      <w:pPr>
        <w:spacing w:line="380" w:lineRule="exact"/>
        <w:ind w:firstLine="420" w:firstLineChars="200"/>
        <w:rPr>
          <w:rFonts w:hint="eastAsia" w:ascii="宋体" w:hAnsi="宋体" w:eastAsia="宋体"/>
          <w:color w:val="auto"/>
          <w:highlight w:val="none"/>
          <w:lang w:val="en-US" w:eastAsia="zh-CN"/>
        </w:rPr>
      </w:pPr>
      <w:r>
        <w:rPr>
          <w:rFonts w:hint="eastAsia" w:ascii="宋体" w:hAnsi="宋体"/>
          <w:color w:val="auto"/>
          <w:highlight w:val="none"/>
        </w:rPr>
        <w:t>数量：</w:t>
      </w:r>
      <w:r>
        <w:rPr>
          <w:rFonts w:hint="eastAsia" w:ascii="宋体" w:hAnsi="宋体"/>
          <w:color w:val="auto"/>
          <w:highlight w:val="none"/>
          <w:lang w:val="en-US" w:eastAsia="zh-CN"/>
        </w:rPr>
        <w:t>1</w:t>
      </w:r>
    </w:p>
    <w:p w14:paraId="00329868">
      <w:pPr>
        <w:spacing w:line="380" w:lineRule="exact"/>
        <w:ind w:firstLine="420" w:firstLineChars="200"/>
        <w:rPr>
          <w:rFonts w:hint="eastAsia" w:ascii="宋体" w:hAnsi="宋体"/>
          <w:color w:val="auto"/>
          <w:highlight w:val="none"/>
        </w:rPr>
      </w:pPr>
      <w:r>
        <w:rPr>
          <w:rFonts w:hint="eastAsia" w:ascii="宋体" w:hAnsi="宋体"/>
          <w:color w:val="auto"/>
          <w:highlight w:val="none"/>
        </w:rPr>
        <w:t>预算金额（元）：953000.00</w:t>
      </w:r>
    </w:p>
    <w:p w14:paraId="3C25A47C">
      <w:pPr>
        <w:spacing w:line="380" w:lineRule="exact"/>
        <w:ind w:firstLine="420" w:firstLineChars="200"/>
        <w:rPr>
          <w:rFonts w:hint="eastAsia" w:ascii="宋体" w:hAnsi="宋体"/>
          <w:color w:val="auto"/>
          <w:highlight w:val="none"/>
        </w:rPr>
      </w:pPr>
      <w:r>
        <w:rPr>
          <w:rFonts w:hint="eastAsia" w:ascii="宋体" w:hAnsi="宋体"/>
          <w:color w:val="auto"/>
          <w:highlight w:val="none"/>
        </w:rPr>
        <w:t>简要规格描述或项目基本概况介绍、用途：</w:t>
      </w:r>
      <w:r>
        <w:rPr>
          <w:rFonts w:hint="eastAsia" w:ascii="宋体" w:hAnsi="宋体"/>
          <w:color w:val="auto"/>
          <w:highlight w:val="none"/>
          <w:u w:val="single"/>
        </w:rPr>
        <w:t>传热操作实训装置（水－水）1套</w:t>
      </w:r>
      <w:r>
        <w:rPr>
          <w:rFonts w:hint="eastAsia" w:ascii="宋体" w:hAnsi="宋体"/>
          <w:color w:val="auto"/>
          <w:highlight w:val="none"/>
          <w:u w:val="single"/>
          <w:lang w:eastAsia="zh-CN"/>
        </w:rPr>
        <w:t>、</w:t>
      </w:r>
      <w:r>
        <w:rPr>
          <w:rFonts w:hint="eastAsia" w:ascii="宋体" w:hAnsi="宋体"/>
          <w:color w:val="auto"/>
          <w:highlight w:val="none"/>
          <w:u w:val="single"/>
        </w:rPr>
        <w:t>吸收解吸操作实训装置1套</w:t>
      </w:r>
      <w:r>
        <w:rPr>
          <w:rFonts w:hint="eastAsia" w:ascii="宋体" w:hAnsi="宋体"/>
          <w:color w:val="auto"/>
          <w:highlight w:val="none"/>
          <w:u w:val="single"/>
          <w:lang w:eastAsia="zh-CN"/>
        </w:rPr>
        <w:t>、</w:t>
      </w:r>
      <w:r>
        <w:rPr>
          <w:rFonts w:hint="eastAsia" w:ascii="宋体" w:hAnsi="宋体"/>
          <w:color w:val="auto"/>
          <w:highlight w:val="none"/>
          <w:u w:val="single"/>
        </w:rPr>
        <w:t>流体输送操作实训装置1套</w:t>
      </w:r>
      <w:r>
        <w:rPr>
          <w:rFonts w:hint="eastAsia" w:ascii="宋体" w:hAnsi="宋体"/>
          <w:color w:val="auto"/>
          <w:highlight w:val="none"/>
          <w:u w:val="single"/>
          <w:lang w:eastAsia="zh-CN"/>
        </w:rPr>
        <w:t>、</w:t>
      </w:r>
      <w:r>
        <w:rPr>
          <w:rFonts w:hint="eastAsia" w:ascii="宋体" w:hAnsi="宋体"/>
          <w:color w:val="auto"/>
          <w:highlight w:val="none"/>
          <w:u w:val="single"/>
        </w:rPr>
        <w:t>实训室装修2项</w:t>
      </w:r>
      <w:r>
        <w:rPr>
          <w:rFonts w:hint="eastAsia"/>
          <w:bCs/>
          <w:color w:val="auto"/>
          <w:kern w:val="0"/>
          <w:szCs w:val="21"/>
          <w:highlight w:val="none"/>
          <w:lang w:eastAsia="zh-CN"/>
        </w:rPr>
        <w:t>；</w:t>
      </w:r>
      <w:r>
        <w:rPr>
          <w:rFonts w:hint="eastAsia" w:ascii="宋体" w:cs="Arial"/>
          <w:color w:val="auto"/>
          <w:szCs w:val="21"/>
          <w:highlight w:val="none"/>
        </w:rPr>
        <w:t>如需进一步了解详细内容，详见竞争性谈判文件。</w:t>
      </w:r>
    </w:p>
    <w:p w14:paraId="3E544848">
      <w:pPr>
        <w:spacing w:line="380" w:lineRule="exact"/>
        <w:ind w:firstLine="420" w:firstLineChars="200"/>
        <w:rPr>
          <w:rFonts w:hint="eastAsia" w:ascii="宋体" w:hAnsi="宋体"/>
          <w:color w:val="auto"/>
          <w:highlight w:val="none"/>
        </w:rPr>
      </w:pPr>
      <w:r>
        <w:rPr>
          <w:rFonts w:hint="eastAsia" w:ascii="宋体" w:hAnsi="宋体"/>
          <w:color w:val="auto"/>
          <w:highlight w:val="none"/>
        </w:rPr>
        <w:t>最高限价（</w:t>
      </w:r>
      <w:r>
        <w:rPr>
          <w:rFonts w:hint="eastAsia" w:ascii="宋体" w:hAnsi="宋体"/>
          <w:color w:val="auto"/>
          <w:highlight w:val="none"/>
          <w:lang w:val="en-US" w:eastAsia="zh-CN"/>
        </w:rPr>
        <w:t>元</w:t>
      </w:r>
      <w:r>
        <w:rPr>
          <w:rFonts w:hint="eastAsia" w:ascii="宋体" w:hAnsi="宋体"/>
          <w:color w:val="auto"/>
          <w:highlight w:val="none"/>
        </w:rPr>
        <w:t>）：953000.00</w:t>
      </w:r>
    </w:p>
    <w:p w14:paraId="7F9EACA4">
      <w:pPr>
        <w:spacing w:line="38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合同履约期限：自签订合同之日起30日历日内全部交货安装完成并验收合格</w:t>
      </w:r>
      <w:r>
        <w:rPr>
          <w:rFonts w:hint="eastAsia" w:ascii="宋体" w:hAnsi="宋体"/>
          <w:color w:val="auto"/>
          <w:highlight w:val="none"/>
          <w:lang w:val="en-US" w:eastAsia="zh-CN"/>
        </w:rPr>
        <w:t>。</w:t>
      </w:r>
    </w:p>
    <w:p w14:paraId="580234F5">
      <w:pPr>
        <w:spacing w:line="380" w:lineRule="exact"/>
        <w:ind w:firstLine="420" w:firstLineChars="200"/>
        <w:rPr>
          <w:rFonts w:hint="eastAsia" w:ascii="宋体" w:hAnsi="宋体"/>
          <w:color w:val="auto"/>
          <w:highlight w:val="none"/>
        </w:rPr>
      </w:pPr>
      <w:r>
        <w:rPr>
          <w:rFonts w:hint="eastAsia" w:ascii="宋体" w:hAnsi="宋体"/>
          <w:color w:val="auto"/>
          <w:highlight w:val="none"/>
        </w:rPr>
        <w:t>本标项</w:t>
      </w:r>
      <w:r>
        <w:rPr>
          <w:rFonts w:hint="eastAsia" w:ascii="宋体" w:hAnsi="宋体"/>
          <w:color w:val="auto"/>
          <w:highlight w:val="none"/>
          <w:lang w:val="en-US" w:eastAsia="zh-CN"/>
        </w:rPr>
        <w:t>（否）</w:t>
      </w:r>
      <w:r>
        <w:rPr>
          <w:rFonts w:hint="eastAsia" w:ascii="宋体" w:hAnsi="宋体"/>
          <w:color w:val="auto"/>
          <w:highlight w:val="none"/>
        </w:rPr>
        <w:t>接受联合体投标</w:t>
      </w:r>
    </w:p>
    <w:p w14:paraId="1A912F13">
      <w:pPr>
        <w:spacing w:line="380" w:lineRule="exact"/>
        <w:ind w:firstLine="420" w:firstLineChars="200"/>
        <w:rPr>
          <w:rFonts w:hint="eastAsia" w:ascii="宋体" w:hAnsi="宋体"/>
          <w:color w:val="auto"/>
          <w:highlight w:val="none"/>
        </w:rPr>
      </w:pPr>
      <w:r>
        <w:rPr>
          <w:rFonts w:hint="eastAsia" w:ascii="宋体" w:hAnsi="宋体"/>
          <w:color w:val="auto"/>
          <w:highlight w:val="none"/>
        </w:rPr>
        <w:t>备注：本项目为线上电子招标项目，有意向参与本项目的供应商应当做好参与全流程电子招投标交易的充分准备。</w:t>
      </w:r>
    </w:p>
    <w:p w14:paraId="78C11244">
      <w:pPr>
        <w:spacing w:line="380" w:lineRule="exact"/>
        <w:ind w:left="420" w:leftChars="200"/>
        <w:rPr>
          <w:rFonts w:ascii="宋体" w:hAnsi="宋体" w:eastAsia="宋体" w:cs="宋体"/>
          <w:color w:val="auto"/>
          <w:kern w:val="0"/>
          <w:szCs w:val="21"/>
          <w:highlight w:val="none"/>
        </w:rPr>
      </w:pPr>
    </w:p>
    <w:p w14:paraId="41049B61">
      <w:pPr>
        <w:spacing w:line="380" w:lineRule="exact"/>
        <w:ind w:left="420" w:leftChars="200"/>
        <w:rPr>
          <w:rFonts w:hint="eastAsia" w:ascii="宋体" w:hAnsi="宋体" w:eastAsia="宋体" w:cs="Times New Roman"/>
          <w:color w:val="auto"/>
          <w:highlight w:val="none"/>
          <w:lang w:val="en-US" w:eastAsia="zh-CN"/>
        </w:rPr>
      </w:pPr>
      <w:r>
        <w:rPr>
          <w:rFonts w:ascii="宋体" w:hAnsi="宋体" w:eastAsia="宋体" w:cs="宋体"/>
          <w:color w:val="auto"/>
          <w:kern w:val="0"/>
          <w:szCs w:val="21"/>
          <w:highlight w:val="none"/>
        </w:rPr>
        <w:t>标项</w:t>
      </w:r>
      <w:r>
        <w:rPr>
          <w:rFonts w:hint="eastAsia" w:ascii="宋体" w:hAnsi="宋体" w:eastAsia="宋体" w:cs="宋体"/>
          <w:color w:val="auto"/>
          <w:kern w:val="0"/>
          <w:szCs w:val="21"/>
          <w:highlight w:val="none"/>
          <w:lang w:val="en-US" w:eastAsia="zh-CN"/>
        </w:rPr>
        <w:t>二</w:t>
      </w:r>
      <w:r>
        <w:rPr>
          <w:rFonts w:ascii="宋体" w:hAnsi="宋体" w:eastAsia="宋体" w:cs="宋体"/>
          <w:color w:val="auto"/>
          <w:kern w:val="0"/>
          <w:szCs w:val="21"/>
          <w:highlight w:val="none"/>
        </w:rPr>
        <w:br w:type="textWrapping"/>
      </w:r>
      <w:r>
        <w:rPr>
          <w:rFonts w:hint="eastAsia" w:ascii="宋体" w:hAnsi="宋体" w:eastAsia="宋体" w:cs="Times New Roman"/>
          <w:color w:val="auto"/>
          <w:highlight w:val="none"/>
        </w:rPr>
        <w:t>标项名称：综合布线技能实训室</w:t>
      </w:r>
      <w:r>
        <w:rPr>
          <w:rFonts w:hint="eastAsia" w:ascii="宋体" w:hAnsi="宋体" w:eastAsia="宋体" w:cs="Times New Roman"/>
          <w:color w:val="auto"/>
          <w:highlight w:val="none"/>
          <w:lang w:val="en-US" w:eastAsia="zh-CN"/>
        </w:rPr>
        <w:tab/>
      </w:r>
    </w:p>
    <w:p w14:paraId="02AC02D6">
      <w:pPr>
        <w:spacing w:line="380" w:lineRule="exact"/>
        <w:ind w:firstLine="420" w:firstLineChars="200"/>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rPr>
        <w:t>数量：</w:t>
      </w:r>
      <w:r>
        <w:rPr>
          <w:rFonts w:hint="eastAsia" w:ascii="宋体" w:hAnsi="宋体" w:eastAsia="宋体" w:cs="Times New Roman"/>
          <w:color w:val="auto"/>
          <w:highlight w:val="none"/>
          <w:lang w:val="en-US" w:eastAsia="zh-CN"/>
        </w:rPr>
        <w:t>1</w:t>
      </w:r>
    </w:p>
    <w:p w14:paraId="1B4001B0">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预算金额（元）：550630.00</w:t>
      </w:r>
    </w:p>
    <w:p w14:paraId="3C104345">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简要规格描述或项目基本概况介绍、用途：网络综合布线工程技术实训装置2套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网络综合布线数据中心布线实训装置2套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铜缆配线端接与测试实训装置2套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光缆配线端接与测试实训装置2套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网络综合布线工具箱4套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光纤熔接工具箱4套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光纤冷接与测试工具箱4套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光纤熔接实训设备1套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示教系统1台</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液晶电视2台</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电动工具箱8套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铝合金人字梯4个</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网络机柜1个</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数据交换机1台</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实训室电路安全系统1套</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实训辅材1批</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系统集成1项</w:t>
      </w:r>
      <w:r>
        <w:rPr>
          <w:rFonts w:hint="eastAsia" w:cs="Times New Roman"/>
          <w:bCs/>
          <w:color w:val="auto"/>
          <w:kern w:val="0"/>
          <w:szCs w:val="21"/>
          <w:highlight w:val="none"/>
          <w:lang w:eastAsia="zh-CN"/>
        </w:rPr>
        <w:t>；</w:t>
      </w:r>
      <w:r>
        <w:rPr>
          <w:rFonts w:hint="eastAsia" w:ascii="宋体" w:hAnsi="Times New Roman" w:eastAsia="宋体" w:cs="Arial"/>
          <w:color w:val="auto"/>
          <w:szCs w:val="21"/>
          <w:highlight w:val="none"/>
        </w:rPr>
        <w:t>如需进一步了解详细内容，详见竞争性谈判文件。</w:t>
      </w:r>
    </w:p>
    <w:p w14:paraId="311B17D6">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最高限价（</w:t>
      </w:r>
      <w:r>
        <w:rPr>
          <w:rFonts w:hint="eastAsia" w:ascii="宋体" w:hAnsi="宋体" w:eastAsia="宋体" w:cs="Times New Roman"/>
          <w:color w:val="auto"/>
          <w:highlight w:val="none"/>
          <w:lang w:val="en-US" w:eastAsia="zh-CN"/>
        </w:rPr>
        <w:t>元</w:t>
      </w:r>
      <w:r>
        <w:rPr>
          <w:rFonts w:hint="eastAsia" w:ascii="宋体" w:hAnsi="宋体" w:eastAsia="宋体" w:cs="Times New Roman"/>
          <w:color w:val="auto"/>
          <w:highlight w:val="none"/>
        </w:rPr>
        <w:t>）：550630.00</w:t>
      </w:r>
    </w:p>
    <w:p w14:paraId="15D35F94">
      <w:pPr>
        <w:spacing w:line="380" w:lineRule="exact"/>
        <w:ind w:firstLine="420" w:firstLineChars="200"/>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rPr>
        <w:t>合同履约期限：自签订合同之日起30日历日内全部交货安装完成并验收合格</w:t>
      </w:r>
      <w:r>
        <w:rPr>
          <w:rFonts w:hint="eastAsia" w:ascii="宋体" w:hAnsi="宋体" w:eastAsia="宋体" w:cs="Times New Roman"/>
          <w:color w:val="auto"/>
          <w:highlight w:val="none"/>
          <w:lang w:val="en-US" w:eastAsia="zh-CN"/>
        </w:rPr>
        <w:t>。</w:t>
      </w:r>
    </w:p>
    <w:p w14:paraId="2B1ACCBF">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本标项</w:t>
      </w:r>
      <w:r>
        <w:rPr>
          <w:rFonts w:hint="eastAsia" w:ascii="宋体" w:hAnsi="宋体"/>
          <w:color w:val="auto"/>
          <w:highlight w:val="none"/>
          <w:lang w:val="en-US" w:eastAsia="zh-CN"/>
        </w:rPr>
        <w:t>（否）</w:t>
      </w:r>
      <w:r>
        <w:rPr>
          <w:rFonts w:hint="eastAsia" w:ascii="宋体" w:hAnsi="宋体" w:eastAsia="宋体" w:cs="Times New Roman"/>
          <w:color w:val="auto"/>
          <w:highlight w:val="none"/>
        </w:rPr>
        <w:t>接受联合体投标</w:t>
      </w:r>
    </w:p>
    <w:p w14:paraId="4D259564">
      <w:pPr>
        <w:spacing w:line="380" w:lineRule="exact"/>
        <w:ind w:firstLine="420" w:firstLineChars="200"/>
        <w:rPr>
          <w:rFonts w:ascii="宋体" w:hAnsi="宋体" w:eastAsia="宋体" w:cs="Times New Roman"/>
          <w:color w:val="auto"/>
          <w:highlight w:val="none"/>
        </w:rPr>
      </w:pPr>
      <w:r>
        <w:rPr>
          <w:rFonts w:hint="eastAsia" w:ascii="宋体" w:hAnsi="宋体" w:eastAsia="宋体" w:cs="Times New Roman"/>
          <w:color w:val="auto"/>
          <w:highlight w:val="none"/>
        </w:rPr>
        <w:t>备注：本项目为线上电子招标项目，有意向参与本项目的供应商应当做好参与全流程电子招投标交易的充分准备。</w:t>
      </w:r>
    </w:p>
    <w:p w14:paraId="20ED7AB1">
      <w:pPr>
        <w:spacing w:line="380" w:lineRule="exact"/>
        <w:ind w:left="420" w:leftChars="200"/>
        <w:rPr>
          <w:rFonts w:ascii="宋体" w:hAnsi="宋体" w:eastAsia="宋体" w:cs="宋体"/>
          <w:color w:val="auto"/>
          <w:kern w:val="0"/>
          <w:szCs w:val="21"/>
          <w:highlight w:val="none"/>
        </w:rPr>
      </w:pPr>
    </w:p>
    <w:p w14:paraId="56FCFDF6">
      <w:pPr>
        <w:spacing w:line="380" w:lineRule="exact"/>
        <w:ind w:left="420" w:leftChars="200"/>
        <w:rPr>
          <w:rFonts w:hint="eastAsia" w:ascii="宋体" w:hAnsi="宋体" w:eastAsia="宋体" w:cs="Times New Roman"/>
          <w:color w:val="auto"/>
          <w:highlight w:val="none"/>
          <w:lang w:val="en-US" w:eastAsia="zh-CN"/>
        </w:rPr>
      </w:pPr>
      <w:r>
        <w:rPr>
          <w:rFonts w:ascii="宋体" w:hAnsi="宋体" w:eastAsia="宋体" w:cs="宋体"/>
          <w:color w:val="auto"/>
          <w:kern w:val="0"/>
          <w:szCs w:val="21"/>
          <w:highlight w:val="none"/>
        </w:rPr>
        <w:t>标项</w:t>
      </w:r>
      <w:r>
        <w:rPr>
          <w:rFonts w:hint="eastAsia" w:ascii="宋体" w:hAnsi="宋体" w:eastAsia="宋体" w:cs="宋体"/>
          <w:color w:val="auto"/>
          <w:kern w:val="0"/>
          <w:szCs w:val="21"/>
          <w:highlight w:val="none"/>
          <w:lang w:val="en-US" w:eastAsia="zh-CN"/>
        </w:rPr>
        <w:t>三</w:t>
      </w:r>
      <w:r>
        <w:rPr>
          <w:rFonts w:ascii="宋体" w:hAnsi="宋体" w:eastAsia="宋体" w:cs="宋体"/>
          <w:color w:val="auto"/>
          <w:kern w:val="0"/>
          <w:szCs w:val="21"/>
          <w:highlight w:val="none"/>
        </w:rPr>
        <w:br w:type="textWrapping"/>
      </w:r>
      <w:r>
        <w:rPr>
          <w:rFonts w:hint="eastAsia" w:ascii="宋体" w:hAnsi="宋体" w:eastAsia="宋体" w:cs="Times New Roman"/>
          <w:color w:val="auto"/>
          <w:highlight w:val="none"/>
        </w:rPr>
        <w:t>标项名称：氯碱生产智慧平台</w:t>
      </w:r>
      <w:r>
        <w:rPr>
          <w:rFonts w:hint="eastAsia" w:ascii="宋体" w:hAnsi="宋体" w:eastAsia="宋体" w:cs="Times New Roman"/>
          <w:color w:val="auto"/>
          <w:highlight w:val="none"/>
          <w:lang w:val="en-US" w:eastAsia="zh-CN"/>
        </w:rPr>
        <w:tab/>
      </w:r>
    </w:p>
    <w:p w14:paraId="6521F72F">
      <w:pPr>
        <w:spacing w:line="380" w:lineRule="exact"/>
        <w:ind w:firstLine="420" w:firstLineChars="200"/>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rPr>
        <w:t>数量：</w:t>
      </w:r>
      <w:r>
        <w:rPr>
          <w:rFonts w:hint="eastAsia" w:ascii="宋体" w:hAnsi="宋体" w:cs="Times New Roman"/>
          <w:color w:val="auto"/>
          <w:highlight w:val="none"/>
          <w:lang w:val="en-US" w:eastAsia="zh-CN"/>
        </w:rPr>
        <w:t>1</w:t>
      </w:r>
    </w:p>
    <w:p w14:paraId="6C1369A4">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预算金额（元）：240000.00</w:t>
      </w:r>
    </w:p>
    <w:p w14:paraId="62B0ABF6">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简要规格描述或项目基本概况介绍、用途：简要规格描述或项目基本概况介绍、用途：</w:t>
      </w:r>
      <w:r>
        <w:rPr>
          <w:rFonts w:hint="eastAsia" w:ascii="宋体" w:hAnsi="宋体" w:eastAsia="宋体" w:cs="Times New Roman"/>
          <w:color w:val="auto"/>
          <w:highlight w:val="none"/>
          <w:u w:val="single"/>
        </w:rPr>
        <w:t>氯碱生产工艺仿真装置1套</w:t>
      </w:r>
      <w:r>
        <w:rPr>
          <w:rFonts w:hint="eastAsia" w:ascii="宋体" w:hAnsi="宋体" w:cs="Times New Roman"/>
          <w:color w:val="auto"/>
          <w:highlight w:val="none"/>
          <w:u w:val="single"/>
          <w:lang w:eastAsia="zh-CN"/>
        </w:rPr>
        <w:t>、</w:t>
      </w:r>
      <w:r>
        <w:rPr>
          <w:rFonts w:hint="eastAsia" w:ascii="宋体" w:hAnsi="宋体" w:eastAsia="宋体" w:cs="Times New Roman"/>
          <w:color w:val="auto"/>
          <w:highlight w:val="none"/>
          <w:u w:val="single"/>
        </w:rPr>
        <w:t>氯碱生产工艺仿真软件1套</w:t>
      </w:r>
      <w:r>
        <w:rPr>
          <w:rFonts w:hint="eastAsia" w:ascii="宋体" w:hAnsi="宋体" w:cs="Times New Roman"/>
          <w:color w:val="auto"/>
          <w:highlight w:val="none"/>
          <w:u w:val="single"/>
          <w:lang w:eastAsia="zh-CN"/>
        </w:rPr>
        <w:t>、</w:t>
      </w:r>
      <w:r>
        <w:rPr>
          <w:rFonts w:hint="eastAsia" w:ascii="宋体" w:hAnsi="宋体" w:eastAsia="宋体" w:cs="Times New Roman"/>
          <w:color w:val="auto"/>
          <w:highlight w:val="none"/>
          <w:u w:val="single"/>
        </w:rPr>
        <w:t>个人防护用品3批</w:t>
      </w:r>
      <w:r>
        <w:rPr>
          <w:rFonts w:hint="eastAsia" w:ascii="宋体" w:hAnsi="宋体" w:cs="Times New Roman"/>
          <w:color w:val="auto"/>
          <w:highlight w:val="none"/>
          <w:u w:val="single"/>
          <w:lang w:eastAsia="zh-CN"/>
        </w:rPr>
        <w:t>、</w:t>
      </w:r>
      <w:r>
        <w:rPr>
          <w:rFonts w:hint="eastAsia" w:ascii="宋体" w:hAnsi="宋体" w:eastAsia="宋体" w:cs="Times New Roman"/>
          <w:color w:val="auto"/>
          <w:highlight w:val="none"/>
          <w:u w:val="single"/>
        </w:rPr>
        <w:t>数智化平台1套</w:t>
      </w:r>
      <w:r>
        <w:rPr>
          <w:rFonts w:hint="eastAsia" w:cs="Times New Roman"/>
          <w:bCs/>
          <w:color w:val="auto"/>
          <w:kern w:val="0"/>
          <w:szCs w:val="21"/>
          <w:highlight w:val="none"/>
          <w:lang w:eastAsia="zh-CN"/>
        </w:rPr>
        <w:t>；</w:t>
      </w:r>
      <w:r>
        <w:rPr>
          <w:rFonts w:hint="eastAsia" w:ascii="宋体" w:hAnsi="Times New Roman" w:eastAsia="宋体" w:cs="Arial"/>
          <w:color w:val="auto"/>
          <w:szCs w:val="21"/>
          <w:highlight w:val="none"/>
        </w:rPr>
        <w:t>如需进一步了解详细内容，详见竞争性谈判文件。</w:t>
      </w:r>
    </w:p>
    <w:p w14:paraId="5F52CA15">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最高限价（</w:t>
      </w:r>
      <w:r>
        <w:rPr>
          <w:rFonts w:hint="eastAsia" w:ascii="宋体" w:hAnsi="宋体" w:eastAsia="宋体" w:cs="Times New Roman"/>
          <w:color w:val="auto"/>
          <w:highlight w:val="none"/>
          <w:lang w:val="en-US" w:eastAsia="zh-CN"/>
        </w:rPr>
        <w:t>元</w:t>
      </w:r>
      <w:r>
        <w:rPr>
          <w:rFonts w:hint="eastAsia" w:ascii="宋体" w:hAnsi="宋体" w:eastAsia="宋体" w:cs="Times New Roman"/>
          <w:color w:val="auto"/>
          <w:highlight w:val="none"/>
        </w:rPr>
        <w:t>）：240000.00</w:t>
      </w:r>
    </w:p>
    <w:p w14:paraId="32868C96">
      <w:pPr>
        <w:spacing w:line="380" w:lineRule="exact"/>
        <w:ind w:firstLine="420" w:firstLineChars="200"/>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rPr>
        <w:t>合同履约期限：</w:t>
      </w:r>
      <w:r>
        <w:rPr>
          <w:rFonts w:hint="eastAsia" w:ascii="宋体" w:hAnsi="宋体" w:eastAsia="宋体" w:cs="宋体"/>
          <w:color w:val="auto"/>
          <w:sz w:val="21"/>
          <w:szCs w:val="21"/>
          <w:highlight w:val="none"/>
        </w:rPr>
        <w:t>自签订合同之日起30日历日内全部交货安装完成并验收合格</w:t>
      </w:r>
      <w:r>
        <w:rPr>
          <w:rFonts w:hint="eastAsia" w:ascii="宋体" w:hAnsi="宋体" w:eastAsia="宋体" w:cs="Times New Roman"/>
          <w:color w:val="auto"/>
          <w:highlight w:val="none"/>
          <w:lang w:val="en-US" w:eastAsia="zh-CN"/>
        </w:rPr>
        <w:t>。</w:t>
      </w:r>
    </w:p>
    <w:p w14:paraId="3AF39EEB">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本标项</w:t>
      </w:r>
      <w:r>
        <w:rPr>
          <w:rFonts w:hint="eastAsia" w:ascii="宋体" w:hAnsi="宋体"/>
          <w:color w:val="auto"/>
          <w:highlight w:val="none"/>
          <w:lang w:val="en-US" w:eastAsia="zh-CN"/>
        </w:rPr>
        <w:t>（否）</w:t>
      </w:r>
      <w:r>
        <w:rPr>
          <w:rFonts w:hint="eastAsia" w:ascii="宋体" w:hAnsi="宋体" w:eastAsia="宋体" w:cs="Times New Roman"/>
          <w:color w:val="auto"/>
          <w:highlight w:val="none"/>
        </w:rPr>
        <w:t>接受联合体投标</w:t>
      </w:r>
    </w:p>
    <w:p w14:paraId="5678B320">
      <w:pPr>
        <w:spacing w:line="380" w:lineRule="exact"/>
        <w:ind w:firstLine="420" w:firstLineChars="200"/>
        <w:rPr>
          <w:rFonts w:ascii="宋体" w:hAnsi="宋体" w:eastAsia="宋体" w:cs="Times New Roman"/>
          <w:color w:val="auto"/>
          <w:highlight w:val="none"/>
        </w:rPr>
      </w:pPr>
      <w:r>
        <w:rPr>
          <w:rFonts w:hint="eastAsia" w:ascii="宋体" w:hAnsi="宋体" w:eastAsia="宋体" w:cs="Times New Roman"/>
          <w:color w:val="auto"/>
          <w:highlight w:val="none"/>
        </w:rPr>
        <w:t>备注：本项目为线上电子招标项目，有意向参与本项目的供应商应当做好参与全流程电子招投标交易的充分准备。</w:t>
      </w:r>
    </w:p>
    <w:p w14:paraId="6B6716AE">
      <w:pPr>
        <w:spacing w:line="380" w:lineRule="exact"/>
        <w:ind w:firstLine="420" w:firstLineChars="200"/>
        <w:rPr>
          <w:rFonts w:hint="eastAsia" w:ascii="宋体" w:hAnsi="宋体"/>
          <w:color w:val="auto"/>
          <w:highlight w:val="none"/>
        </w:rPr>
      </w:pPr>
    </w:p>
    <w:p w14:paraId="232E50F2">
      <w:pPr>
        <w:spacing w:line="380" w:lineRule="exact"/>
        <w:rPr>
          <w:rFonts w:ascii="宋体" w:hAnsi="宋体"/>
          <w:b/>
          <w:color w:val="auto"/>
          <w:highlight w:val="none"/>
        </w:rPr>
      </w:pPr>
      <w:bookmarkStart w:id="15" w:name="_Toc35393630"/>
      <w:bookmarkStart w:id="16" w:name="_Toc35393799"/>
      <w:bookmarkStart w:id="17" w:name="_Toc28359013"/>
      <w:bookmarkStart w:id="18" w:name="_Toc28359090"/>
      <w:r>
        <w:rPr>
          <w:rFonts w:hint="eastAsia" w:ascii="宋体" w:hAnsi="宋体"/>
          <w:b/>
          <w:color w:val="auto"/>
          <w:highlight w:val="none"/>
        </w:rPr>
        <w:t>二、申请人的资格要求：</w:t>
      </w:r>
      <w:bookmarkEnd w:id="15"/>
      <w:bookmarkEnd w:id="16"/>
      <w:bookmarkEnd w:id="17"/>
      <w:bookmarkEnd w:id="18"/>
    </w:p>
    <w:p w14:paraId="624CAAF7">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1.满足《中华人民共和国政府采购法》第二十二条规定；</w:t>
      </w:r>
    </w:p>
    <w:p w14:paraId="625DA7AC">
      <w:pPr>
        <w:spacing w:line="380" w:lineRule="exact"/>
        <w:ind w:firstLine="420" w:firstLineChars="200"/>
        <w:rPr>
          <w:rFonts w:hint="eastAsia" w:ascii="宋体" w:hAnsi="宋体" w:eastAsia="宋体" w:cs="Times New Roman"/>
          <w:color w:val="auto"/>
          <w:highlight w:val="none"/>
        </w:rPr>
      </w:pPr>
      <w:bookmarkStart w:id="19" w:name="_Toc28359091"/>
      <w:bookmarkStart w:id="20" w:name="_Toc28359014"/>
      <w:r>
        <w:rPr>
          <w:rFonts w:hint="eastAsia" w:ascii="宋体" w:hAnsi="宋体" w:eastAsia="宋体" w:cs="Times New Roman"/>
          <w:color w:val="auto"/>
          <w:highlight w:val="none"/>
        </w:rPr>
        <w:t>2.落实政府采购政策需满足的资格要求：</w:t>
      </w:r>
      <w:r>
        <w:rPr>
          <w:rFonts w:hint="eastAsia" w:ascii="宋体" w:hAnsi="宋体" w:cs="Times New Roman"/>
          <w:color w:val="auto"/>
          <w:highlight w:val="none"/>
          <w:u w:val="none"/>
          <w:lang w:val="en-US" w:eastAsia="zh-CN"/>
        </w:rPr>
        <w:t>标项一、标项二、标项三：</w:t>
      </w:r>
      <w:r>
        <w:rPr>
          <w:rFonts w:hint="eastAsia" w:ascii="宋体" w:hAnsi="宋体" w:eastAsia="宋体" w:cs="Times New Roman"/>
          <w:color w:val="auto"/>
          <w:highlight w:val="none"/>
        </w:rPr>
        <w:t>本项目属于专门面向中小企业采购的项目</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rPr>
        <w:t>监狱企业、残疾人福利性单位视同小型、微型企业</w:t>
      </w:r>
      <w:r>
        <w:rPr>
          <w:rFonts w:hint="eastAsia" w:ascii="宋体" w:hAnsi="宋体" w:eastAsia="宋体" w:cs="Times New Roman"/>
          <w:color w:val="auto"/>
          <w:highlight w:val="none"/>
          <w:lang w:eastAsia="zh-CN"/>
        </w:rPr>
        <w:t>）</w:t>
      </w:r>
    </w:p>
    <w:p w14:paraId="1F45F597">
      <w:pPr>
        <w:spacing w:line="38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3.本项目的特定资格要求：</w:t>
      </w:r>
      <w:r>
        <w:rPr>
          <w:rFonts w:hint="eastAsia" w:ascii="宋体" w:hAnsi="宋体" w:eastAsia="宋体" w:cs="Times New Roman"/>
          <w:color w:val="auto"/>
          <w:highlight w:val="none"/>
          <w:lang w:eastAsia="zh-CN"/>
        </w:rPr>
        <w:t>标项一：供应商或分包</w:t>
      </w:r>
      <w:r>
        <w:rPr>
          <w:rFonts w:hint="eastAsia" w:ascii="宋体" w:hAnsi="宋体" w:eastAsia="宋体" w:cs="Times New Roman"/>
          <w:color w:val="auto"/>
          <w:highlight w:val="none"/>
        </w:rPr>
        <w:t>具备建筑装修装饰工程专业承包二级及以上资质</w:t>
      </w:r>
      <w:r>
        <w:rPr>
          <w:rFonts w:hint="eastAsia" w:ascii="宋体" w:hAnsi="宋体" w:eastAsia="宋体" w:cs="Times New Roman"/>
          <w:color w:val="auto"/>
          <w:highlight w:val="none"/>
          <w:lang w:val="en-US" w:eastAsia="zh-CN"/>
        </w:rPr>
        <w:t>或建筑工程施工总承包叁级以上（含本级）资质，且具备省级及以上建设行政主管部门颁发的安全生产许可证；标项二：无；标项三：无</w:t>
      </w:r>
      <w:r>
        <w:rPr>
          <w:rFonts w:hint="eastAsia" w:ascii="宋体" w:hAnsi="宋体" w:eastAsia="宋体" w:cs="Times New Roman"/>
          <w:color w:val="auto"/>
          <w:highlight w:val="none"/>
        </w:rPr>
        <w:t>。</w:t>
      </w:r>
    </w:p>
    <w:p w14:paraId="732961E0">
      <w:pPr>
        <w:spacing w:line="380" w:lineRule="exact"/>
        <w:rPr>
          <w:rFonts w:ascii="宋体" w:hAnsi="宋体"/>
          <w:b/>
          <w:color w:val="auto"/>
          <w:highlight w:val="none"/>
        </w:rPr>
      </w:pPr>
      <w:bookmarkStart w:id="21" w:name="_Toc35393631"/>
      <w:bookmarkStart w:id="22" w:name="_Toc35393800"/>
      <w:r>
        <w:rPr>
          <w:rFonts w:hint="eastAsia" w:ascii="宋体" w:hAnsi="宋体"/>
          <w:b/>
          <w:color w:val="auto"/>
          <w:highlight w:val="none"/>
        </w:rPr>
        <w:t>三、获取采购文件</w:t>
      </w:r>
      <w:bookmarkEnd w:id="19"/>
      <w:bookmarkEnd w:id="20"/>
      <w:bookmarkEnd w:id="21"/>
      <w:bookmarkEnd w:id="22"/>
    </w:p>
    <w:p w14:paraId="67774BE2">
      <w:pPr>
        <w:spacing w:line="380" w:lineRule="exact"/>
        <w:ind w:firstLine="420" w:firstLineChars="200"/>
        <w:rPr>
          <w:rFonts w:ascii="宋体" w:hAnsi="宋体"/>
          <w:color w:val="auto"/>
          <w:highlight w:val="none"/>
        </w:rPr>
      </w:pPr>
      <w:r>
        <w:rPr>
          <w:rFonts w:hint="eastAsia" w:ascii="宋体" w:hAnsi="宋体"/>
          <w:color w:val="auto"/>
          <w:highlight w:val="none"/>
        </w:rPr>
        <w:t>时间：</w:t>
      </w:r>
      <w:r>
        <w:rPr>
          <w:rFonts w:hint="eastAsia" w:ascii="宋体" w:hAnsi="宋体"/>
          <w:color w:val="auto"/>
          <w:highlight w:val="none"/>
          <w:u w:val="single"/>
          <w:lang w:eastAsia="zh-CN"/>
        </w:rPr>
        <w:t>2026</w:t>
      </w:r>
      <w:r>
        <w:rPr>
          <w:rFonts w:hint="eastAsia" w:ascii="宋体" w:hAnsi="宋体"/>
          <w:color w:val="auto"/>
          <w:highlight w:val="none"/>
          <w:u w:val="single"/>
        </w:rPr>
        <w:t>年</w:t>
      </w:r>
      <w:r>
        <w:rPr>
          <w:rFonts w:hint="eastAsia" w:ascii="宋体" w:hAnsi="宋体"/>
          <w:color w:val="auto"/>
          <w:highlight w:val="none"/>
          <w:u w:val="single"/>
          <w:lang w:val="en-US" w:eastAsia="zh-CN"/>
        </w:rPr>
        <w:t>7</w:t>
      </w:r>
      <w:r>
        <w:rPr>
          <w:rFonts w:hint="eastAsia" w:ascii="宋体" w:hAnsi="宋体"/>
          <w:color w:val="auto"/>
          <w:highlight w:val="none"/>
          <w:u w:val="single"/>
        </w:rPr>
        <w:t>月</w:t>
      </w:r>
      <w:r>
        <w:rPr>
          <w:rFonts w:hint="eastAsia" w:ascii="宋体" w:hAnsi="宋体"/>
          <w:color w:val="auto"/>
          <w:highlight w:val="none"/>
          <w:u w:val="single"/>
          <w:lang w:val="en-US" w:eastAsia="zh-CN"/>
        </w:rPr>
        <w:t>24</w:t>
      </w:r>
      <w:r>
        <w:rPr>
          <w:rFonts w:hint="eastAsia" w:ascii="宋体" w:hAnsi="宋体"/>
          <w:color w:val="auto"/>
          <w:highlight w:val="none"/>
          <w:u w:val="single"/>
        </w:rPr>
        <w:t>日</w:t>
      </w:r>
      <w:r>
        <w:rPr>
          <w:rFonts w:hint="eastAsia" w:ascii="宋体" w:hAnsi="宋体"/>
          <w:color w:val="auto"/>
          <w:highlight w:val="none"/>
        </w:rPr>
        <w:t>至</w:t>
      </w:r>
      <w:r>
        <w:rPr>
          <w:rFonts w:hint="eastAsia" w:ascii="宋体" w:hAnsi="宋体"/>
          <w:color w:val="auto"/>
          <w:highlight w:val="none"/>
          <w:u w:val="single"/>
          <w:lang w:eastAsia="zh-CN"/>
        </w:rPr>
        <w:t>2026</w:t>
      </w:r>
      <w:r>
        <w:rPr>
          <w:rFonts w:hint="eastAsia" w:ascii="宋体" w:hAnsi="宋体"/>
          <w:color w:val="auto"/>
          <w:highlight w:val="none"/>
          <w:u w:val="single"/>
        </w:rPr>
        <w:t>年</w:t>
      </w:r>
      <w:r>
        <w:rPr>
          <w:rFonts w:hint="eastAsia" w:ascii="宋体" w:hAnsi="宋体"/>
          <w:color w:val="auto"/>
          <w:highlight w:val="none"/>
          <w:u w:val="single"/>
          <w:lang w:val="en-US" w:eastAsia="zh-CN"/>
        </w:rPr>
        <w:t>7</w:t>
      </w:r>
      <w:r>
        <w:rPr>
          <w:rFonts w:hint="eastAsia" w:ascii="宋体" w:hAnsi="宋体"/>
          <w:color w:val="auto"/>
          <w:highlight w:val="none"/>
          <w:u w:val="single"/>
        </w:rPr>
        <w:t>月</w:t>
      </w:r>
      <w:r>
        <w:rPr>
          <w:rFonts w:hint="eastAsia" w:ascii="宋体" w:hAnsi="宋体"/>
          <w:color w:val="auto"/>
          <w:highlight w:val="none"/>
          <w:u w:val="single"/>
          <w:lang w:val="en-US" w:eastAsia="zh-CN"/>
        </w:rPr>
        <w:t>29</w:t>
      </w:r>
      <w:r>
        <w:rPr>
          <w:rFonts w:hint="eastAsia" w:ascii="宋体" w:hAnsi="宋体"/>
          <w:color w:val="auto"/>
          <w:highlight w:val="none"/>
          <w:u w:val="single"/>
        </w:rPr>
        <w:t>日</w:t>
      </w:r>
      <w:r>
        <w:rPr>
          <w:rFonts w:hint="eastAsia" w:ascii="宋体" w:hAnsi="宋体"/>
          <w:color w:val="auto"/>
          <w:highlight w:val="none"/>
        </w:rPr>
        <w:t>，每天上午</w:t>
      </w:r>
      <w:r>
        <w:rPr>
          <w:rFonts w:hint="eastAsia" w:ascii="宋体" w:hAnsi="宋体"/>
          <w:color w:val="auto"/>
          <w:highlight w:val="none"/>
          <w:u w:val="single"/>
        </w:rPr>
        <w:t>8时30分</w:t>
      </w:r>
      <w:r>
        <w:rPr>
          <w:rFonts w:hint="eastAsia" w:ascii="宋体" w:hAnsi="宋体"/>
          <w:color w:val="auto"/>
          <w:highlight w:val="none"/>
        </w:rPr>
        <w:t>至</w:t>
      </w:r>
      <w:r>
        <w:rPr>
          <w:rFonts w:hint="eastAsia" w:ascii="宋体" w:hAnsi="宋体"/>
          <w:color w:val="auto"/>
          <w:highlight w:val="none"/>
          <w:u w:val="single"/>
        </w:rPr>
        <w:t>11时59分</w:t>
      </w:r>
      <w:r>
        <w:rPr>
          <w:rFonts w:hint="eastAsia" w:ascii="宋体" w:hAnsi="宋体"/>
          <w:color w:val="auto"/>
          <w:highlight w:val="none"/>
        </w:rPr>
        <w:t>，下午</w:t>
      </w:r>
      <w:r>
        <w:rPr>
          <w:rFonts w:hint="eastAsia" w:ascii="宋体" w:hAnsi="宋体"/>
          <w:color w:val="auto"/>
          <w:highlight w:val="none"/>
          <w:u w:val="single"/>
        </w:rPr>
        <w:t>12时00分</w:t>
      </w:r>
      <w:r>
        <w:rPr>
          <w:rFonts w:hint="eastAsia" w:ascii="宋体" w:hAnsi="宋体"/>
          <w:color w:val="auto"/>
          <w:highlight w:val="none"/>
        </w:rPr>
        <w:t>至</w:t>
      </w:r>
      <w:r>
        <w:rPr>
          <w:rFonts w:hint="eastAsia" w:ascii="宋体" w:hAnsi="宋体"/>
          <w:color w:val="auto"/>
          <w:highlight w:val="none"/>
          <w:u w:val="single"/>
        </w:rPr>
        <w:t>18时00分</w:t>
      </w:r>
      <w:r>
        <w:rPr>
          <w:rFonts w:hint="eastAsia" w:ascii="宋体" w:hAnsi="宋体"/>
          <w:color w:val="auto"/>
          <w:highlight w:val="none"/>
        </w:rPr>
        <w:t>（北京时间，</w:t>
      </w:r>
      <w:r>
        <w:rPr>
          <w:rFonts w:ascii="宋体" w:hAnsi="宋体"/>
          <w:color w:val="auto"/>
          <w:highlight w:val="none"/>
        </w:rPr>
        <w:t>法定节假日</w:t>
      </w:r>
      <w:r>
        <w:rPr>
          <w:rFonts w:hint="eastAsia" w:ascii="宋体" w:hAnsi="宋体"/>
          <w:color w:val="auto"/>
          <w:highlight w:val="none"/>
        </w:rPr>
        <w:t>除外 ）</w:t>
      </w:r>
    </w:p>
    <w:p w14:paraId="7ADD7042">
      <w:pPr>
        <w:spacing w:line="380" w:lineRule="exact"/>
        <w:ind w:firstLine="420" w:firstLineChars="200"/>
        <w:rPr>
          <w:rFonts w:ascii="宋体" w:hAnsi="宋体"/>
          <w:color w:val="auto"/>
          <w:highlight w:val="none"/>
          <w:u w:val="single"/>
        </w:rPr>
      </w:pPr>
      <w:r>
        <w:rPr>
          <w:rFonts w:hint="eastAsia" w:ascii="宋体" w:hAnsi="宋体"/>
          <w:color w:val="auto"/>
          <w:highlight w:val="none"/>
        </w:rPr>
        <w:t>地点（网址）</w:t>
      </w:r>
      <w:bookmarkStart w:id="93" w:name="_GoBack"/>
      <w:bookmarkEnd w:id="93"/>
      <w:r>
        <w:rPr>
          <w:rFonts w:hint="eastAsia" w:ascii="宋体" w:hAnsi="宋体"/>
          <w:color w:val="auto"/>
          <w:highlight w:val="none"/>
        </w:rPr>
        <w:t>：广西政府采购云平台（https://www.gcy.zfcg.gxzf.gov.cn/）</w:t>
      </w:r>
    </w:p>
    <w:p w14:paraId="02DCDBFA">
      <w:pPr>
        <w:spacing w:line="380" w:lineRule="exact"/>
        <w:ind w:firstLine="420" w:firstLineChars="200"/>
        <w:rPr>
          <w:rFonts w:hint="eastAsia" w:ascii="宋体" w:hAnsi="宋体"/>
          <w:color w:val="auto"/>
          <w:highlight w:val="none"/>
        </w:rPr>
      </w:pPr>
      <w:r>
        <w:rPr>
          <w:rFonts w:hint="eastAsia" w:ascii="宋体" w:hAnsi="宋体"/>
          <w:color w:val="auto"/>
          <w:highlight w:val="none"/>
        </w:rPr>
        <w:t>方式：请登录广西政府采购云平台（https://www.gcy.zfcg.gxzf.gov.cn/）进行报名并获取采购文件；未注册的供应商可在广西政府采购云平台完成注册后再行报名。如在操作过程中遇到问题或需技术支持，请致电广西政府采购云平台客服热线：</w:t>
      </w:r>
      <w:r>
        <w:rPr>
          <w:rFonts w:ascii="宋体" w:hAnsi="宋体"/>
          <w:color w:val="auto"/>
          <w:highlight w:val="none"/>
        </w:rPr>
        <w:t>95763</w:t>
      </w:r>
      <w:r>
        <w:rPr>
          <w:rFonts w:hint="eastAsia" w:ascii="宋体" w:hAnsi="宋体"/>
          <w:color w:val="auto"/>
          <w:highlight w:val="none"/>
        </w:rPr>
        <w:t>。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4E6CA66F">
      <w:pPr>
        <w:spacing w:line="380" w:lineRule="exact"/>
        <w:ind w:firstLine="420" w:firstLineChars="200"/>
        <w:rPr>
          <w:rFonts w:hint="eastAsia" w:ascii="宋体" w:hAnsi="宋体"/>
          <w:color w:val="auto"/>
          <w:highlight w:val="none"/>
        </w:rPr>
      </w:pPr>
      <w:r>
        <w:rPr>
          <w:rFonts w:ascii="宋体" w:hAnsi="宋体" w:cs="宋体"/>
          <w:color w:val="auto"/>
          <w:kern w:val="0"/>
          <w:szCs w:val="21"/>
          <w:highlight w:val="none"/>
        </w:rPr>
        <w:t>售价（元）：</w:t>
      </w:r>
      <w:r>
        <w:rPr>
          <w:rFonts w:hint="eastAsia" w:ascii="宋体" w:hAnsi="宋体" w:cs="宋体"/>
          <w:color w:val="auto"/>
          <w:kern w:val="0"/>
          <w:szCs w:val="21"/>
          <w:highlight w:val="none"/>
        </w:rPr>
        <w:t>0</w:t>
      </w:r>
    </w:p>
    <w:p w14:paraId="645ECF56">
      <w:pPr>
        <w:spacing w:line="380" w:lineRule="exact"/>
        <w:rPr>
          <w:rFonts w:ascii="宋体" w:hAnsi="宋体"/>
          <w:b/>
          <w:color w:val="auto"/>
          <w:highlight w:val="none"/>
        </w:rPr>
      </w:pPr>
      <w:bookmarkStart w:id="23" w:name="_Toc35393801"/>
      <w:bookmarkStart w:id="24" w:name="_Toc28359092"/>
      <w:bookmarkStart w:id="25" w:name="_Toc28359015"/>
      <w:bookmarkStart w:id="26" w:name="_Toc35393632"/>
      <w:r>
        <w:rPr>
          <w:rFonts w:hint="eastAsia" w:ascii="宋体" w:hAnsi="宋体"/>
          <w:b/>
          <w:color w:val="auto"/>
          <w:highlight w:val="none"/>
        </w:rPr>
        <w:t>四、响应文件提交</w:t>
      </w:r>
      <w:bookmarkEnd w:id="23"/>
      <w:bookmarkEnd w:id="24"/>
      <w:bookmarkEnd w:id="25"/>
      <w:bookmarkEnd w:id="26"/>
    </w:p>
    <w:p w14:paraId="50103373">
      <w:pPr>
        <w:spacing w:line="380" w:lineRule="exact"/>
        <w:ind w:firstLine="420" w:firstLineChars="200"/>
        <w:rPr>
          <w:rFonts w:ascii="宋体" w:hAnsi="宋体"/>
          <w:bCs/>
          <w:color w:val="auto"/>
          <w:highlight w:val="none"/>
          <w:u w:val="single"/>
        </w:rPr>
      </w:pPr>
      <w:r>
        <w:rPr>
          <w:rFonts w:hint="eastAsia" w:ascii="宋体" w:hAnsi="宋体"/>
          <w:color w:val="auto"/>
          <w:highlight w:val="none"/>
        </w:rPr>
        <w:t>截止时间：2026年7月31日9:30</w:t>
      </w:r>
      <w:r>
        <w:rPr>
          <w:rFonts w:hint="eastAsia" w:ascii="宋体" w:hAnsi="宋体"/>
          <w:bCs/>
          <w:color w:val="auto"/>
          <w:highlight w:val="none"/>
        </w:rPr>
        <w:t>（北京时间）</w:t>
      </w:r>
    </w:p>
    <w:p w14:paraId="2B6E328C">
      <w:pPr>
        <w:spacing w:line="380" w:lineRule="exact"/>
        <w:ind w:firstLine="420" w:firstLineChars="200"/>
        <w:rPr>
          <w:rFonts w:hint="eastAsia" w:ascii="宋体" w:hAnsi="宋体"/>
          <w:color w:val="auto"/>
          <w:szCs w:val="21"/>
          <w:highlight w:val="none"/>
        </w:rPr>
      </w:pPr>
      <w:r>
        <w:rPr>
          <w:rFonts w:hint="eastAsia" w:ascii="宋体" w:hAnsi="宋体"/>
          <w:color w:val="auto"/>
          <w:highlight w:val="none"/>
        </w:rPr>
        <w:t>地点：广西政府采购云平台（https://www.gcy.zfcg.gxzf.gov.cn/）</w:t>
      </w:r>
      <w:r>
        <w:rPr>
          <w:rFonts w:hint="eastAsia" w:ascii="宋体" w:hAnsi="宋体"/>
          <w:color w:val="auto"/>
          <w:szCs w:val="21"/>
          <w:highlight w:val="none"/>
        </w:rPr>
        <w:t>（本项目为全流程电子化项目，供应商应派法定代表人或委托代理人准时在线出席电子评审会议，随时关注评审进度，如在评审过程中有电子询标，应在规定的时间内对电子询标函进行澄清回复。）</w:t>
      </w:r>
    </w:p>
    <w:p w14:paraId="34D6051A">
      <w:pPr>
        <w:spacing w:line="380" w:lineRule="exact"/>
        <w:rPr>
          <w:rFonts w:ascii="宋体" w:hAnsi="宋体"/>
          <w:b/>
          <w:color w:val="auto"/>
          <w:highlight w:val="none"/>
        </w:rPr>
      </w:pPr>
      <w:bookmarkStart w:id="27" w:name="_Toc28359016"/>
      <w:bookmarkStart w:id="28" w:name="_Toc35393633"/>
      <w:bookmarkStart w:id="29" w:name="_Toc35393802"/>
      <w:bookmarkStart w:id="30" w:name="_Toc28359093"/>
      <w:bookmarkStart w:id="31" w:name="_Toc35393803"/>
      <w:bookmarkStart w:id="32" w:name="_Toc28359017"/>
      <w:bookmarkStart w:id="33" w:name="_Toc35393634"/>
      <w:bookmarkStart w:id="34" w:name="_Toc28359094"/>
      <w:r>
        <w:rPr>
          <w:rFonts w:hint="eastAsia" w:ascii="宋体" w:hAnsi="宋体"/>
          <w:b/>
          <w:color w:val="auto"/>
          <w:highlight w:val="none"/>
        </w:rPr>
        <w:t>五、开启</w:t>
      </w:r>
      <w:bookmarkEnd w:id="27"/>
      <w:bookmarkEnd w:id="28"/>
      <w:bookmarkEnd w:id="29"/>
      <w:bookmarkEnd w:id="30"/>
    </w:p>
    <w:p w14:paraId="3FEE713F">
      <w:pPr>
        <w:spacing w:line="380" w:lineRule="exact"/>
        <w:ind w:firstLine="420" w:firstLineChars="200"/>
        <w:rPr>
          <w:rFonts w:ascii="宋体" w:hAnsi="宋体"/>
          <w:bCs/>
          <w:color w:val="auto"/>
          <w:highlight w:val="none"/>
          <w:u w:val="single"/>
        </w:rPr>
      </w:pPr>
      <w:r>
        <w:rPr>
          <w:rFonts w:hint="eastAsia" w:ascii="宋体" w:hAnsi="宋体"/>
          <w:color w:val="auto"/>
          <w:highlight w:val="none"/>
        </w:rPr>
        <w:t>开启时间：2026年7月31日9:30</w:t>
      </w:r>
      <w:r>
        <w:rPr>
          <w:rFonts w:hint="eastAsia" w:ascii="宋体" w:hAnsi="宋体"/>
          <w:bCs/>
          <w:color w:val="auto"/>
          <w:highlight w:val="none"/>
        </w:rPr>
        <w:t>（北京时间）</w:t>
      </w:r>
    </w:p>
    <w:p w14:paraId="14DF79C7">
      <w:pPr>
        <w:spacing w:line="380" w:lineRule="exact"/>
        <w:ind w:firstLine="420" w:firstLineChars="200"/>
        <w:rPr>
          <w:rFonts w:hint="eastAsia" w:ascii="宋体" w:hAnsi="宋体"/>
          <w:b/>
          <w:color w:val="auto"/>
          <w:highlight w:val="none"/>
        </w:rPr>
      </w:pPr>
      <w:r>
        <w:rPr>
          <w:rFonts w:hint="eastAsia" w:ascii="宋体" w:hAnsi="宋体"/>
          <w:color w:val="auto"/>
          <w:highlight w:val="none"/>
        </w:rPr>
        <w:t>地点：</w:t>
      </w:r>
      <w:r>
        <w:rPr>
          <w:rFonts w:hint="eastAsia" w:ascii="宋体" w:hAnsi="宋体"/>
          <w:bCs/>
          <w:color w:val="auto"/>
          <w:highlight w:val="none"/>
        </w:rPr>
        <w:t>广西政府采购云平台电子开标大厅</w:t>
      </w:r>
    </w:p>
    <w:p w14:paraId="67EF0C7E">
      <w:pPr>
        <w:spacing w:line="380" w:lineRule="exact"/>
        <w:rPr>
          <w:rFonts w:ascii="宋体" w:hAnsi="宋体"/>
          <w:b/>
          <w:color w:val="auto"/>
          <w:highlight w:val="none"/>
        </w:rPr>
      </w:pPr>
      <w:r>
        <w:rPr>
          <w:rFonts w:hint="eastAsia" w:ascii="宋体" w:hAnsi="宋体"/>
          <w:b/>
          <w:color w:val="auto"/>
          <w:highlight w:val="none"/>
        </w:rPr>
        <w:t>六、公告期限</w:t>
      </w:r>
      <w:bookmarkEnd w:id="31"/>
      <w:bookmarkEnd w:id="32"/>
      <w:bookmarkEnd w:id="33"/>
      <w:bookmarkEnd w:id="34"/>
    </w:p>
    <w:p w14:paraId="79626368">
      <w:pPr>
        <w:spacing w:line="380" w:lineRule="exact"/>
        <w:ind w:firstLine="420" w:firstLineChars="200"/>
        <w:rPr>
          <w:rFonts w:ascii="宋体" w:hAnsi="宋体"/>
          <w:color w:val="auto"/>
          <w:kern w:val="0"/>
          <w:highlight w:val="none"/>
        </w:rPr>
      </w:pPr>
      <w:r>
        <w:rPr>
          <w:rFonts w:hint="eastAsia" w:ascii="宋体" w:hAnsi="宋体"/>
          <w:color w:val="auto"/>
          <w:kern w:val="0"/>
          <w:highlight w:val="none"/>
        </w:rPr>
        <w:t>自本公告发布之日起3个工作日。</w:t>
      </w:r>
    </w:p>
    <w:p w14:paraId="73F70FE9">
      <w:pPr>
        <w:spacing w:line="380" w:lineRule="exact"/>
        <w:rPr>
          <w:rFonts w:ascii="宋体" w:hAnsi="宋体"/>
          <w:b/>
          <w:color w:val="auto"/>
          <w:highlight w:val="none"/>
        </w:rPr>
      </w:pPr>
      <w:bookmarkStart w:id="35" w:name="_Toc35393635"/>
      <w:bookmarkStart w:id="36" w:name="_Toc35393804"/>
      <w:r>
        <w:rPr>
          <w:rFonts w:hint="eastAsia" w:ascii="宋体" w:hAnsi="宋体"/>
          <w:b/>
          <w:color w:val="auto"/>
          <w:highlight w:val="none"/>
        </w:rPr>
        <w:t>七、其他补充事宜</w:t>
      </w:r>
      <w:bookmarkEnd w:id="35"/>
      <w:bookmarkEnd w:id="36"/>
    </w:p>
    <w:p w14:paraId="50F88928">
      <w:pPr>
        <w:spacing w:line="380" w:lineRule="exact"/>
        <w:ind w:firstLine="422" w:firstLineChars="200"/>
        <w:rPr>
          <w:rFonts w:hint="eastAsia" w:ascii="宋体" w:hAnsi="宋体"/>
          <w:color w:val="auto"/>
          <w:highlight w:val="none"/>
        </w:rPr>
      </w:pPr>
      <w:r>
        <w:rPr>
          <w:rFonts w:hint="eastAsia" w:ascii="宋体" w:hAnsi="宋体"/>
          <w:b/>
          <w:color w:val="auto"/>
          <w:highlight w:val="none"/>
        </w:rPr>
        <w:t>1.</w:t>
      </w:r>
      <w:r>
        <w:rPr>
          <w:rFonts w:hint="eastAsia" w:ascii="宋体" w:hAnsi="宋体"/>
          <w:b/>
          <w:bCs/>
          <w:color w:val="auto"/>
          <w:highlight w:val="none"/>
        </w:rPr>
        <w:t xml:space="preserve"> </w:t>
      </w:r>
      <w:r>
        <w:rPr>
          <w:rFonts w:hint="eastAsia" w:ascii="宋体" w:hAnsi="宋体"/>
          <w:b/>
          <w:color w:val="auto"/>
          <w:szCs w:val="21"/>
          <w:highlight w:val="none"/>
        </w:rPr>
        <w:t>谈判</w:t>
      </w:r>
      <w:r>
        <w:rPr>
          <w:rFonts w:hint="eastAsia" w:ascii="宋体" w:hAnsi="宋体"/>
          <w:b/>
          <w:bCs/>
          <w:color w:val="auto"/>
          <w:highlight w:val="none"/>
        </w:rPr>
        <w:t>保证金</w:t>
      </w:r>
      <w:r>
        <w:rPr>
          <w:rFonts w:hint="eastAsia" w:ascii="宋体" w:hAnsi="宋体"/>
          <w:b/>
          <w:color w:val="auto"/>
          <w:highlight w:val="none"/>
        </w:rPr>
        <w:t>（人民币）：</w:t>
      </w:r>
      <w:r>
        <w:rPr>
          <w:rFonts w:hint="eastAsia" w:ascii="宋体" w:hAnsi="宋体" w:eastAsia="宋体" w:cs="Times New Roman"/>
          <w:bCs/>
          <w:color w:val="auto"/>
          <w:highlight w:val="none"/>
          <w:u w:val="none"/>
          <w:lang w:val="en-US" w:eastAsia="zh-CN"/>
        </w:rPr>
        <w:t>标项一：9500元；标项二：5500元；标项三：2400</w:t>
      </w:r>
      <w:r>
        <w:rPr>
          <w:rFonts w:hint="eastAsia" w:ascii="宋体" w:hAnsi="宋体"/>
          <w:bCs/>
          <w:color w:val="auto"/>
          <w:highlight w:val="none"/>
        </w:rPr>
        <w:t>元</w:t>
      </w:r>
      <w:r>
        <w:rPr>
          <w:rFonts w:hint="eastAsia" w:ascii="宋体" w:hAnsi="宋体"/>
          <w:color w:val="auto"/>
          <w:highlight w:val="none"/>
        </w:rPr>
        <w:t>。</w:t>
      </w:r>
      <w:r>
        <w:rPr>
          <w:rFonts w:hint="eastAsia" w:ascii="宋体" w:hAnsi="宋体"/>
          <w:b/>
          <w:color w:val="auto"/>
          <w:highlight w:val="none"/>
        </w:rPr>
        <w:t>（必须足额交纳）</w:t>
      </w:r>
    </w:p>
    <w:p w14:paraId="297467F3">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（1）谈判保证金的交纳方式：支票、汇票、本票、网上银行或者银行、保险机构出具的保函等非现金形式。</w:t>
      </w:r>
    </w:p>
    <w:p w14:paraId="7A3CD6C0">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（2）采用银行转账方式的，供应商应于响应文件提交截止时间前将谈判保证金交至以下账户：</w:t>
      </w:r>
    </w:p>
    <w:p w14:paraId="48DA697B">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开户名称：广西国力招标有限公司</w:t>
      </w:r>
    </w:p>
    <w:p w14:paraId="5DA50705">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开户银行：广西北部湾银行金凯支行（网银支付可选广西北部湾银行江南支行）</w:t>
      </w:r>
    </w:p>
    <w:p w14:paraId="26759FDC">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银行账号：800109057455558</w:t>
      </w:r>
    </w:p>
    <w:p w14:paraId="409EBEF7">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银行行号：313611002043</w:t>
      </w:r>
    </w:p>
    <w:p w14:paraId="0B463455">
      <w:pPr>
        <w:spacing w:line="380" w:lineRule="exact"/>
        <w:ind w:firstLine="420" w:firstLineChars="200"/>
        <w:rPr>
          <w:rFonts w:hint="eastAsia" w:ascii="宋体" w:hAnsi="宋体"/>
          <w:color w:val="auto"/>
          <w:highlight w:val="none"/>
        </w:rPr>
      </w:pPr>
      <w:r>
        <w:rPr>
          <w:rFonts w:hint="eastAsia" w:ascii="宋体" w:hAnsi="宋体"/>
          <w:color w:val="auto"/>
          <w:szCs w:val="21"/>
          <w:highlight w:val="none"/>
        </w:rPr>
        <w:t>（3）采用支票、汇票、本票或者保函等方式的，供应商应于响应文件提交截止时间前递交单独密封的支票、汇票、本票或者保函原件</w:t>
      </w:r>
      <w:r>
        <w:rPr>
          <w:rFonts w:hint="eastAsia" w:ascii="宋体" w:hAnsi="宋体"/>
          <w:color w:val="auto"/>
          <w:highlight w:val="none"/>
        </w:rPr>
        <w:t>（电子保函除外）</w:t>
      </w:r>
      <w:r>
        <w:rPr>
          <w:rFonts w:hint="eastAsia" w:ascii="宋体" w:hAnsi="宋体"/>
          <w:color w:val="auto"/>
          <w:szCs w:val="21"/>
          <w:highlight w:val="none"/>
        </w:rPr>
        <w:t>至我公司财务部。（财务部联系方式：地址：广西南宁市白沙大道53号松宇时代13楼；电话：0771-4915100、4915200）</w:t>
      </w:r>
    </w:p>
    <w:p w14:paraId="3779824F">
      <w:pPr>
        <w:spacing w:line="380" w:lineRule="exact"/>
        <w:ind w:firstLine="422" w:firstLineChars="200"/>
        <w:rPr>
          <w:rFonts w:hint="eastAsia" w:ascii="宋体" w:hAnsi="宋体"/>
          <w:b/>
          <w:color w:val="auto"/>
          <w:highlight w:val="none"/>
        </w:rPr>
      </w:pPr>
      <w:r>
        <w:rPr>
          <w:rFonts w:hint="eastAsia" w:ascii="宋体" w:hAnsi="宋体"/>
          <w:b/>
          <w:color w:val="auto"/>
          <w:highlight w:val="none"/>
        </w:rPr>
        <w:t>2.本项目需要落实的政府采购政策</w:t>
      </w:r>
    </w:p>
    <w:p w14:paraId="6F018034">
      <w:pPr>
        <w:spacing w:line="380" w:lineRule="exact"/>
        <w:ind w:firstLine="420" w:firstLineChars="200"/>
        <w:rPr>
          <w:rFonts w:hint="eastAsia" w:ascii="宋体" w:hAnsi="宋体"/>
          <w:b/>
          <w:color w:val="auto"/>
          <w:highlight w:val="none"/>
        </w:rPr>
      </w:pPr>
      <w:r>
        <w:rPr>
          <w:rFonts w:hint="eastAsia" w:ascii="宋体" w:hAnsi="宋体" w:cs="Arial"/>
          <w:color w:val="auto"/>
          <w:szCs w:val="21"/>
          <w:highlight w:val="none"/>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0957C611">
      <w:pPr>
        <w:spacing w:line="380" w:lineRule="exact"/>
        <w:ind w:firstLine="422" w:firstLineChars="200"/>
        <w:rPr>
          <w:rFonts w:hint="eastAsia" w:ascii="宋体" w:hAnsi="宋体"/>
          <w:b/>
          <w:color w:val="auto"/>
          <w:highlight w:val="none"/>
        </w:rPr>
      </w:pPr>
      <w:r>
        <w:rPr>
          <w:rFonts w:hint="eastAsia" w:ascii="宋体" w:hAnsi="宋体"/>
          <w:b/>
          <w:color w:val="auto"/>
          <w:highlight w:val="none"/>
        </w:rPr>
        <w:t>3.网上公告媒体查询</w:t>
      </w:r>
    </w:p>
    <w:p w14:paraId="3FDB4E1A">
      <w:pPr>
        <w:spacing w:line="380" w:lineRule="exact"/>
        <w:ind w:firstLine="420" w:firstLineChars="200"/>
        <w:rPr>
          <w:rFonts w:hint="eastAsia" w:ascii="宋体" w:hAnsi="宋体"/>
          <w:color w:val="auto"/>
          <w:highlight w:val="none"/>
        </w:rPr>
      </w:pP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）、广西壮族自治区政府采购网（</w:t>
      </w:r>
      <w:r>
        <w:rPr>
          <w:rFonts w:ascii="宋体" w:hAnsi="宋体"/>
          <w:color w:val="auto"/>
          <w:szCs w:val="21"/>
          <w:highlight w:val="none"/>
        </w:rPr>
        <w:t>zfcg.gxzf.gov.cn</w:t>
      </w:r>
      <w:r>
        <w:rPr>
          <w:rFonts w:hint="eastAsia" w:ascii="宋体" w:hAnsi="宋体"/>
          <w:color w:val="auto"/>
          <w:szCs w:val="21"/>
          <w:highlight w:val="none"/>
        </w:rPr>
        <w:t>）</w:t>
      </w:r>
      <w:r>
        <w:rPr>
          <w:rFonts w:hint="eastAsia" w:ascii="宋体" w:hAnsi="宋体"/>
          <w:color w:val="auto"/>
          <w:highlight w:val="none"/>
        </w:rPr>
        <w:t>。</w:t>
      </w:r>
    </w:p>
    <w:p w14:paraId="76303232">
      <w:pPr>
        <w:spacing w:line="380" w:lineRule="exact"/>
        <w:ind w:firstLine="422" w:firstLineChars="200"/>
        <w:rPr>
          <w:rFonts w:hint="eastAsia" w:ascii="宋体" w:cs="Arial"/>
          <w:color w:val="auto"/>
          <w:szCs w:val="21"/>
          <w:highlight w:val="none"/>
        </w:rPr>
      </w:pPr>
      <w:r>
        <w:rPr>
          <w:rFonts w:hint="eastAsia" w:ascii="宋体" w:hAnsi="宋体"/>
          <w:b/>
          <w:color w:val="auto"/>
          <w:highlight w:val="none"/>
        </w:rPr>
        <w:t>4.</w:t>
      </w:r>
      <w:r>
        <w:rPr>
          <w:rFonts w:hint="eastAsia" w:ascii="宋体" w:cs="Arial"/>
          <w:b/>
          <w:color w:val="auto"/>
          <w:szCs w:val="21"/>
          <w:highlight w:val="none"/>
        </w:rPr>
        <w:t>其他注意事项</w:t>
      </w:r>
    </w:p>
    <w:p w14:paraId="40DEA213">
      <w:pPr>
        <w:spacing w:line="380" w:lineRule="exact"/>
        <w:ind w:firstLine="420" w:firstLineChars="200"/>
        <w:rPr>
          <w:rFonts w:hint="eastAsia" w:ascii="宋体" w:cs="Arial"/>
          <w:color w:val="auto"/>
          <w:szCs w:val="21"/>
          <w:highlight w:val="none"/>
        </w:rPr>
      </w:pPr>
      <w:r>
        <w:rPr>
          <w:rFonts w:hint="eastAsia" w:ascii="宋体" w:cs="Arial"/>
          <w:color w:val="auto"/>
          <w:szCs w:val="21"/>
          <w:highlight w:val="none"/>
        </w:rPr>
        <w:t>（1）本项目实行电子竞标，供应商应按照本项目招标文件和广西政府采购云平台的要求编制、加密并提交竞标响应文件。供应商在使用系统参与竞标过程中遇到涉及平台使用的任何问题，可致电广西政府采购云平台技术支持热线咨询，联系方式：</w:t>
      </w:r>
      <w:r>
        <w:rPr>
          <w:rFonts w:ascii="宋体" w:cs="Arial"/>
          <w:color w:val="auto"/>
          <w:szCs w:val="21"/>
          <w:highlight w:val="none"/>
        </w:rPr>
        <w:t>95763</w:t>
      </w:r>
      <w:r>
        <w:rPr>
          <w:rFonts w:hint="eastAsia" w:ascii="宋体" w:cs="Arial"/>
          <w:color w:val="auto"/>
          <w:szCs w:val="21"/>
          <w:highlight w:val="none"/>
        </w:rPr>
        <w:t>。</w:t>
      </w:r>
    </w:p>
    <w:p w14:paraId="5F8982AF">
      <w:pPr>
        <w:spacing w:line="380" w:lineRule="exact"/>
        <w:ind w:firstLine="420" w:firstLineChars="200"/>
        <w:rPr>
          <w:rFonts w:hint="eastAsia" w:ascii="宋体" w:cs="Arial"/>
          <w:color w:val="auto"/>
          <w:szCs w:val="21"/>
          <w:highlight w:val="none"/>
        </w:rPr>
      </w:pPr>
      <w:r>
        <w:rPr>
          <w:rFonts w:hint="eastAsia" w:ascii="宋体" w:cs="Arial"/>
          <w:color w:val="auto"/>
          <w:szCs w:val="21"/>
          <w:highlight w:val="none"/>
        </w:rPr>
        <w:t>（2）供应商应及时熟悉掌握电子标系统操作指南（</w:t>
      </w:r>
      <w:r>
        <w:rPr>
          <w:rFonts w:hint="eastAsia" w:ascii="宋体" w:hAnsi="宋体"/>
          <w:color w:val="auto"/>
          <w:highlight w:val="none"/>
        </w:rPr>
        <w:t>见广西政府采购云平台电子卖场首页右上角—服务中心—帮助中心—项目采购</w:t>
      </w:r>
      <w:r>
        <w:rPr>
          <w:rFonts w:hint="eastAsia" w:ascii="宋体" w:cs="Arial"/>
          <w:color w:val="auto"/>
          <w:szCs w:val="21"/>
          <w:highlight w:val="none"/>
        </w:rPr>
        <w:t>）。</w:t>
      </w:r>
    </w:p>
    <w:p w14:paraId="453962BC">
      <w:pPr>
        <w:spacing w:line="380" w:lineRule="exact"/>
        <w:ind w:firstLine="420" w:firstLineChars="200"/>
        <w:rPr>
          <w:rFonts w:hint="eastAsia" w:ascii="宋体" w:cs="Arial"/>
          <w:color w:val="auto"/>
          <w:szCs w:val="21"/>
          <w:highlight w:val="none"/>
        </w:rPr>
      </w:pPr>
      <w:r>
        <w:rPr>
          <w:rFonts w:hint="eastAsia" w:ascii="宋体" w:cs="Arial"/>
          <w:color w:val="auto"/>
          <w:szCs w:val="21"/>
          <w:highlight w:val="none"/>
        </w:rPr>
        <w:t>（3）供应商应及时完成CA申领和绑定（见广西壮族自治区政府采购网—办事服务—下载专区-政采云CA证书办理操作指南）；</w:t>
      </w:r>
    </w:p>
    <w:p w14:paraId="5582D3D1">
      <w:pPr>
        <w:spacing w:line="380" w:lineRule="exact"/>
        <w:ind w:firstLine="420" w:firstLineChars="200"/>
        <w:rPr>
          <w:rFonts w:hint="eastAsia" w:ascii="宋体" w:cs="Arial"/>
          <w:color w:val="auto"/>
          <w:szCs w:val="21"/>
          <w:highlight w:val="none"/>
        </w:rPr>
      </w:pPr>
      <w:r>
        <w:rPr>
          <w:rFonts w:hint="eastAsia" w:ascii="宋体" w:cs="Arial"/>
          <w:color w:val="auto"/>
          <w:szCs w:val="21"/>
          <w:highlight w:val="none"/>
        </w:rPr>
        <w:t>（4）供应商通过广西政府采购云平台投标客户端软件制作竞标响应文件，广西政府采购云平台投标客户端软件请供应商自行前往下载并安装（见广西壮族自治区政府采购网—办事服务—下载专区-广西壮族自治区全流程电子招投标项目管理系统--供应商客户端）。</w:t>
      </w:r>
    </w:p>
    <w:p w14:paraId="5568C12C">
      <w:pPr>
        <w:spacing w:line="380" w:lineRule="exact"/>
        <w:ind w:firstLine="420" w:firstLineChars="200"/>
        <w:rPr>
          <w:rFonts w:hint="eastAsia" w:ascii="宋体" w:cs="Arial"/>
          <w:color w:val="auto"/>
          <w:szCs w:val="21"/>
          <w:highlight w:val="none"/>
        </w:rPr>
      </w:pPr>
      <w:r>
        <w:rPr>
          <w:rFonts w:hint="eastAsia" w:ascii="宋体" w:cs="Arial"/>
          <w:color w:val="auto"/>
          <w:szCs w:val="21"/>
          <w:highlight w:val="none"/>
        </w:rPr>
        <w:t>（5）因未注册入库、未办理CA数字证书、CA证书故障、操作不当等原因造成无法投标或投标失败等后果由供应商自行承担。</w:t>
      </w:r>
    </w:p>
    <w:p w14:paraId="2BBD8BAF">
      <w:pPr>
        <w:spacing w:line="380" w:lineRule="exact"/>
        <w:ind w:firstLine="420" w:firstLineChars="200"/>
        <w:rPr>
          <w:rFonts w:ascii="宋体" w:hAnsi="宋体"/>
          <w:color w:val="auto"/>
          <w:highlight w:val="none"/>
        </w:rPr>
      </w:pPr>
      <w:r>
        <w:rPr>
          <w:rFonts w:hint="eastAsia" w:ascii="宋体" w:cs="Arial"/>
          <w:color w:val="auto"/>
          <w:szCs w:val="21"/>
          <w:highlight w:val="none"/>
        </w:rPr>
        <w:t>（6）竞标响应文件网上提交截止后，广西政府采购云平台（电子标系统）自动提取所有竞标响应文件，各供应商须在开标开始后30分钟内对上传广西政府采购云平台的竞标响应文件进行解密，所有供应商在规定的解密时限内解密完成或解密时限结束后，本公司开启竞标响应文件；供应商超过解密时限的，系统默认自动放弃。</w:t>
      </w:r>
    </w:p>
    <w:p w14:paraId="2701576A">
      <w:pPr>
        <w:spacing w:line="380" w:lineRule="exact"/>
        <w:rPr>
          <w:rFonts w:ascii="宋体" w:hAnsi="宋体"/>
          <w:b/>
          <w:color w:val="auto"/>
          <w:highlight w:val="none"/>
        </w:rPr>
      </w:pPr>
      <w:bookmarkStart w:id="37" w:name="_Toc28359095"/>
      <w:bookmarkStart w:id="38" w:name="_Toc28359018"/>
      <w:bookmarkStart w:id="39" w:name="_Toc35393805"/>
      <w:bookmarkStart w:id="40" w:name="_Toc35393636"/>
      <w:r>
        <w:rPr>
          <w:rFonts w:hint="eastAsia" w:ascii="宋体" w:hAnsi="宋体"/>
          <w:b/>
          <w:color w:val="auto"/>
          <w:highlight w:val="none"/>
        </w:rPr>
        <w:t>八、凡对本次采购提出询问，请按</w:t>
      </w:r>
      <w:r>
        <w:rPr>
          <w:rFonts w:ascii="宋体" w:hAnsi="宋体"/>
          <w:b/>
          <w:color w:val="auto"/>
          <w:highlight w:val="none"/>
        </w:rPr>
        <w:t>以下方式</w:t>
      </w:r>
      <w:r>
        <w:rPr>
          <w:rFonts w:hint="eastAsia" w:ascii="宋体" w:hAnsi="宋体"/>
          <w:b/>
          <w:color w:val="auto"/>
          <w:highlight w:val="none"/>
        </w:rPr>
        <w:t>联系。</w:t>
      </w:r>
      <w:bookmarkEnd w:id="37"/>
      <w:bookmarkEnd w:id="38"/>
      <w:bookmarkEnd w:id="39"/>
      <w:bookmarkEnd w:id="40"/>
    </w:p>
    <w:p w14:paraId="35E9E229">
      <w:pPr>
        <w:spacing w:line="380" w:lineRule="exact"/>
        <w:ind w:firstLine="420" w:firstLineChars="200"/>
        <w:rPr>
          <w:rFonts w:ascii="宋体" w:hAnsi="宋体"/>
          <w:color w:val="auto"/>
          <w:highlight w:val="none"/>
        </w:rPr>
      </w:pPr>
      <w:r>
        <w:rPr>
          <w:rFonts w:hint="eastAsia" w:ascii="宋体" w:hAnsi="宋体"/>
          <w:color w:val="auto"/>
          <w:highlight w:val="none"/>
        </w:rPr>
        <w:t>1.采购人信息</w:t>
      </w:r>
    </w:p>
    <w:p w14:paraId="75CC26F5">
      <w:pPr>
        <w:spacing w:line="380" w:lineRule="exact"/>
        <w:ind w:firstLine="420" w:firstLineChars="200"/>
        <w:rPr>
          <w:rFonts w:ascii="宋体" w:hAnsi="宋体"/>
          <w:color w:val="auto"/>
          <w:highlight w:val="none"/>
        </w:rPr>
      </w:pPr>
      <w:r>
        <w:rPr>
          <w:rFonts w:hint="eastAsia" w:ascii="宋体" w:hAnsi="宋体"/>
          <w:color w:val="auto"/>
          <w:highlight w:val="none"/>
        </w:rPr>
        <w:t>名    称：广西安全工程职业技术学院</w:t>
      </w:r>
    </w:p>
    <w:p w14:paraId="419BB971">
      <w:pPr>
        <w:spacing w:line="380" w:lineRule="exact"/>
        <w:ind w:firstLine="420" w:firstLineChars="200"/>
        <w:rPr>
          <w:rFonts w:hint="eastAsia" w:ascii="宋体" w:hAnsi="宋体"/>
          <w:color w:val="auto"/>
          <w:highlight w:val="none"/>
        </w:rPr>
      </w:pPr>
      <w:r>
        <w:rPr>
          <w:rFonts w:hint="eastAsia" w:ascii="宋体" w:hAnsi="宋体"/>
          <w:color w:val="auto"/>
          <w:highlight w:val="none"/>
        </w:rPr>
        <w:t>地    址：广西壮族自治区南宁市武鸣区城厢镇上河路9号</w:t>
      </w:r>
    </w:p>
    <w:p w14:paraId="65BDA506">
      <w:pPr>
        <w:spacing w:line="380" w:lineRule="exact"/>
        <w:ind w:firstLine="420" w:firstLineChars="200"/>
        <w:rPr>
          <w:rFonts w:ascii="宋体" w:hAnsi="宋体"/>
          <w:color w:val="auto"/>
          <w:highlight w:val="none"/>
        </w:rPr>
      </w:pPr>
      <w:r>
        <w:rPr>
          <w:rFonts w:hint="eastAsia" w:ascii="宋体" w:hAnsi="宋体"/>
          <w:color w:val="auto"/>
          <w:highlight w:val="none"/>
        </w:rPr>
        <w:t>项目联系人：梁老师</w:t>
      </w:r>
    </w:p>
    <w:p w14:paraId="49B58B94">
      <w:pPr>
        <w:spacing w:line="380" w:lineRule="exact"/>
        <w:ind w:firstLine="420" w:firstLineChars="200"/>
        <w:rPr>
          <w:rFonts w:hint="eastAsia" w:ascii="宋体" w:hAnsi="宋体"/>
          <w:color w:val="auto"/>
          <w:highlight w:val="none"/>
        </w:rPr>
      </w:pPr>
      <w:r>
        <w:rPr>
          <w:rFonts w:hint="eastAsia" w:ascii="宋体" w:hAnsi="宋体"/>
          <w:color w:val="auto"/>
          <w:highlight w:val="none"/>
        </w:rPr>
        <w:t>项目联系方式：</w:t>
      </w:r>
      <w:bookmarkStart w:id="41" w:name="_Toc28359009"/>
      <w:bookmarkStart w:id="42" w:name="_Toc28359086"/>
      <w:r>
        <w:rPr>
          <w:rFonts w:hint="eastAsia" w:ascii="宋体" w:hAnsi="宋体"/>
          <w:color w:val="auto"/>
          <w:highlight w:val="none"/>
        </w:rPr>
        <w:t>0771-6409255</w:t>
      </w:r>
    </w:p>
    <w:p w14:paraId="42C42496">
      <w:pPr>
        <w:spacing w:line="380" w:lineRule="exact"/>
        <w:ind w:firstLine="420" w:firstLineChars="200"/>
        <w:rPr>
          <w:rFonts w:ascii="宋体" w:hAnsi="宋体"/>
          <w:color w:val="auto"/>
          <w:highlight w:val="none"/>
        </w:rPr>
      </w:pPr>
      <w:r>
        <w:rPr>
          <w:rFonts w:hint="eastAsia" w:ascii="宋体" w:hAnsi="宋体"/>
          <w:color w:val="auto"/>
          <w:highlight w:val="none"/>
        </w:rPr>
        <w:t>2.采购代理机构信息</w:t>
      </w:r>
      <w:bookmarkEnd w:id="41"/>
      <w:bookmarkEnd w:id="42"/>
    </w:p>
    <w:p w14:paraId="48895B43">
      <w:pPr>
        <w:spacing w:line="380" w:lineRule="exact"/>
        <w:ind w:firstLine="420" w:firstLineChars="200"/>
        <w:rPr>
          <w:rFonts w:ascii="宋体" w:hAnsi="宋体"/>
          <w:color w:val="auto"/>
          <w:highlight w:val="none"/>
        </w:rPr>
      </w:pPr>
      <w:r>
        <w:rPr>
          <w:rFonts w:hint="eastAsia" w:ascii="宋体" w:hAnsi="宋体"/>
          <w:color w:val="auto"/>
          <w:highlight w:val="none"/>
        </w:rPr>
        <w:t>名    称：广西国力招标有限公司</w:t>
      </w:r>
    </w:p>
    <w:p w14:paraId="096BD6E5">
      <w:pPr>
        <w:spacing w:line="380" w:lineRule="exact"/>
        <w:ind w:firstLine="420" w:firstLineChars="200"/>
        <w:rPr>
          <w:rFonts w:ascii="宋体" w:hAnsi="宋体"/>
          <w:color w:val="auto"/>
          <w:highlight w:val="none"/>
        </w:rPr>
      </w:pPr>
      <w:r>
        <w:rPr>
          <w:rFonts w:hint="eastAsia" w:ascii="宋体" w:hAnsi="宋体"/>
          <w:color w:val="auto"/>
          <w:highlight w:val="none"/>
        </w:rPr>
        <w:t>地    址：广西南宁市白沙大道53号松宇时代13楼</w:t>
      </w:r>
    </w:p>
    <w:p w14:paraId="51C5C580">
      <w:pPr>
        <w:spacing w:line="38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项目联系人：</w:t>
      </w:r>
      <w:r>
        <w:rPr>
          <w:rFonts w:hint="eastAsia" w:ascii="宋体" w:hAnsi="宋体"/>
          <w:color w:val="auto"/>
          <w:highlight w:val="none"/>
          <w:lang w:val="en-US" w:eastAsia="zh-CN"/>
        </w:rPr>
        <w:t>覃国腰、徐康</w:t>
      </w:r>
    </w:p>
    <w:p w14:paraId="38A6B175">
      <w:pPr>
        <w:spacing w:line="380" w:lineRule="exact"/>
        <w:ind w:firstLine="420" w:firstLineChars="200"/>
        <w:rPr>
          <w:rFonts w:hint="eastAsia" w:ascii="宋体" w:hAnsi="宋体"/>
          <w:color w:val="auto"/>
          <w:highlight w:val="none"/>
          <w:u w:val="single"/>
        </w:rPr>
      </w:pPr>
      <w:r>
        <w:rPr>
          <w:rFonts w:hint="eastAsia" w:ascii="宋体" w:hAnsi="宋体"/>
          <w:color w:val="auto"/>
          <w:highlight w:val="none"/>
        </w:rPr>
        <w:t>项目联系方式：0771-4915558</w:t>
      </w:r>
    </w:p>
    <w:p w14:paraId="50CBB155">
      <w:pPr>
        <w:spacing w:line="380" w:lineRule="exact"/>
        <w:ind w:firstLine="420" w:firstLineChars="200"/>
        <w:rPr>
          <w:rFonts w:hint="eastAsia" w:ascii="宋体" w:hAnsi="宋体"/>
          <w:color w:val="auto"/>
          <w:highlight w:val="none"/>
          <w:u w:val="single"/>
        </w:rPr>
      </w:pPr>
    </w:p>
    <w:p w14:paraId="464CEF33">
      <w:pPr>
        <w:snapToGrid w:val="0"/>
        <w:spacing w:line="350" w:lineRule="exact"/>
        <w:ind w:left="238"/>
        <w:jc w:val="right"/>
        <w:rPr>
          <w:rFonts w:hint="eastAsia" w:ascii="宋体" w:hAnsi="宋体"/>
          <w:color w:val="auto"/>
          <w:highlight w:val="none"/>
        </w:rPr>
      </w:pPr>
      <w:r>
        <w:rPr>
          <w:rFonts w:hint="eastAsia" w:ascii="宋体" w:hAnsi="宋体"/>
          <w:color w:val="auto"/>
          <w:highlight w:val="none"/>
        </w:rPr>
        <w:t>广西国力招标有限公司</w:t>
      </w:r>
    </w:p>
    <w:p w14:paraId="1A7604EC">
      <w:pPr>
        <w:spacing w:line="380" w:lineRule="exact"/>
        <w:ind w:right="210" w:firstLine="420" w:firstLineChars="200"/>
        <w:jc w:val="right"/>
        <w:rPr>
          <w:rFonts w:ascii="宋体" w:hAnsi="宋体"/>
          <w:color w:val="auto"/>
          <w:highlight w:val="none"/>
          <w:u w:val="single"/>
        </w:rPr>
      </w:pPr>
      <w:r>
        <w:rPr>
          <w:rFonts w:hint="eastAsia" w:ascii="宋体" w:hAnsi="宋体" w:cs="Arial"/>
          <w:color w:val="auto"/>
          <w:highlight w:val="none"/>
          <w:lang w:eastAsia="zh-CN"/>
        </w:rPr>
        <w:t>2026</w:t>
      </w:r>
      <w:r>
        <w:rPr>
          <w:rFonts w:hint="eastAsia" w:ascii="宋体" w:hAnsi="宋体" w:cs="Arial"/>
          <w:color w:val="auto"/>
          <w:highlight w:val="none"/>
        </w:rPr>
        <w:t>年</w:t>
      </w:r>
      <w:r>
        <w:rPr>
          <w:rFonts w:hint="eastAsia" w:ascii="宋体" w:hAnsi="宋体" w:cs="Arial"/>
          <w:color w:val="auto"/>
          <w:highlight w:val="none"/>
          <w:lang w:val="en-US" w:eastAsia="zh-CN"/>
        </w:rPr>
        <w:t>7</w:t>
      </w:r>
      <w:r>
        <w:rPr>
          <w:rFonts w:hint="eastAsia" w:ascii="宋体" w:hAnsi="宋体" w:cs="Arial"/>
          <w:color w:val="auto"/>
          <w:highlight w:val="none"/>
        </w:rPr>
        <w:t>月</w:t>
      </w:r>
      <w:r>
        <w:rPr>
          <w:rFonts w:hint="eastAsia" w:ascii="宋体" w:hAnsi="宋体" w:cs="Arial"/>
          <w:color w:val="auto"/>
          <w:highlight w:val="none"/>
          <w:lang w:val="en-US" w:eastAsia="zh-CN"/>
        </w:rPr>
        <w:t>24</w:t>
      </w:r>
      <w:r>
        <w:rPr>
          <w:rFonts w:hint="eastAsia" w:ascii="宋体" w:hAnsi="宋体" w:cs="Arial"/>
          <w:color w:val="auto"/>
          <w:highlight w:val="none"/>
        </w:rPr>
        <w:t>日</w:t>
      </w:r>
    </w:p>
    <w:p w14:paraId="4209CD72">
      <w:pPr>
        <w:spacing w:line="350" w:lineRule="exact"/>
        <w:ind w:firstLine="420" w:firstLineChars="200"/>
        <w:rPr>
          <w:rFonts w:hint="eastAsia" w:ascii="宋体" w:hAnsi="宋体"/>
          <w:b/>
          <w:color w:val="auto"/>
          <w:sz w:val="32"/>
          <w:szCs w:val="32"/>
          <w:highlight w:val="none"/>
        </w:rPr>
      </w:pPr>
      <w:r>
        <w:rPr>
          <w:color w:val="auto"/>
          <w:highlight w:val="none"/>
        </w:rPr>
        <w:br w:type="page"/>
      </w:r>
    </w:p>
    <w:p w14:paraId="3FB4D1F8">
      <w:pPr>
        <w:spacing w:line="400" w:lineRule="exact"/>
        <w:jc w:val="center"/>
        <w:rPr>
          <w:rFonts w:hint="eastAsia" w:ascii="宋体" w:hAnsi="宋体"/>
          <w:b/>
          <w:color w:val="auto"/>
          <w:sz w:val="32"/>
          <w:szCs w:val="32"/>
          <w:highlight w:val="none"/>
        </w:rPr>
      </w:pPr>
    </w:p>
    <w:p w14:paraId="567F3F1E">
      <w:pPr>
        <w:spacing w:line="400" w:lineRule="exact"/>
        <w:jc w:val="center"/>
        <w:rPr>
          <w:rFonts w:hint="eastAsia" w:ascii="宋体" w:hAnsi="宋体"/>
          <w:b/>
          <w:color w:val="auto"/>
          <w:sz w:val="32"/>
          <w:szCs w:val="32"/>
          <w:highlight w:val="none"/>
        </w:rPr>
      </w:pPr>
    </w:p>
    <w:p w14:paraId="2606CE32">
      <w:pPr>
        <w:spacing w:line="400" w:lineRule="exact"/>
        <w:jc w:val="center"/>
        <w:rPr>
          <w:rFonts w:hint="eastAsia" w:ascii="宋体" w:hAnsi="宋体"/>
          <w:b/>
          <w:color w:val="auto"/>
          <w:sz w:val="32"/>
          <w:szCs w:val="32"/>
          <w:highlight w:val="none"/>
        </w:rPr>
      </w:pPr>
    </w:p>
    <w:p w14:paraId="30D0CE76">
      <w:pPr>
        <w:spacing w:line="400" w:lineRule="exact"/>
        <w:jc w:val="center"/>
        <w:rPr>
          <w:rFonts w:hint="eastAsia" w:ascii="宋体" w:hAnsi="宋体"/>
          <w:b/>
          <w:color w:val="auto"/>
          <w:sz w:val="32"/>
          <w:szCs w:val="32"/>
          <w:highlight w:val="none"/>
        </w:rPr>
      </w:pPr>
    </w:p>
    <w:p w14:paraId="2FF27AA6">
      <w:pPr>
        <w:spacing w:line="400" w:lineRule="exact"/>
        <w:jc w:val="center"/>
        <w:rPr>
          <w:rFonts w:hint="eastAsia" w:ascii="宋体" w:hAnsi="宋体"/>
          <w:b/>
          <w:color w:val="auto"/>
          <w:sz w:val="32"/>
          <w:szCs w:val="32"/>
          <w:highlight w:val="none"/>
        </w:rPr>
      </w:pPr>
    </w:p>
    <w:p w14:paraId="30FD6D32">
      <w:pPr>
        <w:spacing w:line="400" w:lineRule="exact"/>
        <w:jc w:val="center"/>
        <w:rPr>
          <w:rFonts w:hint="eastAsia" w:ascii="宋体" w:hAnsi="宋体"/>
          <w:b/>
          <w:color w:val="auto"/>
          <w:sz w:val="32"/>
          <w:szCs w:val="32"/>
          <w:highlight w:val="none"/>
        </w:rPr>
      </w:pPr>
    </w:p>
    <w:p w14:paraId="2BD9D9AB">
      <w:pPr>
        <w:spacing w:line="400" w:lineRule="exact"/>
        <w:jc w:val="center"/>
        <w:rPr>
          <w:rFonts w:hint="eastAsia" w:ascii="宋体" w:hAnsi="宋体"/>
          <w:b/>
          <w:color w:val="auto"/>
          <w:sz w:val="32"/>
          <w:szCs w:val="32"/>
          <w:highlight w:val="none"/>
        </w:rPr>
      </w:pPr>
    </w:p>
    <w:p w14:paraId="294A07A4">
      <w:pPr>
        <w:spacing w:line="400" w:lineRule="exact"/>
        <w:jc w:val="center"/>
        <w:rPr>
          <w:rFonts w:hint="eastAsia" w:ascii="宋体" w:hAnsi="宋体"/>
          <w:b/>
          <w:color w:val="auto"/>
          <w:sz w:val="32"/>
          <w:szCs w:val="32"/>
          <w:highlight w:val="none"/>
        </w:rPr>
      </w:pPr>
    </w:p>
    <w:p w14:paraId="46F73AC2">
      <w:pPr>
        <w:spacing w:line="400" w:lineRule="exact"/>
        <w:jc w:val="center"/>
        <w:rPr>
          <w:rFonts w:hint="eastAsia" w:ascii="宋体" w:hAnsi="宋体"/>
          <w:b/>
          <w:color w:val="auto"/>
          <w:sz w:val="32"/>
          <w:szCs w:val="32"/>
          <w:highlight w:val="none"/>
        </w:rPr>
      </w:pPr>
    </w:p>
    <w:p w14:paraId="777F1A9D">
      <w:pPr>
        <w:spacing w:line="400" w:lineRule="exact"/>
        <w:jc w:val="center"/>
        <w:rPr>
          <w:rFonts w:hint="eastAsia" w:ascii="宋体" w:hAnsi="宋体"/>
          <w:b/>
          <w:color w:val="auto"/>
          <w:sz w:val="32"/>
          <w:szCs w:val="32"/>
          <w:highlight w:val="none"/>
        </w:rPr>
      </w:pPr>
    </w:p>
    <w:p w14:paraId="75A3CE55">
      <w:pPr>
        <w:spacing w:line="400" w:lineRule="exact"/>
        <w:jc w:val="center"/>
        <w:rPr>
          <w:rFonts w:hint="eastAsia" w:ascii="宋体" w:hAnsi="宋体"/>
          <w:b/>
          <w:color w:val="auto"/>
          <w:sz w:val="32"/>
          <w:szCs w:val="32"/>
          <w:highlight w:val="none"/>
        </w:rPr>
      </w:pPr>
    </w:p>
    <w:p w14:paraId="24C0CB4A">
      <w:pPr>
        <w:spacing w:line="400" w:lineRule="exact"/>
        <w:jc w:val="center"/>
        <w:rPr>
          <w:rFonts w:hint="eastAsia" w:ascii="宋体" w:hAnsi="宋体"/>
          <w:b/>
          <w:color w:val="auto"/>
          <w:sz w:val="32"/>
          <w:szCs w:val="32"/>
          <w:highlight w:val="none"/>
        </w:rPr>
      </w:pPr>
    </w:p>
    <w:p w14:paraId="35F4E3CC">
      <w:pPr>
        <w:spacing w:line="400" w:lineRule="exact"/>
        <w:jc w:val="center"/>
        <w:rPr>
          <w:rFonts w:hint="eastAsia" w:ascii="宋体" w:hAnsi="宋体"/>
          <w:b/>
          <w:color w:val="auto"/>
          <w:sz w:val="32"/>
          <w:szCs w:val="32"/>
          <w:highlight w:val="none"/>
        </w:rPr>
      </w:pPr>
    </w:p>
    <w:p w14:paraId="4625EEE7">
      <w:pPr>
        <w:spacing w:line="400" w:lineRule="exact"/>
        <w:jc w:val="center"/>
        <w:rPr>
          <w:rFonts w:hint="eastAsia" w:ascii="宋体" w:hAnsi="宋体"/>
          <w:b/>
          <w:color w:val="auto"/>
          <w:sz w:val="32"/>
          <w:szCs w:val="32"/>
          <w:highlight w:val="none"/>
        </w:rPr>
      </w:pPr>
    </w:p>
    <w:p w14:paraId="1EC1F7A3">
      <w:pPr>
        <w:pStyle w:val="34"/>
        <w:rPr>
          <w:rFonts w:hint="eastAsia"/>
          <w:color w:val="auto"/>
          <w:sz w:val="44"/>
          <w:szCs w:val="44"/>
          <w:highlight w:val="none"/>
        </w:rPr>
      </w:pPr>
      <w:bookmarkStart w:id="43" w:name="_Toc476258663"/>
      <w:bookmarkStart w:id="44" w:name="_Toc476258757"/>
      <w:r>
        <w:rPr>
          <w:rFonts w:hint="eastAsia"/>
          <w:color w:val="auto"/>
          <w:sz w:val="44"/>
          <w:szCs w:val="44"/>
          <w:highlight w:val="none"/>
        </w:rPr>
        <w:t>第二章  谈判供应商须知</w:t>
      </w:r>
      <w:bookmarkEnd w:id="43"/>
      <w:bookmarkEnd w:id="44"/>
    </w:p>
    <w:p w14:paraId="49DD0237">
      <w:pPr>
        <w:spacing w:line="720" w:lineRule="auto"/>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谈判供应商须知前附表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9"/>
      </w:tblGrid>
      <w:tr w14:paraId="3673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noWrap w:val="0"/>
            <w:vAlign w:val="top"/>
          </w:tcPr>
          <w:p w14:paraId="77213F61">
            <w:pPr>
              <w:pStyle w:val="58"/>
              <w:keepNext w:val="0"/>
              <w:keepLines w:val="0"/>
              <w:suppressLineNumbers w:val="0"/>
              <w:spacing w:before="0" w:beforeAutospacing="0" w:after="0" w:afterAutospacing="0" w:line="400" w:lineRule="exact"/>
              <w:ind w:left="0" w:right="0"/>
              <w:jc w:val="center"/>
              <w:rPr>
                <w:rFonts w:hint="eastAsia" w:cs="Times New Roman"/>
                <w:color w:val="auto"/>
                <w:sz w:val="21"/>
                <w:szCs w:val="21"/>
                <w:highlight w:val="none"/>
              </w:rPr>
            </w:pPr>
            <w:r>
              <w:rPr>
                <w:rFonts w:hint="eastAsia" w:cs="Times New Roman"/>
                <w:color w:val="auto"/>
                <w:sz w:val="21"/>
                <w:szCs w:val="21"/>
                <w:highlight w:val="none"/>
              </w:rPr>
              <w:t>序号</w:t>
            </w:r>
          </w:p>
        </w:tc>
        <w:tc>
          <w:tcPr>
            <w:tcW w:w="8369" w:type="dxa"/>
            <w:noWrap w:val="0"/>
            <w:vAlign w:val="top"/>
          </w:tcPr>
          <w:p w14:paraId="3F912B38">
            <w:pPr>
              <w:pStyle w:val="58"/>
              <w:keepNext w:val="0"/>
              <w:keepLines w:val="0"/>
              <w:suppressLineNumbers w:val="0"/>
              <w:spacing w:before="0" w:beforeAutospacing="0" w:after="0" w:afterAutospacing="0" w:line="400" w:lineRule="exact"/>
              <w:ind w:left="0" w:right="0"/>
              <w:jc w:val="center"/>
              <w:rPr>
                <w:rFonts w:hint="eastAsia" w:cs="Times New Roman"/>
                <w:color w:val="auto"/>
                <w:sz w:val="21"/>
                <w:szCs w:val="21"/>
                <w:highlight w:val="none"/>
              </w:rPr>
            </w:pPr>
            <w:r>
              <w:rPr>
                <w:rFonts w:hint="eastAsia" w:cs="Times New Roman"/>
                <w:color w:val="auto"/>
                <w:sz w:val="21"/>
                <w:szCs w:val="21"/>
                <w:highlight w:val="none"/>
              </w:rPr>
              <w:t>内    容</w:t>
            </w:r>
          </w:p>
        </w:tc>
      </w:tr>
      <w:tr w14:paraId="53E5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noWrap w:val="0"/>
            <w:vAlign w:val="center"/>
          </w:tcPr>
          <w:p w14:paraId="7FCC2AAA">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62897A85">
            <w:pPr>
              <w:pStyle w:val="58"/>
              <w:keepNext w:val="0"/>
              <w:keepLines w:val="0"/>
              <w:suppressLineNumbers w:val="0"/>
              <w:spacing w:before="0" w:beforeAutospacing="0" w:after="0" w:afterAutospacing="0" w:line="390" w:lineRule="exact"/>
              <w:ind w:left="0" w:right="0"/>
              <w:rPr>
                <w:rFonts w:hint="eastAsia" w:cs="Times New Roman"/>
                <w:color w:val="auto"/>
                <w:sz w:val="21"/>
                <w:szCs w:val="21"/>
                <w:highlight w:val="none"/>
              </w:rPr>
            </w:pPr>
            <w:r>
              <w:rPr>
                <w:rFonts w:hint="eastAsia" w:cs="Times New Roman"/>
                <w:color w:val="auto"/>
                <w:sz w:val="21"/>
                <w:szCs w:val="21"/>
                <w:highlight w:val="none"/>
              </w:rPr>
              <w:t>采购项目名称： 安全生产智慧实训基地专用设备采购</w:t>
            </w:r>
          </w:p>
          <w:p w14:paraId="461355FE">
            <w:pPr>
              <w:pStyle w:val="58"/>
              <w:keepNext w:val="0"/>
              <w:keepLines w:val="0"/>
              <w:suppressLineNumbers w:val="0"/>
              <w:spacing w:before="0" w:beforeAutospacing="0" w:after="0" w:afterAutospacing="0" w:line="390" w:lineRule="exact"/>
              <w:ind w:left="0" w:right="0"/>
              <w:rPr>
                <w:rFonts w:hint="default" w:cs="Times New Roman"/>
                <w:color w:val="auto"/>
                <w:sz w:val="21"/>
                <w:szCs w:val="21"/>
                <w:highlight w:val="none"/>
                <w:u w:val="single"/>
              </w:rPr>
            </w:pPr>
            <w:r>
              <w:rPr>
                <w:rFonts w:hint="eastAsia" w:cs="Times New Roman"/>
                <w:color w:val="auto"/>
                <w:sz w:val="21"/>
                <w:szCs w:val="21"/>
                <w:highlight w:val="none"/>
              </w:rPr>
              <w:t>采购项目编号：GXZC2026-J1-001734-GLZB</w:t>
            </w:r>
          </w:p>
        </w:tc>
      </w:tr>
      <w:tr w14:paraId="2546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5CE62B58">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1543CA43">
            <w:pPr>
              <w:pStyle w:val="58"/>
              <w:keepNext w:val="0"/>
              <w:keepLines w:val="0"/>
              <w:suppressLineNumbers w:val="0"/>
              <w:spacing w:before="0" w:beforeAutospacing="0" w:after="0" w:afterAutospacing="0" w:line="390" w:lineRule="exact"/>
              <w:ind w:left="-36" w:right="0" w:firstLine="36"/>
              <w:rPr>
                <w:rFonts w:hint="eastAsia" w:cs="Times New Roman"/>
                <w:color w:val="auto"/>
                <w:sz w:val="21"/>
                <w:szCs w:val="21"/>
                <w:highlight w:val="none"/>
              </w:rPr>
            </w:pPr>
            <w:r>
              <w:rPr>
                <w:rFonts w:hint="eastAsia" w:cs="Times New Roman"/>
                <w:color w:val="auto"/>
                <w:sz w:val="21"/>
                <w:szCs w:val="21"/>
                <w:highlight w:val="none"/>
              </w:rPr>
              <w:t>供应商资格：按第一章竞争性谈判公告第二条规定。</w:t>
            </w:r>
          </w:p>
        </w:tc>
      </w:tr>
      <w:tr w14:paraId="4F06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7F4A49A9">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3BE0C810">
            <w:pPr>
              <w:keepNext w:val="0"/>
              <w:keepLines w:val="0"/>
              <w:suppressLineNumbers w:val="0"/>
              <w:spacing w:before="0" w:beforeAutospacing="0" w:after="0" w:afterAutospacing="0" w:line="390" w:lineRule="exact"/>
              <w:ind w:left="0" w:right="0"/>
              <w:rPr>
                <w:rFonts w:hint="eastAsia" w:ascii="宋体" w:hAnsi="宋体" w:cs="Times New Roman"/>
                <w:color w:val="auto"/>
                <w:sz w:val="21"/>
                <w:szCs w:val="21"/>
                <w:highlight w:val="none"/>
              </w:rPr>
            </w:pPr>
            <w:r>
              <w:rPr>
                <w:rFonts w:hint="eastAsia" w:ascii="Times New Roman" w:hAnsi="Times New Roman" w:cs="Times New Roman"/>
                <w:color w:val="auto"/>
                <w:sz w:val="21"/>
                <w:szCs w:val="21"/>
                <w:highlight w:val="none"/>
              </w:rPr>
              <w:t>竞标报价：</w:t>
            </w:r>
            <w:r>
              <w:rPr>
                <w:rFonts w:hint="eastAsia" w:ascii="Times New Roman" w:hAnsi="Times New Roman" w:cs="Times New Roman"/>
                <w:b/>
                <w:bCs/>
                <w:color w:val="auto"/>
                <w:sz w:val="21"/>
                <w:szCs w:val="21"/>
                <w:highlight w:val="none"/>
              </w:rPr>
              <w:t>供应商可就所有分标的内容按分标分别作完整唯一报价，也可对某个分标或几个分标的内容按分标分别作完整唯一报价，漏项报价</w:t>
            </w:r>
            <w:r>
              <w:rPr>
                <w:rFonts w:hint="eastAsia"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rPr>
              <w:t>有选择的或有条件的报价，其响应将视为无效</w:t>
            </w:r>
            <w:r>
              <w:rPr>
                <w:rFonts w:hint="eastAsia" w:ascii="Times New Roman" w:hAnsi="Times New Roman" w:cs="Times New Roman"/>
                <w:color w:val="auto"/>
                <w:sz w:val="21"/>
                <w:szCs w:val="21"/>
                <w:highlight w:val="none"/>
              </w:rPr>
              <w:t>。</w:t>
            </w:r>
          </w:p>
        </w:tc>
      </w:tr>
      <w:tr w14:paraId="7E33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53E40131">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7D9BE817">
            <w:pPr>
              <w:keepNext w:val="0"/>
              <w:keepLines w:val="0"/>
              <w:suppressLineNumbers w:val="0"/>
              <w:spacing w:before="0" w:beforeAutospacing="0" w:after="0" w:afterAutospacing="0" w:line="390" w:lineRule="exact"/>
              <w:ind w:left="0" w:right="0"/>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成交服务费：本项目的成交服务费按（货物类）标准采用差额定率累进计费方式计取，由成交供应商在发布成交结果公告后，一次性向采购代理机构支付。</w:t>
            </w:r>
          </w:p>
        </w:tc>
      </w:tr>
      <w:tr w14:paraId="6049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0FB5BB04">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7E357202">
            <w:pPr>
              <w:pStyle w:val="20"/>
              <w:keepNext w:val="0"/>
              <w:keepLines w:val="0"/>
              <w:suppressLineNumbers w:val="0"/>
              <w:spacing w:before="0" w:beforeAutospacing="0" w:after="0" w:afterAutospacing="0"/>
              <w:ind w:left="0" w:right="0"/>
              <w:rPr>
                <w:rFonts w:hint="default"/>
                <w:color w:val="auto"/>
                <w:sz w:val="21"/>
                <w:szCs w:val="21"/>
                <w:highlight w:val="none"/>
              </w:rPr>
            </w:pPr>
            <w:r>
              <w:rPr>
                <w:rFonts w:hint="eastAsia"/>
                <w:color w:val="auto"/>
                <w:sz w:val="21"/>
                <w:szCs w:val="21"/>
                <w:highlight w:val="none"/>
              </w:rPr>
              <w:t>响应文件的上传和提交：本项目通过“广西政府采购云平台”</w:t>
            </w:r>
            <w:r>
              <w:rPr>
                <w:rFonts w:hint="default"/>
                <w:color w:val="auto"/>
                <w:sz w:val="21"/>
                <w:szCs w:val="21"/>
                <w:highlight w:val="none"/>
              </w:rPr>
              <w:t>实行在线</w:t>
            </w:r>
            <w:r>
              <w:rPr>
                <w:rFonts w:hint="eastAsia"/>
                <w:color w:val="auto"/>
                <w:sz w:val="21"/>
                <w:szCs w:val="21"/>
                <w:highlight w:val="none"/>
              </w:rPr>
              <w:t>竞标</w:t>
            </w:r>
            <w:r>
              <w:rPr>
                <w:rFonts w:hint="default"/>
                <w:color w:val="auto"/>
                <w:sz w:val="21"/>
                <w:szCs w:val="21"/>
                <w:highlight w:val="none"/>
              </w:rPr>
              <w:t>响应（电子标），</w:t>
            </w:r>
            <w:r>
              <w:rPr>
                <w:rFonts w:hint="eastAsia"/>
                <w:color w:val="auto"/>
                <w:sz w:val="21"/>
                <w:szCs w:val="21"/>
                <w:highlight w:val="none"/>
              </w:rPr>
              <w:t>竞标</w:t>
            </w:r>
            <w:r>
              <w:rPr>
                <w:rFonts w:hint="default"/>
                <w:color w:val="auto"/>
                <w:sz w:val="21"/>
                <w:szCs w:val="21"/>
                <w:highlight w:val="none"/>
              </w:rPr>
              <w:t>供应商应当在</w:t>
            </w:r>
            <w:r>
              <w:rPr>
                <w:rFonts w:hint="eastAsia"/>
                <w:b/>
                <w:color w:val="auto"/>
                <w:sz w:val="21"/>
                <w:szCs w:val="21"/>
                <w:highlight w:val="none"/>
              </w:rPr>
              <w:t>响应文件提交截止时间</w:t>
            </w:r>
            <w:r>
              <w:rPr>
                <w:rFonts w:hint="default"/>
                <w:color w:val="auto"/>
                <w:sz w:val="21"/>
                <w:szCs w:val="21"/>
                <w:highlight w:val="none"/>
              </w:rPr>
              <w:t>前，将生成的</w:t>
            </w:r>
            <w:r>
              <w:rPr>
                <w:rFonts w:hint="eastAsia"/>
                <w:color w:val="auto"/>
                <w:sz w:val="21"/>
                <w:szCs w:val="21"/>
                <w:highlight w:val="none"/>
              </w:rPr>
              <w:t>“</w:t>
            </w:r>
            <w:r>
              <w:rPr>
                <w:rFonts w:hint="default"/>
                <w:color w:val="auto"/>
                <w:sz w:val="21"/>
                <w:szCs w:val="21"/>
                <w:highlight w:val="none"/>
              </w:rPr>
              <w:t>电子加密</w:t>
            </w:r>
            <w:r>
              <w:rPr>
                <w:rFonts w:hint="eastAsia"/>
                <w:color w:val="auto"/>
                <w:sz w:val="21"/>
                <w:szCs w:val="21"/>
                <w:highlight w:val="none"/>
              </w:rPr>
              <w:t>响应</w:t>
            </w:r>
            <w:r>
              <w:rPr>
                <w:rFonts w:hint="default"/>
                <w:color w:val="auto"/>
                <w:sz w:val="21"/>
                <w:szCs w:val="21"/>
                <w:highlight w:val="none"/>
              </w:rPr>
              <w:t>文件</w:t>
            </w:r>
            <w:r>
              <w:rPr>
                <w:rFonts w:hint="eastAsia"/>
                <w:color w:val="auto"/>
                <w:sz w:val="21"/>
                <w:szCs w:val="21"/>
                <w:highlight w:val="none"/>
              </w:rPr>
              <w:t>”</w:t>
            </w:r>
            <w:r>
              <w:rPr>
                <w:rFonts w:hint="default"/>
                <w:color w:val="auto"/>
                <w:sz w:val="21"/>
                <w:szCs w:val="21"/>
                <w:highlight w:val="none"/>
              </w:rPr>
              <w:t>上传</w:t>
            </w:r>
            <w:r>
              <w:rPr>
                <w:rFonts w:hint="eastAsia"/>
                <w:color w:val="auto"/>
                <w:sz w:val="21"/>
                <w:szCs w:val="21"/>
                <w:highlight w:val="none"/>
              </w:rPr>
              <w:t>提交</w:t>
            </w:r>
            <w:r>
              <w:rPr>
                <w:rFonts w:hint="default"/>
                <w:color w:val="auto"/>
                <w:sz w:val="21"/>
                <w:szCs w:val="21"/>
                <w:highlight w:val="none"/>
              </w:rPr>
              <w:t>至</w:t>
            </w:r>
            <w:r>
              <w:rPr>
                <w:rFonts w:hint="eastAsia"/>
                <w:color w:val="auto"/>
                <w:sz w:val="21"/>
                <w:szCs w:val="21"/>
                <w:highlight w:val="none"/>
              </w:rPr>
              <w:t xml:space="preserve"> “广西政府采购云平台”</w:t>
            </w:r>
            <w:r>
              <w:rPr>
                <w:rFonts w:hint="default"/>
                <w:color w:val="auto"/>
                <w:sz w:val="21"/>
                <w:szCs w:val="21"/>
                <w:highlight w:val="none"/>
              </w:rPr>
              <w:t>。</w:t>
            </w:r>
          </w:p>
          <w:p w14:paraId="269CFD2A">
            <w:pPr>
              <w:pStyle w:val="20"/>
              <w:keepNext w:val="0"/>
              <w:keepLines w:val="0"/>
              <w:suppressLineNumbers w:val="0"/>
              <w:spacing w:before="0" w:beforeAutospacing="0" w:after="0" w:afterAutospacing="0"/>
              <w:ind w:left="0" w:right="0"/>
              <w:rPr>
                <w:rFonts w:hint="default"/>
                <w:color w:val="auto"/>
                <w:sz w:val="21"/>
                <w:szCs w:val="21"/>
                <w:highlight w:val="none"/>
              </w:rPr>
            </w:pPr>
            <w:r>
              <w:rPr>
                <w:rFonts w:hint="eastAsia"/>
                <w:color w:val="auto"/>
                <w:sz w:val="21"/>
                <w:szCs w:val="21"/>
                <w:highlight w:val="none"/>
              </w:rPr>
              <w:t>“电子加密响应文件”的上传、提交：</w:t>
            </w:r>
          </w:p>
          <w:p w14:paraId="7D1746D4">
            <w:pPr>
              <w:pStyle w:val="20"/>
              <w:keepNext w:val="0"/>
              <w:keepLines w:val="0"/>
              <w:suppressLineNumbers w:val="0"/>
              <w:spacing w:before="0" w:beforeAutospacing="0" w:after="0" w:afterAutospacing="0"/>
              <w:ind w:left="0" w:right="0"/>
              <w:rPr>
                <w:rFonts w:hint="default"/>
                <w:color w:val="auto"/>
                <w:sz w:val="21"/>
                <w:szCs w:val="21"/>
                <w:highlight w:val="none"/>
              </w:rPr>
            </w:pPr>
            <w:r>
              <w:rPr>
                <w:rFonts w:hint="eastAsia"/>
                <w:color w:val="auto"/>
                <w:sz w:val="21"/>
                <w:szCs w:val="21"/>
                <w:highlight w:val="none"/>
              </w:rPr>
              <w:t>a.谈判供应商应在</w:t>
            </w:r>
            <w:r>
              <w:rPr>
                <w:rFonts w:hint="eastAsia"/>
                <w:b/>
                <w:color w:val="auto"/>
                <w:sz w:val="21"/>
                <w:szCs w:val="21"/>
                <w:highlight w:val="none"/>
              </w:rPr>
              <w:t>响应文件提交截止时间</w:t>
            </w:r>
            <w:r>
              <w:rPr>
                <w:rFonts w:hint="eastAsia"/>
                <w:color w:val="auto"/>
                <w:sz w:val="21"/>
                <w:szCs w:val="21"/>
                <w:highlight w:val="none"/>
              </w:rPr>
              <w:t>前将“电子加密响应文件”成功上传提交至“广西政府采购云平台”，否则谈判无效。</w:t>
            </w:r>
          </w:p>
          <w:p w14:paraId="024D2E1A">
            <w:pPr>
              <w:pStyle w:val="20"/>
              <w:keepNext w:val="0"/>
              <w:keepLines w:val="0"/>
              <w:suppressLineNumbers w:val="0"/>
              <w:spacing w:before="0" w:beforeAutospacing="0" w:after="0" w:afterAutospacing="0" w:line="390" w:lineRule="exact"/>
              <w:ind w:left="0" w:right="0"/>
              <w:rPr>
                <w:rFonts w:hint="eastAsia"/>
                <w:color w:val="auto"/>
                <w:sz w:val="21"/>
                <w:szCs w:val="21"/>
                <w:highlight w:val="none"/>
              </w:rPr>
            </w:pPr>
            <w:r>
              <w:rPr>
                <w:rFonts w:hint="eastAsia"/>
                <w:color w:val="auto"/>
                <w:sz w:val="21"/>
                <w:szCs w:val="21"/>
                <w:highlight w:val="none"/>
              </w:rPr>
              <w:t>b.“电子加密谈判响应文件”成功上传提交后，供应商可自行打印响应文件接收回执。</w:t>
            </w:r>
          </w:p>
        </w:tc>
      </w:tr>
      <w:tr w14:paraId="491B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1AD7378D">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75C394A4">
            <w:pPr>
              <w:pStyle w:val="58"/>
              <w:keepNext w:val="0"/>
              <w:keepLines w:val="0"/>
              <w:suppressLineNumbers w:val="0"/>
              <w:spacing w:before="0" w:beforeAutospacing="0" w:after="0" w:afterAutospacing="0" w:line="390" w:lineRule="exact"/>
              <w:ind w:left="0" w:right="0"/>
              <w:rPr>
                <w:rFonts w:hint="eastAsia" w:cs="Times New Roman"/>
                <w:bCs/>
                <w:color w:val="auto"/>
                <w:sz w:val="21"/>
                <w:szCs w:val="21"/>
                <w:highlight w:val="none"/>
              </w:rPr>
            </w:pPr>
            <w:r>
              <w:rPr>
                <w:rFonts w:hint="eastAsia" w:cs="Times New Roman"/>
                <w:color w:val="auto"/>
                <w:sz w:val="21"/>
                <w:szCs w:val="21"/>
                <w:highlight w:val="none"/>
              </w:rPr>
              <w:t>响应文件递交截止时间：</w:t>
            </w:r>
            <w:r>
              <w:rPr>
                <w:rFonts w:hint="eastAsia" w:hAnsi="宋体" w:cs="Times New Roman"/>
                <w:color w:val="auto"/>
                <w:sz w:val="21"/>
                <w:szCs w:val="21"/>
                <w:highlight w:val="none"/>
                <w:u w:val="single"/>
              </w:rPr>
              <w:t>详见竞争性谈判公告</w:t>
            </w:r>
          </w:p>
          <w:p w14:paraId="7A79192D">
            <w:pPr>
              <w:pStyle w:val="20"/>
              <w:keepNext w:val="0"/>
              <w:keepLines w:val="0"/>
              <w:suppressLineNumbers w:val="0"/>
              <w:spacing w:before="0" w:beforeAutospacing="0" w:after="0" w:afterAutospacing="0" w:line="390" w:lineRule="exact"/>
              <w:ind w:left="0" w:right="0"/>
              <w:rPr>
                <w:rFonts w:hint="eastAsia"/>
                <w:color w:val="auto"/>
                <w:sz w:val="21"/>
                <w:szCs w:val="21"/>
                <w:highlight w:val="none"/>
              </w:rPr>
            </w:pPr>
            <w:r>
              <w:rPr>
                <w:rFonts w:hint="eastAsia"/>
                <w:color w:val="auto"/>
                <w:sz w:val="21"/>
                <w:szCs w:val="21"/>
                <w:highlight w:val="none"/>
              </w:rPr>
              <w:t>响应文件递交地址：</w:t>
            </w:r>
            <w:r>
              <w:rPr>
                <w:rFonts w:hint="eastAsia" w:hAnsi="宋体"/>
                <w:color w:val="auto"/>
                <w:sz w:val="21"/>
                <w:szCs w:val="21"/>
                <w:highlight w:val="none"/>
                <w:u w:val="single"/>
              </w:rPr>
              <w:t>详见竞争性谈判公告</w:t>
            </w:r>
          </w:p>
        </w:tc>
      </w:tr>
      <w:tr w14:paraId="1052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noWrap w:val="0"/>
            <w:vAlign w:val="center"/>
          </w:tcPr>
          <w:p w14:paraId="37BA07AA">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39FFB915">
            <w:pPr>
              <w:pStyle w:val="58"/>
              <w:keepNext w:val="0"/>
              <w:keepLines w:val="0"/>
              <w:suppressLineNumbers w:val="0"/>
              <w:spacing w:before="0" w:beforeAutospacing="0" w:after="0" w:afterAutospacing="0" w:line="390" w:lineRule="exact"/>
              <w:ind w:left="0" w:right="0"/>
              <w:rPr>
                <w:rFonts w:hint="eastAsia" w:cs="Times New Roman"/>
                <w:color w:val="auto"/>
                <w:sz w:val="21"/>
                <w:szCs w:val="21"/>
                <w:highlight w:val="none"/>
              </w:rPr>
            </w:pPr>
            <w:r>
              <w:rPr>
                <w:rFonts w:hint="eastAsia" w:cs="Times New Roman"/>
                <w:color w:val="auto"/>
                <w:sz w:val="21"/>
                <w:szCs w:val="21"/>
                <w:highlight w:val="none"/>
              </w:rPr>
              <w:t>竞争性谈判响应文件有效期：响应文件递交截止日期后六十日。</w:t>
            </w:r>
          </w:p>
        </w:tc>
      </w:tr>
      <w:tr w14:paraId="17FB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2F1DEA0A">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58C17C6F">
            <w:pPr>
              <w:pStyle w:val="20"/>
              <w:keepNext w:val="0"/>
              <w:keepLines w:val="0"/>
              <w:suppressLineNumbers w:val="0"/>
              <w:spacing w:before="0" w:beforeAutospacing="0" w:after="0" w:afterAutospacing="0" w:line="390" w:lineRule="exact"/>
              <w:ind w:left="0" w:right="0"/>
              <w:rPr>
                <w:rFonts w:hint="eastAsia"/>
                <w:color w:val="auto"/>
                <w:sz w:val="21"/>
                <w:szCs w:val="21"/>
                <w:highlight w:val="none"/>
              </w:rPr>
            </w:pPr>
            <w:r>
              <w:rPr>
                <w:rFonts w:hint="eastAsia"/>
                <w:color w:val="auto"/>
                <w:sz w:val="21"/>
                <w:szCs w:val="21"/>
                <w:highlight w:val="none"/>
              </w:rPr>
              <w:t>谈判保证金（人民币）：</w:t>
            </w:r>
            <w:r>
              <w:rPr>
                <w:rFonts w:hint="eastAsia" w:hAnsi="宋体"/>
                <w:color w:val="auto"/>
                <w:sz w:val="21"/>
                <w:szCs w:val="21"/>
                <w:highlight w:val="none"/>
                <w:u w:val="single"/>
              </w:rPr>
              <w:t>详见竞争性谈判公告</w:t>
            </w:r>
          </w:p>
        </w:tc>
      </w:tr>
      <w:tr w14:paraId="6102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5EEBB923">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469A4AC5">
            <w:pPr>
              <w:pStyle w:val="58"/>
              <w:keepNext w:val="0"/>
              <w:keepLines w:val="0"/>
              <w:suppressLineNumbers w:val="0"/>
              <w:spacing w:before="0" w:beforeAutospacing="0" w:after="0" w:afterAutospacing="0" w:line="390" w:lineRule="exact"/>
              <w:ind w:left="0" w:right="0"/>
              <w:rPr>
                <w:rFonts w:hint="eastAsia" w:cs="Times New Roman"/>
                <w:bCs/>
                <w:color w:val="auto"/>
                <w:sz w:val="21"/>
                <w:szCs w:val="21"/>
                <w:highlight w:val="none"/>
              </w:rPr>
            </w:pPr>
            <w:r>
              <w:rPr>
                <w:rFonts w:hint="eastAsia" w:cs="Times New Roman"/>
                <w:bCs/>
                <w:color w:val="auto"/>
                <w:sz w:val="21"/>
                <w:szCs w:val="21"/>
                <w:highlight w:val="none"/>
              </w:rPr>
              <w:t>谈判时间：</w:t>
            </w:r>
            <w:r>
              <w:rPr>
                <w:rFonts w:hint="eastAsia" w:hAnsi="宋体" w:cs="Times New Roman"/>
                <w:color w:val="auto"/>
                <w:sz w:val="21"/>
                <w:szCs w:val="21"/>
                <w:highlight w:val="none"/>
                <w:u w:val="single"/>
              </w:rPr>
              <w:t>详见竞争性谈判公告</w:t>
            </w:r>
          </w:p>
          <w:p w14:paraId="119D3FFB">
            <w:pPr>
              <w:pStyle w:val="58"/>
              <w:keepNext w:val="0"/>
              <w:keepLines w:val="0"/>
              <w:suppressLineNumbers w:val="0"/>
              <w:spacing w:before="0" w:beforeAutospacing="0" w:after="0" w:afterAutospacing="0" w:line="390" w:lineRule="exact"/>
              <w:ind w:left="0" w:right="0"/>
              <w:rPr>
                <w:rFonts w:hint="eastAsia" w:cs="Times New Roman"/>
                <w:color w:val="auto"/>
                <w:sz w:val="21"/>
                <w:szCs w:val="21"/>
                <w:highlight w:val="none"/>
              </w:rPr>
            </w:pPr>
            <w:r>
              <w:rPr>
                <w:rFonts w:hint="eastAsia" w:cs="Times New Roman"/>
                <w:bCs/>
                <w:color w:val="auto"/>
                <w:sz w:val="21"/>
                <w:szCs w:val="21"/>
                <w:highlight w:val="none"/>
              </w:rPr>
              <w:t>谈判地点：</w:t>
            </w:r>
            <w:r>
              <w:rPr>
                <w:rFonts w:hint="eastAsia" w:cs="Times New Roman"/>
                <w:color w:val="auto"/>
                <w:sz w:val="21"/>
                <w:szCs w:val="21"/>
                <w:highlight w:val="none"/>
                <w:u w:val="single"/>
              </w:rPr>
              <w:t>详见</w:t>
            </w:r>
            <w:r>
              <w:rPr>
                <w:rFonts w:hint="eastAsia" w:hAnsi="宋体" w:cs="Times New Roman"/>
                <w:color w:val="auto"/>
                <w:sz w:val="21"/>
                <w:szCs w:val="21"/>
                <w:highlight w:val="none"/>
                <w:u w:val="single"/>
              </w:rPr>
              <w:t>竞争性</w:t>
            </w:r>
            <w:r>
              <w:rPr>
                <w:rFonts w:hint="eastAsia" w:cs="Times New Roman"/>
                <w:color w:val="auto"/>
                <w:sz w:val="21"/>
                <w:szCs w:val="21"/>
                <w:highlight w:val="none"/>
                <w:u w:val="single"/>
              </w:rPr>
              <w:t>谈判公告</w:t>
            </w:r>
          </w:p>
        </w:tc>
      </w:tr>
      <w:tr w14:paraId="6E3F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6A246421">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0A5C9E3D">
            <w:pPr>
              <w:pStyle w:val="58"/>
              <w:keepNext w:val="0"/>
              <w:keepLines w:val="0"/>
              <w:suppressLineNumbers w:val="0"/>
              <w:spacing w:before="0" w:beforeAutospacing="0" w:after="0" w:afterAutospacing="0" w:line="390" w:lineRule="exact"/>
              <w:ind w:left="0" w:right="0"/>
              <w:rPr>
                <w:rFonts w:hint="eastAsia" w:cs="Times New Roman"/>
                <w:color w:val="auto"/>
                <w:sz w:val="21"/>
                <w:szCs w:val="21"/>
                <w:highlight w:val="none"/>
              </w:rPr>
            </w:pPr>
            <w:r>
              <w:rPr>
                <w:rFonts w:hint="eastAsia" w:cs="Times New Roman"/>
                <w:color w:val="auto"/>
                <w:sz w:val="21"/>
                <w:szCs w:val="21"/>
                <w:highlight w:val="none"/>
              </w:rPr>
              <w:t>评标方法：最低评标价法（</w:t>
            </w:r>
            <w:r>
              <w:rPr>
                <w:rFonts w:hint="eastAsia" w:cs="Times New Roman"/>
                <w:color w:val="auto"/>
                <w:sz w:val="21"/>
                <w:szCs w:val="21"/>
                <w:highlight w:val="none"/>
                <w:lang w:eastAsia="zh-CN"/>
              </w:rPr>
              <w:t>详</w:t>
            </w:r>
            <w:r>
              <w:rPr>
                <w:rFonts w:hint="eastAsia" w:cs="Times New Roman"/>
                <w:color w:val="auto"/>
                <w:sz w:val="21"/>
                <w:szCs w:val="21"/>
                <w:highlight w:val="none"/>
              </w:rPr>
              <w:t>见第六章）</w:t>
            </w:r>
          </w:p>
        </w:tc>
      </w:tr>
      <w:tr w14:paraId="30F7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37ABBEC7">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330F853E">
            <w:pPr>
              <w:keepNext w:val="0"/>
              <w:keepLines w:val="0"/>
              <w:suppressLineNumbers w:val="0"/>
              <w:spacing w:before="0" w:beforeAutospacing="0" w:after="0" w:afterAutospacing="0" w:line="300" w:lineRule="exact"/>
              <w:ind w:left="0" w:right="0"/>
              <w:rPr>
                <w:rFonts w:hint="default" w:ascii="宋体" w:hAnsi="宋体" w:cs="Times New Roman"/>
                <w:snapToGrid w:val="0"/>
                <w:color w:val="auto"/>
                <w:sz w:val="21"/>
                <w:szCs w:val="21"/>
                <w:highlight w:val="none"/>
              </w:rPr>
            </w:pPr>
            <w:r>
              <w:rPr>
                <w:rFonts w:hint="eastAsia" w:ascii="宋体" w:hAnsi="宋体" w:cs="Times New Roman"/>
                <w:color w:val="auto"/>
                <w:sz w:val="21"/>
                <w:szCs w:val="21"/>
                <w:highlight w:val="none"/>
              </w:rPr>
              <w:t>响应文件形式：</w:t>
            </w:r>
            <w:r>
              <w:rPr>
                <w:rFonts w:hint="eastAsia" w:ascii="宋体" w:hAnsi="宋体" w:cs="Times New Roman"/>
                <w:snapToGrid w:val="0"/>
                <w:color w:val="auto"/>
                <w:sz w:val="21"/>
                <w:szCs w:val="21"/>
                <w:highlight w:val="none"/>
              </w:rPr>
              <w:t>谈判供应商应准备电子响应文件。</w:t>
            </w:r>
          </w:p>
          <w:p w14:paraId="262BA105">
            <w:pPr>
              <w:pStyle w:val="58"/>
              <w:keepNext w:val="0"/>
              <w:keepLines w:val="0"/>
              <w:suppressLineNumbers w:val="0"/>
              <w:spacing w:before="0" w:beforeAutospacing="0" w:after="0" w:afterAutospacing="0" w:line="400" w:lineRule="exact"/>
              <w:ind w:left="0" w:right="0"/>
              <w:rPr>
                <w:rFonts w:hint="eastAsia" w:cs="Times New Roman"/>
                <w:color w:val="auto"/>
                <w:sz w:val="21"/>
                <w:szCs w:val="21"/>
                <w:highlight w:val="none"/>
              </w:rPr>
            </w:pPr>
            <w:r>
              <w:rPr>
                <w:rFonts w:hint="eastAsia" w:cs="Times New Roman"/>
                <w:snapToGrid w:val="0"/>
                <w:color w:val="auto"/>
                <w:sz w:val="21"/>
                <w:szCs w:val="21"/>
                <w:highlight w:val="none"/>
              </w:rPr>
              <w:t>电子响应文件是指通过“广西政府采购云平台电子投标客户端”完成响应文件编制后生成并加密的数据电文形式的电子加密响应文件。</w:t>
            </w:r>
          </w:p>
        </w:tc>
      </w:tr>
      <w:tr w14:paraId="027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04E1E330">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3B673620">
            <w:pPr>
              <w:pStyle w:val="58"/>
              <w:keepNext w:val="0"/>
              <w:keepLines w:val="0"/>
              <w:suppressLineNumbers w:val="0"/>
              <w:spacing w:before="0" w:beforeAutospacing="0" w:after="0" w:afterAutospacing="0" w:line="400" w:lineRule="exact"/>
              <w:ind w:left="0" w:right="0"/>
              <w:rPr>
                <w:rFonts w:hint="eastAsia" w:cs="Times New Roman"/>
                <w:color w:val="auto"/>
                <w:sz w:val="21"/>
                <w:szCs w:val="21"/>
                <w:highlight w:val="none"/>
              </w:rPr>
            </w:pPr>
            <w:r>
              <w:rPr>
                <w:rFonts w:hint="eastAsia" w:cs="Times New Roman"/>
                <w:snapToGrid w:val="0"/>
                <w:color w:val="auto"/>
                <w:sz w:val="21"/>
                <w:szCs w:val="21"/>
                <w:highlight w:val="none"/>
              </w:rPr>
              <w:t>响应文件的编制：供应商应先安装“广西政府采购云平台电子投标客户端”，并按照本竞争性谈判文件和“广西政府采购云平台”的要求，通过“广西政府采购云平台电子投标客户端”编制并加密响应文件。</w:t>
            </w:r>
          </w:p>
        </w:tc>
      </w:tr>
      <w:tr w14:paraId="23B4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1F32892D">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04851AA5">
            <w:pPr>
              <w:keepNext w:val="0"/>
              <w:keepLines w:val="0"/>
              <w:suppressLineNumbers w:val="0"/>
              <w:autoSpaceDE w:val="0"/>
              <w:autoSpaceDN w:val="0"/>
              <w:snapToGrid w:val="0"/>
              <w:spacing w:before="0" w:beforeAutospacing="0" w:after="0" w:afterAutospacing="0" w:line="360" w:lineRule="exact"/>
              <w:ind w:left="0" w:right="0"/>
              <w:textAlignment w:val="bottom"/>
              <w:rPr>
                <w:rFonts w:hint="eastAsia" w:ascii="Times New Roman" w:hAnsi="Times New Roman" w:cs="Times New Roman"/>
                <w:color w:val="auto"/>
                <w:sz w:val="21"/>
                <w:szCs w:val="21"/>
                <w:highlight w:val="none"/>
              </w:rPr>
            </w:pPr>
            <w:r>
              <w:rPr>
                <w:rFonts w:hint="eastAsia" w:ascii="宋体" w:hAnsi="宋体" w:cs="Times New Roman"/>
                <w:color w:val="auto"/>
                <w:sz w:val="21"/>
                <w:szCs w:val="21"/>
                <w:highlight w:val="none"/>
              </w:rPr>
              <w:t>解释：</w:t>
            </w:r>
            <w:r>
              <w:rPr>
                <w:rFonts w:hint="default" w:ascii="宋体" w:hAnsi="宋体" w:cs="Times New Roman"/>
                <w:color w:val="auto"/>
                <w:sz w:val="21"/>
                <w:szCs w:val="21"/>
                <w:highlight w:val="none"/>
              </w:rPr>
              <w:t>构成本</w:t>
            </w:r>
            <w:r>
              <w:rPr>
                <w:rFonts w:hint="eastAsia" w:ascii="宋体" w:hAnsi="宋体" w:cs="Times New Roman"/>
                <w:color w:val="auto"/>
                <w:sz w:val="21"/>
                <w:szCs w:val="21"/>
                <w:highlight w:val="none"/>
                <w:lang w:eastAsia="zh-CN"/>
              </w:rPr>
              <w:t>采购文件</w:t>
            </w:r>
            <w:r>
              <w:rPr>
                <w:rFonts w:hint="default" w:ascii="宋体" w:hAnsi="宋体" w:cs="Times New Roman"/>
                <w:color w:val="auto"/>
                <w:sz w:val="21"/>
                <w:szCs w:val="21"/>
                <w:highlight w:val="none"/>
              </w:rPr>
              <w:t>的各个组成文件应互为解释，互为说明；除</w:t>
            </w:r>
            <w:r>
              <w:rPr>
                <w:rFonts w:hint="eastAsia" w:ascii="宋体" w:hAnsi="宋体" w:cs="Times New Roman"/>
                <w:color w:val="auto"/>
                <w:sz w:val="21"/>
                <w:szCs w:val="21"/>
                <w:highlight w:val="none"/>
                <w:lang w:eastAsia="zh-CN"/>
              </w:rPr>
              <w:t>采购文件</w:t>
            </w:r>
            <w:r>
              <w:rPr>
                <w:rFonts w:hint="default" w:ascii="宋体" w:hAnsi="宋体" w:cs="Times New Roman"/>
                <w:color w:val="auto"/>
                <w:sz w:val="21"/>
                <w:szCs w:val="21"/>
                <w:highlight w:val="none"/>
              </w:rPr>
              <w:t>中有特别规定外，仅适用于招标投标阶段的规定，按</w:t>
            </w:r>
            <w:r>
              <w:rPr>
                <w:rFonts w:hint="eastAsia" w:ascii="宋体" w:hAnsi="宋体" w:cs="Times New Roman"/>
                <w:color w:val="auto"/>
                <w:sz w:val="21"/>
                <w:szCs w:val="21"/>
                <w:highlight w:val="none"/>
              </w:rPr>
              <w:t>更正公告（澄清公告）</w:t>
            </w:r>
            <w:r>
              <w:rPr>
                <w:rFonts w:hint="default" w:ascii="宋体" w:hAnsi="宋体" w:cs="Times New Roman"/>
                <w:color w:val="auto"/>
                <w:sz w:val="21"/>
                <w:szCs w:val="21"/>
                <w:highlight w:val="none"/>
              </w:rPr>
              <w:t>、招标公告、</w:t>
            </w:r>
            <w:r>
              <w:rPr>
                <w:rFonts w:hint="eastAsia" w:ascii="宋体" w:hAnsi="宋体" w:cs="Times New Roman"/>
                <w:color w:val="auto"/>
                <w:sz w:val="21"/>
                <w:szCs w:val="21"/>
                <w:highlight w:val="none"/>
              </w:rPr>
              <w:t>采购需求、</w:t>
            </w:r>
            <w:r>
              <w:rPr>
                <w:rFonts w:hint="eastAsia" w:ascii="宋体" w:hAnsi="宋体" w:cs="Times New Roman"/>
                <w:color w:val="auto"/>
                <w:sz w:val="21"/>
                <w:szCs w:val="21"/>
                <w:highlight w:val="none"/>
                <w:lang w:eastAsia="zh-CN"/>
              </w:rPr>
              <w:t>供应商</w:t>
            </w:r>
            <w:r>
              <w:rPr>
                <w:rFonts w:hint="default" w:ascii="宋体" w:hAnsi="宋体" w:cs="Times New Roman"/>
                <w:color w:val="auto"/>
                <w:sz w:val="21"/>
                <w:szCs w:val="21"/>
                <w:highlight w:val="none"/>
              </w:rPr>
              <w:t>须知、</w:t>
            </w:r>
            <w:r>
              <w:rPr>
                <w:rFonts w:hint="eastAsia" w:ascii="宋体" w:hAnsi="宋体" w:cs="Times New Roman"/>
                <w:color w:val="auto"/>
                <w:sz w:val="21"/>
                <w:szCs w:val="21"/>
                <w:highlight w:val="none"/>
              </w:rPr>
              <w:t>评标方法及评标标准</w:t>
            </w:r>
            <w:r>
              <w:rPr>
                <w:rFonts w:hint="default" w:ascii="宋体" w:hAnsi="宋体" w:cs="Times New Roman"/>
                <w:color w:val="auto"/>
                <w:sz w:val="21"/>
                <w:szCs w:val="21"/>
                <w:highlight w:val="none"/>
              </w:rPr>
              <w:t>、</w:t>
            </w:r>
            <w:r>
              <w:rPr>
                <w:rFonts w:hint="eastAsia" w:ascii="宋体" w:hAnsi="宋体" w:cs="Times New Roman"/>
                <w:color w:val="auto"/>
                <w:sz w:val="21"/>
                <w:szCs w:val="21"/>
                <w:highlight w:val="none"/>
              </w:rPr>
              <w:t>拟签订的合同文本、</w:t>
            </w:r>
            <w:r>
              <w:rPr>
                <w:rFonts w:hint="default" w:ascii="宋体" w:hAnsi="宋体" w:cs="Times New Roman"/>
                <w:color w:val="auto"/>
                <w:sz w:val="21"/>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s="Times New Roman"/>
                <w:color w:val="auto"/>
                <w:sz w:val="21"/>
                <w:szCs w:val="21"/>
                <w:highlight w:val="none"/>
              </w:rPr>
              <w:t>更正公告（澄清公告）</w:t>
            </w:r>
            <w:r>
              <w:rPr>
                <w:rFonts w:hint="default" w:ascii="宋体" w:hAnsi="宋体" w:cs="Times New Roman"/>
                <w:color w:val="auto"/>
                <w:sz w:val="21"/>
                <w:szCs w:val="21"/>
                <w:highlight w:val="none"/>
              </w:rPr>
              <w:t>与同步更新的</w:t>
            </w:r>
            <w:r>
              <w:rPr>
                <w:rFonts w:hint="eastAsia" w:ascii="宋体" w:hAnsi="宋体" w:cs="Times New Roman"/>
                <w:color w:val="auto"/>
                <w:sz w:val="21"/>
                <w:szCs w:val="21"/>
                <w:highlight w:val="none"/>
                <w:lang w:eastAsia="zh-CN"/>
              </w:rPr>
              <w:t>采购文件</w:t>
            </w:r>
            <w:r>
              <w:rPr>
                <w:rFonts w:hint="default" w:ascii="宋体" w:hAnsi="宋体" w:cs="Times New Roman"/>
                <w:color w:val="auto"/>
                <w:sz w:val="21"/>
                <w:szCs w:val="21"/>
                <w:highlight w:val="none"/>
              </w:rPr>
              <w:t>不一致时以</w:t>
            </w:r>
            <w:r>
              <w:rPr>
                <w:rFonts w:hint="eastAsia" w:ascii="宋体" w:hAnsi="宋体" w:cs="Times New Roman"/>
                <w:color w:val="auto"/>
                <w:sz w:val="21"/>
                <w:szCs w:val="21"/>
                <w:highlight w:val="none"/>
              </w:rPr>
              <w:t>更正公告（澄清公告）</w:t>
            </w:r>
            <w:r>
              <w:rPr>
                <w:rFonts w:hint="default" w:ascii="宋体" w:hAnsi="宋体" w:cs="Times New Roman"/>
                <w:color w:val="auto"/>
                <w:sz w:val="21"/>
                <w:szCs w:val="21"/>
                <w:highlight w:val="none"/>
              </w:rPr>
              <w:t>为准。按本款前述规定仍不能形成结论的，由</w:t>
            </w:r>
            <w:r>
              <w:rPr>
                <w:rFonts w:hint="eastAsia" w:ascii="宋体" w:hAnsi="宋体" w:cs="Times New Roman"/>
                <w:color w:val="auto"/>
                <w:sz w:val="21"/>
                <w:szCs w:val="21"/>
                <w:highlight w:val="none"/>
              </w:rPr>
              <w:t>采购</w:t>
            </w:r>
            <w:r>
              <w:rPr>
                <w:rFonts w:hint="default" w:ascii="宋体" w:hAnsi="宋体" w:cs="Times New Roman"/>
                <w:color w:val="auto"/>
                <w:sz w:val="21"/>
                <w:szCs w:val="21"/>
                <w:highlight w:val="none"/>
              </w:rPr>
              <w:t>人</w:t>
            </w:r>
            <w:r>
              <w:rPr>
                <w:rFonts w:hint="eastAsia" w:ascii="宋体" w:hAnsi="宋体" w:cs="Times New Roman"/>
                <w:color w:val="auto"/>
                <w:sz w:val="21"/>
                <w:szCs w:val="21"/>
                <w:highlight w:val="none"/>
              </w:rPr>
              <w:t>或者采购代理机构</w:t>
            </w:r>
            <w:r>
              <w:rPr>
                <w:rFonts w:hint="default" w:ascii="宋体" w:hAnsi="宋体" w:cs="Times New Roman"/>
                <w:color w:val="auto"/>
                <w:sz w:val="21"/>
                <w:szCs w:val="21"/>
                <w:highlight w:val="none"/>
              </w:rPr>
              <w:t>负责解释。</w:t>
            </w:r>
          </w:p>
        </w:tc>
      </w:tr>
      <w:tr w14:paraId="78CB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53EB3C21">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6FF2D698">
            <w:pPr>
              <w:keepNext w:val="0"/>
              <w:keepLines w:val="0"/>
              <w:suppressLineNumbers w:val="0"/>
              <w:autoSpaceDE w:val="0"/>
              <w:autoSpaceDN w:val="0"/>
              <w:snapToGrid w:val="0"/>
              <w:spacing w:before="0" w:beforeAutospacing="0" w:after="0" w:afterAutospacing="0" w:line="360" w:lineRule="exact"/>
              <w:ind w:left="0" w:right="0"/>
              <w:textAlignment w:val="bottom"/>
              <w:rPr>
                <w:rFonts w:hint="eastAsia" w:ascii="宋体" w:hAnsi="Times New Roman" w:cs="Times New Roman"/>
                <w:color w:val="auto"/>
                <w:sz w:val="21"/>
                <w:szCs w:val="21"/>
                <w:highlight w:val="none"/>
              </w:rPr>
            </w:pPr>
            <w:r>
              <w:rPr>
                <w:rFonts w:hint="eastAsia" w:ascii="宋体" w:hAnsi="Times New Roman" w:cs="Times New Roman"/>
                <w:color w:val="auto"/>
                <w:sz w:val="21"/>
                <w:szCs w:val="21"/>
                <w:highlight w:val="none"/>
              </w:rPr>
              <w:t>1.本</w:t>
            </w:r>
            <w:r>
              <w:rPr>
                <w:rFonts w:hint="eastAsia" w:ascii="宋体" w:hAnsi="Times New Roman" w:cs="Times New Roman"/>
                <w:color w:val="auto"/>
                <w:sz w:val="21"/>
                <w:szCs w:val="21"/>
                <w:highlight w:val="none"/>
                <w:lang w:val="en-US" w:eastAsia="zh-CN"/>
              </w:rPr>
              <w:t>采购</w:t>
            </w:r>
            <w:r>
              <w:rPr>
                <w:rFonts w:hint="eastAsia" w:ascii="宋体" w:hAnsi="Times New Roman" w:cs="Times New Roman"/>
                <w:color w:val="auto"/>
                <w:sz w:val="21"/>
                <w:szCs w:val="21"/>
                <w:highlight w:val="none"/>
              </w:rPr>
              <w:t>文件中描述</w:t>
            </w:r>
            <w:r>
              <w:rPr>
                <w:rFonts w:hint="eastAsia" w:ascii="宋体" w:hAnsi="Times New Roman" w:cs="Times New Roman"/>
                <w:color w:val="auto"/>
                <w:sz w:val="21"/>
                <w:szCs w:val="21"/>
                <w:highlight w:val="none"/>
                <w:lang w:eastAsia="zh-CN"/>
              </w:rPr>
              <w:t>供应商</w:t>
            </w:r>
            <w:r>
              <w:rPr>
                <w:rFonts w:hint="eastAsia" w:ascii="宋体" w:hAnsi="Times New Roman" w:cs="Times New Roman"/>
                <w:color w:val="auto"/>
                <w:sz w:val="21"/>
                <w:szCs w:val="21"/>
                <w:highlight w:val="none"/>
              </w:rPr>
              <w:t>的“公章”是指根据我国对公章的管理规定，用</w:t>
            </w:r>
            <w:r>
              <w:rPr>
                <w:rFonts w:hint="eastAsia" w:ascii="宋体" w:hAnsi="Times New Roman" w:cs="Times New Roman"/>
                <w:color w:val="auto"/>
                <w:sz w:val="21"/>
                <w:szCs w:val="21"/>
                <w:highlight w:val="none"/>
                <w:lang w:val="en-US" w:eastAsia="zh-CN"/>
              </w:rPr>
              <w:t>供应商</w:t>
            </w:r>
            <w:r>
              <w:rPr>
                <w:rFonts w:hint="eastAsia" w:ascii="宋体" w:hAnsi="Times New Roman" w:cs="Times New Roman"/>
                <w:color w:val="auto"/>
                <w:sz w:val="21"/>
                <w:szCs w:val="21"/>
                <w:highlight w:val="none"/>
              </w:rPr>
              <w:t>法定主体行为名称制作的印章，除本</w:t>
            </w:r>
            <w:r>
              <w:rPr>
                <w:rFonts w:hint="eastAsia" w:ascii="宋体" w:hAnsi="Times New Roman" w:cs="Times New Roman"/>
                <w:color w:val="auto"/>
                <w:sz w:val="21"/>
                <w:szCs w:val="21"/>
                <w:highlight w:val="none"/>
                <w:lang w:eastAsia="zh-CN"/>
              </w:rPr>
              <w:t>采购文件</w:t>
            </w:r>
            <w:r>
              <w:rPr>
                <w:rFonts w:hint="eastAsia" w:ascii="宋体" w:hAnsi="Times New Roman" w:cs="Times New Roman"/>
                <w:color w:val="auto"/>
                <w:sz w:val="21"/>
                <w:szCs w:val="21"/>
                <w:highlight w:val="none"/>
              </w:rPr>
              <w:t>有特殊规定外，</w:t>
            </w:r>
            <w:r>
              <w:rPr>
                <w:rFonts w:hint="eastAsia" w:ascii="宋体" w:hAnsi="Times New Roman" w:cs="Times New Roman"/>
                <w:color w:val="auto"/>
                <w:sz w:val="21"/>
                <w:szCs w:val="21"/>
                <w:highlight w:val="none"/>
                <w:lang w:eastAsia="zh-CN"/>
              </w:rPr>
              <w:t>供应商</w:t>
            </w:r>
            <w:r>
              <w:rPr>
                <w:rFonts w:hint="eastAsia" w:ascii="宋体" w:hAnsi="Times New Roman" w:cs="Times New Roman"/>
                <w:color w:val="auto"/>
                <w:sz w:val="21"/>
                <w:szCs w:val="21"/>
                <w:highlight w:val="none"/>
              </w:rPr>
              <w:t>的财务章、部门章、分公司章、工会章、合同章、投标专用章、业务专用章及银行的转账章、现金收讫章、现金付讫章等其他形式印章均不能代替公章。</w:t>
            </w:r>
          </w:p>
          <w:p w14:paraId="4F1A3DFD">
            <w:pPr>
              <w:keepNext w:val="0"/>
              <w:keepLines w:val="0"/>
              <w:suppressLineNumbers w:val="0"/>
              <w:autoSpaceDE w:val="0"/>
              <w:autoSpaceDN w:val="0"/>
              <w:snapToGrid w:val="0"/>
              <w:spacing w:before="0" w:beforeAutospacing="0" w:after="0" w:afterAutospacing="0" w:line="360" w:lineRule="exact"/>
              <w:ind w:left="0" w:right="0"/>
              <w:textAlignment w:val="bottom"/>
              <w:rPr>
                <w:rFonts w:hint="eastAsia" w:ascii="宋体" w:hAnsi="Times New Roman" w:cs="Times New Roman"/>
                <w:color w:val="auto"/>
                <w:sz w:val="21"/>
                <w:szCs w:val="21"/>
                <w:highlight w:val="none"/>
              </w:rPr>
            </w:pPr>
            <w:r>
              <w:rPr>
                <w:rFonts w:hint="eastAsia" w:ascii="宋体" w:hAnsi="Times New Roman" w:cs="Times New Roman"/>
                <w:color w:val="auto"/>
                <w:sz w:val="21"/>
                <w:szCs w:val="21"/>
                <w:highlight w:val="none"/>
              </w:rPr>
              <w:t>2.本</w:t>
            </w:r>
            <w:r>
              <w:rPr>
                <w:rFonts w:hint="eastAsia" w:ascii="宋体" w:hAnsi="Times New Roman" w:cs="Times New Roman"/>
                <w:color w:val="auto"/>
                <w:sz w:val="21"/>
                <w:szCs w:val="21"/>
                <w:highlight w:val="none"/>
                <w:lang w:eastAsia="zh-CN"/>
              </w:rPr>
              <w:t>采购文件</w:t>
            </w:r>
            <w:r>
              <w:rPr>
                <w:rFonts w:hint="eastAsia" w:ascii="宋体" w:hAnsi="Times New Roman" w:cs="Times New Roman"/>
                <w:color w:val="auto"/>
                <w:sz w:val="21"/>
                <w:szCs w:val="21"/>
                <w:highlight w:val="none"/>
              </w:rPr>
              <w:t>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6D12D86B">
            <w:pPr>
              <w:keepNext w:val="0"/>
              <w:keepLines w:val="0"/>
              <w:suppressLineNumbers w:val="0"/>
              <w:autoSpaceDE w:val="0"/>
              <w:autoSpaceDN w:val="0"/>
              <w:snapToGrid w:val="0"/>
              <w:spacing w:before="0" w:beforeAutospacing="0" w:after="0" w:afterAutospacing="0" w:line="360" w:lineRule="exact"/>
              <w:ind w:left="0" w:right="0"/>
              <w:textAlignment w:val="bottom"/>
              <w:rPr>
                <w:rFonts w:hint="eastAsia" w:ascii="宋体" w:hAnsi="Times New Roman" w:cs="Times New Roman"/>
                <w:color w:val="auto"/>
                <w:sz w:val="21"/>
                <w:szCs w:val="21"/>
                <w:highlight w:val="none"/>
              </w:rPr>
            </w:pPr>
            <w:r>
              <w:rPr>
                <w:rFonts w:hint="eastAsia" w:ascii="宋体" w:hAnsi="Times New Roman" w:cs="Times New Roman"/>
                <w:color w:val="auto"/>
                <w:sz w:val="21"/>
                <w:szCs w:val="21"/>
                <w:highlight w:val="none"/>
              </w:rPr>
              <w:t>3.</w:t>
            </w:r>
            <w:r>
              <w:rPr>
                <w:rFonts w:hint="eastAsia" w:ascii="宋体" w:hAnsi="Times New Roman" w:cs="Times New Roman"/>
                <w:color w:val="auto"/>
                <w:sz w:val="21"/>
                <w:szCs w:val="21"/>
                <w:highlight w:val="none"/>
                <w:lang w:eastAsia="zh-CN"/>
              </w:rPr>
              <w:t>供应商</w:t>
            </w:r>
            <w:r>
              <w:rPr>
                <w:rFonts w:hint="eastAsia" w:ascii="宋体" w:hAnsi="Times New Roman" w:cs="Times New Roman"/>
                <w:color w:val="auto"/>
                <w:sz w:val="21"/>
                <w:szCs w:val="21"/>
                <w:highlight w:val="none"/>
              </w:rPr>
              <w:t>为其他组织或者自然人时，本</w:t>
            </w:r>
            <w:r>
              <w:rPr>
                <w:rFonts w:hint="eastAsia" w:ascii="宋体" w:hAnsi="Times New Roman" w:cs="Times New Roman"/>
                <w:color w:val="auto"/>
                <w:sz w:val="21"/>
                <w:szCs w:val="21"/>
                <w:highlight w:val="none"/>
                <w:lang w:eastAsia="zh-CN"/>
              </w:rPr>
              <w:t>采购文件</w:t>
            </w:r>
            <w:r>
              <w:rPr>
                <w:rFonts w:hint="eastAsia" w:ascii="宋体" w:hAnsi="Times New Roman" w:cs="Times New Roman"/>
                <w:color w:val="auto"/>
                <w:sz w:val="21"/>
                <w:szCs w:val="21"/>
                <w:highlight w:val="none"/>
              </w:rPr>
              <w:t>规定的法定代表人指负责人或者自然人。本</w:t>
            </w:r>
            <w:r>
              <w:rPr>
                <w:rFonts w:hint="eastAsia" w:ascii="宋体" w:hAnsi="Times New Roman" w:cs="Times New Roman"/>
                <w:color w:val="auto"/>
                <w:sz w:val="21"/>
                <w:szCs w:val="21"/>
                <w:highlight w:val="none"/>
                <w:lang w:eastAsia="zh-CN"/>
              </w:rPr>
              <w:t>采购文件</w:t>
            </w:r>
            <w:r>
              <w:rPr>
                <w:rFonts w:hint="eastAsia" w:ascii="宋体" w:hAnsi="Times New Roman" w:cs="Times New Roman"/>
                <w:color w:val="auto"/>
                <w:sz w:val="21"/>
                <w:szCs w:val="21"/>
                <w:highlight w:val="none"/>
              </w:rPr>
              <w:t>所称负责人是指参加投标的其他组织营业执照或者执业许可证等证照上的负责人，本</w:t>
            </w:r>
            <w:r>
              <w:rPr>
                <w:rFonts w:hint="eastAsia" w:ascii="宋体" w:hAnsi="Times New Roman" w:cs="Times New Roman"/>
                <w:color w:val="auto"/>
                <w:sz w:val="21"/>
                <w:szCs w:val="21"/>
                <w:highlight w:val="none"/>
                <w:lang w:eastAsia="zh-CN"/>
              </w:rPr>
              <w:t>采购文件</w:t>
            </w:r>
            <w:r>
              <w:rPr>
                <w:rFonts w:hint="eastAsia" w:ascii="宋体" w:hAnsi="Times New Roman" w:cs="Times New Roman"/>
                <w:color w:val="auto"/>
                <w:sz w:val="21"/>
                <w:szCs w:val="21"/>
                <w:highlight w:val="none"/>
              </w:rPr>
              <w:t>所称自然人指参与投标的自然人本人，且应具备独立承担民事责任能力，自然人应当为年满18岁以上成年人（十六周岁以上的未成年人，以自己的劳动收入为主要生活来源的，视为完全民事行为能力人）。</w:t>
            </w:r>
          </w:p>
          <w:p w14:paraId="15B773B5">
            <w:pPr>
              <w:keepNext w:val="0"/>
              <w:keepLines w:val="0"/>
              <w:suppressLineNumbers w:val="0"/>
              <w:autoSpaceDE w:val="0"/>
              <w:autoSpaceDN w:val="0"/>
              <w:snapToGrid w:val="0"/>
              <w:spacing w:before="0" w:beforeAutospacing="0" w:after="0" w:afterAutospacing="0" w:line="360" w:lineRule="exact"/>
              <w:ind w:left="0" w:right="0"/>
              <w:textAlignment w:val="bottom"/>
              <w:rPr>
                <w:rFonts w:hint="eastAsia" w:ascii="宋体" w:hAnsi="Times New Roman" w:cs="Times New Roman"/>
                <w:b/>
                <w:bCs/>
                <w:color w:val="auto"/>
                <w:sz w:val="21"/>
                <w:szCs w:val="21"/>
                <w:highlight w:val="none"/>
              </w:rPr>
            </w:pPr>
            <w:r>
              <w:rPr>
                <w:rFonts w:hint="eastAsia" w:ascii="宋体" w:hAnsi="Times New Roman" w:cs="Times New Roman"/>
                <w:b/>
                <w:bCs/>
                <w:color w:val="auto"/>
                <w:sz w:val="21"/>
                <w:szCs w:val="21"/>
                <w:highlight w:val="none"/>
              </w:rPr>
              <w:t>4.本</w:t>
            </w:r>
            <w:r>
              <w:rPr>
                <w:rFonts w:hint="eastAsia" w:ascii="宋体" w:hAnsi="Times New Roman" w:cs="Times New Roman"/>
                <w:b/>
                <w:bCs/>
                <w:color w:val="auto"/>
                <w:sz w:val="21"/>
                <w:szCs w:val="21"/>
                <w:highlight w:val="none"/>
                <w:lang w:eastAsia="zh-CN"/>
              </w:rPr>
              <w:t>采购文件</w:t>
            </w:r>
            <w:r>
              <w:rPr>
                <w:rFonts w:hint="eastAsia" w:ascii="宋体" w:hAnsi="Times New Roman" w:cs="Times New Roman"/>
                <w:b/>
                <w:bCs/>
                <w:color w:val="auto"/>
                <w:sz w:val="21"/>
                <w:szCs w:val="21"/>
                <w:highlight w:val="none"/>
              </w:rPr>
              <w:t>中描述</w:t>
            </w:r>
            <w:r>
              <w:rPr>
                <w:rFonts w:hint="eastAsia" w:ascii="宋体" w:hAnsi="Times New Roman" w:cs="Times New Roman"/>
                <w:b/>
                <w:bCs/>
                <w:color w:val="auto"/>
                <w:sz w:val="21"/>
                <w:szCs w:val="21"/>
                <w:highlight w:val="none"/>
                <w:lang w:eastAsia="zh-CN"/>
              </w:rPr>
              <w:t>供应商</w:t>
            </w:r>
            <w:r>
              <w:rPr>
                <w:rFonts w:hint="eastAsia" w:ascii="宋体" w:hAnsi="Times New Roman" w:cs="Times New Roman"/>
                <w:b/>
                <w:bCs/>
                <w:color w:val="auto"/>
                <w:sz w:val="21"/>
                <w:szCs w:val="21"/>
                <w:highlight w:val="none"/>
              </w:rPr>
              <w:t>的“签字”是指</w:t>
            </w:r>
            <w:r>
              <w:rPr>
                <w:rFonts w:hint="eastAsia" w:ascii="宋体" w:hAnsi="Times New Roman" w:cs="Times New Roman"/>
                <w:b/>
                <w:bCs/>
                <w:color w:val="auto"/>
                <w:sz w:val="21"/>
                <w:szCs w:val="21"/>
                <w:highlight w:val="none"/>
                <w:lang w:eastAsia="zh-CN"/>
              </w:rPr>
              <w:t>供应商</w:t>
            </w:r>
            <w:r>
              <w:rPr>
                <w:rFonts w:hint="eastAsia" w:ascii="宋体" w:hAnsi="Times New Roman" w:cs="Times New Roman"/>
                <w:b/>
                <w:bCs/>
                <w:color w:val="auto"/>
                <w:sz w:val="21"/>
                <w:szCs w:val="21"/>
                <w:highlight w:val="none"/>
              </w:rPr>
              <w:t>的法定代表人或者委托代理人亲自在文件规定签字处亲笔写上个人的名字的行为，私章、签字章、印鉴、影印等其他形式均不能代替亲笔签字。</w:t>
            </w:r>
          </w:p>
          <w:p w14:paraId="6AD35FB2">
            <w:pPr>
              <w:keepNext w:val="0"/>
              <w:keepLines w:val="0"/>
              <w:suppressLineNumbers w:val="0"/>
              <w:autoSpaceDE w:val="0"/>
              <w:autoSpaceDN w:val="0"/>
              <w:snapToGrid w:val="0"/>
              <w:spacing w:before="0" w:beforeAutospacing="0" w:after="0" w:afterAutospacing="0" w:line="360" w:lineRule="exact"/>
              <w:ind w:left="0" w:right="0"/>
              <w:textAlignment w:val="bottom"/>
              <w:rPr>
                <w:rFonts w:hint="eastAsia" w:ascii="Times New Roman" w:hAnsi="Times New Roman" w:cs="Times New Roman"/>
                <w:color w:val="auto"/>
                <w:sz w:val="21"/>
                <w:szCs w:val="21"/>
                <w:highlight w:val="none"/>
              </w:rPr>
            </w:pPr>
            <w:r>
              <w:rPr>
                <w:rFonts w:hint="eastAsia" w:ascii="宋体" w:hAnsi="Times New Roman" w:cs="Times New Roman"/>
                <w:color w:val="auto"/>
                <w:sz w:val="21"/>
                <w:szCs w:val="21"/>
                <w:highlight w:val="none"/>
              </w:rPr>
              <w:t>5.本</w:t>
            </w:r>
            <w:r>
              <w:rPr>
                <w:rFonts w:hint="eastAsia" w:ascii="宋体" w:hAnsi="Times New Roman" w:cs="Times New Roman"/>
                <w:color w:val="auto"/>
                <w:sz w:val="21"/>
                <w:szCs w:val="21"/>
                <w:highlight w:val="none"/>
                <w:lang w:eastAsia="zh-CN"/>
              </w:rPr>
              <w:t>采购文件</w:t>
            </w:r>
            <w:r>
              <w:rPr>
                <w:rFonts w:hint="eastAsia" w:ascii="宋体" w:hAnsi="Times New Roman" w:cs="Times New Roman"/>
                <w:color w:val="auto"/>
                <w:sz w:val="21"/>
                <w:szCs w:val="21"/>
                <w:highlight w:val="none"/>
              </w:rPr>
              <w:t>所称的“以上”“以下”“以内”“届满”，包括本数；所称的“不满”“超过”“以外”，不包括本数。</w:t>
            </w:r>
          </w:p>
        </w:tc>
      </w:tr>
      <w:tr w14:paraId="275D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691A1118">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05102D7A">
            <w:pPr>
              <w:pStyle w:val="58"/>
              <w:keepNext w:val="0"/>
              <w:keepLines w:val="0"/>
              <w:suppressLineNumbers w:val="0"/>
              <w:spacing w:before="0" w:beforeAutospacing="0" w:after="0" w:afterAutospacing="0" w:line="400" w:lineRule="exact"/>
              <w:ind w:left="0" w:right="0"/>
              <w:rPr>
                <w:rFonts w:hint="eastAsia" w:cs="Times New Roman"/>
                <w:color w:val="auto"/>
                <w:sz w:val="21"/>
                <w:szCs w:val="21"/>
                <w:highlight w:val="none"/>
              </w:rPr>
            </w:pPr>
            <w:r>
              <w:rPr>
                <w:rFonts w:hint="eastAsia" w:cs="Times New Roman"/>
                <w:snapToGrid w:val="0"/>
                <w:color w:val="auto"/>
                <w:sz w:val="21"/>
                <w:szCs w:val="21"/>
                <w:highlight w:val="none"/>
              </w:rPr>
              <w:t>响应文件份数：电子加密响应文件在线上传提交一份。</w:t>
            </w:r>
          </w:p>
        </w:tc>
      </w:tr>
      <w:tr w14:paraId="10C7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6F155DFF">
            <w:pPr>
              <w:pStyle w:val="58"/>
              <w:keepNext w:val="0"/>
              <w:keepLines w:val="0"/>
              <w:numPr>
                <w:ilvl w:val="0"/>
                <w:numId w:val="3"/>
              </w:numPr>
              <w:suppressLineNumbers w:val="0"/>
              <w:spacing w:before="0" w:beforeAutospacing="0" w:after="0" w:afterAutospacing="0" w:line="390" w:lineRule="exact"/>
              <w:ind w:right="0"/>
              <w:jc w:val="center"/>
              <w:rPr>
                <w:rFonts w:hint="eastAsia" w:cs="Times New Roman"/>
                <w:color w:val="auto"/>
                <w:sz w:val="21"/>
                <w:szCs w:val="21"/>
                <w:highlight w:val="none"/>
              </w:rPr>
            </w:pPr>
          </w:p>
        </w:tc>
        <w:tc>
          <w:tcPr>
            <w:tcW w:w="8369" w:type="dxa"/>
            <w:noWrap w:val="0"/>
            <w:vAlign w:val="center"/>
          </w:tcPr>
          <w:p w14:paraId="489AA10A">
            <w:pPr>
              <w:pStyle w:val="58"/>
              <w:keepNext w:val="0"/>
              <w:keepLines w:val="0"/>
              <w:suppressLineNumbers w:val="0"/>
              <w:spacing w:before="0" w:beforeAutospacing="0" w:after="0" w:afterAutospacing="0" w:line="400" w:lineRule="exact"/>
              <w:ind w:left="0" w:right="0"/>
              <w:rPr>
                <w:rFonts w:hint="eastAsia" w:cs="Times New Roman"/>
                <w:snapToGrid w:val="0"/>
                <w:color w:val="auto"/>
                <w:sz w:val="21"/>
                <w:szCs w:val="21"/>
                <w:highlight w:val="none"/>
              </w:rPr>
            </w:pPr>
            <w:r>
              <w:rPr>
                <w:rFonts w:hint="eastAsia" w:cs="Times New Roman"/>
                <w:snapToGrid w:val="0"/>
                <w:color w:val="auto"/>
                <w:sz w:val="21"/>
                <w:szCs w:val="21"/>
                <w:highlight w:val="none"/>
              </w:rPr>
              <w:t>电子加密响应文件的解密：</w:t>
            </w:r>
          </w:p>
          <w:p w14:paraId="472ADAAC">
            <w:pPr>
              <w:pStyle w:val="58"/>
              <w:keepNext w:val="0"/>
              <w:keepLines w:val="0"/>
              <w:suppressLineNumbers w:val="0"/>
              <w:spacing w:before="0" w:beforeAutospacing="0" w:after="0" w:afterAutospacing="0" w:line="400" w:lineRule="exact"/>
              <w:ind w:left="0" w:right="0"/>
              <w:rPr>
                <w:rFonts w:hint="eastAsia" w:cs="Times New Roman"/>
                <w:snapToGrid w:val="0"/>
                <w:color w:val="auto"/>
                <w:sz w:val="21"/>
                <w:szCs w:val="21"/>
                <w:highlight w:val="none"/>
              </w:rPr>
            </w:pPr>
            <w:r>
              <w:rPr>
                <w:rFonts w:hint="eastAsia" w:cs="Times New Roman"/>
                <w:snapToGrid w:val="0"/>
                <w:color w:val="auto"/>
                <w:sz w:val="21"/>
                <w:szCs w:val="21"/>
                <w:highlight w:val="none"/>
              </w:rPr>
              <w:t>谈判响应文件开启后，本公司将向各参与谈判供应商发出“电子加密响应文件”的解密通知，各谈判供应商代表应当在接到解密通知后30分钟内自行完成“电子加密响应文件”的在线解密。</w:t>
            </w:r>
          </w:p>
        </w:tc>
      </w:tr>
    </w:tbl>
    <w:p w14:paraId="6AD42F26">
      <w:pPr>
        <w:spacing w:line="400" w:lineRule="exact"/>
        <w:jc w:val="center"/>
        <w:rPr>
          <w:rFonts w:hint="eastAsia" w:ascii="仿宋_GB2312" w:hAnsi="宋体" w:eastAsia="仿宋_GB2312"/>
          <w:b/>
          <w:color w:val="auto"/>
          <w:sz w:val="32"/>
          <w:szCs w:val="32"/>
          <w:highlight w:val="none"/>
        </w:rPr>
      </w:pPr>
    </w:p>
    <w:p w14:paraId="32374FF3">
      <w:pPr>
        <w:spacing w:line="720" w:lineRule="auto"/>
        <w:jc w:val="center"/>
        <w:rPr>
          <w:rFonts w:hint="eastAsia" w:ascii="宋体" w:hAnsi="宋体"/>
          <w:b/>
          <w:color w:val="auto"/>
          <w:sz w:val="32"/>
          <w:szCs w:val="32"/>
          <w:highlight w:val="none"/>
        </w:rPr>
      </w:pPr>
      <w:r>
        <w:rPr>
          <w:rFonts w:ascii="仿宋_GB2312" w:hAnsi="宋体" w:eastAsia="仿宋_GB2312"/>
          <w:b/>
          <w:color w:val="auto"/>
          <w:sz w:val="32"/>
          <w:szCs w:val="32"/>
          <w:highlight w:val="none"/>
        </w:rPr>
        <w:br w:type="page"/>
      </w:r>
      <w:r>
        <w:rPr>
          <w:rFonts w:hint="eastAsia" w:ascii="宋体" w:hAnsi="宋体"/>
          <w:b/>
          <w:color w:val="auto"/>
          <w:sz w:val="32"/>
          <w:szCs w:val="32"/>
          <w:highlight w:val="none"/>
        </w:rPr>
        <w:t>谈判供应商须知</w:t>
      </w:r>
    </w:p>
    <w:p w14:paraId="5D88E1F6">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一、总　则</w:t>
      </w:r>
    </w:p>
    <w:p w14:paraId="6E4A37E5">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一）</w:t>
      </w:r>
      <w:r>
        <w:rPr>
          <w:rFonts w:hint="eastAsia" w:ascii="宋体" w:hAnsi="宋体"/>
          <w:b/>
          <w:bCs/>
          <w:color w:val="auto"/>
          <w:szCs w:val="21"/>
          <w:highlight w:val="none"/>
        </w:rPr>
        <w:t>适用范围</w:t>
      </w:r>
    </w:p>
    <w:p w14:paraId="57359B1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本文件仅适用于本文件中所叙述的</w:t>
      </w:r>
      <w:r>
        <w:rPr>
          <w:rFonts w:hint="eastAsia" w:ascii="宋体" w:hAnsi="宋体"/>
          <w:b/>
          <w:color w:val="auto"/>
          <w:szCs w:val="21"/>
          <w:highlight w:val="none"/>
        </w:rPr>
        <w:t>货物类</w:t>
      </w:r>
      <w:r>
        <w:rPr>
          <w:rFonts w:hint="eastAsia" w:ascii="宋体" w:hAnsi="宋体"/>
          <w:color w:val="auto"/>
          <w:szCs w:val="21"/>
          <w:highlight w:val="none"/>
        </w:rPr>
        <w:t>政府采购项目。</w:t>
      </w:r>
    </w:p>
    <w:p w14:paraId="26B40B7D">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二）</w:t>
      </w:r>
      <w:r>
        <w:rPr>
          <w:rFonts w:hint="eastAsia" w:ascii="宋体" w:hAnsi="宋体"/>
          <w:b/>
          <w:bCs/>
          <w:color w:val="auto"/>
          <w:szCs w:val="21"/>
          <w:highlight w:val="none"/>
        </w:rPr>
        <w:t>定义</w:t>
      </w:r>
    </w:p>
    <w:p w14:paraId="54B11C3E">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“采购人”系指组织本次招标的采购单位。</w:t>
      </w:r>
    </w:p>
    <w:p w14:paraId="43A0693D">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“采购代理机构”系指广西国力招标有限公司（以下简称“本公司”）。</w:t>
      </w:r>
    </w:p>
    <w:p w14:paraId="5C6A9E77">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w:t>
      </w:r>
      <w:r>
        <w:rPr>
          <w:rFonts w:hint="eastAsia" w:hAnsi="宋体"/>
          <w:color w:val="auto"/>
          <w:highlight w:val="none"/>
          <w:lang w:eastAsia="zh-CN"/>
        </w:rPr>
        <w:t>供应商</w:t>
      </w:r>
      <w:r>
        <w:rPr>
          <w:rFonts w:hint="eastAsia" w:hAnsi="宋体"/>
          <w:color w:val="auto"/>
          <w:highlight w:val="none"/>
        </w:rPr>
        <w:t>”系指响应招标、参加投标竞争的法人、其他组织或者自然人。</w:t>
      </w:r>
    </w:p>
    <w:p w14:paraId="1A051307">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4.“产品”系指供方按招标文件规定，须向采购人提供的一切设备、保险、税金、备品备件、工具、手册及其它有关技术资料和材料。</w:t>
      </w:r>
    </w:p>
    <w:p w14:paraId="4DD62A5F">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5</w:t>
      </w:r>
      <w:r>
        <w:rPr>
          <w:rFonts w:hint="eastAsia"/>
          <w:color w:val="auto"/>
          <w:highlight w:val="none"/>
          <w:lang w:eastAsia="zh-CN"/>
        </w:rPr>
        <w:t>．</w:t>
      </w:r>
      <w:r>
        <w:rPr>
          <w:rFonts w:hint="eastAsia"/>
          <w:color w:val="auto"/>
          <w:highlight w:val="none"/>
        </w:rPr>
        <w:t>“服务”系指招标文件规定</w:t>
      </w:r>
      <w:r>
        <w:rPr>
          <w:rFonts w:hint="eastAsia"/>
          <w:color w:val="auto"/>
          <w:highlight w:val="none"/>
          <w:lang w:eastAsia="zh-CN"/>
        </w:rPr>
        <w:t>供应商</w:t>
      </w:r>
      <w:r>
        <w:rPr>
          <w:rFonts w:hint="eastAsia"/>
          <w:color w:val="auto"/>
          <w:highlight w:val="none"/>
        </w:rPr>
        <w:t>须承担的安装、调试、技术协助、校准、培训、技术指导以及其他类似的义务。</w:t>
      </w:r>
    </w:p>
    <w:p w14:paraId="6B30FB79">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6.“项目”系指</w:t>
      </w:r>
      <w:r>
        <w:rPr>
          <w:rFonts w:hint="eastAsia"/>
          <w:color w:val="auto"/>
          <w:highlight w:val="none"/>
          <w:lang w:eastAsia="zh-CN"/>
        </w:rPr>
        <w:t>供应商</w:t>
      </w:r>
      <w:r>
        <w:rPr>
          <w:rFonts w:hint="eastAsia"/>
          <w:color w:val="auto"/>
          <w:highlight w:val="none"/>
        </w:rPr>
        <w:t>按招标文件规定向采购人提供的产品和服务。</w:t>
      </w:r>
    </w:p>
    <w:p w14:paraId="0BF02DE8">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7.“书面形式”包括信函、传真、电报等。</w:t>
      </w:r>
    </w:p>
    <w:p w14:paraId="01C43D7E">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8.“▲”系指实质性要求条款</w:t>
      </w:r>
      <w:r>
        <w:rPr>
          <w:rFonts w:hint="eastAsia"/>
          <w:color w:val="auto"/>
          <w:highlight w:val="none"/>
          <w:lang w:eastAsia="zh-CN"/>
        </w:rPr>
        <w:t>，重要参数要求是指采购需求中带“●”的条款，作为评分内容</w:t>
      </w:r>
      <w:r>
        <w:rPr>
          <w:rFonts w:hint="eastAsia"/>
          <w:color w:val="auto"/>
          <w:highlight w:val="none"/>
        </w:rPr>
        <w:t>。</w:t>
      </w:r>
    </w:p>
    <w:p w14:paraId="2CB903C7">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9.“允许偏离的技术、性能指标或者辅助功能项目”系指不带“▲”的非实质性要求的技术指标、主要功能项目条款。</w:t>
      </w:r>
    </w:p>
    <w:p w14:paraId="3319C9E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“竞争性谈判响应文件”是指：供应商根据本文件要求，编制包含报价、技术和服务等所有内容的文件。</w:t>
      </w:r>
    </w:p>
    <w:p w14:paraId="74D83A5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11.</w:t>
      </w:r>
      <w:r>
        <w:rPr>
          <w:rFonts w:hint="eastAsia" w:ascii="宋体" w:hAnsi="宋体"/>
          <w:color w:val="auto"/>
          <w:szCs w:val="21"/>
          <w:highlight w:val="none"/>
        </w:rPr>
        <w:t xml:space="preserve"> 谈判供应商的基本条件：详见须知前附表。</w:t>
      </w:r>
    </w:p>
    <w:p w14:paraId="18CB6467">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2" w:firstLineChars="200"/>
        <w:textAlignment w:val="auto"/>
        <w:rPr>
          <w:rFonts w:hint="eastAsia"/>
          <w:b/>
          <w:color w:val="auto"/>
          <w:highlight w:val="none"/>
        </w:rPr>
      </w:pPr>
      <w:r>
        <w:rPr>
          <w:rFonts w:hint="eastAsia"/>
          <w:b/>
          <w:color w:val="auto"/>
          <w:highlight w:val="none"/>
        </w:rPr>
        <w:t>（三）</w:t>
      </w:r>
      <w:r>
        <w:rPr>
          <w:rFonts w:hint="eastAsia"/>
          <w:b/>
          <w:color w:val="auto"/>
          <w:highlight w:val="none"/>
          <w:lang w:val="en-US" w:eastAsia="zh-CN"/>
        </w:rPr>
        <w:t>采购</w:t>
      </w:r>
      <w:r>
        <w:rPr>
          <w:rFonts w:hint="eastAsia"/>
          <w:b/>
          <w:color w:val="auto"/>
          <w:highlight w:val="none"/>
        </w:rPr>
        <w:t>方式</w:t>
      </w:r>
    </w:p>
    <w:p w14:paraId="3FC56A24">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lang w:val="en-US" w:eastAsia="zh-CN"/>
        </w:rPr>
        <w:t>竞争性谈判</w:t>
      </w:r>
      <w:r>
        <w:rPr>
          <w:rFonts w:hint="eastAsia"/>
          <w:color w:val="auto"/>
          <w:highlight w:val="none"/>
        </w:rPr>
        <w:t>。</w:t>
      </w:r>
      <w:bookmarkStart w:id="45" w:name="_Toc254970530"/>
      <w:bookmarkStart w:id="46" w:name="_Toc254970671"/>
    </w:p>
    <w:p w14:paraId="646934B2">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2" w:firstLineChars="200"/>
        <w:textAlignment w:val="auto"/>
        <w:rPr>
          <w:rFonts w:hint="eastAsia"/>
          <w:b/>
          <w:color w:val="auto"/>
          <w:highlight w:val="none"/>
        </w:rPr>
      </w:pPr>
      <w:r>
        <w:rPr>
          <w:rFonts w:hint="eastAsia"/>
          <w:b/>
          <w:color w:val="auto"/>
          <w:highlight w:val="none"/>
        </w:rPr>
        <w:t>（四）</w:t>
      </w:r>
      <w:r>
        <w:rPr>
          <w:rFonts w:hint="eastAsia"/>
          <w:b/>
          <w:color w:val="auto"/>
          <w:highlight w:val="none"/>
          <w:lang w:val="en-US" w:eastAsia="zh-CN"/>
        </w:rPr>
        <w:t>竞标</w:t>
      </w:r>
      <w:r>
        <w:rPr>
          <w:rFonts w:hint="eastAsia"/>
          <w:b/>
          <w:color w:val="auto"/>
          <w:highlight w:val="none"/>
        </w:rPr>
        <w:t>委托</w:t>
      </w:r>
      <w:bookmarkEnd w:id="45"/>
      <w:bookmarkEnd w:id="46"/>
    </w:p>
    <w:p w14:paraId="380A1CEC">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如</w:t>
      </w:r>
      <w:r>
        <w:rPr>
          <w:rFonts w:hint="eastAsia"/>
          <w:color w:val="auto"/>
          <w:highlight w:val="none"/>
          <w:lang w:val="en-US" w:eastAsia="zh-CN"/>
        </w:rPr>
        <w:t>供应商</w:t>
      </w:r>
      <w:r>
        <w:rPr>
          <w:rFonts w:hint="eastAsia"/>
          <w:color w:val="auto"/>
          <w:highlight w:val="none"/>
        </w:rPr>
        <w:t>代表不是法定代表人(负责人)，须有法定代表人(负责人)出具的授权委托书（格式见第</w:t>
      </w:r>
      <w:r>
        <w:rPr>
          <w:rFonts w:hint="eastAsia"/>
          <w:color w:val="auto"/>
          <w:highlight w:val="none"/>
          <w:lang w:val="en-US" w:eastAsia="zh-CN"/>
        </w:rPr>
        <w:t>四</w:t>
      </w:r>
      <w:r>
        <w:rPr>
          <w:rFonts w:hint="eastAsia"/>
          <w:color w:val="auto"/>
          <w:highlight w:val="none"/>
        </w:rPr>
        <w:t>章《</w:t>
      </w:r>
      <w:r>
        <w:rPr>
          <w:rFonts w:hint="eastAsia"/>
          <w:color w:val="auto"/>
          <w:highlight w:val="none"/>
          <w:lang w:val="en-US" w:eastAsia="zh-CN"/>
        </w:rPr>
        <w:t>竞争性谈判响应</w:t>
      </w:r>
      <w:r>
        <w:rPr>
          <w:rFonts w:hint="eastAsia"/>
          <w:color w:val="auto"/>
          <w:highlight w:val="none"/>
        </w:rPr>
        <w:t>格式》）。</w:t>
      </w:r>
      <w:bookmarkStart w:id="47" w:name="_Toc254970531"/>
      <w:bookmarkStart w:id="48" w:name="_Toc254970672"/>
    </w:p>
    <w:p w14:paraId="056DA1B6">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2" w:firstLineChars="200"/>
        <w:textAlignment w:val="auto"/>
        <w:rPr>
          <w:rFonts w:hint="eastAsia"/>
          <w:b/>
          <w:color w:val="auto"/>
          <w:highlight w:val="none"/>
        </w:rPr>
      </w:pPr>
      <w:r>
        <w:rPr>
          <w:rFonts w:hint="eastAsia"/>
          <w:b/>
          <w:color w:val="auto"/>
          <w:highlight w:val="none"/>
        </w:rPr>
        <w:t>（五）</w:t>
      </w:r>
      <w:r>
        <w:rPr>
          <w:rFonts w:hint="eastAsia"/>
          <w:b/>
          <w:color w:val="auto"/>
          <w:highlight w:val="none"/>
          <w:lang w:val="en-US" w:eastAsia="zh-CN"/>
        </w:rPr>
        <w:t>竞标</w:t>
      </w:r>
      <w:r>
        <w:rPr>
          <w:rFonts w:hint="eastAsia"/>
          <w:b/>
          <w:color w:val="auto"/>
          <w:highlight w:val="none"/>
        </w:rPr>
        <w:t>费用</w:t>
      </w:r>
      <w:bookmarkEnd w:id="47"/>
      <w:bookmarkEnd w:id="48"/>
    </w:p>
    <w:p w14:paraId="266B4CB5">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lang w:eastAsia="zh-CN"/>
        </w:rPr>
      </w:pPr>
      <w:r>
        <w:rPr>
          <w:rFonts w:hint="eastAsia"/>
          <w:color w:val="auto"/>
          <w:highlight w:val="none"/>
          <w:lang w:val="en-US" w:eastAsia="zh-CN"/>
        </w:rPr>
        <w:t>供应商</w:t>
      </w:r>
      <w:r>
        <w:rPr>
          <w:rFonts w:hint="eastAsia"/>
          <w:color w:val="auto"/>
          <w:highlight w:val="none"/>
        </w:rPr>
        <w:t>均应自行承担所有与</w:t>
      </w:r>
      <w:r>
        <w:rPr>
          <w:rFonts w:hint="eastAsia"/>
          <w:color w:val="auto"/>
          <w:highlight w:val="none"/>
          <w:lang w:val="en-US" w:eastAsia="zh-CN"/>
        </w:rPr>
        <w:t>本项目竞标</w:t>
      </w:r>
      <w:r>
        <w:rPr>
          <w:rFonts w:hint="eastAsia"/>
          <w:color w:val="auto"/>
          <w:highlight w:val="none"/>
        </w:rPr>
        <w:t>有关的全部费用（</w:t>
      </w:r>
      <w:r>
        <w:rPr>
          <w:rFonts w:hint="eastAsia"/>
          <w:color w:val="auto"/>
          <w:highlight w:val="none"/>
          <w:lang w:val="en-US" w:eastAsia="zh-CN"/>
        </w:rPr>
        <w:t>采购</w:t>
      </w:r>
      <w:r>
        <w:rPr>
          <w:rFonts w:hint="eastAsia"/>
          <w:color w:val="auto"/>
          <w:highlight w:val="none"/>
        </w:rPr>
        <w:t>文件有相关的规定除外）</w:t>
      </w:r>
      <w:r>
        <w:rPr>
          <w:rFonts w:hint="eastAsia"/>
          <w:color w:val="auto"/>
          <w:highlight w:val="none"/>
          <w:lang w:eastAsia="zh-CN"/>
        </w:rPr>
        <w:t>。</w:t>
      </w:r>
    </w:p>
    <w:p w14:paraId="5DB738AA">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谈判供应商应自行承担所有与编写和提交竞争性谈判响应文件有关的费用，不论谈判结果如何，采购人和广西国力招标有限公司在任何情况下无义务和责任承担此类费用。</w:t>
      </w:r>
    </w:p>
    <w:p w14:paraId="31AFD001">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本项目的代理服务费按须知前附表的规定执行，由成交供应商在发布成交结果公告后，一次性向采购代理机构支付。</w:t>
      </w:r>
    </w:p>
    <w:p w14:paraId="2FD7D7EB">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2" w:firstLineChars="200"/>
        <w:textAlignment w:val="auto"/>
        <w:rPr>
          <w:rFonts w:hint="eastAsia" w:eastAsia="宋体"/>
          <w:b/>
          <w:color w:val="auto"/>
          <w:highlight w:val="none"/>
          <w:lang w:eastAsia="zh-CN"/>
        </w:rPr>
      </w:pPr>
      <w:r>
        <w:rPr>
          <w:rFonts w:hint="eastAsia"/>
          <w:b/>
          <w:color w:val="auto"/>
          <w:highlight w:val="none"/>
        </w:rPr>
        <w:t>（六）联合体</w:t>
      </w:r>
      <w:r>
        <w:rPr>
          <w:rFonts w:hint="eastAsia"/>
          <w:b/>
          <w:color w:val="auto"/>
          <w:highlight w:val="none"/>
          <w:lang w:val="en-US" w:eastAsia="zh-CN"/>
        </w:rPr>
        <w:t>竞标</w:t>
      </w:r>
    </w:p>
    <w:p w14:paraId="169D673C">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hAnsi="宋体"/>
          <w:color w:val="auto"/>
          <w:highlight w:val="none"/>
        </w:rPr>
        <w:t>本项目明确不接受联合体形式</w:t>
      </w:r>
      <w:r>
        <w:rPr>
          <w:rFonts w:hint="eastAsia" w:hAnsi="宋体"/>
          <w:color w:val="auto"/>
          <w:highlight w:val="none"/>
          <w:lang w:val="en-US" w:eastAsia="zh-CN"/>
        </w:rPr>
        <w:t>竞标</w:t>
      </w:r>
      <w:r>
        <w:rPr>
          <w:rFonts w:hint="eastAsia" w:hAnsi="宋体"/>
          <w:color w:val="auto"/>
          <w:highlight w:val="none"/>
        </w:rPr>
        <w:t>，本</w:t>
      </w:r>
      <w:r>
        <w:rPr>
          <w:rFonts w:hint="eastAsia" w:hAnsi="宋体"/>
          <w:color w:val="auto"/>
          <w:highlight w:val="none"/>
          <w:lang w:val="en-US" w:eastAsia="zh-CN"/>
        </w:rPr>
        <w:t>采购</w:t>
      </w:r>
      <w:r>
        <w:rPr>
          <w:rFonts w:hint="eastAsia" w:hAnsi="宋体"/>
          <w:color w:val="auto"/>
          <w:highlight w:val="none"/>
        </w:rPr>
        <w:t>文件所有相关联合体要求及格式文件均不适用。</w:t>
      </w:r>
      <w:r>
        <w:rPr>
          <w:rFonts w:hint="eastAsia" w:hAnsi="宋体"/>
          <w:color w:val="auto"/>
          <w:highlight w:val="none"/>
          <w:lang w:val="en-US" w:eastAsia="zh-CN"/>
        </w:rPr>
        <w:t>供应商</w:t>
      </w:r>
      <w:r>
        <w:rPr>
          <w:rFonts w:hint="eastAsia" w:hAnsi="宋体"/>
          <w:color w:val="auto"/>
          <w:highlight w:val="none"/>
        </w:rPr>
        <w:t>以联合体形式参加投标的，</w:t>
      </w:r>
      <w:r>
        <w:rPr>
          <w:rFonts w:hint="eastAsia" w:hAnsi="宋体"/>
          <w:color w:val="auto"/>
          <w:highlight w:val="none"/>
          <w:lang w:val="en-US" w:eastAsia="zh-CN"/>
        </w:rPr>
        <w:t>竞标</w:t>
      </w:r>
      <w:r>
        <w:rPr>
          <w:rFonts w:hint="eastAsia" w:hAnsi="宋体"/>
          <w:color w:val="auto"/>
          <w:highlight w:val="none"/>
        </w:rPr>
        <w:t>无效。</w:t>
      </w:r>
    </w:p>
    <w:p w14:paraId="0CDA3955">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2" w:firstLineChars="200"/>
        <w:textAlignment w:val="auto"/>
        <w:rPr>
          <w:rFonts w:hint="eastAsia" w:cs="宋体"/>
          <w:b/>
          <w:color w:val="auto"/>
          <w:kern w:val="0"/>
          <w:highlight w:val="none"/>
        </w:rPr>
      </w:pPr>
      <w:r>
        <w:rPr>
          <w:rFonts w:hint="eastAsia"/>
          <w:b/>
          <w:color w:val="auto"/>
          <w:highlight w:val="none"/>
        </w:rPr>
        <w:t>（七）</w:t>
      </w:r>
      <w:r>
        <w:rPr>
          <w:rFonts w:hint="eastAsia" w:cs="宋体"/>
          <w:b/>
          <w:color w:val="auto"/>
          <w:kern w:val="0"/>
          <w:highlight w:val="none"/>
        </w:rPr>
        <w:t>转包与分包</w:t>
      </w:r>
    </w:p>
    <w:p w14:paraId="5206D026">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1.本项目不允许转包。</w:t>
      </w:r>
    </w:p>
    <w:p w14:paraId="5B99BA19">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bCs/>
          <w:color w:val="auto"/>
          <w:highlight w:val="none"/>
        </w:rPr>
      </w:pPr>
      <w:r>
        <w:rPr>
          <w:rFonts w:hint="eastAsia" w:ascii="宋体" w:hAnsi="宋体"/>
          <w:color w:val="auto"/>
          <w:highlight w:val="none"/>
        </w:rPr>
        <w:t>2.本项目</w:t>
      </w:r>
      <w:r>
        <w:rPr>
          <w:rFonts w:hint="eastAsia" w:ascii="宋体" w:hAnsi="宋体"/>
          <w:color w:val="auto"/>
          <w:highlight w:val="none"/>
          <w:lang w:eastAsia="zh-CN"/>
        </w:rPr>
        <w:t>允许</w:t>
      </w:r>
      <w:r>
        <w:rPr>
          <w:rFonts w:hint="eastAsia" w:ascii="宋体" w:hAnsi="宋体"/>
          <w:color w:val="auto"/>
          <w:highlight w:val="none"/>
        </w:rPr>
        <w:t>分包。</w:t>
      </w:r>
      <w:bookmarkStart w:id="49" w:name="_Toc254970673"/>
      <w:bookmarkStart w:id="50" w:name="_Toc254970532"/>
      <w:r>
        <w:rPr>
          <w:rFonts w:hint="eastAsia"/>
          <w:bCs/>
          <w:color w:val="auto"/>
          <w:highlight w:val="none"/>
          <w:lang w:eastAsia="zh-CN"/>
        </w:rPr>
        <w:t>供应商</w:t>
      </w:r>
      <w:r>
        <w:rPr>
          <w:rFonts w:hint="eastAsia"/>
          <w:bCs/>
          <w:color w:val="auto"/>
          <w:highlight w:val="none"/>
        </w:rPr>
        <w:t>根据</w:t>
      </w:r>
      <w:r>
        <w:rPr>
          <w:rFonts w:hint="eastAsia"/>
          <w:bCs/>
          <w:color w:val="auto"/>
          <w:highlight w:val="none"/>
          <w:lang w:eastAsia="zh-CN"/>
        </w:rPr>
        <w:t>竞争性谈判</w:t>
      </w:r>
      <w:r>
        <w:rPr>
          <w:rFonts w:hint="eastAsia"/>
          <w:bCs/>
          <w:color w:val="auto"/>
          <w:highlight w:val="none"/>
        </w:rPr>
        <w:t>文件的规定和采购项目的实际情况，拟在</w:t>
      </w:r>
      <w:r>
        <w:rPr>
          <w:rFonts w:hint="eastAsia"/>
          <w:bCs/>
          <w:color w:val="auto"/>
          <w:highlight w:val="none"/>
          <w:lang w:eastAsia="zh-CN"/>
        </w:rPr>
        <w:t>成交</w:t>
      </w:r>
      <w:r>
        <w:rPr>
          <w:rFonts w:hint="eastAsia"/>
          <w:bCs/>
          <w:color w:val="auto"/>
          <w:highlight w:val="none"/>
        </w:rPr>
        <w:t>后将</w:t>
      </w:r>
      <w:r>
        <w:rPr>
          <w:rFonts w:hint="eastAsia"/>
          <w:bCs/>
          <w:color w:val="auto"/>
          <w:highlight w:val="none"/>
          <w:lang w:eastAsia="zh-CN"/>
        </w:rPr>
        <w:t>成交</w:t>
      </w:r>
      <w:r>
        <w:rPr>
          <w:rFonts w:hint="eastAsia"/>
          <w:bCs/>
          <w:color w:val="auto"/>
          <w:highlight w:val="none"/>
        </w:rPr>
        <w:t>项目的非主体、非关键性工作分包的，应当在</w:t>
      </w:r>
      <w:r>
        <w:rPr>
          <w:rFonts w:hint="eastAsia"/>
          <w:bCs/>
          <w:color w:val="auto"/>
          <w:highlight w:val="none"/>
          <w:lang w:eastAsia="zh-CN"/>
        </w:rPr>
        <w:t>响应</w:t>
      </w:r>
      <w:r>
        <w:rPr>
          <w:rFonts w:hint="eastAsia"/>
          <w:bCs/>
          <w:color w:val="auto"/>
          <w:highlight w:val="none"/>
        </w:rPr>
        <w:t>文件中载明分包承担主体，分包承担主体应当具备相应资质条件且不得再次分包。</w:t>
      </w:r>
    </w:p>
    <w:p w14:paraId="10023952">
      <w:pPr>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分包内容：</w:t>
      </w:r>
      <w:r>
        <w:rPr>
          <w:rFonts w:hint="eastAsia" w:ascii="宋体" w:hAnsi="宋体"/>
          <w:color w:val="auto"/>
          <w:szCs w:val="21"/>
          <w:highlight w:val="none"/>
          <w:u w:val="single"/>
        </w:rPr>
        <w:t>详见第二章 采购需求</w:t>
      </w:r>
      <w:r>
        <w:rPr>
          <w:rFonts w:hint="eastAsia" w:ascii="宋体" w:hAnsi="宋体"/>
          <w:color w:val="auto"/>
          <w:szCs w:val="21"/>
          <w:highlight w:val="none"/>
          <w:u w:val="single"/>
          <w:lang w:val="en-US" w:eastAsia="zh-CN"/>
        </w:rPr>
        <w:t xml:space="preserve"> 标项一 </w:t>
      </w:r>
      <w:r>
        <w:rPr>
          <w:rFonts w:hint="eastAsia" w:ascii="宋体" w:hAnsi="宋体"/>
          <w:color w:val="auto"/>
          <w:szCs w:val="21"/>
          <w:highlight w:val="none"/>
          <w:u w:val="single"/>
        </w:rPr>
        <w:t>第</w:t>
      </w:r>
      <w:r>
        <w:rPr>
          <w:rFonts w:hint="eastAsia" w:ascii="宋体" w:hAnsi="宋体"/>
          <w:color w:val="auto"/>
          <w:szCs w:val="21"/>
          <w:highlight w:val="none"/>
          <w:u w:val="single"/>
          <w:lang w:val="en-US" w:eastAsia="zh-CN"/>
        </w:rPr>
        <w:t>4</w:t>
      </w:r>
      <w:r>
        <w:rPr>
          <w:rFonts w:hint="eastAsia" w:ascii="宋体" w:hAnsi="宋体"/>
          <w:color w:val="auto"/>
          <w:szCs w:val="21"/>
          <w:highlight w:val="none"/>
          <w:u w:val="single"/>
        </w:rPr>
        <w:t>项“</w:t>
      </w:r>
      <w:r>
        <w:rPr>
          <w:rFonts w:hint="eastAsia" w:ascii="宋体" w:hAnsi="宋体" w:eastAsia="宋体" w:cs="宋体"/>
          <w:color w:val="auto"/>
          <w:sz w:val="21"/>
          <w:szCs w:val="21"/>
          <w:highlight w:val="none"/>
        </w:rPr>
        <w:t>实训室装修</w:t>
      </w:r>
      <w:r>
        <w:rPr>
          <w:rFonts w:hint="eastAsia" w:ascii="宋体" w:hAnsi="宋体"/>
          <w:color w:val="auto"/>
          <w:szCs w:val="21"/>
          <w:highlight w:val="none"/>
          <w:u w:val="single"/>
        </w:rPr>
        <w:t>”。分包承担主体须具备以下资格条件：具备建筑装修装饰工程专业承包二级及以上资质</w:t>
      </w:r>
      <w:r>
        <w:rPr>
          <w:rFonts w:hint="eastAsia" w:ascii="宋体" w:hAnsi="宋体"/>
          <w:b/>
          <w:bCs/>
          <w:color w:val="auto"/>
          <w:szCs w:val="21"/>
          <w:highlight w:val="none"/>
          <w:u w:val="single"/>
          <w:lang w:val="en-US" w:eastAsia="zh-CN"/>
        </w:rPr>
        <w:t>或</w:t>
      </w:r>
      <w:r>
        <w:rPr>
          <w:rFonts w:hint="eastAsia" w:ascii="宋体" w:hAnsi="宋体"/>
          <w:color w:val="auto"/>
          <w:szCs w:val="21"/>
          <w:highlight w:val="none"/>
          <w:u w:val="single"/>
          <w:lang w:val="en-US" w:eastAsia="zh-CN"/>
        </w:rPr>
        <w:t>建筑工程施工总承包叁级以上（含本级）资质，且具备省级及以上建设行政主管部门颁发的安全生产许可证</w:t>
      </w:r>
      <w:r>
        <w:rPr>
          <w:rFonts w:hint="eastAsia" w:ascii="宋体" w:hAnsi="宋体"/>
          <w:color w:val="auto"/>
          <w:szCs w:val="21"/>
          <w:highlight w:val="none"/>
          <w:u w:val="single"/>
          <w:lang w:eastAsia="zh-CN"/>
        </w:rPr>
        <w:t>，并在人员、设备、资金等方面具有相应的施工能力。</w:t>
      </w:r>
      <w:r>
        <w:rPr>
          <w:rFonts w:hint="eastAsia" w:ascii="宋体" w:hAnsi="宋体"/>
          <w:color w:val="auto"/>
          <w:szCs w:val="21"/>
          <w:highlight w:val="none"/>
          <w:u w:val="single"/>
        </w:rPr>
        <w:t>如供应商不具备上述资格条件，应当对相应标的进行分包，分包承担主体（即分包供应商）须具备上述有效资质要求。</w:t>
      </w:r>
    </w:p>
    <w:p w14:paraId="58580DCA">
      <w:pPr>
        <w:keepNext w:val="0"/>
        <w:keepLines w:val="0"/>
        <w:pageBreakBefore w:val="0"/>
        <w:widowControl/>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bCs/>
          <w:color w:val="auto"/>
          <w:highlight w:val="none"/>
        </w:rPr>
      </w:pPr>
      <w:r>
        <w:rPr>
          <w:rFonts w:hint="eastAsia" w:ascii="宋体" w:hAnsi="宋体"/>
          <w:color w:val="auto"/>
          <w:szCs w:val="21"/>
          <w:highlight w:val="none"/>
        </w:rPr>
        <w:t>分包金额占比</w:t>
      </w:r>
      <w:r>
        <w:rPr>
          <w:rFonts w:hint="eastAsia" w:ascii="宋体" w:hAnsi="宋体"/>
          <w:color w:val="auto"/>
          <w:szCs w:val="21"/>
          <w:highlight w:val="none"/>
          <w:lang w:eastAsia="zh-CN"/>
        </w:rPr>
        <w:t>标项一预算金额</w:t>
      </w:r>
      <w:r>
        <w:rPr>
          <w:rFonts w:hint="eastAsia" w:ascii="宋体" w:hAnsi="宋体"/>
          <w:color w:val="auto"/>
          <w:szCs w:val="21"/>
          <w:highlight w:val="none"/>
        </w:rPr>
        <w:t>：</w:t>
      </w:r>
      <w:r>
        <w:rPr>
          <w:rFonts w:hint="eastAsia" w:ascii="宋体" w:hAnsi="宋体"/>
          <w:color w:val="auto"/>
          <w:szCs w:val="21"/>
          <w:highlight w:val="none"/>
          <w:u w:val="single"/>
        </w:rPr>
        <w:t>约</w:t>
      </w:r>
      <w:r>
        <w:rPr>
          <w:rFonts w:hint="eastAsia" w:ascii="宋体" w:hAnsi="宋体"/>
          <w:color w:val="auto"/>
          <w:szCs w:val="21"/>
          <w:highlight w:val="none"/>
          <w:u w:val="single"/>
          <w:lang w:val="en-US" w:eastAsia="zh-CN"/>
        </w:rPr>
        <w:t>16</w:t>
      </w:r>
      <w:r>
        <w:rPr>
          <w:rFonts w:hint="eastAsia" w:ascii="宋体" w:hAnsi="宋体"/>
          <w:color w:val="auto"/>
          <w:szCs w:val="21"/>
          <w:highlight w:val="none"/>
          <w:u w:val="single"/>
        </w:rPr>
        <w:t>% 。</w:t>
      </w:r>
    </w:p>
    <w:p w14:paraId="2CFFFF4E">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2" w:firstLineChars="200"/>
        <w:textAlignment w:val="auto"/>
        <w:rPr>
          <w:rFonts w:hint="eastAsia"/>
          <w:b/>
          <w:color w:val="auto"/>
          <w:highlight w:val="none"/>
        </w:rPr>
      </w:pPr>
      <w:r>
        <w:rPr>
          <w:rFonts w:hint="eastAsia"/>
          <w:b/>
          <w:color w:val="auto"/>
          <w:highlight w:val="none"/>
        </w:rPr>
        <w:t>（八）特别说明：</w:t>
      </w:r>
      <w:bookmarkEnd w:id="49"/>
      <w:bookmarkEnd w:id="50"/>
    </w:p>
    <w:p w14:paraId="355D2E4B">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bookmarkStart w:id="51" w:name="_Toc254970674"/>
      <w:bookmarkStart w:id="52" w:name="_Toc254970533"/>
      <w:r>
        <w:rPr>
          <w:rFonts w:hint="eastAsia"/>
          <w:color w:val="auto"/>
          <w:highlight w:val="none"/>
        </w:rPr>
        <w:t>▲1.单位负责人为同一人或者存在直接控股、管理关系的不同供应商，不得参加同一合同项下的政府采购活动。</w:t>
      </w:r>
    </w:p>
    <w:p w14:paraId="0D275143">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w:t>
      </w:r>
      <w:r>
        <w:rPr>
          <w:rFonts w:hint="eastAsia"/>
          <w:color w:val="auto"/>
          <w:highlight w:val="none"/>
          <w:lang w:eastAsia="zh-CN"/>
        </w:rPr>
        <w:t>供应商</w:t>
      </w:r>
      <w:r>
        <w:rPr>
          <w:rFonts w:hint="eastAsia"/>
          <w:color w:val="auto"/>
          <w:highlight w:val="none"/>
        </w:rPr>
        <w:t>应仔细阅读招标文件的所有内容，按照招标文件的要求提交投标文件，并对所提供的全部资料的真实性承担法律责任。</w:t>
      </w:r>
    </w:p>
    <w:p w14:paraId="3FEAED11">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lang w:eastAsia="zh-CN"/>
        </w:rPr>
        <w:t>▲</w:t>
      </w:r>
      <w:r>
        <w:rPr>
          <w:rFonts w:hint="eastAsia" w:ascii="宋体" w:hAnsi="Times New Roman" w:eastAsia="宋体" w:cs="Times New Roman"/>
          <w:color w:val="auto"/>
          <w:highlight w:val="none"/>
          <w:lang w:val="en-US" w:eastAsia="zh-CN"/>
        </w:rPr>
        <w:t>3</w:t>
      </w:r>
      <w:r>
        <w:rPr>
          <w:rFonts w:hint="eastAsia" w:ascii="宋体" w:hAnsi="Times New Roman" w:eastAsia="宋体" w:cs="Times New Roman"/>
          <w:color w:val="auto"/>
          <w:highlight w:val="none"/>
          <w:lang w:eastAsia="zh-CN"/>
        </w:rPr>
        <w:t>.供应商</w:t>
      </w:r>
      <w:r>
        <w:rPr>
          <w:rFonts w:hint="eastAsia" w:ascii="宋体" w:hAnsi="Times New Roman" w:eastAsia="宋体" w:cs="Times New Roman"/>
          <w:color w:val="auto"/>
          <w:highlight w:val="none"/>
        </w:rPr>
        <w:t>在投标活动中提供任何虚假材料、互相串通投标，其投标无效，并报监管部门查处。</w:t>
      </w:r>
    </w:p>
    <w:p w14:paraId="3EFF427A">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lang w:val="en-US" w:eastAsia="zh-CN"/>
        </w:rPr>
      </w:pPr>
      <w:r>
        <w:rPr>
          <w:rFonts w:hint="eastAsia" w:ascii="宋体" w:hAnsi="Times New Roman" w:eastAsia="宋体" w:cs="Times New Roman"/>
          <w:color w:val="auto"/>
          <w:highlight w:val="none"/>
          <w:lang w:val="en-US" w:eastAsia="zh-CN"/>
        </w:rPr>
        <w:t>4.</w:t>
      </w:r>
      <w:r>
        <w:rPr>
          <w:rFonts w:hint="eastAsia" w:ascii="宋体" w:hAnsi="Times New Roman" w:eastAsia="宋体" w:cs="Times New Roman"/>
          <w:color w:val="auto"/>
          <w:highlight w:val="none"/>
          <w:lang w:eastAsia="zh-CN"/>
        </w:rPr>
        <w:t>供应商</w:t>
      </w:r>
      <w:r>
        <w:rPr>
          <w:rFonts w:hint="eastAsia" w:ascii="宋体" w:hAnsi="Times New Roman" w:eastAsia="宋体" w:cs="Times New Roman"/>
          <w:color w:val="auto"/>
          <w:highlight w:val="none"/>
        </w:rPr>
        <w:t>在投标活动中提供任何虚假材料，将报监管部门查处；中标后发现的，中标人须依照《中华人民共和国消费者权益保护法》规定赔偿采购人，且民事赔偿并不免除违法</w:t>
      </w:r>
      <w:r>
        <w:rPr>
          <w:rFonts w:hint="eastAsia" w:ascii="宋体" w:hAnsi="Times New Roman" w:eastAsia="宋体" w:cs="Times New Roman"/>
          <w:color w:val="auto"/>
          <w:highlight w:val="none"/>
          <w:lang w:eastAsia="zh-CN"/>
        </w:rPr>
        <w:t>供应商</w:t>
      </w:r>
      <w:r>
        <w:rPr>
          <w:rFonts w:hint="eastAsia" w:ascii="宋体" w:hAnsi="Times New Roman" w:eastAsia="宋体" w:cs="Times New Roman"/>
          <w:color w:val="auto"/>
          <w:highlight w:val="none"/>
        </w:rPr>
        <w:t>的行政与刑事责任。</w:t>
      </w:r>
    </w:p>
    <w:p w14:paraId="54B33EE7">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lang w:val="en-US" w:eastAsia="zh-CN"/>
        </w:rPr>
      </w:pPr>
      <w:r>
        <w:rPr>
          <w:rFonts w:hint="eastAsia" w:ascii="宋体" w:hAnsi="Times New Roman" w:eastAsia="宋体" w:cs="Times New Roman"/>
          <w:color w:val="auto"/>
          <w:highlight w:val="none"/>
          <w:lang w:val="en-US" w:eastAsia="zh-CN"/>
        </w:rPr>
        <w:t>5.</w:t>
      </w:r>
      <w:r>
        <w:rPr>
          <w:rFonts w:hint="eastAsia" w:ascii="宋体" w:hAnsi="Times New Roman" w:eastAsia="宋体" w:cs="Times New Roman"/>
          <w:color w:val="auto"/>
          <w:highlight w:val="none"/>
        </w:rPr>
        <w:t>如果本招标文件要求提供</w:t>
      </w:r>
      <w:r>
        <w:rPr>
          <w:rFonts w:hint="eastAsia" w:ascii="宋体" w:hAnsi="Times New Roman" w:eastAsia="宋体" w:cs="Times New Roman"/>
          <w:color w:val="auto"/>
          <w:highlight w:val="none"/>
          <w:lang w:eastAsia="zh-CN"/>
        </w:rPr>
        <w:t>供应商</w:t>
      </w:r>
      <w:r>
        <w:rPr>
          <w:rFonts w:hint="eastAsia" w:ascii="宋体" w:hAnsi="Times New Roman" w:eastAsia="宋体" w:cs="Times New Roman"/>
          <w:color w:val="auto"/>
          <w:highlight w:val="none"/>
        </w:rPr>
        <w:t>或制造商的资格、信誉、荣誉、业绩与企业认证等材料的，资格、信誉、荣誉、业绩与企业认证等必须为</w:t>
      </w:r>
      <w:r>
        <w:rPr>
          <w:rFonts w:hint="eastAsia" w:ascii="宋体" w:hAnsi="Times New Roman" w:eastAsia="宋体" w:cs="Times New Roman"/>
          <w:color w:val="auto"/>
          <w:highlight w:val="none"/>
          <w:lang w:eastAsia="zh-CN"/>
        </w:rPr>
        <w:t>供应商</w:t>
      </w:r>
      <w:r>
        <w:rPr>
          <w:rFonts w:hint="eastAsia" w:ascii="宋体" w:hAnsi="Times New Roman" w:eastAsia="宋体" w:cs="Times New Roman"/>
          <w:color w:val="auto"/>
          <w:highlight w:val="none"/>
        </w:rPr>
        <w:t>或者制造商所拥有或自身获得</w:t>
      </w:r>
      <w:r>
        <w:rPr>
          <w:rFonts w:hint="eastAsia" w:ascii="宋体" w:hAnsi="Times New Roman" w:eastAsia="宋体" w:cs="Times New Roman"/>
          <w:color w:val="auto"/>
          <w:highlight w:val="none"/>
          <w:lang w:eastAsia="zh-CN"/>
        </w:rPr>
        <w:t>。</w:t>
      </w:r>
    </w:p>
    <w:p w14:paraId="54EBF709">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lang w:val="en-US" w:eastAsia="zh-CN"/>
        </w:rPr>
        <w:t xml:space="preserve">6. </w:t>
      </w:r>
      <w:r>
        <w:rPr>
          <w:rFonts w:hint="eastAsia" w:ascii="宋体" w:hAnsi="Times New Roman" w:eastAsia="宋体" w:cs="Times New Roman"/>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25E51F">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产品在中国境内生产的组件成本占比应当达到规定比例，计算公式为：</w:t>
      </w:r>
    </w:p>
    <w:p w14:paraId="3429A2E2">
      <w:pPr>
        <w:widowControl/>
        <w:shd w:val="clear" w:color="auto" w:fill="FFFFFF"/>
        <w:spacing w:before="30" w:after="30" w:line="360" w:lineRule="auto"/>
        <w:jc w:val="center"/>
        <w:rPr>
          <w:rFonts w:hint="eastAsia" w:ascii="宋体" w:hAnsi="宋体" w:cs="宋体"/>
          <w:color w:val="auto"/>
          <w:kern w:val="0"/>
          <w:sz w:val="24"/>
          <w:highlight w:val="none"/>
        </w:rPr>
      </w:pPr>
      <w:r>
        <w:rPr>
          <w:rFonts w:ascii="宋体" w:hAnsi="宋体" w:cs="宋体"/>
          <w:color w:val="auto"/>
          <w:kern w:val="0"/>
          <w:sz w:val="24"/>
          <w:highlight w:val="none"/>
        </w:rPr>
        <w:drawing>
          <wp:inline distT="0" distB="0" distL="114300" distR="114300">
            <wp:extent cx="4827905" cy="762635"/>
            <wp:effectExtent l="0" t="0" r="10795" b="1841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1"/>
                    <a:stretch>
                      <a:fillRect/>
                    </a:stretch>
                  </pic:blipFill>
                  <pic:spPr>
                    <a:xfrm>
                      <a:off x="0" y="0"/>
                      <a:ext cx="4827905" cy="762635"/>
                    </a:xfrm>
                    <a:prstGeom prst="rect">
                      <a:avLst/>
                    </a:prstGeom>
                    <a:noFill/>
                    <a:ln>
                      <a:noFill/>
                    </a:ln>
                  </pic:spPr>
                </pic:pic>
              </a:graphicData>
            </a:graphic>
          </wp:inline>
        </w:drawing>
      </w:r>
    </w:p>
    <w:p w14:paraId="0B474895">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lang w:eastAsia="zh-CN"/>
        </w:rPr>
      </w:pPr>
      <w:r>
        <w:rPr>
          <w:rFonts w:hint="eastAsia" w:ascii="宋体" w:hAnsi="Times New Roman" w:eastAsia="宋体" w:cs="Times New Roman"/>
          <w:color w:val="auto"/>
          <w:highlight w:val="none"/>
          <w:lang w:eastAsia="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73EB67">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lang w:eastAsia="zh-CN"/>
        </w:rPr>
      </w:pPr>
      <w:r>
        <w:rPr>
          <w:rFonts w:hint="eastAsia" w:ascii="宋体" w:hAnsi="Times New Roman" w:eastAsia="宋体" w:cs="Times New Roman"/>
          <w:color w:val="auto"/>
          <w:highlight w:val="none"/>
          <w:lang w:eastAsia="zh-CN"/>
        </w:rPr>
        <w:t>政府采购活动中既有本国产品又有非本国产品参与竞争的，依法对本国产品给予价格评审优惠，对本国产品的报价给予20%的价格扣除，用扣除后的价格参与评审。未达到80%，不享受价格评审优惠。</w:t>
      </w:r>
    </w:p>
    <w:p w14:paraId="20D46F1F">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textAlignment w:val="auto"/>
        <w:rPr>
          <w:rFonts w:hint="eastAsia" w:ascii="宋体" w:hAnsi="Times New Roman" w:eastAsia="宋体" w:cs="Times New Roman"/>
          <w:color w:val="auto"/>
          <w:highlight w:val="none"/>
          <w:lang w:eastAsia="zh-CN"/>
        </w:rPr>
      </w:pPr>
      <w:r>
        <w:rPr>
          <w:rFonts w:hint="eastAsia" w:ascii="宋体" w:hAnsi="Times New Roman" w:eastAsia="宋体" w:cs="Times New Roman"/>
          <w:color w:val="auto"/>
          <w:highlight w:val="none"/>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3D85909">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2" w:firstLineChars="200"/>
        <w:textAlignment w:val="auto"/>
        <w:rPr>
          <w:b/>
          <w:bCs/>
          <w:color w:val="auto"/>
          <w:highlight w:val="none"/>
        </w:rPr>
      </w:pPr>
      <w:r>
        <w:rPr>
          <w:rFonts w:hint="eastAsia"/>
          <w:b/>
          <w:bCs/>
          <w:color w:val="auto"/>
          <w:highlight w:val="none"/>
        </w:rPr>
        <w:t>（九）</w:t>
      </w:r>
      <w:bookmarkEnd w:id="51"/>
      <w:bookmarkEnd w:id="52"/>
      <w:r>
        <w:rPr>
          <w:rFonts w:hint="eastAsia"/>
          <w:b/>
          <w:color w:val="auto"/>
          <w:highlight w:val="none"/>
        </w:rPr>
        <w:t>询问、质疑和投诉</w:t>
      </w:r>
    </w:p>
    <w:p w14:paraId="787AB735">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eastAsia="zh-CN"/>
        </w:rPr>
        <w:t>供应商</w:t>
      </w:r>
      <w:r>
        <w:rPr>
          <w:rFonts w:hint="eastAsia" w:ascii="宋体" w:hAnsi="宋体"/>
          <w:color w:val="auto"/>
          <w:highlight w:val="none"/>
        </w:rPr>
        <w:t>对政府采购活动事项有疑问的，可以向采购人、采购代理机构提出询问。</w:t>
      </w:r>
    </w:p>
    <w:p w14:paraId="4F4FACE3">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2.</w:t>
      </w:r>
      <w:r>
        <w:rPr>
          <w:rFonts w:hint="eastAsia" w:ascii="宋体" w:hAnsi="宋体"/>
          <w:color w:val="auto"/>
          <w:highlight w:val="none"/>
          <w:lang w:eastAsia="zh-CN"/>
        </w:rPr>
        <w:t>供应商</w:t>
      </w:r>
      <w:r>
        <w:rPr>
          <w:rFonts w:hint="eastAsia" w:ascii="宋体" w:hAnsi="宋体"/>
          <w:color w:val="auto"/>
          <w:highlight w:val="none"/>
        </w:rPr>
        <w:t>认为</w:t>
      </w:r>
      <w:r>
        <w:rPr>
          <w:rFonts w:hint="eastAsia" w:ascii="宋体" w:hAnsi="宋体"/>
          <w:color w:val="auto"/>
          <w:highlight w:val="none"/>
          <w:lang w:eastAsia="zh-CN"/>
        </w:rPr>
        <w:t>采购</w:t>
      </w:r>
      <w:r>
        <w:rPr>
          <w:rFonts w:hint="eastAsia" w:ascii="宋体" w:hAnsi="宋体"/>
          <w:color w:val="auto"/>
          <w:highlight w:val="none"/>
        </w:rPr>
        <w:t>文件、</w:t>
      </w:r>
      <w:r>
        <w:rPr>
          <w:rFonts w:hint="eastAsia" w:ascii="宋体" w:hAnsi="宋体"/>
          <w:color w:val="auto"/>
          <w:highlight w:val="none"/>
          <w:lang w:eastAsia="zh-CN"/>
        </w:rPr>
        <w:t>采购</w:t>
      </w:r>
      <w:r>
        <w:rPr>
          <w:rFonts w:hint="eastAsia" w:ascii="宋体" w:hAnsi="宋体"/>
          <w:color w:val="auto"/>
          <w:highlight w:val="none"/>
        </w:rPr>
        <w:t>过程或</w:t>
      </w:r>
      <w:r>
        <w:rPr>
          <w:rFonts w:hint="eastAsia" w:ascii="宋体" w:hAnsi="宋体"/>
          <w:color w:val="auto"/>
          <w:highlight w:val="none"/>
          <w:lang w:val="en-US" w:eastAsia="zh-CN"/>
        </w:rPr>
        <w:t>成交</w:t>
      </w:r>
      <w:r>
        <w:rPr>
          <w:rFonts w:hint="eastAsia" w:ascii="宋体" w:hAnsi="宋体"/>
          <w:color w:val="auto"/>
          <w:highlight w:val="none"/>
        </w:rPr>
        <w:t>结果使自己的合法权益受到损害的，应当在知道或者应知其权益受到损害之日起七个工作日内，以书面形式向采购人、采购代理机构提出质疑，</w:t>
      </w:r>
      <w:r>
        <w:rPr>
          <w:rFonts w:hint="eastAsia" w:ascii="宋体" w:hAnsi="宋体"/>
          <w:color w:val="auto"/>
          <w:highlight w:val="none"/>
          <w:lang w:eastAsia="zh-CN"/>
        </w:rPr>
        <w:t>供应商</w:t>
      </w:r>
      <w:r>
        <w:rPr>
          <w:rFonts w:hint="eastAsia" w:ascii="宋体" w:hAnsi="宋体"/>
          <w:color w:val="auto"/>
          <w:highlight w:val="none"/>
        </w:rPr>
        <w:t>在法定质疑期内必须一次性提出针对同一采购程序环节的质疑。具体计算时间如下：</w:t>
      </w:r>
    </w:p>
    <w:p w14:paraId="01E5E993">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对可以质疑的采购文件提出质疑的，为收到采购文件之日或者采购文件公告期限届满之日</w:t>
      </w:r>
      <w:r>
        <w:rPr>
          <w:rFonts w:ascii="宋体" w:hAnsi="宋体"/>
          <w:color w:val="auto"/>
          <w:highlight w:val="none"/>
        </w:rPr>
        <w:t>；</w:t>
      </w:r>
    </w:p>
    <w:p w14:paraId="77E136E0">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对采购过程提出质疑的，为各采购程序环节结束之日</w:t>
      </w:r>
      <w:r>
        <w:rPr>
          <w:rFonts w:ascii="宋体" w:hAnsi="宋体"/>
          <w:color w:val="auto"/>
          <w:highlight w:val="none"/>
        </w:rPr>
        <w:t>；</w:t>
      </w:r>
    </w:p>
    <w:p w14:paraId="34A47935">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rPr>
        <w:t>3</w:t>
      </w:r>
      <w:r>
        <w:rPr>
          <w:rFonts w:ascii="宋体" w:hAnsi="宋体"/>
          <w:color w:val="auto"/>
          <w:highlight w:val="none"/>
        </w:rPr>
        <w:t>）对</w:t>
      </w:r>
      <w:r>
        <w:rPr>
          <w:rFonts w:hint="eastAsia" w:ascii="宋体" w:hAnsi="宋体"/>
          <w:color w:val="auto"/>
          <w:highlight w:val="none"/>
          <w:lang w:val="en-US" w:eastAsia="zh-CN"/>
        </w:rPr>
        <w:t>成交</w:t>
      </w:r>
      <w:r>
        <w:rPr>
          <w:rFonts w:ascii="宋体" w:hAnsi="宋体"/>
          <w:color w:val="auto"/>
          <w:highlight w:val="none"/>
        </w:rPr>
        <w:t>结果提出质疑的，为</w:t>
      </w:r>
      <w:r>
        <w:rPr>
          <w:rFonts w:hint="eastAsia" w:ascii="宋体" w:hAnsi="宋体"/>
          <w:color w:val="auto"/>
          <w:highlight w:val="none"/>
          <w:lang w:val="en-US" w:eastAsia="zh-CN"/>
        </w:rPr>
        <w:t>成交</w:t>
      </w:r>
      <w:r>
        <w:rPr>
          <w:rFonts w:ascii="宋体" w:hAnsi="宋体"/>
          <w:color w:val="auto"/>
          <w:highlight w:val="none"/>
        </w:rPr>
        <w:t>结果公告期限届满之日。</w:t>
      </w:r>
    </w:p>
    <w:p w14:paraId="42A8EAA0">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lang w:eastAsia="zh-CN"/>
        </w:rPr>
        <w:t>供应商</w:t>
      </w:r>
      <w:r>
        <w:rPr>
          <w:rFonts w:hint="eastAsia" w:ascii="宋体" w:hAnsi="宋体"/>
          <w:color w:val="auto"/>
          <w:highlight w:val="none"/>
        </w:rPr>
        <w:t>对采购人、采购代理机构的质疑答复不满意或者采购人、采购代理机构未在规定时间内作出答复的，可以在答复期满后十五个工作日内向同级采购监管部门投诉。</w:t>
      </w:r>
    </w:p>
    <w:p w14:paraId="0DCCEA78">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3.质疑、投诉应当采用书面形式，质疑书、投诉书均应明确阐述</w:t>
      </w:r>
      <w:r>
        <w:rPr>
          <w:rFonts w:hint="eastAsia" w:ascii="宋体" w:hAnsi="宋体"/>
          <w:color w:val="auto"/>
          <w:highlight w:val="none"/>
          <w:lang w:eastAsia="zh-CN"/>
        </w:rPr>
        <w:t>采购</w:t>
      </w:r>
      <w:r>
        <w:rPr>
          <w:rFonts w:hint="eastAsia" w:ascii="宋体" w:hAnsi="宋体"/>
          <w:color w:val="auto"/>
          <w:highlight w:val="none"/>
        </w:rPr>
        <w:t>文件、</w:t>
      </w:r>
      <w:r>
        <w:rPr>
          <w:rFonts w:hint="eastAsia" w:ascii="宋体" w:hAnsi="宋体"/>
          <w:color w:val="auto"/>
          <w:highlight w:val="none"/>
          <w:lang w:eastAsia="zh-CN"/>
        </w:rPr>
        <w:t>采购</w:t>
      </w:r>
      <w:r>
        <w:rPr>
          <w:rFonts w:hint="eastAsia" w:ascii="宋体" w:hAnsi="宋体"/>
          <w:color w:val="auto"/>
          <w:highlight w:val="none"/>
        </w:rPr>
        <w:t>过程、</w:t>
      </w:r>
      <w:r>
        <w:rPr>
          <w:rFonts w:hint="eastAsia" w:ascii="宋体" w:hAnsi="宋体"/>
          <w:color w:val="auto"/>
          <w:highlight w:val="none"/>
          <w:lang w:val="en-US" w:eastAsia="zh-CN"/>
        </w:rPr>
        <w:t>成交</w:t>
      </w:r>
      <w:r>
        <w:rPr>
          <w:rFonts w:hint="eastAsia" w:ascii="宋体" w:hAnsi="宋体"/>
          <w:color w:val="auto"/>
          <w:highlight w:val="none"/>
        </w:rPr>
        <w:t>结果中使自己合法权益受到损害的实质性内容，提供相关事实、明确的请求、必要的证明材料，便于有关单位调查、答复和处理。</w:t>
      </w:r>
    </w:p>
    <w:p w14:paraId="10FCBDBD">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ascii="宋体" w:hAnsi="宋体"/>
          <w:color w:val="auto"/>
          <w:highlight w:val="none"/>
        </w:rPr>
      </w:pPr>
      <w:r>
        <w:rPr>
          <w:rFonts w:hint="eastAsia" w:ascii="宋体" w:hAnsi="宋体"/>
          <w:color w:val="auto"/>
          <w:highlight w:val="none"/>
        </w:rPr>
        <w:t>4</w:t>
      </w:r>
      <w:r>
        <w:rPr>
          <w:rFonts w:ascii="宋体" w:hAnsi="宋体"/>
          <w:color w:val="auto"/>
          <w:highlight w:val="none"/>
        </w:rPr>
        <w:t>.</w:t>
      </w:r>
      <w:r>
        <w:rPr>
          <w:rFonts w:hint="eastAsia" w:ascii="宋体" w:hAnsi="宋体"/>
          <w:color w:val="auto"/>
          <w:highlight w:val="none"/>
        </w:rPr>
        <w:t>供应商提出质疑应当提交质疑函和必要的证明材料。质疑函应当包括下列内容：</w:t>
      </w:r>
    </w:p>
    <w:p w14:paraId="1FF5961B">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（1）供应商的姓名或者名称、地址、邮编、联系人及联系电话；</w:t>
      </w:r>
    </w:p>
    <w:p w14:paraId="1F5BE31D">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（2）质疑项目的名称、编号；</w:t>
      </w:r>
    </w:p>
    <w:p w14:paraId="50A54FB0">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（3）具体、明确的质疑事项和与质疑事项相关的请求；</w:t>
      </w:r>
    </w:p>
    <w:p w14:paraId="04A5E8D2">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（4）事实依据；</w:t>
      </w:r>
    </w:p>
    <w:p w14:paraId="538F8DD2">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（5）必要的法律依据；</w:t>
      </w:r>
    </w:p>
    <w:p w14:paraId="755EAAE4">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（6）提出质疑的日期。</w:t>
      </w:r>
    </w:p>
    <w:p w14:paraId="1D16F15B">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ascii="宋体" w:hAnsi="宋体"/>
          <w:color w:val="auto"/>
          <w:highlight w:val="none"/>
        </w:rPr>
      </w:pPr>
      <w:r>
        <w:rPr>
          <w:rFonts w:hint="eastAsia" w:ascii="宋体" w:hAnsi="宋体"/>
          <w:color w:val="auto"/>
          <w:highlight w:val="none"/>
        </w:rPr>
        <w:t>供应商为自然人的，应当由本人签字；供应商为法人或者其他组织的，应当由法定代表人、主要负责人，或者其授权代表签字或者盖章，并加盖公章。</w:t>
      </w:r>
    </w:p>
    <w:p w14:paraId="1535406E">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代理人提出质疑和投诉，应当提交供应商签署的授权委托书。</w:t>
      </w:r>
    </w:p>
    <w:p w14:paraId="7E629CA9">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5.采购人、采购代理机构认为供应商质疑不成立，或者成立但未对</w:t>
      </w:r>
      <w:r>
        <w:rPr>
          <w:rFonts w:hint="eastAsia" w:ascii="宋体" w:hAnsi="宋体"/>
          <w:color w:val="auto"/>
          <w:highlight w:val="none"/>
          <w:lang w:val="en-US" w:eastAsia="zh-CN"/>
        </w:rPr>
        <w:t>成交</w:t>
      </w:r>
      <w:r>
        <w:rPr>
          <w:rFonts w:hint="eastAsia" w:ascii="宋体" w:hAnsi="宋体"/>
          <w:color w:val="auto"/>
          <w:highlight w:val="none"/>
        </w:rPr>
        <w:t>结果构成影响的，继续开展采购活动；认为供应商质疑成立且影响或者可能影响</w:t>
      </w:r>
      <w:r>
        <w:rPr>
          <w:rFonts w:hint="eastAsia" w:ascii="宋体" w:hAnsi="宋体"/>
          <w:color w:val="auto"/>
          <w:highlight w:val="none"/>
          <w:lang w:val="en-US" w:eastAsia="zh-CN"/>
        </w:rPr>
        <w:t>成交</w:t>
      </w:r>
      <w:r>
        <w:rPr>
          <w:rFonts w:hint="eastAsia" w:ascii="宋体" w:hAnsi="宋体"/>
          <w:color w:val="auto"/>
          <w:highlight w:val="none"/>
        </w:rPr>
        <w:t>结果的，按照下列情况处理：</w:t>
      </w:r>
    </w:p>
    <w:p w14:paraId="5E63A0A6">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76D690B">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ascii="宋体" w:hAnsi="宋体"/>
          <w:color w:val="auto"/>
          <w:highlight w:val="none"/>
        </w:rPr>
      </w:pPr>
      <w:r>
        <w:rPr>
          <w:rFonts w:hint="eastAsia" w:ascii="宋体" w:hAnsi="宋体"/>
          <w:color w:val="auto"/>
          <w:highlight w:val="none"/>
        </w:rPr>
        <w:t>（二）对采购过程、</w:t>
      </w:r>
      <w:r>
        <w:rPr>
          <w:rFonts w:hint="eastAsia" w:ascii="宋体" w:hAnsi="宋体"/>
          <w:color w:val="auto"/>
          <w:highlight w:val="none"/>
          <w:lang w:val="en-US" w:eastAsia="zh-CN"/>
        </w:rPr>
        <w:t>成交</w:t>
      </w:r>
      <w:r>
        <w:rPr>
          <w:rFonts w:hint="eastAsia" w:ascii="宋体" w:hAnsi="宋体"/>
          <w:color w:val="auto"/>
          <w:highlight w:val="none"/>
        </w:rPr>
        <w:t>结果提出的质疑，合格供应商符合法定数量时，可以从合格的</w:t>
      </w:r>
      <w:r>
        <w:rPr>
          <w:rFonts w:hint="eastAsia" w:ascii="宋体" w:hAnsi="宋体"/>
          <w:color w:val="auto"/>
          <w:highlight w:val="none"/>
          <w:lang w:val="en-US" w:eastAsia="zh-CN"/>
        </w:rPr>
        <w:t>成交</w:t>
      </w:r>
      <w:r>
        <w:rPr>
          <w:rFonts w:hint="eastAsia" w:ascii="宋体" w:hAnsi="宋体"/>
          <w:color w:val="auto"/>
          <w:highlight w:val="none"/>
        </w:rPr>
        <w:t>候选人中另行确定</w:t>
      </w:r>
      <w:r>
        <w:rPr>
          <w:rFonts w:hint="eastAsia" w:ascii="宋体" w:hAnsi="宋体"/>
          <w:color w:val="auto"/>
          <w:highlight w:val="none"/>
          <w:lang w:val="en-US" w:eastAsia="zh-CN"/>
        </w:rPr>
        <w:t>成交</w:t>
      </w:r>
      <w:r>
        <w:rPr>
          <w:rFonts w:hint="eastAsia" w:ascii="宋体" w:hAnsi="宋体"/>
          <w:color w:val="auto"/>
          <w:highlight w:val="none"/>
        </w:rPr>
        <w:t>供应商的，应当依法根据</w:t>
      </w:r>
      <w:r>
        <w:rPr>
          <w:rFonts w:hint="eastAsia" w:ascii="宋体" w:hAnsi="宋体"/>
          <w:color w:val="auto"/>
          <w:highlight w:val="none"/>
          <w:lang w:val="en-US" w:eastAsia="zh-CN"/>
        </w:rPr>
        <w:t>成交</w:t>
      </w:r>
      <w:r>
        <w:rPr>
          <w:rFonts w:hint="eastAsia" w:ascii="宋体" w:hAnsi="宋体"/>
          <w:color w:val="auto"/>
          <w:highlight w:val="none"/>
        </w:rPr>
        <w:t>候选人推荐原则另行确定</w:t>
      </w:r>
      <w:r>
        <w:rPr>
          <w:rFonts w:hint="eastAsia" w:ascii="宋体" w:hAnsi="宋体"/>
          <w:color w:val="auto"/>
          <w:highlight w:val="none"/>
          <w:lang w:val="en-US" w:eastAsia="zh-CN"/>
        </w:rPr>
        <w:t>成交</w:t>
      </w:r>
      <w:r>
        <w:rPr>
          <w:rFonts w:hint="eastAsia" w:ascii="宋体" w:hAnsi="宋体"/>
          <w:color w:val="auto"/>
          <w:highlight w:val="none"/>
        </w:rPr>
        <w:t>供应商；否则应当重新开展采购活动。</w:t>
      </w:r>
    </w:p>
    <w:p w14:paraId="04A22956">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质疑答复导致</w:t>
      </w:r>
      <w:r>
        <w:rPr>
          <w:rFonts w:hint="eastAsia" w:ascii="宋体" w:hAnsi="宋体"/>
          <w:color w:val="auto"/>
          <w:highlight w:val="none"/>
          <w:lang w:val="en-US" w:eastAsia="zh-CN"/>
        </w:rPr>
        <w:t>成交</w:t>
      </w:r>
      <w:r>
        <w:rPr>
          <w:rFonts w:hint="eastAsia" w:ascii="宋体" w:hAnsi="宋体"/>
          <w:color w:val="auto"/>
          <w:highlight w:val="none"/>
        </w:rPr>
        <w:t>结果改变的，采购人或者采购代理机构应当将有关情况书面报告本级财政部门。</w:t>
      </w:r>
    </w:p>
    <w:p w14:paraId="686BAE14">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jc w:val="left"/>
        <w:textAlignment w:val="auto"/>
        <w:rPr>
          <w:rFonts w:hint="eastAsia" w:ascii="宋体" w:hAnsi="宋体"/>
          <w:color w:val="auto"/>
          <w:highlight w:val="none"/>
        </w:rPr>
      </w:pPr>
      <w:r>
        <w:rPr>
          <w:rFonts w:hint="eastAsia" w:ascii="宋体" w:hAnsi="宋体"/>
          <w:color w:val="auto"/>
          <w:highlight w:val="none"/>
        </w:rPr>
        <w:t>①质疑联系部门及电话为：广西国力招标有限公司                      0771-4915558</w:t>
      </w:r>
    </w:p>
    <w:p w14:paraId="57881300">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通讯地址：广西南宁市白沙大道53号松宇时代13楼</w:t>
      </w:r>
    </w:p>
    <w:p w14:paraId="57644D8D">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②投诉联系部门及电话为：广西壮族自治区财政厅政府采购监督管理处    0771-5331544</w:t>
      </w:r>
    </w:p>
    <w:p w14:paraId="0CAD9ABD">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eastAsia" w:ascii="宋体" w:hAnsi="宋体"/>
          <w:color w:val="auto"/>
          <w:szCs w:val="21"/>
          <w:highlight w:val="none"/>
        </w:rPr>
      </w:pPr>
      <w:r>
        <w:rPr>
          <w:rFonts w:hint="eastAsia" w:ascii="宋体" w:hAnsi="宋体"/>
          <w:color w:val="auto"/>
          <w:highlight w:val="none"/>
        </w:rPr>
        <w:t>通讯地址：广西南宁市桃源路69号</w:t>
      </w:r>
    </w:p>
    <w:p w14:paraId="6BA82C92">
      <w:pPr>
        <w:spacing w:line="400" w:lineRule="exact"/>
        <w:ind w:firstLine="422" w:firstLineChars="200"/>
        <w:rPr>
          <w:rFonts w:hint="eastAsia" w:ascii="宋体" w:hAnsi="宋体"/>
          <w:color w:val="auto"/>
          <w:szCs w:val="21"/>
          <w:highlight w:val="none"/>
        </w:rPr>
      </w:pPr>
      <w:r>
        <w:rPr>
          <w:rFonts w:hint="eastAsia"/>
          <w:b/>
          <w:bCs/>
          <w:color w:val="auto"/>
          <w:highlight w:val="none"/>
          <w:lang w:eastAsia="zh-CN"/>
        </w:rPr>
        <w:t>（</w:t>
      </w:r>
      <w:r>
        <w:rPr>
          <w:rFonts w:hint="eastAsia"/>
          <w:b/>
          <w:bCs/>
          <w:color w:val="auto"/>
          <w:highlight w:val="none"/>
          <w:lang w:val="en-US" w:eastAsia="zh-CN"/>
        </w:rPr>
        <w:t>十）</w:t>
      </w:r>
      <w:r>
        <w:rPr>
          <w:rFonts w:hint="eastAsia" w:ascii="宋体" w:hAnsi="宋体"/>
          <w:b/>
          <w:color w:val="auto"/>
          <w:szCs w:val="21"/>
          <w:highlight w:val="none"/>
        </w:rPr>
        <w:t>竞争性</w:t>
      </w:r>
      <w:r>
        <w:rPr>
          <w:rFonts w:hint="eastAsia" w:hAnsi="宋体"/>
          <w:b/>
          <w:color w:val="auto"/>
          <w:highlight w:val="none"/>
        </w:rPr>
        <w:t>谈判文件的澄清和修改：</w:t>
      </w:r>
    </w:p>
    <w:p w14:paraId="40C79588">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rPr>
        <w:t>供应商应认真阅读谈判文件，供应商认为采购文件使自己的权益受到损害的，应当在知道或者应知其权益受到损害之日起七个工作日内，以书面形式向采购人、采购代理机构提出，</w:t>
      </w:r>
      <w:r>
        <w:rPr>
          <w:rFonts w:hint="eastAsia" w:ascii="宋体" w:hAnsi="宋体"/>
          <w:color w:val="auto"/>
          <w:highlight w:val="none"/>
        </w:rPr>
        <w:t>供应商在法定质疑期内必须一次性提出针对同一采购程序环节的质疑</w:t>
      </w:r>
      <w:r>
        <w:rPr>
          <w:rFonts w:hint="eastAsia" w:ascii="宋体" w:hAnsi="宋体" w:cs="Courier New"/>
          <w:color w:val="auto"/>
          <w:szCs w:val="21"/>
          <w:highlight w:val="none"/>
        </w:rPr>
        <w:t>。</w:t>
      </w:r>
    </w:p>
    <w:p w14:paraId="76972DA6">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rPr>
        <w:t>供应商提出质疑应当提交质疑函和必要的证明材料。质疑函应当包括下列内容：</w:t>
      </w:r>
    </w:p>
    <w:p w14:paraId="1B329558">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（1）供应商的姓名或者名称、地址、邮编、联系人及联系电话；</w:t>
      </w:r>
    </w:p>
    <w:p w14:paraId="0B127E22">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（2）质疑项目的名称、编号；</w:t>
      </w:r>
    </w:p>
    <w:p w14:paraId="615B946B">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（3）具体、明确的质疑事项和与质疑事项相关的请求；</w:t>
      </w:r>
    </w:p>
    <w:p w14:paraId="7A231373">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（4）事实依据；</w:t>
      </w:r>
    </w:p>
    <w:p w14:paraId="5132E2D3">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（5）必要的法律依据；</w:t>
      </w:r>
    </w:p>
    <w:p w14:paraId="5151544C">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（6）提出质疑的日期。</w:t>
      </w:r>
    </w:p>
    <w:p w14:paraId="7308C771">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rPr>
        <w:t>供应商为自然人的，应当由本人签字；供应商为法人或者其他组织的，应当由法定代表人、主要负责人，或者其授权代表签字或者盖章，并加盖公章。</w:t>
      </w:r>
    </w:p>
    <w:p w14:paraId="29B123FF">
      <w:pPr>
        <w:widowControl/>
        <w:wordWrap w:val="0"/>
        <w:spacing w:line="400" w:lineRule="exact"/>
        <w:ind w:firstLine="420"/>
        <w:jc w:val="left"/>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52B4FFA5">
      <w:pPr>
        <w:spacing w:line="400" w:lineRule="exact"/>
        <w:ind w:firstLine="420" w:firstLineChars="200"/>
        <w:rPr>
          <w:rFonts w:hint="eastAsia" w:ascii="宋体" w:hAnsi="宋体"/>
          <w:color w:val="auto"/>
          <w:szCs w:val="21"/>
          <w:highlight w:val="none"/>
        </w:rPr>
      </w:pPr>
      <w:r>
        <w:rPr>
          <w:rFonts w:hint="eastAsia" w:ascii="宋体" w:hAnsi="宋体"/>
          <w:color w:val="auto"/>
          <w:szCs w:val="20"/>
          <w:highlight w:val="none"/>
          <w:lang w:val="en-US" w:eastAsia="zh-CN"/>
        </w:rPr>
        <w:t>4.</w:t>
      </w:r>
      <w:r>
        <w:rPr>
          <w:rFonts w:hint="eastAsia" w:ascii="宋体" w:hAnsi="宋体"/>
          <w:color w:val="auto"/>
          <w:szCs w:val="20"/>
          <w:highlight w:val="none"/>
        </w:rPr>
        <w:t>谈判</w:t>
      </w:r>
      <w:r>
        <w:rPr>
          <w:rFonts w:hint="eastAsia" w:hAnsi="宋体"/>
          <w:color w:val="auto"/>
          <w:highlight w:val="none"/>
        </w:rPr>
        <w:t>供应商接到电话通知后到采购代理机构处领取以上澄清答复（或补充通知、更改通知等），或在网上查询，如在电话通知后24小时内不上门领取的，则视为已在网上查询收到。该澄清或修改的内容为竞争性谈判文件的组成部分。谈判供应商在每一次收到澄清答复或补充通知后应立即以书面形式通知采购代理机构，确认已收到该澄清答复或补充通知。否则，由此造成的一切后果由谈判供应商负责。</w:t>
      </w:r>
    </w:p>
    <w:p w14:paraId="76CFD8FE">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二、竞争性谈判响应文件的编制</w:t>
      </w:r>
    </w:p>
    <w:p w14:paraId="1E60AC7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（一）</w:t>
      </w:r>
      <w:r>
        <w:rPr>
          <w:rFonts w:hint="eastAsia" w:ascii="宋体" w:hAnsi="宋体"/>
          <w:color w:val="auto"/>
          <w:szCs w:val="21"/>
          <w:highlight w:val="none"/>
        </w:rPr>
        <w:t>竞争性谈判响应文件编制基本要求</w:t>
      </w:r>
    </w:p>
    <w:p w14:paraId="0EE577C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s="宋体"/>
          <w:bCs/>
          <w:color w:val="auto"/>
          <w:highlight w:val="none"/>
        </w:rPr>
        <w:t>谈判供应商对竞争性谈判响应文件的编制应按</w:t>
      </w:r>
      <w:r>
        <w:rPr>
          <w:rFonts w:hint="eastAsia" w:ascii="宋体" w:hAnsi="宋体"/>
          <w:color w:val="auto"/>
          <w:highlight w:val="none"/>
        </w:rPr>
        <w:t>本竞争性谈判文件规定的格式和顺序编制并标注页码，响应文件内容不完整、编排混乱导致响应文件被误读、漏读或者查找不到相关内容的后果由谈判供应商承担。供应商应准确设置评审关联点。未设置或设置错误导致响应文件被误读、漏读或者查找不到相关内容的后果由谈判供应商承担</w:t>
      </w:r>
      <w:r>
        <w:rPr>
          <w:rFonts w:hint="eastAsia" w:ascii="宋体" w:hAnsi="宋体"/>
          <w:color w:val="auto"/>
          <w:szCs w:val="21"/>
          <w:highlight w:val="none"/>
        </w:rPr>
        <w:t>。</w:t>
      </w:r>
    </w:p>
    <w:p w14:paraId="6696D60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响应文件须由谈判供应商在规定位置盖章并由法定代表人或法定代表人的授权委托人签署，谈判供应商应写全称。</w:t>
      </w:r>
    </w:p>
    <w:p w14:paraId="7B2A58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 xml:space="preserve">3. </w:t>
      </w:r>
      <w:r>
        <w:rPr>
          <w:rFonts w:hint="eastAsia" w:ascii="宋体" w:hAnsi="宋体"/>
          <w:color w:val="auto"/>
          <w:highlight w:val="none"/>
        </w:rPr>
        <w:t>响应文件不得涂改，若有修改错漏处，须加盖单位公章或者法定代表人或授权委托人签字或盖章。响应文件因扫描不清晰或乱码或表达不清所引起的后果由</w:t>
      </w:r>
      <w:r>
        <w:rPr>
          <w:rFonts w:hint="eastAsia" w:ascii="宋体" w:hAnsi="宋体" w:cs="宋体"/>
          <w:bCs/>
          <w:color w:val="auto"/>
          <w:highlight w:val="none"/>
        </w:rPr>
        <w:t>谈判</w:t>
      </w:r>
      <w:r>
        <w:rPr>
          <w:rFonts w:hint="eastAsia" w:ascii="宋体" w:hAnsi="宋体"/>
          <w:color w:val="auto"/>
          <w:highlight w:val="none"/>
        </w:rPr>
        <w:t>供应商负责</w:t>
      </w:r>
      <w:r>
        <w:rPr>
          <w:rFonts w:hint="eastAsia" w:ascii="宋体" w:hAnsi="宋体"/>
          <w:color w:val="auto"/>
          <w:szCs w:val="21"/>
          <w:highlight w:val="none"/>
        </w:rPr>
        <w:t>。</w:t>
      </w:r>
    </w:p>
    <w:p w14:paraId="228BD5D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谈判供应商提交的竞争性谈判响应文件以及谈判供应商与本公司和采购人就有关谈判的所有来往函电均应使用中文。谈判供应商提交的支持文件和印刷的文献可以使用别的语言，但其相应内容必须附有中文翻译文本，在解释竞争性谈判响应文件时以翻译文本为主。</w:t>
      </w:r>
    </w:p>
    <w:p w14:paraId="05DF58A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谈判供应商应认真阅读、并充分理解本文件的全部内容（包括所有的澄清、更改、补充、答疑等内容），承诺并履行本文件中各项条款规定及要求。</w:t>
      </w:r>
    </w:p>
    <w:p w14:paraId="58C3792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竞争性谈判响应文件必须按本文件的全部内容，包括所有的澄清、更改、补充、答疑等内容及附件进行编制。</w:t>
      </w:r>
    </w:p>
    <w:p w14:paraId="4B41344E">
      <w:pPr>
        <w:spacing w:line="400" w:lineRule="exact"/>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7.</w:t>
      </w:r>
      <w:r>
        <w:rPr>
          <w:rFonts w:hint="eastAsia" w:ascii="宋体" w:hAnsi="宋体"/>
          <w:color w:val="auto"/>
          <w:szCs w:val="21"/>
          <w:highlight w:val="none"/>
        </w:rPr>
        <w:t>响应有效期</w:t>
      </w:r>
      <w:r>
        <w:rPr>
          <w:rFonts w:hint="eastAsia" w:ascii="宋体" w:hAnsi="宋体"/>
          <w:color w:val="auto"/>
          <w:szCs w:val="21"/>
          <w:highlight w:val="none"/>
          <w:lang w:eastAsia="zh-CN"/>
        </w:rPr>
        <w:t>：</w:t>
      </w:r>
    </w:p>
    <w:p w14:paraId="235F6F4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响应文件应当明确</w:t>
      </w:r>
      <w:r>
        <w:rPr>
          <w:rFonts w:hint="eastAsia" w:ascii="宋体" w:hAnsi="宋体"/>
          <w:color w:val="auto"/>
          <w:szCs w:val="21"/>
          <w:highlight w:val="none"/>
        </w:rPr>
        <w:t>响应有效期为响应截止之日起90天。在响应有效期内响应文件应保持有效。</w:t>
      </w:r>
      <w:r>
        <w:rPr>
          <w:rFonts w:hint="eastAsia" w:ascii="宋体" w:hAnsi="宋体"/>
          <w:color w:val="auto"/>
          <w:szCs w:val="21"/>
          <w:highlight w:val="none"/>
          <w:lang w:eastAsia="zh-CN"/>
        </w:rPr>
        <w:t>未明确</w:t>
      </w:r>
      <w:r>
        <w:rPr>
          <w:rFonts w:hint="eastAsia" w:ascii="宋体" w:hAnsi="宋体"/>
          <w:color w:val="auto"/>
          <w:szCs w:val="21"/>
          <w:highlight w:val="none"/>
        </w:rPr>
        <w:t>，响应有效期</w:t>
      </w:r>
      <w:r>
        <w:rPr>
          <w:rFonts w:hint="eastAsia" w:ascii="宋体" w:hAnsi="宋体"/>
          <w:color w:val="auto"/>
          <w:szCs w:val="21"/>
          <w:highlight w:val="none"/>
          <w:lang w:eastAsia="zh-CN"/>
        </w:rPr>
        <w:t>或</w:t>
      </w:r>
      <w:r>
        <w:rPr>
          <w:rFonts w:hint="eastAsia" w:ascii="宋体" w:hAnsi="宋体"/>
          <w:color w:val="auto"/>
          <w:szCs w:val="21"/>
          <w:highlight w:val="none"/>
        </w:rPr>
        <w:t>有效期不足的响应文件将被否决。</w:t>
      </w:r>
    </w:p>
    <w:p w14:paraId="1D2EBA4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在特殊情况下，采购人可与供应商协商延长响应文件的有效期，这种要求和答复均以书面形式进行。</w:t>
      </w:r>
    </w:p>
    <w:p w14:paraId="48B7B68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供应商同意</w:t>
      </w:r>
      <w:r>
        <w:rPr>
          <w:rFonts w:hint="eastAsia" w:ascii="宋体" w:hAnsi="宋体"/>
          <w:color w:val="auto"/>
          <w:szCs w:val="21"/>
          <w:highlight w:val="none"/>
          <w:lang w:eastAsia="zh-CN"/>
        </w:rPr>
        <w:t>延长</w:t>
      </w:r>
      <w:r>
        <w:rPr>
          <w:rFonts w:hint="eastAsia" w:ascii="宋体" w:hAnsi="宋体"/>
          <w:color w:val="auto"/>
          <w:szCs w:val="21"/>
          <w:highlight w:val="none"/>
        </w:rPr>
        <w:t>响应有效期的，如本项目要求提交保证金则应相应延长其</w:t>
      </w:r>
      <w:r>
        <w:rPr>
          <w:rFonts w:hint="eastAsia" w:ascii="宋体" w:hAnsi="宋体"/>
          <w:color w:val="auto"/>
          <w:szCs w:val="21"/>
          <w:highlight w:val="none"/>
          <w:lang w:eastAsia="zh-CN"/>
        </w:rPr>
        <w:t>谈判</w:t>
      </w:r>
      <w:r>
        <w:rPr>
          <w:rFonts w:hint="eastAsia" w:ascii="宋体" w:hAnsi="宋体"/>
          <w:color w:val="auto"/>
          <w:szCs w:val="21"/>
          <w:highlight w:val="none"/>
        </w:rPr>
        <w:t>保证金的有效期，但不得要求或被允许修改或撤销其响应文件；供应商拒绝延长的，其响应无效，但供应商有权收回其</w:t>
      </w:r>
      <w:r>
        <w:rPr>
          <w:rFonts w:hint="eastAsia" w:ascii="宋体" w:hAnsi="宋体"/>
          <w:color w:val="auto"/>
          <w:szCs w:val="21"/>
          <w:highlight w:val="none"/>
          <w:lang w:eastAsia="zh-CN"/>
        </w:rPr>
        <w:t>谈判</w:t>
      </w:r>
      <w:r>
        <w:rPr>
          <w:rFonts w:hint="eastAsia" w:ascii="宋体" w:hAnsi="宋体"/>
          <w:color w:val="auto"/>
          <w:szCs w:val="21"/>
          <w:highlight w:val="none"/>
        </w:rPr>
        <w:t>保证金。</w:t>
      </w:r>
    </w:p>
    <w:p w14:paraId="71CD0A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如因谈判供应商只填写和提供了本文件要求的部分内容和附件，而给谈判小组评审造成困难，其可能导致的结果和责任由谈判供应商自行承担。</w:t>
      </w:r>
    </w:p>
    <w:p w14:paraId="0B6CAA0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竞争性谈判响应文件的组成：竞争性谈判响应文件应由资格文件和商务技术文件两个部分组成</w:t>
      </w:r>
      <w:r>
        <w:rPr>
          <w:rFonts w:hint="eastAsia" w:ascii="宋体"/>
          <w:b/>
          <w:color w:val="auto"/>
          <w:szCs w:val="21"/>
          <w:highlight w:val="none"/>
        </w:rPr>
        <w:t>（扫描件或其他电子文件）</w:t>
      </w:r>
      <w:r>
        <w:rPr>
          <w:rFonts w:hint="eastAsia" w:ascii="宋体" w:hAnsi="宋体"/>
          <w:color w:val="auto"/>
          <w:szCs w:val="21"/>
          <w:highlight w:val="none"/>
        </w:rPr>
        <w:t>。</w:t>
      </w:r>
      <w:r>
        <w:rPr>
          <w:rFonts w:hint="eastAsia" w:ascii="宋体" w:hAnsi="宋体"/>
          <w:b/>
          <w:color w:val="auto"/>
          <w:szCs w:val="21"/>
          <w:highlight w:val="none"/>
        </w:rPr>
        <w:t>（以下文件要求必须提供的文件如未提供，谈判小组有权拒绝其竞争性谈判响应文件）</w:t>
      </w:r>
    </w:p>
    <w:p w14:paraId="230AFBFC">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lang w:val="en-US" w:eastAsia="zh-CN"/>
        </w:rPr>
        <w:t>9</w:t>
      </w:r>
      <w:r>
        <w:rPr>
          <w:rFonts w:hint="eastAsia" w:ascii="宋体" w:hAnsi="宋体"/>
          <w:b/>
          <w:color w:val="auto"/>
          <w:szCs w:val="21"/>
          <w:highlight w:val="none"/>
        </w:rPr>
        <w:t>.1资格文件</w:t>
      </w:r>
    </w:p>
    <w:p w14:paraId="557B53C9">
      <w:pPr>
        <w:numPr>
          <w:ilvl w:val="0"/>
          <w:numId w:val="4"/>
        </w:numPr>
        <w:spacing w:line="400" w:lineRule="exact"/>
        <w:ind w:firstLine="420" w:firstLineChars="200"/>
        <w:rPr>
          <w:rFonts w:hint="eastAsia" w:ascii="宋体" w:hAnsi="宋体"/>
          <w:color w:val="auto"/>
          <w:highlight w:val="none"/>
        </w:rPr>
      </w:pPr>
      <w:r>
        <w:rPr>
          <w:rFonts w:hint="eastAsia" w:hAnsi="宋体"/>
          <w:color w:val="auto"/>
          <w:highlight w:val="none"/>
        </w:rPr>
        <w:t>谈判供应商有效的</w:t>
      </w:r>
      <w:r>
        <w:rPr>
          <w:rFonts w:hint="eastAsia" w:ascii="宋体" w:hAnsi="宋体"/>
          <w:color w:val="auto"/>
          <w:highlight w:val="none"/>
        </w:rPr>
        <w:t>“主体资格证明文件”</w:t>
      </w:r>
    </w:p>
    <w:p w14:paraId="78026AD5">
      <w:pPr>
        <w:numPr>
          <w:ilvl w:val="-1"/>
          <w:numId w:val="0"/>
        </w:numPr>
        <w:spacing w:line="400" w:lineRule="exact"/>
        <w:ind w:firstLine="422" w:firstLineChars="200"/>
        <w:rPr>
          <w:rFonts w:hint="eastAsia" w:hAnsi="宋体"/>
          <w:b/>
          <w:color w:val="auto"/>
          <w:highlight w:val="none"/>
        </w:rPr>
      </w:pPr>
      <w:r>
        <w:rPr>
          <w:rFonts w:hint="eastAsia" w:hAnsi="宋体"/>
          <w:b/>
          <w:color w:val="auto"/>
          <w:highlight w:val="none"/>
          <w:lang w:eastAsia="zh-CN"/>
        </w:rPr>
        <w:t>①</w:t>
      </w:r>
      <w:r>
        <w:rPr>
          <w:rFonts w:hint="eastAsia" w:hAnsi="宋体"/>
          <w:color w:val="auto"/>
          <w:highlight w:val="none"/>
        </w:rPr>
        <w:t>谈判供应商有效的</w:t>
      </w:r>
      <w:r>
        <w:rPr>
          <w:rFonts w:hint="eastAsia" w:ascii="宋体" w:hAnsi="宋体"/>
          <w:color w:val="auto"/>
          <w:highlight w:val="none"/>
        </w:rPr>
        <w:t>“主体资格证明文件”复印件（如营业执照、事业单位法人证书、执业许可证、自然人身份证等）</w:t>
      </w:r>
      <w:r>
        <w:rPr>
          <w:rFonts w:hint="eastAsia" w:hAnsi="宋体"/>
          <w:color w:val="auto"/>
          <w:highlight w:val="none"/>
        </w:rPr>
        <w:t>；</w:t>
      </w:r>
      <w:r>
        <w:rPr>
          <w:rFonts w:hint="eastAsia" w:hAnsi="宋体"/>
          <w:b/>
          <w:color w:val="auto"/>
          <w:highlight w:val="none"/>
        </w:rPr>
        <w:t xml:space="preserve">[必须提供] </w:t>
      </w:r>
    </w:p>
    <w:p w14:paraId="4E236DC3">
      <w:pPr>
        <w:spacing w:line="400" w:lineRule="exact"/>
        <w:ind w:firstLine="422" w:firstLineChars="200"/>
        <w:rPr>
          <w:rFonts w:hint="eastAsia" w:hAnsi="宋体"/>
          <w:b/>
          <w:color w:val="auto"/>
          <w:highlight w:val="none"/>
        </w:rPr>
      </w:pPr>
      <w:r>
        <w:rPr>
          <w:rFonts w:hint="eastAsia" w:hAnsi="宋体"/>
          <w:b/>
          <w:color w:val="auto"/>
          <w:highlight w:val="none"/>
          <w:lang w:eastAsia="zh-CN"/>
        </w:rPr>
        <w:t>②</w:t>
      </w:r>
      <w:r>
        <w:rPr>
          <w:rFonts w:hint="eastAsia" w:ascii="宋体" w:hAnsi="宋体"/>
          <w:color w:val="auto"/>
          <w:highlight w:val="none"/>
          <w:lang w:eastAsia="zh-CN"/>
        </w:rPr>
        <w:t>标项一：供应商或分包</w:t>
      </w:r>
      <w:r>
        <w:rPr>
          <w:rFonts w:hint="eastAsia" w:ascii="宋体" w:hAnsi="宋体"/>
          <w:color w:val="auto"/>
          <w:szCs w:val="21"/>
          <w:highlight w:val="none"/>
          <w:u w:val="single"/>
          <w:lang w:eastAsia="zh-CN"/>
        </w:rPr>
        <w:t>提供</w:t>
      </w:r>
      <w:r>
        <w:rPr>
          <w:rFonts w:hint="eastAsia" w:ascii="宋体" w:hAnsi="宋体"/>
          <w:color w:val="auto"/>
          <w:szCs w:val="21"/>
          <w:highlight w:val="none"/>
          <w:u w:val="single"/>
        </w:rPr>
        <w:t>建筑装修装饰工程专业承包二级及以上资质</w:t>
      </w:r>
      <w:r>
        <w:rPr>
          <w:rFonts w:hint="eastAsia" w:ascii="宋体" w:hAnsi="宋体"/>
          <w:b/>
          <w:bCs/>
          <w:color w:val="auto"/>
          <w:szCs w:val="21"/>
          <w:highlight w:val="none"/>
          <w:u w:val="single"/>
          <w:lang w:val="en-US" w:eastAsia="zh-CN"/>
        </w:rPr>
        <w:t>或</w:t>
      </w:r>
      <w:r>
        <w:rPr>
          <w:rFonts w:hint="eastAsia" w:ascii="宋体" w:hAnsi="宋体"/>
          <w:color w:val="auto"/>
          <w:szCs w:val="21"/>
          <w:highlight w:val="none"/>
          <w:u w:val="single"/>
          <w:lang w:val="en-US" w:eastAsia="zh-CN"/>
        </w:rPr>
        <w:t>建筑工程施工总承包叁级以上（含本级）资质，且具备省级及以上建设行政主管部门颁发的安全生产许可证的扫描件；</w:t>
      </w:r>
      <w:r>
        <w:rPr>
          <w:rFonts w:hint="eastAsia" w:hAnsi="宋体"/>
          <w:b/>
          <w:color w:val="auto"/>
          <w:highlight w:val="none"/>
        </w:rPr>
        <w:t>[必须提供]</w:t>
      </w:r>
    </w:p>
    <w:p w14:paraId="33A8E2E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rPr>
        <w:t>响应文件递交截止之日前一年内谈判供应商连续三个月的依法缴纳税费或依法免缴税费的证明复印件；无纳税记录的，应提供由谈判供应商所在地的税务部门出具的《依法纳税或依法免税证明》 复印件；</w:t>
      </w:r>
      <w:r>
        <w:rPr>
          <w:rFonts w:hint="eastAsia" w:ascii="宋体" w:hAnsi="宋体"/>
          <w:b/>
          <w:color w:val="auto"/>
          <w:highlight w:val="none"/>
        </w:rPr>
        <w:t>（必须提供，新成立单位按实际提供）</w:t>
      </w:r>
    </w:p>
    <w:p w14:paraId="3A2D895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rPr>
        <w:t>响应文件递交截止之日前一年内谈判供应商连续三个月的依法缴纳社保费的缴费凭证复印件</w:t>
      </w:r>
      <w:r>
        <w:rPr>
          <w:rFonts w:hint="eastAsia" w:ascii="宋体" w:hAnsi="宋体"/>
          <w:b/>
          <w:color w:val="auto"/>
          <w:szCs w:val="21"/>
          <w:highlight w:val="none"/>
        </w:rPr>
        <w:t>；</w:t>
      </w:r>
      <w:r>
        <w:rPr>
          <w:rFonts w:hint="eastAsia" w:ascii="宋体" w:hAnsi="宋体"/>
          <w:color w:val="auto"/>
          <w:szCs w:val="21"/>
          <w:highlight w:val="none"/>
        </w:rPr>
        <w:t>无缴费记录的，应提供由谈判供应商所在地社保等相关部门出具的《依法缴纳或依法免缴社保费证明》复印件；</w:t>
      </w:r>
      <w:r>
        <w:rPr>
          <w:rFonts w:hint="eastAsia" w:ascii="宋体" w:hAnsi="宋体"/>
          <w:b/>
          <w:color w:val="auto"/>
          <w:highlight w:val="none"/>
        </w:rPr>
        <w:t>（必须提供，新成立单位按实际提供）</w:t>
      </w:r>
    </w:p>
    <w:p w14:paraId="36D8A0B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rPr>
        <w:t>财务状况报告。</w:t>
      </w:r>
      <w:r>
        <w:rPr>
          <w:rFonts w:hint="eastAsia" w:ascii="宋体" w:hAnsi="宋体"/>
          <w:b/>
          <w:color w:val="auto"/>
          <w:szCs w:val="21"/>
          <w:highlight w:val="none"/>
        </w:rPr>
        <w:t>[格式自拟，必须提供</w:t>
      </w:r>
      <w:r>
        <w:rPr>
          <w:rFonts w:hAnsi="宋体"/>
          <w:b/>
          <w:color w:val="auto"/>
          <w:highlight w:val="none"/>
        </w:rPr>
        <w:t>]</w:t>
      </w:r>
      <w:r>
        <w:rPr>
          <w:rFonts w:hint="eastAsia" w:ascii="宋体" w:hAnsi="宋体"/>
          <w:color w:val="auto"/>
          <w:szCs w:val="21"/>
          <w:highlight w:val="none"/>
        </w:rPr>
        <w:t xml:space="preserve"> </w:t>
      </w:r>
    </w:p>
    <w:p w14:paraId="436A08F7">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ascii="宋体" w:hAnsi="宋体"/>
          <w:bCs/>
          <w:color w:val="auto"/>
          <w:szCs w:val="21"/>
          <w:highlight w:val="none"/>
        </w:rPr>
        <w:t>具</w:t>
      </w:r>
      <w:r>
        <w:rPr>
          <w:rFonts w:ascii="宋体" w:hAnsi="宋体"/>
          <w:color w:val="auto"/>
          <w:szCs w:val="21"/>
          <w:highlight w:val="none"/>
        </w:rPr>
        <w:t>备履行合同所必需的设备和专业技术能力的证明材料</w:t>
      </w:r>
      <w:r>
        <w:rPr>
          <w:rFonts w:hint="eastAsia" w:ascii="宋体" w:hAnsi="宋体" w:cs="宋体"/>
          <w:color w:val="auto"/>
          <w:kern w:val="0"/>
          <w:szCs w:val="21"/>
          <w:highlight w:val="none"/>
        </w:rPr>
        <w:t>；</w:t>
      </w:r>
      <w:r>
        <w:rPr>
          <w:rFonts w:hint="eastAsia" w:ascii="宋体" w:hAnsi="宋体"/>
          <w:b/>
          <w:color w:val="auto"/>
          <w:szCs w:val="21"/>
          <w:highlight w:val="none"/>
        </w:rPr>
        <w:t>[格式自拟，必须提供]</w:t>
      </w:r>
    </w:p>
    <w:p w14:paraId="09986786">
      <w:pPr>
        <w:wordWrap w:val="0"/>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ascii="宋体" w:hAnsi="宋体" w:cs="宋体"/>
          <w:color w:val="auto"/>
          <w:kern w:val="0"/>
          <w:szCs w:val="21"/>
          <w:highlight w:val="none"/>
        </w:rPr>
        <w:t>参加政府采购活动前</w:t>
      </w:r>
      <w:r>
        <w:rPr>
          <w:rFonts w:hint="eastAsia" w:ascii="宋体" w:hAnsi="宋体" w:cs="宋体"/>
          <w:color w:val="auto"/>
          <w:kern w:val="0"/>
          <w:szCs w:val="21"/>
          <w:highlight w:val="none"/>
        </w:rPr>
        <w:t>三</w:t>
      </w:r>
      <w:r>
        <w:rPr>
          <w:rFonts w:ascii="宋体" w:hAnsi="宋体" w:cs="宋体"/>
          <w:color w:val="auto"/>
          <w:kern w:val="0"/>
          <w:szCs w:val="21"/>
          <w:highlight w:val="none"/>
        </w:rPr>
        <w:t>年内在经营活动中没有重大违法记录和不良信用记录的书面声明</w:t>
      </w:r>
      <w:r>
        <w:rPr>
          <w:rFonts w:hint="eastAsia" w:ascii="Arial" w:hAnsi="Arial" w:cs="Arial"/>
          <w:color w:val="auto"/>
          <w:kern w:val="0"/>
          <w:sz w:val="24"/>
          <w:highlight w:val="none"/>
        </w:rPr>
        <w:t>；</w:t>
      </w:r>
      <w:r>
        <w:rPr>
          <w:rFonts w:hint="eastAsia" w:ascii="宋体" w:hAnsi="宋体"/>
          <w:b/>
          <w:color w:val="auto"/>
          <w:szCs w:val="21"/>
          <w:highlight w:val="none"/>
        </w:rPr>
        <w:t>[格式自拟，必须提供]</w:t>
      </w:r>
    </w:p>
    <w:p w14:paraId="290F58A5">
      <w:pPr>
        <w:wordWrap w:val="0"/>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注：采购人或采购代理机构在资格审查结束前对供应商进行信用查询</w:t>
      </w:r>
    </w:p>
    <w:p w14:paraId="68A63501">
      <w:pPr>
        <w:wordWrap w:val="0"/>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查询渠道：“信用中国”网站(www.creditchina.gov.cn) 、中国政府采购网(www.ccgp.gov.cn)</w:t>
      </w:r>
    </w:p>
    <w:p w14:paraId="2607B6EF">
      <w:pPr>
        <w:wordWrap w:val="0"/>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查询截止时间：资格审查结束前。</w:t>
      </w:r>
    </w:p>
    <w:p w14:paraId="77D2EC12">
      <w:pPr>
        <w:wordWrap w:val="0"/>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查询记录和证据留存方式：在查询网站中直接打印查询记录，打印材料作为评审资料保存。</w:t>
      </w:r>
    </w:p>
    <w:p w14:paraId="1FF34DA1">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364C47A4">
      <w:pPr>
        <w:pStyle w:val="20"/>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rFonts w:hint="default" w:ascii="宋体" w:hAnsi="宋体" w:eastAsia="宋体" w:cs="宋体"/>
          <w:b/>
          <w:color w:val="auto"/>
          <w:highlight w:val="none"/>
          <w:lang w:val="en-US" w:eastAsia="zh-CN"/>
        </w:rPr>
      </w:pPr>
      <w:r>
        <w:rPr>
          <w:rFonts w:hint="eastAsia" w:hAnsi="宋体" w:cs="宋体"/>
          <w:b w:val="0"/>
          <w:bCs/>
          <w:color w:val="auto"/>
          <w:highlight w:val="none"/>
          <w:lang w:eastAsia="zh-CN"/>
        </w:rPr>
        <w:t>（</w:t>
      </w:r>
      <w:r>
        <w:rPr>
          <w:rFonts w:hint="eastAsia" w:hAnsi="宋体" w:cs="宋体"/>
          <w:b w:val="0"/>
          <w:bCs/>
          <w:color w:val="auto"/>
          <w:highlight w:val="none"/>
          <w:lang w:val="en-US" w:eastAsia="zh-CN"/>
        </w:rPr>
        <w:t>7）供应商</w:t>
      </w:r>
      <w:r>
        <w:rPr>
          <w:rFonts w:hint="eastAsia" w:ascii="宋体" w:hAnsi="宋体" w:eastAsia="宋体" w:cs="宋体"/>
          <w:b w:val="0"/>
          <w:bCs w:val="0"/>
          <w:color w:val="auto"/>
          <w:sz w:val="21"/>
          <w:szCs w:val="21"/>
          <w:highlight w:val="none"/>
        </w:rPr>
        <w:t>直接控股、管理关系信息表（格式后附）；（</w:t>
      </w:r>
      <w:r>
        <w:rPr>
          <w:rFonts w:hint="eastAsia" w:ascii="宋体" w:hAnsi="宋体" w:eastAsia="宋体" w:cs="宋体"/>
          <w:b/>
          <w:bCs/>
          <w:color w:val="auto"/>
          <w:sz w:val="21"/>
          <w:szCs w:val="21"/>
          <w:highlight w:val="none"/>
        </w:rPr>
        <w:t>必须提供，否则作无效投标处理</w:t>
      </w:r>
      <w:r>
        <w:rPr>
          <w:rFonts w:hint="eastAsia" w:ascii="宋体" w:hAnsi="宋体" w:eastAsia="宋体" w:cs="宋体"/>
          <w:b w:val="0"/>
          <w:bCs w:val="0"/>
          <w:color w:val="auto"/>
          <w:sz w:val="21"/>
          <w:szCs w:val="21"/>
          <w:highlight w:val="none"/>
        </w:rPr>
        <w:t>）</w:t>
      </w:r>
    </w:p>
    <w:p w14:paraId="77392D18">
      <w:pPr>
        <w:spacing w:line="4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8)</w:t>
      </w:r>
      <w:r>
        <w:rPr>
          <w:rFonts w:hint="eastAsia" w:hAnsi="宋体" w:cs="宋体"/>
          <w:b w:val="0"/>
          <w:bCs/>
          <w:color w:val="auto"/>
          <w:highlight w:val="none"/>
          <w:lang w:val="en-US" w:eastAsia="zh-CN"/>
        </w:rPr>
        <w:t>供应商</w:t>
      </w:r>
      <w:r>
        <w:rPr>
          <w:rFonts w:hint="eastAsia" w:ascii="宋体" w:hAnsi="宋体" w:eastAsia="宋体" w:cs="宋体"/>
          <w:color w:val="auto"/>
          <w:szCs w:val="21"/>
          <w:highlight w:val="none"/>
          <w:lang w:val="en-US" w:eastAsia="zh-CN"/>
        </w:rPr>
        <w:t>参加本项目无围标串标行为的承诺；</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必须提供，否则作无效投标处理</w:t>
      </w:r>
      <w:r>
        <w:rPr>
          <w:rFonts w:hint="eastAsia" w:ascii="宋体" w:hAnsi="宋体" w:eastAsia="宋体" w:cs="宋体"/>
          <w:b w:val="0"/>
          <w:bCs w:val="0"/>
          <w:color w:val="auto"/>
          <w:sz w:val="21"/>
          <w:szCs w:val="21"/>
          <w:highlight w:val="none"/>
        </w:rPr>
        <w:t>）</w:t>
      </w:r>
    </w:p>
    <w:p w14:paraId="033DEAFB">
      <w:pPr>
        <w:pStyle w:val="16"/>
        <w:ind w:firstLine="420" w:firstLineChars="200"/>
        <w:rPr>
          <w:rFonts w:hint="eastAsia" w:ascii="宋体"/>
          <w:b/>
          <w:bCs/>
          <w:color w:val="auto"/>
          <w:sz w:val="21"/>
          <w:szCs w:val="21"/>
          <w:highlight w:val="none"/>
        </w:rPr>
      </w:pPr>
      <w:r>
        <w:rPr>
          <w:rFonts w:hint="eastAsia" w:ascii="宋体" w:hAnsi="宋体" w:cs="宋体"/>
          <w:b w:val="0"/>
          <w:bCs w:val="0"/>
          <w:color w:val="auto"/>
          <w:sz w:val="21"/>
          <w:szCs w:val="21"/>
          <w:highlight w:val="none"/>
          <w:lang w:val="en-US" w:eastAsia="zh-CN"/>
        </w:rPr>
        <w:t>（9）分包管理承诺</w:t>
      </w:r>
      <w:r>
        <w:rPr>
          <w:rFonts w:hint="eastAsia" w:ascii="宋体" w:cs="Times New Roman"/>
          <w:b/>
          <w:bCs/>
          <w:color w:val="auto"/>
          <w:sz w:val="21"/>
          <w:szCs w:val="21"/>
          <w:highlight w:val="none"/>
          <w:lang w:val="en-US" w:eastAsia="zh-CN"/>
        </w:rPr>
        <w:t>；</w:t>
      </w:r>
      <w:r>
        <w:rPr>
          <w:rFonts w:hint="eastAsia" w:ascii="宋体"/>
          <w:b/>
          <w:bCs/>
          <w:color w:val="auto"/>
          <w:sz w:val="21"/>
          <w:szCs w:val="21"/>
          <w:highlight w:val="none"/>
        </w:rPr>
        <w:t>（</w:t>
      </w:r>
      <w:r>
        <w:rPr>
          <w:rFonts w:hint="eastAsia" w:ascii="宋体" w:hAnsi="宋体" w:eastAsia="宋体" w:cs="宋体"/>
          <w:b/>
          <w:bCs/>
          <w:color w:val="auto"/>
          <w:sz w:val="21"/>
          <w:szCs w:val="21"/>
          <w:highlight w:val="none"/>
          <w:lang w:eastAsia="zh-CN"/>
        </w:rPr>
        <w:t>标项一供应商如有分包</w:t>
      </w:r>
      <w:r>
        <w:rPr>
          <w:rFonts w:hint="eastAsia" w:ascii="宋体" w:hAnsi="宋体" w:eastAsia="宋体" w:cs="宋体"/>
          <w:b/>
          <w:bCs/>
          <w:color w:val="auto"/>
          <w:sz w:val="21"/>
          <w:szCs w:val="21"/>
          <w:highlight w:val="none"/>
        </w:rPr>
        <w:t>必须提供，格式见第四章</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标项二、三不涉及</w:t>
      </w:r>
      <w:r>
        <w:rPr>
          <w:rFonts w:hint="eastAsia" w:ascii="宋体"/>
          <w:b/>
          <w:bCs/>
          <w:color w:val="auto"/>
          <w:sz w:val="21"/>
          <w:szCs w:val="21"/>
          <w:highlight w:val="none"/>
        </w:rPr>
        <w:t>）</w:t>
      </w:r>
    </w:p>
    <w:p w14:paraId="2D587250">
      <w:pPr>
        <w:spacing w:line="400" w:lineRule="exact"/>
        <w:ind w:firstLine="420" w:firstLineChars="200"/>
        <w:rPr>
          <w:rFonts w:hint="eastAsia" w:ascii="宋体"/>
          <w:color w:val="auto"/>
          <w:szCs w:val="21"/>
          <w:highlight w:val="none"/>
        </w:rPr>
      </w:pPr>
      <w:r>
        <w:rPr>
          <w:rFonts w:hint="eastAsia" w:ascii="宋体" w:hAnsi="宋体"/>
          <w:color w:val="auto"/>
          <w:szCs w:val="21"/>
          <w:highlight w:val="none"/>
          <w:lang w:val="en-US" w:eastAsia="zh-CN"/>
        </w:rPr>
        <w:t>（10）</w:t>
      </w:r>
      <w:r>
        <w:rPr>
          <w:rFonts w:hint="eastAsia" w:ascii="宋体"/>
          <w:color w:val="auto"/>
          <w:szCs w:val="21"/>
          <w:highlight w:val="none"/>
          <w:lang w:val="en-US" w:eastAsia="zh-CN"/>
        </w:rPr>
        <w:t>供应商</w:t>
      </w:r>
      <w:r>
        <w:rPr>
          <w:rFonts w:hint="eastAsia" w:ascii="宋体"/>
          <w:color w:val="auto"/>
          <w:szCs w:val="21"/>
          <w:highlight w:val="none"/>
        </w:rPr>
        <w:t>中小企业材料（</w:t>
      </w:r>
      <w:r>
        <w:rPr>
          <w:rFonts w:hint="eastAsia" w:ascii="宋体" w:hAnsi="宋体"/>
          <w:b/>
          <w:color w:val="auto"/>
          <w:szCs w:val="21"/>
          <w:highlight w:val="none"/>
        </w:rPr>
        <w:t>必须提供</w:t>
      </w:r>
      <w:r>
        <w:rPr>
          <w:rFonts w:hint="eastAsia" w:ascii="宋体" w:hAnsi="宋体"/>
          <w:b/>
          <w:color w:val="auto"/>
          <w:szCs w:val="21"/>
          <w:highlight w:val="none"/>
          <w:lang w:eastAsia="zh-CN"/>
        </w:rPr>
        <w:t>，</w:t>
      </w:r>
      <w:r>
        <w:rPr>
          <w:rFonts w:hint="eastAsia" w:ascii="宋体"/>
          <w:color w:val="auto"/>
          <w:szCs w:val="21"/>
          <w:highlight w:val="none"/>
        </w:rPr>
        <w:t>供应商根据自身响应情况，提供以下任意一项材料以证明自身</w:t>
      </w:r>
      <w:r>
        <w:rPr>
          <w:rFonts w:hint="eastAsia" w:ascii="宋体"/>
          <w:color w:val="auto"/>
          <w:szCs w:val="21"/>
          <w:highlight w:val="none"/>
          <w:lang w:eastAsia="zh-CN"/>
        </w:rPr>
        <w:t>为</w:t>
      </w:r>
      <w:r>
        <w:rPr>
          <w:rFonts w:hint="eastAsia" w:ascii="宋体"/>
          <w:color w:val="auto"/>
          <w:szCs w:val="21"/>
          <w:highlight w:val="none"/>
        </w:rPr>
        <w:t>中小企业）：</w:t>
      </w:r>
    </w:p>
    <w:p w14:paraId="0C1C98CF">
      <w:pPr>
        <w:spacing w:line="400" w:lineRule="exact"/>
        <w:ind w:firstLine="422" w:firstLineChars="200"/>
        <w:rPr>
          <w:rFonts w:hint="eastAsia" w:ascii="宋体"/>
          <w:b/>
          <w:bCs/>
          <w:color w:val="auto"/>
          <w:szCs w:val="21"/>
          <w:highlight w:val="none"/>
        </w:rPr>
      </w:pPr>
      <w:r>
        <w:rPr>
          <w:rFonts w:hint="eastAsia" w:ascii="宋体"/>
          <w:b/>
          <w:bCs/>
          <w:color w:val="auto"/>
          <w:szCs w:val="21"/>
          <w:highlight w:val="none"/>
        </w:rPr>
        <w:t>1）《中小企业声明函》 （按最新相关政策执行，格式见第六章）；</w:t>
      </w:r>
    </w:p>
    <w:p w14:paraId="3CE8D4B9">
      <w:pPr>
        <w:spacing w:line="400" w:lineRule="exact"/>
        <w:ind w:firstLine="420" w:firstLineChars="200"/>
        <w:rPr>
          <w:rFonts w:hint="eastAsia" w:ascii="宋体"/>
          <w:color w:val="auto"/>
          <w:szCs w:val="21"/>
          <w:highlight w:val="none"/>
        </w:rPr>
      </w:pPr>
      <w:r>
        <w:rPr>
          <w:rFonts w:hint="eastAsia" w:ascii="宋体"/>
          <w:color w:val="auto"/>
          <w:szCs w:val="21"/>
          <w:highlight w:val="none"/>
        </w:rPr>
        <w:t>2）《残疾人福利性单位声明函》 （按最新相关政策执行，格式见第六章，如有请提供）</w:t>
      </w:r>
    </w:p>
    <w:p w14:paraId="3F1B247A">
      <w:pPr>
        <w:spacing w:line="400" w:lineRule="exact"/>
        <w:ind w:firstLine="420" w:firstLineChars="200"/>
        <w:rPr>
          <w:rFonts w:hint="eastAsia" w:ascii="宋体" w:hAnsi="宋体" w:eastAsia="宋体"/>
          <w:color w:val="auto"/>
          <w:szCs w:val="21"/>
          <w:highlight w:val="none"/>
          <w:lang w:eastAsia="zh-CN"/>
        </w:rPr>
      </w:pPr>
      <w:r>
        <w:rPr>
          <w:rFonts w:hint="eastAsia" w:ascii="宋体"/>
          <w:color w:val="auto"/>
          <w:szCs w:val="21"/>
          <w:highlight w:val="none"/>
        </w:rPr>
        <w:t>3）省级以上监狱管理局、戒毒管理局(含新疆生产建设兵团)出具的属于监狱企业的证明文件</w:t>
      </w:r>
      <w:r>
        <w:rPr>
          <w:rFonts w:hint="eastAsia" w:ascii="宋体"/>
          <w:color w:val="auto"/>
          <w:szCs w:val="21"/>
          <w:highlight w:val="none"/>
          <w:lang w:eastAsia="zh-CN"/>
        </w:rPr>
        <w:t>。</w:t>
      </w:r>
    </w:p>
    <w:p w14:paraId="34350441">
      <w:pPr>
        <w:keepNext w:val="0"/>
        <w:keepLines w:val="0"/>
        <w:pageBreakBefore w:val="0"/>
        <w:widowControl w:val="0"/>
        <w:kinsoku/>
        <w:wordWrap/>
        <w:overflowPunct/>
        <w:topLinePunct w:val="0"/>
        <w:autoSpaceDE/>
        <w:autoSpaceDN/>
        <w:bidi w:val="0"/>
        <w:adjustRightInd/>
        <w:snapToGrid w:val="0"/>
        <w:spacing w:line="400" w:lineRule="exact"/>
        <w:ind w:left="0" w:leftChars="0" w:firstLine="420" w:firstLineChars="200"/>
        <w:jc w:val="left"/>
        <w:textAlignment w:val="auto"/>
        <w:rPr>
          <w:b/>
          <w:bCs/>
          <w:color w:val="auto"/>
          <w:highlight w:val="none"/>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lang w:val="en-US" w:eastAsia="zh-CN"/>
        </w:rPr>
        <w:t>）</w:t>
      </w:r>
      <w:r>
        <w:rPr>
          <w:rFonts w:hint="eastAsia" w:ascii="宋体" w:hAnsi="宋体"/>
          <w:color w:val="auto"/>
          <w:szCs w:val="21"/>
          <w:highlight w:val="none"/>
        </w:rPr>
        <w:t>《关于符合本国产品标准的声明函》或者财政部会同有关部门规定的有关证明文件</w:t>
      </w:r>
      <w:r>
        <w:rPr>
          <w:rFonts w:hint="eastAsia"/>
          <w:b/>
          <w:bCs/>
          <w:color w:val="auto"/>
          <w:highlight w:val="none"/>
          <w:lang w:val="en-US" w:eastAsia="zh-CN"/>
        </w:rPr>
        <w:t>（格式见第六章，如有请提供）</w:t>
      </w:r>
    </w:p>
    <w:p w14:paraId="167A8FF6">
      <w:pPr>
        <w:pStyle w:val="16"/>
        <w:ind w:firstLine="422" w:firstLineChars="200"/>
        <w:rPr>
          <w:rFonts w:hint="eastAsia" w:ascii="宋体"/>
          <w:b/>
          <w:bCs/>
          <w:color w:val="auto"/>
          <w:sz w:val="21"/>
          <w:szCs w:val="21"/>
          <w:highlight w:val="none"/>
          <w:lang w:val="en-US" w:eastAsia="zh-CN"/>
        </w:rPr>
      </w:pPr>
    </w:p>
    <w:p w14:paraId="3174A43E">
      <w:pPr>
        <w:spacing w:line="400" w:lineRule="exact"/>
        <w:ind w:firstLine="422" w:firstLineChars="200"/>
        <w:rPr>
          <w:rFonts w:hint="eastAsia" w:ascii="宋体" w:hAnsi="宋体"/>
          <w:color w:val="auto"/>
          <w:szCs w:val="21"/>
          <w:highlight w:val="none"/>
        </w:rPr>
      </w:pPr>
      <w:r>
        <w:rPr>
          <w:rFonts w:hint="eastAsia" w:ascii="宋体" w:hAnsi="宋体"/>
          <w:b/>
          <w:color w:val="auto"/>
          <w:szCs w:val="21"/>
          <w:highlight w:val="none"/>
          <w:lang w:val="en-US" w:eastAsia="zh-CN"/>
        </w:rPr>
        <w:t>9</w:t>
      </w:r>
      <w:r>
        <w:rPr>
          <w:rFonts w:hint="eastAsia" w:ascii="宋体" w:hAnsi="宋体"/>
          <w:b/>
          <w:color w:val="auto"/>
          <w:szCs w:val="21"/>
          <w:highlight w:val="none"/>
        </w:rPr>
        <w:t>.2商务技术文件</w:t>
      </w:r>
    </w:p>
    <w:p w14:paraId="1B7635E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谈判书及竞标声明书；（格式见第四章附件二）</w:t>
      </w:r>
      <w:r>
        <w:rPr>
          <w:rFonts w:hint="eastAsia" w:ascii="宋体" w:hAnsi="宋体"/>
          <w:b/>
          <w:color w:val="auto"/>
          <w:szCs w:val="21"/>
          <w:highlight w:val="none"/>
        </w:rPr>
        <w:t>[必须提供]</w:t>
      </w:r>
    </w:p>
    <w:p w14:paraId="151C4AD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商务、技术响应、偏离情况说明表；（格式见第四章附件三）</w:t>
      </w:r>
      <w:r>
        <w:rPr>
          <w:rFonts w:hint="eastAsia" w:ascii="宋体" w:hAnsi="宋体"/>
          <w:b/>
          <w:color w:val="auto"/>
          <w:szCs w:val="21"/>
          <w:highlight w:val="none"/>
        </w:rPr>
        <w:t>[必须提供]</w:t>
      </w:r>
    </w:p>
    <w:p w14:paraId="6832EF29">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法定代表人身份证正、反面复印件；</w:t>
      </w:r>
      <w:r>
        <w:rPr>
          <w:rFonts w:hint="eastAsia" w:ascii="宋体" w:hAnsi="宋体"/>
          <w:b/>
          <w:color w:val="auto"/>
          <w:szCs w:val="21"/>
          <w:highlight w:val="none"/>
        </w:rPr>
        <w:t>[必须提供]</w:t>
      </w:r>
      <w:r>
        <w:rPr>
          <w:rFonts w:hint="eastAsia" w:ascii="宋体" w:hAnsi="宋体"/>
          <w:color w:val="auto"/>
          <w:szCs w:val="21"/>
          <w:highlight w:val="none"/>
        </w:rPr>
        <w:t xml:space="preserve"> </w:t>
      </w:r>
    </w:p>
    <w:p w14:paraId="00FBF039">
      <w:pPr>
        <w:spacing w:line="400" w:lineRule="exact"/>
        <w:ind w:firstLine="420" w:firstLineChars="200"/>
        <w:rPr>
          <w:rFonts w:hint="eastAsia" w:ascii="宋体" w:hAnsi="宋体" w:cs="宋体"/>
          <w:color w:val="auto"/>
          <w:kern w:val="0"/>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法定代表人授权委托书</w:t>
      </w:r>
      <w:r>
        <w:rPr>
          <w:rFonts w:hint="eastAsia" w:hAnsi="宋体"/>
          <w:color w:val="auto"/>
          <w:highlight w:val="none"/>
        </w:rPr>
        <w:t>和委托代理人身份证正、反面复印件</w:t>
      </w:r>
      <w:r>
        <w:rPr>
          <w:rFonts w:hint="eastAsia" w:ascii="宋体" w:hAnsi="宋体"/>
          <w:color w:val="auto"/>
          <w:szCs w:val="21"/>
          <w:highlight w:val="none"/>
        </w:rPr>
        <w:t>（格式见第四章附件四）</w:t>
      </w:r>
      <w:r>
        <w:rPr>
          <w:rFonts w:hint="eastAsia" w:hAnsi="宋体"/>
          <w:b/>
          <w:color w:val="auto"/>
          <w:highlight w:val="none"/>
        </w:rPr>
        <w:t>[委托代理时</w:t>
      </w:r>
      <w:r>
        <w:rPr>
          <w:rFonts w:hint="eastAsia" w:hAnsi="宋体"/>
          <w:b/>
          <w:bCs/>
          <w:color w:val="auto"/>
          <w:highlight w:val="none"/>
        </w:rPr>
        <w:t>必须提供</w:t>
      </w:r>
      <w:r>
        <w:rPr>
          <w:rFonts w:hint="eastAsia" w:hAnsi="宋体"/>
          <w:color w:val="auto"/>
          <w:highlight w:val="none"/>
        </w:rPr>
        <w:t>]</w:t>
      </w:r>
      <w:r>
        <w:rPr>
          <w:rFonts w:hint="eastAsia" w:ascii="宋体" w:hAnsi="宋体"/>
          <w:color w:val="auto"/>
          <w:szCs w:val="21"/>
          <w:highlight w:val="none"/>
        </w:rPr>
        <w:t xml:space="preserve">； </w:t>
      </w:r>
    </w:p>
    <w:p w14:paraId="69E6A4E7">
      <w:pPr>
        <w:spacing w:line="400" w:lineRule="exact"/>
        <w:ind w:firstLine="420" w:firstLineChars="200"/>
        <w:rPr>
          <w:rFonts w:hint="eastAsia" w:hAnsi="宋体"/>
          <w:b/>
          <w:color w:val="auto"/>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谈判保证金的提交凭证；</w:t>
      </w:r>
      <w:r>
        <w:rPr>
          <w:rFonts w:hint="eastAsia" w:hAnsi="宋体"/>
          <w:b/>
          <w:color w:val="auto"/>
          <w:highlight w:val="none"/>
        </w:rPr>
        <w:t>[必须提供]</w:t>
      </w:r>
    </w:p>
    <w:p w14:paraId="15E6788D">
      <w:pPr>
        <w:spacing w:line="400" w:lineRule="exact"/>
        <w:ind w:firstLine="420" w:firstLineChars="200"/>
        <w:rPr>
          <w:rFonts w:hint="eastAsia" w:ascii="宋体"/>
          <w:b/>
          <w:bCs/>
          <w:color w:val="auto"/>
          <w:sz w:val="21"/>
          <w:szCs w:val="21"/>
          <w:highlight w:val="none"/>
        </w:rPr>
      </w:pPr>
      <w:r>
        <w:rPr>
          <w:rFonts w:hint="eastAsia" w:ascii="宋体" w:hAnsi="宋体"/>
          <w:color w:val="auto"/>
          <w:szCs w:val="21"/>
          <w:highlight w:val="none"/>
          <w:lang w:val="en-US" w:eastAsia="zh-CN"/>
        </w:rPr>
        <w:t>（6）</w:t>
      </w:r>
      <w:r>
        <w:rPr>
          <w:rFonts w:hint="eastAsia" w:hAnsi="宋体"/>
          <w:b/>
          <w:color w:val="auto"/>
          <w:highlight w:val="none"/>
          <w:lang w:val="en-US" w:eastAsia="zh-CN"/>
        </w:rPr>
        <w:t>项目实施人员一览表；</w:t>
      </w:r>
      <w:r>
        <w:rPr>
          <w:rFonts w:hint="eastAsia" w:ascii="宋体"/>
          <w:b/>
          <w:bCs/>
          <w:color w:val="auto"/>
          <w:sz w:val="21"/>
          <w:szCs w:val="21"/>
          <w:highlight w:val="none"/>
        </w:rPr>
        <w:t>（</w:t>
      </w:r>
      <w:r>
        <w:rPr>
          <w:rFonts w:hint="eastAsia" w:ascii="宋体"/>
          <w:b/>
          <w:bCs/>
          <w:color w:val="auto"/>
          <w:sz w:val="21"/>
          <w:szCs w:val="21"/>
          <w:highlight w:val="none"/>
          <w:lang w:eastAsia="zh-CN"/>
        </w:rPr>
        <w:t>标项一供应商</w:t>
      </w:r>
      <w:r>
        <w:rPr>
          <w:rFonts w:hint="eastAsia" w:ascii="宋体"/>
          <w:b/>
          <w:bCs/>
          <w:color w:val="auto"/>
          <w:sz w:val="21"/>
          <w:szCs w:val="21"/>
          <w:highlight w:val="none"/>
        </w:rPr>
        <w:t>必须提供，</w:t>
      </w:r>
      <w:r>
        <w:rPr>
          <w:rFonts w:hint="eastAsia" w:ascii="宋体" w:hAnsi="宋体"/>
          <w:color w:val="auto"/>
          <w:szCs w:val="21"/>
          <w:highlight w:val="none"/>
        </w:rPr>
        <w:t>格式</w:t>
      </w:r>
      <w:r>
        <w:rPr>
          <w:rFonts w:hint="eastAsia" w:ascii="宋体" w:hAnsi="宋体"/>
          <w:color w:val="auto"/>
          <w:szCs w:val="21"/>
          <w:highlight w:val="none"/>
          <w:lang w:eastAsia="zh-CN"/>
        </w:rPr>
        <w:t>自拟</w:t>
      </w:r>
      <w:r>
        <w:rPr>
          <w:rFonts w:hint="eastAsia" w:ascii="宋体"/>
          <w:b/>
          <w:bCs/>
          <w:color w:val="auto"/>
          <w:sz w:val="21"/>
          <w:szCs w:val="21"/>
          <w:highlight w:val="none"/>
        </w:rPr>
        <w:t>）</w:t>
      </w:r>
    </w:p>
    <w:p w14:paraId="4B993F2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本采购项目《采购需求》中要求必须提交的材料；</w:t>
      </w:r>
      <w:r>
        <w:rPr>
          <w:rFonts w:hint="eastAsia" w:hAnsi="宋体"/>
          <w:b/>
          <w:color w:val="auto"/>
          <w:highlight w:val="none"/>
        </w:rPr>
        <w:t>[</w:t>
      </w:r>
      <w:r>
        <w:rPr>
          <w:rFonts w:hint="eastAsia" w:ascii="宋体" w:hAnsi="宋体"/>
          <w:b/>
          <w:color w:val="auto"/>
          <w:szCs w:val="21"/>
          <w:highlight w:val="none"/>
        </w:rPr>
        <w:t>如有要求，则</w:t>
      </w:r>
      <w:r>
        <w:rPr>
          <w:rFonts w:hint="eastAsia" w:hAnsi="宋体"/>
          <w:b/>
          <w:color w:val="auto"/>
          <w:highlight w:val="none"/>
        </w:rPr>
        <w:t>必须提供]</w:t>
      </w:r>
    </w:p>
    <w:p w14:paraId="5377231F">
      <w:pPr>
        <w:spacing w:line="400" w:lineRule="exact"/>
        <w:ind w:firstLine="422" w:firstLineChars="200"/>
        <w:rPr>
          <w:rFonts w:hint="eastAsia" w:hAnsi="宋体"/>
          <w:b/>
          <w:color w:val="auto"/>
          <w:highlight w:val="none"/>
        </w:rPr>
      </w:pPr>
      <w:r>
        <w:rPr>
          <w:rFonts w:hint="eastAsia" w:hAnsi="宋体"/>
          <w:b/>
          <w:color w:val="auto"/>
          <w:highlight w:val="none"/>
          <w:lang w:val="en-US" w:eastAsia="zh-CN"/>
        </w:rPr>
        <w:t>（8）</w:t>
      </w:r>
      <w:r>
        <w:rPr>
          <w:rFonts w:hint="eastAsia" w:ascii="宋体" w:hAnsi="宋体"/>
          <w:color w:val="auto"/>
          <w:szCs w:val="21"/>
          <w:highlight w:val="none"/>
        </w:rPr>
        <w:t>具备法律、行政法规规定的其他条件的证明材料；</w:t>
      </w:r>
      <w:r>
        <w:rPr>
          <w:rFonts w:hint="eastAsia" w:hAnsi="宋体"/>
          <w:b/>
          <w:color w:val="auto"/>
          <w:highlight w:val="none"/>
        </w:rPr>
        <w:t>[</w:t>
      </w:r>
      <w:r>
        <w:rPr>
          <w:rFonts w:hint="eastAsia" w:ascii="宋体" w:hAnsi="宋体"/>
          <w:b/>
          <w:color w:val="auto"/>
          <w:szCs w:val="21"/>
          <w:highlight w:val="none"/>
        </w:rPr>
        <w:t>如有要求，则</w:t>
      </w:r>
      <w:r>
        <w:rPr>
          <w:rFonts w:hint="eastAsia" w:hAnsi="宋体"/>
          <w:b/>
          <w:color w:val="auto"/>
          <w:highlight w:val="none"/>
        </w:rPr>
        <w:t>必须提供]</w:t>
      </w:r>
    </w:p>
    <w:p w14:paraId="51C76F50">
      <w:pPr>
        <w:spacing w:line="400" w:lineRule="exact"/>
        <w:ind w:firstLine="422" w:firstLineChars="200"/>
        <w:rPr>
          <w:rFonts w:hint="default" w:hAnsi="宋体" w:eastAsia="宋体"/>
          <w:b/>
          <w:color w:val="auto"/>
          <w:highlight w:val="none"/>
          <w:lang w:val="en-US" w:eastAsia="zh-CN"/>
        </w:rPr>
      </w:pPr>
    </w:p>
    <w:p w14:paraId="1293D314">
      <w:pPr>
        <w:spacing w:line="400" w:lineRule="exact"/>
        <w:ind w:firstLine="420" w:firstLineChars="200"/>
        <w:rPr>
          <w:rFonts w:hint="eastAsia" w:ascii="宋体" w:hAnsi="宋体"/>
          <w:b/>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售后服务承诺书（内容可以是提供的切实可行的售后服务和优惠承诺）；[格式自拟]</w:t>
      </w:r>
    </w:p>
    <w:p w14:paraId="1E1E723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生产、销售许可证（凡国家实行生产或经营许可证制度的、强制标准认证和注册证制度的产品，谈判供应商必须提供生产厂家相关许可证、相关认证或注册证复印件并加盖公章）；</w:t>
      </w:r>
    </w:p>
    <w:p w14:paraId="4F91564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11）</w:t>
      </w:r>
      <w:r>
        <w:rPr>
          <w:rFonts w:hint="eastAsia" w:ascii="宋体" w:hAnsi="宋体"/>
          <w:color w:val="auto"/>
          <w:szCs w:val="21"/>
          <w:highlight w:val="none"/>
        </w:rPr>
        <w:t>货物认证、检测报告、鉴定证书等；</w:t>
      </w:r>
    </w:p>
    <w:p w14:paraId="2E9CF03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12）</w:t>
      </w:r>
      <w:r>
        <w:rPr>
          <w:rFonts w:hint="eastAsia" w:ascii="宋体" w:hAnsi="宋体"/>
          <w:color w:val="auto"/>
          <w:szCs w:val="21"/>
          <w:highlight w:val="none"/>
        </w:rPr>
        <w:t>货物名称、型号、规格、数量、性能、内部配置、使用原材料，引进新技术、新工艺、新材料的等情况。</w:t>
      </w:r>
    </w:p>
    <w:p w14:paraId="258C69D3">
      <w:pPr>
        <w:spacing w:line="400"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13）</w:t>
      </w:r>
      <w:r>
        <w:rPr>
          <w:rFonts w:hint="eastAsia" w:ascii="宋体" w:hAnsi="宋体"/>
          <w:color w:val="auto"/>
          <w:szCs w:val="21"/>
          <w:highlight w:val="none"/>
        </w:rPr>
        <w:t>供应商认为需要提供的其他材料。</w:t>
      </w:r>
    </w:p>
    <w:p w14:paraId="22C5A6CC">
      <w:pPr>
        <w:spacing w:line="400" w:lineRule="exact"/>
        <w:ind w:firstLine="422" w:firstLineChars="200"/>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9.3报价文件</w:t>
      </w:r>
    </w:p>
    <w:p w14:paraId="53E614A0">
      <w:pPr>
        <w:spacing w:line="400" w:lineRule="exact"/>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报价表；（格式见第四章附件一）</w:t>
      </w:r>
      <w:r>
        <w:rPr>
          <w:rFonts w:hint="eastAsia" w:ascii="宋体" w:hAnsi="宋体"/>
          <w:b/>
          <w:color w:val="auto"/>
          <w:szCs w:val="21"/>
          <w:highlight w:val="none"/>
        </w:rPr>
        <w:t>[必须提供]</w:t>
      </w:r>
    </w:p>
    <w:p w14:paraId="24D00BA5">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三、报价要求</w:t>
      </w:r>
    </w:p>
    <w:p w14:paraId="563A95C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对于本文件中未列明，而谈判供应商认为必需的费用也需列入总报价。在合同实施时，采购人将不予支付成交供应商没有列入的项目费用，并认为此项目的费用已包括在总报价中。</w:t>
      </w:r>
    </w:p>
    <w:p w14:paraId="2917EA3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成交供应商负责本项目所需货物的制造、运输、售后服务等全部工作。</w:t>
      </w:r>
    </w:p>
    <w:p w14:paraId="21E96E45">
      <w:pPr>
        <w:pStyle w:val="20"/>
        <w:spacing w:line="420" w:lineRule="exact"/>
        <w:ind w:firstLine="420"/>
        <w:rPr>
          <w:rFonts w:hint="eastAsia" w:hAnsi="宋体"/>
          <w:color w:val="auto"/>
          <w:highlight w:val="none"/>
        </w:rPr>
      </w:pPr>
      <w:r>
        <w:rPr>
          <w:rFonts w:hint="eastAsia" w:hAnsi="宋体"/>
          <w:color w:val="auto"/>
          <w:highlight w:val="none"/>
          <w:lang w:val="en-US" w:eastAsia="zh-CN"/>
        </w:rPr>
        <w:t>3.</w:t>
      </w:r>
      <w:r>
        <w:rPr>
          <w:rFonts w:hint="eastAsia" w:hAnsi="宋体"/>
          <w:color w:val="auto"/>
          <w:highlight w:val="none"/>
        </w:rPr>
        <w:t>谈判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谈判响应文件的解释发生异议的，以中文文本为准。除上述原因以外，如果因谈判供应商原因引起的报价失误，并在谈判时被接受，其后果由谈判供应商自负。</w:t>
      </w:r>
    </w:p>
    <w:p w14:paraId="744406B4">
      <w:pPr>
        <w:spacing w:line="400" w:lineRule="exact"/>
        <w:ind w:firstLine="422" w:firstLineChars="200"/>
        <w:rPr>
          <w:rFonts w:hint="eastAsia"/>
          <w:b/>
          <w:color w:val="auto"/>
          <w:highlight w:val="none"/>
        </w:rPr>
      </w:pPr>
      <w:r>
        <w:rPr>
          <w:rFonts w:hint="eastAsia" w:ascii="宋体" w:hAnsi="宋体" w:cs="Courier New"/>
          <w:b/>
          <w:color w:val="auto"/>
          <w:szCs w:val="21"/>
          <w:highlight w:val="none"/>
          <w:lang w:val="en-US" w:eastAsia="zh-CN"/>
        </w:rPr>
        <w:t>4.</w:t>
      </w:r>
      <w:r>
        <w:rPr>
          <w:rFonts w:hint="eastAsia"/>
          <w:b/>
          <w:color w:val="auto"/>
          <w:highlight w:val="none"/>
        </w:rPr>
        <w:t>竞标报价：供应商可就所有分标的内容按分标分别作完整唯一报价，也可对某个分标或几个分标的内容按分标分别作完整唯一报价，漏项报价的或有选择的或有条件的报价，其响应将视为无效。</w:t>
      </w:r>
    </w:p>
    <w:p w14:paraId="38700224">
      <w:pPr>
        <w:keepNext w:val="0"/>
        <w:keepLines w:val="0"/>
        <w:pageBreakBefore w:val="0"/>
        <w:widowControl w:val="0"/>
        <w:kinsoku/>
        <w:wordWrap/>
        <w:overflowPunct/>
        <w:topLinePunct w:val="0"/>
        <w:autoSpaceDE/>
        <w:autoSpaceDN/>
        <w:bidi w:val="0"/>
        <w:adjustRightInd/>
        <w:spacing w:line="400" w:lineRule="exact"/>
        <w:ind w:left="0" w:leftChars="0" w:firstLine="422" w:firstLineChars="200"/>
        <w:textAlignment w:val="auto"/>
        <w:rPr>
          <w:rFonts w:hint="eastAsia" w:ascii="宋体" w:hAnsi="宋体" w:eastAsia="宋体" w:cs="宋体"/>
          <w:b/>
          <w:bCs/>
          <w:color w:val="auto"/>
          <w:highlight w:val="none"/>
        </w:rPr>
      </w:pPr>
      <w:r>
        <w:rPr>
          <w:rFonts w:hint="eastAsia" w:ascii="宋体" w:hAnsi="宋体" w:eastAsia="宋体" w:cs="宋体"/>
          <w:b/>
          <w:color w:val="auto"/>
          <w:highlight w:val="none"/>
        </w:rPr>
        <w:t>▲</w:t>
      </w:r>
      <w:r>
        <w:rPr>
          <w:rFonts w:hint="eastAsia" w:ascii="宋体" w:hAnsi="宋体" w:cs="Courier New"/>
          <w:b/>
          <w:color w:val="auto"/>
          <w:szCs w:val="21"/>
          <w:highlight w:val="none"/>
          <w:lang w:val="en-US" w:eastAsia="zh-CN"/>
        </w:rPr>
        <w:t>5.</w:t>
      </w:r>
      <w:r>
        <w:rPr>
          <w:rFonts w:hint="eastAsia" w:ascii="宋体" w:hAnsi="宋体" w:eastAsia="宋体" w:cs="宋体"/>
          <w:b/>
          <w:bCs/>
          <w:color w:val="auto"/>
          <w:highlight w:val="none"/>
        </w:rPr>
        <w:t>异常低价审查：政府采购评审中出现下列情形之一的，</w:t>
      </w:r>
      <w:r>
        <w:rPr>
          <w:rFonts w:hint="eastAsia" w:ascii="宋体" w:hAnsi="宋体" w:eastAsia="宋体" w:cs="宋体"/>
          <w:b/>
          <w:bCs/>
          <w:color w:val="auto"/>
          <w:highlight w:val="none"/>
          <w:lang w:val="en-US" w:eastAsia="zh-CN"/>
        </w:rPr>
        <w:t>谈判小组</w:t>
      </w:r>
      <w:r>
        <w:rPr>
          <w:rFonts w:hint="eastAsia" w:ascii="宋体" w:hAnsi="宋体" w:eastAsia="宋体" w:cs="宋体"/>
          <w:b/>
          <w:bCs/>
          <w:color w:val="auto"/>
          <w:highlight w:val="none"/>
        </w:rPr>
        <w:t>应当启动异常低价投标审查程序：</w:t>
      </w:r>
    </w:p>
    <w:p w14:paraId="5570B9DE">
      <w:pPr>
        <w:keepNext w:val="0"/>
        <w:keepLines w:val="0"/>
        <w:pageBreakBefore w:val="0"/>
        <w:widowControl w:val="0"/>
        <w:kinsoku/>
        <w:wordWrap/>
        <w:overflowPunct/>
        <w:topLinePunct w:val="0"/>
        <w:autoSpaceDE/>
        <w:autoSpaceDN/>
        <w:bidi w:val="0"/>
        <w:adjustRightInd/>
        <w:spacing w:line="400" w:lineRule="exact"/>
        <w:ind w:left="0" w:leftChars="0"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低于全部通过符合性审查供应商</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平均值50%的，即</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&lt;全部通过符合性审查供应商</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平均值×50%；</w:t>
      </w:r>
    </w:p>
    <w:p w14:paraId="5AF1A64B">
      <w:pPr>
        <w:keepNext w:val="0"/>
        <w:keepLines w:val="0"/>
        <w:pageBreakBefore w:val="0"/>
        <w:widowControl w:val="0"/>
        <w:kinsoku/>
        <w:wordWrap/>
        <w:overflowPunct/>
        <w:topLinePunct w:val="0"/>
        <w:autoSpaceDE/>
        <w:autoSpaceDN/>
        <w:bidi w:val="0"/>
        <w:adjustRightInd/>
        <w:spacing w:line="400" w:lineRule="exact"/>
        <w:ind w:left="0" w:leftChars="0"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低于通过符合性审查的次低报价供应商</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50%的，即</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&lt;通过符合性审查的次低报价供应商</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×50%；</w:t>
      </w:r>
    </w:p>
    <w:p w14:paraId="619C29AB">
      <w:pPr>
        <w:keepNext w:val="0"/>
        <w:keepLines w:val="0"/>
        <w:pageBreakBefore w:val="0"/>
        <w:widowControl w:val="0"/>
        <w:kinsoku/>
        <w:wordWrap/>
        <w:overflowPunct/>
        <w:topLinePunct w:val="0"/>
        <w:autoSpaceDE/>
        <w:autoSpaceDN/>
        <w:bidi w:val="0"/>
        <w:adjustRightInd/>
        <w:spacing w:line="400" w:lineRule="exact"/>
        <w:ind w:left="0" w:leftChars="0"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低于采购项目最高限价45%的，即</w:t>
      </w:r>
      <w:r>
        <w:rPr>
          <w:rFonts w:hint="eastAsia" w:ascii="宋体" w:hAnsi="宋体" w:eastAsia="宋体" w:cs="宋体"/>
          <w:b/>
          <w:bCs/>
          <w:color w:val="auto"/>
          <w:highlight w:val="none"/>
          <w:lang w:eastAsia="zh-CN"/>
        </w:rPr>
        <w:t>竞标报价</w:t>
      </w:r>
      <w:r>
        <w:rPr>
          <w:rFonts w:hint="eastAsia" w:ascii="宋体" w:hAnsi="宋体" w:eastAsia="宋体" w:cs="宋体"/>
          <w:b/>
          <w:bCs/>
          <w:color w:val="auto"/>
          <w:highlight w:val="none"/>
        </w:rPr>
        <w:t>&lt;采购项目最高限价×45%；</w:t>
      </w:r>
    </w:p>
    <w:p w14:paraId="21B69D2E">
      <w:pPr>
        <w:keepNext w:val="0"/>
        <w:keepLines w:val="0"/>
        <w:pageBreakBefore w:val="0"/>
        <w:widowControl w:val="0"/>
        <w:kinsoku/>
        <w:wordWrap/>
        <w:overflowPunct/>
        <w:topLinePunct w:val="0"/>
        <w:autoSpaceDE/>
        <w:autoSpaceDN/>
        <w:bidi w:val="0"/>
        <w:adjustRightInd/>
        <w:spacing w:line="400" w:lineRule="exact"/>
        <w:ind w:left="0" w:leftChars="0"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lang w:eastAsia="zh-CN"/>
        </w:rPr>
        <w:t>谈判小组</w:t>
      </w:r>
      <w:r>
        <w:rPr>
          <w:rFonts w:hint="eastAsia" w:ascii="宋体" w:hAnsi="宋体" w:eastAsia="宋体" w:cs="宋体"/>
          <w:b/>
          <w:bCs/>
          <w:color w:val="auto"/>
          <w:highlight w:val="none"/>
        </w:rPr>
        <w:t>基于专业判断，认为供应商报价过低，有可能影响产品质量或者不能诚信履约的其他情形。</w:t>
      </w:r>
    </w:p>
    <w:p w14:paraId="0278FBF8">
      <w:pPr>
        <w:keepNext w:val="0"/>
        <w:keepLines w:val="0"/>
        <w:pageBreakBefore w:val="0"/>
        <w:widowControl w:val="0"/>
        <w:kinsoku/>
        <w:wordWrap/>
        <w:overflowPunct/>
        <w:topLinePunct w:val="0"/>
        <w:autoSpaceDE/>
        <w:autoSpaceDN/>
        <w:bidi w:val="0"/>
        <w:adjustRightInd/>
        <w:spacing w:line="400" w:lineRule="exact"/>
        <w:ind w:left="0" w:leftChars="0"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lang w:eastAsia="zh-CN"/>
        </w:rPr>
        <w:t>谈判小组</w:t>
      </w:r>
      <w:r>
        <w:rPr>
          <w:rFonts w:hint="eastAsia" w:ascii="宋体" w:hAnsi="宋体" w:eastAsia="宋体" w:cs="宋体"/>
          <w:b/>
          <w:bCs/>
          <w:color w:val="auto"/>
          <w:highlight w:val="none"/>
        </w:rPr>
        <w:t>启动异常低价投标审查后，属于前述第</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项至第</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EC07CFD">
      <w:pPr>
        <w:keepNext w:val="0"/>
        <w:keepLines w:val="0"/>
        <w:pageBreakBefore w:val="0"/>
        <w:widowControl w:val="0"/>
        <w:kinsoku/>
        <w:wordWrap/>
        <w:overflowPunct/>
        <w:topLinePunct w:val="0"/>
        <w:autoSpaceDE/>
        <w:autoSpaceDN/>
        <w:bidi w:val="0"/>
        <w:adjustRightInd/>
        <w:spacing w:line="400" w:lineRule="exact"/>
        <w:ind w:left="0" w:leftChars="0" w:firstLine="422" w:firstLineChars="200"/>
        <w:textAlignment w:val="auto"/>
        <w:rPr>
          <w:rFonts w:hint="eastAsia" w:ascii="宋体" w:hAnsi="宋体" w:cs="Courier New"/>
          <w:b/>
          <w:color w:val="auto"/>
          <w:szCs w:val="21"/>
          <w:highlight w:val="none"/>
        </w:rPr>
      </w:pPr>
      <w:r>
        <w:rPr>
          <w:rFonts w:hint="eastAsia" w:ascii="宋体" w:hAnsi="宋体" w:eastAsia="宋体" w:cs="宋体"/>
          <w:b/>
          <w:bCs/>
          <w:color w:val="auto"/>
          <w:highlight w:val="none"/>
          <w:lang w:eastAsia="zh-CN"/>
        </w:rPr>
        <w:t>谈判小组</w:t>
      </w:r>
      <w:r>
        <w:rPr>
          <w:rFonts w:hint="eastAsia" w:ascii="宋体" w:hAnsi="宋体" w:eastAsia="宋体" w:cs="宋体"/>
          <w:b/>
          <w:bCs/>
          <w:color w:val="auto"/>
          <w:highlight w:val="none"/>
        </w:rPr>
        <w:t>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ascii="宋体" w:hAnsi="宋体" w:eastAsia="宋体" w:cs="宋体"/>
          <w:b/>
          <w:bCs/>
          <w:color w:val="auto"/>
          <w:highlight w:val="none"/>
          <w:lang w:eastAsia="zh-CN"/>
        </w:rPr>
        <w:t>谈判小组</w:t>
      </w:r>
      <w:r>
        <w:rPr>
          <w:rFonts w:hint="eastAsia" w:ascii="宋体" w:hAnsi="宋体" w:eastAsia="宋体" w:cs="宋体"/>
          <w:b/>
          <w:bCs/>
          <w:color w:val="auto"/>
          <w:highlight w:val="none"/>
        </w:rPr>
        <w:t>应当将其作为无效投标处理。</w:t>
      </w:r>
    </w:p>
    <w:p w14:paraId="0567A5E4">
      <w:pPr>
        <w:spacing w:line="400" w:lineRule="exact"/>
        <w:ind w:firstLine="422" w:firstLineChars="200"/>
        <w:rPr>
          <w:rFonts w:hint="eastAsia" w:ascii="宋体" w:hAnsi="宋体" w:cs="Courier New"/>
          <w:b/>
          <w:color w:val="auto"/>
          <w:szCs w:val="21"/>
          <w:highlight w:val="none"/>
        </w:rPr>
      </w:pPr>
      <w:r>
        <w:rPr>
          <w:rFonts w:hint="eastAsia" w:ascii="宋体" w:hAnsi="宋体" w:cs="Courier New"/>
          <w:b/>
          <w:color w:val="auto"/>
          <w:szCs w:val="21"/>
          <w:highlight w:val="none"/>
        </w:rPr>
        <w:t>四、</w:t>
      </w:r>
      <w:r>
        <w:rPr>
          <w:rFonts w:hint="eastAsia" w:ascii="宋体" w:hAnsi="宋体" w:cs="宋体"/>
          <w:b/>
          <w:bCs/>
          <w:color w:val="auto"/>
          <w:highlight w:val="none"/>
        </w:rPr>
        <w:t>竞争性谈判响应文件的</w:t>
      </w:r>
      <w:r>
        <w:rPr>
          <w:rFonts w:hint="eastAsia" w:ascii="宋体" w:hAnsi="宋体"/>
          <w:b/>
          <w:bCs/>
          <w:color w:val="auto"/>
          <w:highlight w:val="none"/>
        </w:rPr>
        <w:t>上传、提交、修改、撤回和解密</w:t>
      </w:r>
    </w:p>
    <w:p w14:paraId="77410C0D">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1.</w:t>
      </w:r>
      <w:r>
        <w:rPr>
          <w:rFonts w:hint="eastAsia" w:ascii="宋体" w:hAnsi="宋体" w:cs="宋体"/>
          <w:color w:val="auto"/>
          <w:highlight w:val="none"/>
        </w:rPr>
        <w:t>竞争性谈判响应文件的</w:t>
      </w:r>
      <w:r>
        <w:rPr>
          <w:rFonts w:hint="eastAsia" w:ascii="宋体" w:hAnsi="宋体"/>
          <w:color w:val="auto"/>
          <w:highlight w:val="none"/>
        </w:rPr>
        <w:t>上传和提交：</w:t>
      </w:r>
      <w:r>
        <w:rPr>
          <w:rFonts w:hint="eastAsia" w:hAnsi="宋体"/>
          <w:color w:val="auto"/>
          <w:highlight w:val="none"/>
        </w:rPr>
        <w:t>见须知前附表。</w:t>
      </w:r>
    </w:p>
    <w:p w14:paraId="19C8DD5B">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rPr>
        <w:t>竞争性谈判响应文件的修改、撤回和解密：供应商应当在截止时间前完成响应文件的上传、提交，并可以补充、修改或者撤回响应文件。补充或者修改响应文件的，应当先行撤回原文件，补充、修改后重新上传、提交。截止时间前未完成上传、提交的，视为撤回响应文件。截止时间后提交的响应文件，“政府采购云平台”将予以拒收。截止时间后，供应商不得撤回、修改响应文件。</w:t>
      </w:r>
    </w:p>
    <w:p w14:paraId="11BC8516">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电子加密响应文件的解密：见须知前附表。</w:t>
      </w:r>
    </w:p>
    <w:p w14:paraId="4993124B">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五、谈判保证金</w:t>
      </w:r>
    </w:p>
    <w:p w14:paraId="57B2381B">
      <w:pPr>
        <w:spacing w:line="400" w:lineRule="exact"/>
        <w:ind w:firstLine="420" w:firstLineChars="200"/>
        <w:rPr>
          <w:rFonts w:hint="eastAsia" w:ascii="宋体" w:hAnsi="宋体"/>
          <w:b/>
          <w:color w:val="auto"/>
          <w:szCs w:val="21"/>
          <w:highlight w:val="none"/>
        </w:rPr>
      </w:pPr>
      <w:r>
        <w:rPr>
          <w:rFonts w:hint="eastAsia" w:ascii="宋体" w:hAnsi="宋体"/>
          <w:color w:val="auto"/>
          <w:szCs w:val="21"/>
          <w:highlight w:val="none"/>
          <w:lang w:val="en-US" w:eastAsia="zh-CN"/>
        </w:rPr>
        <w:t>1.</w:t>
      </w:r>
      <w:r>
        <w:rPr>
          <w:rFonts w:hint="eastAsia" w:hAnsi="宋体"/>
          <w:color w:val="auto"/>
          <w:highlight w:val="none"/>
        </w:rPr>
        <w:t>保证金应用人民币，</w:t>
      </w:r>
      <w:r>
        <w:rPr>
          <w:rFonts w:hint="eastAsia" w:ascii="宋体" w:hAnsi="宋体"/>
          <w:bCs/>
          <w:color w:val="auto"/>
          <w:szCs w:val="21"/>
          <w:highlight w:val="none"/>
        </w:rPr>
        <w:t>具体金额详见谈判供应商须知前附表。</w:t>
      </w:r>
    </w:p>
    <w:p w14:paraId="1446A5CB">
      <w:pPr>
        <w:spacing w:line="400" w:lineRule="exact"/>
        <w:ind w:firstLine="420" w:firstLineChars="200"/>
        <w:rPr>
          <w:rFonts w:hint="eastAsia" w:ascii="宋体" w:hAnsi="宋体"/>
          <w:b/>
          <w:color w:val="auto"/>
          <w:szCs w:val="21"/>
          <w:highlight w:val="none"/>
        </w:rPr>
      </w:pPr>
      <w:r>
        <w:rPr>
          <w:rFonts w:hint="eastAsia" w:ascii="宋体"/>
          <w:color w:val="auto"/>
          <w:szCs w:val="21"/>
          <w:highlight w:val="none"/>
          <w:lang w:val="en-US" w:eastAsia="zh-CN"/>
        </w:rPr>
        <w:t>2.</w:t>
      </w:r>
      <w:r>
        <w:rPr>
          <w:rFonts w:hint="eastAsia" w:hAnsi="宋体"/>
          <w:color w:val="auto"/>
          <w:highlight w:val="none"/>
        </w:rPr>
        <w:t>保证金交纳方式：</w:t>
      </w:r>
      <w:r>
        <w:rPr>
          <w:rFonts w:hint="eastAsia" w:ascii="宋体" w:hAnsi="宋体"/>
          <w:color w:val="auto"/>
          <w:szCs w:val="21"/>
          <w:highlight w:val="none"/>
        </w:rPr>
        <w:t>银行转账、支票、汇票、本票或者银行、保险机构出具的保函</w:t>
      </w:r>
      <w:r>
        <w:rPr>
          <w:rFonts w:hint="eastAsia" w:ascii="宋体" w:hAnsi="宋体" w:cs="宋体"/>
          <w:color w:val="auto"/>
          <w:kern w:val="0"/>
          <w:szCs w:val="21"/>
          <w:highlight w:val="none"/>
        </w:rPr>
        <w:t>等非现金形式。</w:t>
      </w:r>
    </w:p>
    <w:p w14:paraId="0FCC529F">
      <w:pPr>
        <w:spacing w:line="400" w:lineRule="exact"/>
        <w:ind w:firstLine="420" w:firstLineChars="200"/>
        <w:rPr>
          <w:rFonts w:hint="eastAsia" w:ascii="宋体" w:hAnsi="宋体"/>
          <w:b/>
          <w:color w:val="auto"/>
          <w:szCs w:val="21"/>
          <w:highlight w:val="none"/>
        </w:rPr>
      </w:pPr>
      <w:r>
        <w:rPr>
          <w:rFonts w:hint="eastAsia" w:ascii="宋体"/>
          <w:color w:val="auto"/>
          <w:szCs w:val="21"/>
          <w:highlight w:val="none"/>
          <w:lang w:val="en-US" w:eastAsia="zh-CN"/>
        </w:rPr>
        <w:t>3.</w:t>
      </w:r>
      <w:r>
        <w:rPr>
          <w:rFonts w:hint="eastAsia" w:hAnsi="宋体"/>
          <w:color w:val="auto"/>
          <w:highlight w:val="none"/>
        </w:rPr>
        <w:t>办理保证金手续时，请务必在银行相关票据（非现金）或凭证的用途或空白栏上注明采购项目名称及采购项目编号、分标号（如有），以免耽误竞争性谈判。</w:t>
      </w:r>
    </w:p>
    <w:p w14:paraId="6BE9895A">
      <w:pPr>
        <w:spacing w:line="400" w:lineRule="exact"/>
        <w:ind w:firstLine="420" w:firstLineChars="200"/>
        <w:rPr>
          <w:rFonts w:hint="eastAsia" w:hAnsi="宋体"/>
          <w:color w:val="auto"/>
          <w:highlight w:val="none"/>
        </w:rPr>
      </w:pPr>
      <w:r>
        <w:rPr>
          <w:rFonts w:hint="eastAsia" w:ascii="宋体" w:hAnsi="宋体"/>
          <w:color w:val="auto"/>
          <w:szCs w:val="21"/>
          <w:highlight w:val="none"/>
          <w:lang w:val="en-US" w:eastAsia="zh-CN"/>
        </w:rPr>
        <w:t>4.</w:t>
      </w:r>
      <w:r>
        <w:rPr>
          <w:rFonts w:hint="eastAsia" w:ascii="宋体" w:hAnsi="宋体"/>
          <w:color w:val="auto"/>
          <w:highlight w:val="none"/>
        </w:rPr>
        <w:t>保证金相关事宜：</w:t>
      </w:r>
      <w:r>
        <w:rPr>
          <w:rFonts w:hint="eastAsia" w:ascii="宋体" w:hAnsi="宋体"/>
          <w:color w:val="auto"/>
          <w:szCs w:val="21"/>
          <w:highlight w:val="none"/>
        </w:rPr>
        <w:t>财务室电话：0771-4915100、4915200</w:t>
      </w:r>
    </w:p>
    <w:p w14:paraId="75533615">
      <w:pPr>
        <w:spacing w:line="400" w:lineRule="exact"/>
        <w:ind w:firstLine="420" w:firstLineChars="200"/>
        <w:rPr>
          <w:rFonts w:hAnsi="宋体"/>
          <w:color w:val="auto"/>
          <w:highlight w:val="none"/>
        </w:rPr>
      </w:pPr>
      <w:r>
        <w:rPr>
          <w:rFonts w:hint="eastAsia" w:ascii="宋体" w:hAnsi="宋体"/>
          <w:color w:val="auto"/>
          <w:szCs w:val="21"/>
          <w:highlight w:val="none"/>
          <w:lang w:val="en-US" w:eastAsia="zh-CN"/>
        </w:rPr>
        <w:t>5.</w:t>
      </w:r>
      <w:r>
        <w:rPr>
          <w:rFonts w:hint="eastAsia" w:hAnsi="宋体"/>
          <w:color w:val="auto"/>
          <w:highlight w:val="none"/>
        </w:rPr>
        <w:t>未成交谈判供应商的保证金，将在成交通知书发出后5个工作日内予以退还，不计利息。成交供应商</w:t>
      </w:r>
      <w:r>
        <w:rPr>
          <w:rFonts w:hint="eastAsia" w:ascii="宋体" w:hAnsi="宋体"/>
          <w:color w:val="auto"/>
          <w:szCs w:val="21"/>
          <w:highlight w:val="none"/>
        </w:rPr>
        <w:t>的保证金在合同签订后5个工作日内退还（</w:t>
      </w:r>
      <w:r>
        <w:rPr>
          <w:rFonts w:hint="eastAsia" w:hAnsi="宋体"/>
          <w:color w:val="auto"/>
          <w:highlight w:val="none"/>
        </w:rPr>
        <w:t>合同签订后送达至广西国力招标有限公司</w:t>
      </w:r>
      <w:r>
        <w:rPr>
          <w:rFonts w:hint="eastAsia" w:ascii="宋体" w:hAnsi="宋体"/>
          <w:color w:val="auto"/>
          <w:szCs w:val="21"/>
          <w:highlight w:val="none"/>
        </w:rPr>
        <w:t>），不计利息。</w:t>
      </w:r>
    </w:p>
    <w:p w14:paraId="1FA2D83A">
      <w:pPr>
        <w:widowControl/>
        <w:spacing w:line="380" w:lineRule="exact"/>
        <w:ind w:firstLine="420" w:firstLineChars="200"/>
        <w:jc w:val="left"/>
        <w:rPr>
          <w:rFonts w:hint="eastAsia" w:hAnsi="宋体"/>
          <w:color w:val="auto"/>
          <w:highlight w:val="none"/>
        </w:rPr>
      </w:pPr>
      <w:r>
        <w:rPr>
          <w:rFonts w:hint="eastAsia" w:ascii="宋体" w:hAnsi="宋体"/>
          <w:color w:val="auto"/>
          <w:szCs w:val="21"/>
          <w:highlight w:val="none"/>
          <w:lang w:val="en-US" w:eastAsia="zh-CN"/>
        </w:rPr>
        <w:t>6.</w:t>
      </w:r>
      <w:r>
        <w:rPr>
          <w:rFonts w:hint="eastAsia" w:hAnsi="宋体"/>
          <w:color w:val="auto"/>
          <w:highlight w:val="none"/>
        </w:rPr>
        <w:t>对未按本竞争性谈判文件要求交纳保证金的</w:t>
      </w:r>
      <w:r>
        <w:rPr>
          <w:rFonts w:hint="eastAsia" w:ascii="宋体" w:hAnsi="宋体"/>
          <w:color w:val="auto"/>
          <w:szCs w:val="21"/>
          <w:highlight w:val="none"/>
        </w:rPr>
        <w:t>竞争性谈判</w:t>
      </w:r>
      <w:r>
        <w:rPr>
          <w:rFonts w:hint="eastAsia" w:ascii="宋体" w:hAnsi="宋体"/>
          <w:color w:val="auto"/>
          <w:highlight w:val="none"/>
        </w:rPr>
        <w:t>响应文件</w:t>
      </w:r>
      <w:r>
        <w:rPr>
          <w:rFonts w:hint="eastAsia" w:hAnsi="宋体"/>
          <w:color w:val="auto"/>
          <w:highlight w:val="none"/>
        </w:rPr>
        <w:t>，</w:t>
      </w:r>
      <w:r>
        <w:rPr>
          <w:rFonts w:hint="eastAsia" w:ascii="宋体" w:hAnsi="宋体"/>
          <w:color w:val="auto"/>
          <w:highlight w:val="none"/>
        </w:rPr>
        <w:t>将会在评审中按照无效</w:t>
      </w:r>
      <w:r>
        <w:rPr>
          <w:rFonts w:hint="eastAsia" w:ascii="宋体" w:hAnsi="宋体"/>
          <w:color w:val="auto"/>
          <w:szCs w:val="21"/>
          <w:highlight w:val="none"/>
        </w:rPr>
        <w:t>竞争性谈判</w:t>
      </w:r>
      <w:r>
        <w:rPr>
          <w:rFonts w:hint="eastAsia" w:ascii="宋体" w:hAnsi="宋体"/>
          <w:color w:val="auto"/>
          <w:highlight w:val="none"/>
        </w:rPr>
        <w:t>响应文件处理</w:t>
      </w:r>
      <w:r>
        <w:rPr>
          <w:rFonts w:hint="eastAsia" w:hAnsi="宋体"/>
          <w:color w:val="auto"/>
          <w:highlight w:val="none"/>
        </w:rPr>
        <w:t>。（说明：评审时，谈判小组将以本公司财务室编制的《项目保证金到账信息表》作为评审依据）</w:t>
      </w:r>
    </w:p>
    <w:p w14:paraId="52AAD208">
      <w:pPr>
        <w:snapToGrid w:val="0"/>
        <w:spacing w:line="360" w:lineRule="exact"/>
        <w:ind w:firstLine="411" w:firstLineChars="196"/>
        <w:jc w:val="left"/>
        <w:rPr>
          <w:rFonts w:hint="eastAsia" w:ascii="宋体" w:hAnsi="宋体"/>
          <w:b/>
          <w:bCs/>
          <w:color w:val="auto"/>
          <w:szCs w:val="21"/>
          <w:highlight w:val="none"/>
        </w:rPr>
      </w:pPr>
      <w:r>
        <w:rPr>
          <w:rFonts w:hint="eastAsia" w:ascii="宋体" w:hAnsi="宋体"/>
          <w:bCs/>
          <w:color w:val="auto"/>
          <w:szCs w:val="21"/>
          <w:highlight w:val="none"/>
          <w:lang w:val="en-US" w:eastAsia="zh-CN"/>
        </w:rPr>
        <w:t>7.</w:t>
      </w:r>
      <w:r>
        <w:rPr>
          <w:rFonts w:hint="eastAsia" w:ascii="宋体" w:hAnsi="宋体" w:cs="宋体"/>
          <w:color w:val="auto"/>
          <w:kern w:val="0"/>
          <w:szCs w:val="21"/>
          <w:highlight w:val="none"/>
        </w:rPr>
        <w:t>供应商为联合体的，可以由联合体中的一方或者多方共同交纳保证金，其交纳的保证金对联合体各方均具有约束力。</w:t>
      </w:r>
    </w:p>
    <w:p w14:paraId="62E6B4F6">
      <w:pPr>
        <w:tabs>
          <w:tab w:val="left" w:pos="975"/>
        </w:tabs>
        <w:snapToGrid w:val="0"/>
        <w:spacing w:line="360" w:lineRule="exact"/>
        <w:ind w:firstLine="413" w:firstLineChars="196"/>
        <w:jc w:val="left"/>
        <w:rPr>
          <w:rFonts w:hint="eastAsia" w:ascii="宋体" w:hAnsi="宋体"/>
          <w:b/>
          <w:bCs/>
          <w:color w:val="auto"/>
          <w:szCs w:val="21"/>
          <w:highlight w:val="none"/>
        </w:rPr>
      </w:pPr>
      <w:r>
        <w:rPr>
          <w:rFonts w:hint="eastAsia" w:ascii="宋体" w:hAnsi="宋体"/>
          <w:b/>
          <w:bCs/>
          <w:color w:val="auto"/>
          <w:szCs w:val="21"/>
          <w:highlight w:val="none"/>
          <w:lang w:val="en-US" w:eastAsia="zh-CN"/>
        </w:rPr>
        <w:t>8.</w:t>
      </w:r>
      <w:r>
        <w:rPr>
          <w:rFonts w:hint="eastAsia" w:ascii="宋体" w:hAnsi="宋体"/>
          <w:b/>
          <w:bCs/>
          <w:color w:val="auto"/>
          <w:szCs w:val="21"/>
          <w:highlight w:val="none"/>
        </w:rPr>
        <w:t>谈判供应商有下列情形之一的，保证金将不予退还：</w:t>
      </w:r>
    </w:p>
    <w:p w14:paraId="5EC4DBF0">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1）谈判供应商在提交竞争性谈判响应文件截止时间后撤回竞争性谈判响应文件的（在提交最后报价之前退出谈判的情况除外）；</w:t>
      </w:r>
    </w:p>
    <w:p w14:paraId="5E729CBC">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2）谈判供应商在竞争性谈判响应文件中提供虚假材料的；</w:t>
      </w:r>
    </w:p>
    <w:p w14:paraId="0C33C76D">
      <w:pPr>
        <w:tabs>
          <w:tab w:val="left" w:pos="975"/>
        </w:tabs>
        <w:snapToGrid w:val="0"/>
        <w:spacing w:line="360" w:lineRule="exact"/>
        <w:ind w:firstLine="315" w:firstLineChars="1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3）除因不可抗力或竞争性谈判文件认可的情形以外，成交供应商不与采购人签订合同的；</w:t>
      </w:r>
    </w:p>
    <w:p w14:paraId="7D16400B">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4）谈判供应商与采购人、其他供应商或者采购代理机构恶意串通的。</w:t>
      </w:r>
    </w:p>
    <w:p w14:paraId="29A724CA">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5）法律法规规定的其他情形。</w:t>
      </w:r>
    </w:p>
    <w:p w14:paraId="620D1253">
      <w:pPr>
        <w:tabs>
          <w:tab w:val="left" w:pos="975"/>
        </w:tabs>
        <w:snapToGrid w:val="0"/>
        <w:spacing w:line="360" w:lineRule="exact"/>
        <w:ind w:firstLine="413" w:firstLineChars="196"/>
        <w:jc w:val="left"/>
        <w:rPr>
          <w:rFonts w:hint="eastAsia" w:hAnsi="宋体"/>
          <w:b/>
          <w:color w:val="auto"/>
          <w:highlight w:val="none"/>
        </w:rPr>
      </w:pPr>
      <w:r>
        <w:rPr>
          <w:rFonts w:hint="eastAsia" w:ascii="宋体" w:hAnsi="宋体"/>
          <w:b/>
          <w:bCs/>
          <w:color w:val="auto"/>
          <w:szCs w:val="21"/>
          <w:highlight w:val="none"/>
        </w:rPr>
        <w:t>注：</w:t>
      </w:r>
      <w:r>
        <w:rPr>
          <w:rFonts w:hint="eastAsia" w:ascii="宋体" w:hAnsi="宋体" w:cs="宋体"/>
          <w:b/>
          <w:color w:val="auto"/>
          <w:kern w:val="0"/>
          <w:szCs w:val="21"/>
          <w:highlight w:val="none"/>
        </w:rPr>
        <w:t>谈判供应商</w:t>
      </w:r>
      <w:r>
        <w:rPr>
          <w:rFonts w:hint="eastAsia" w:hAnsi="宋体"/>
          <w:b/>
          <w:color w:val="auto"/>
          <w:highlight w:val="none"/>
        </w:rPr>
        <w:t>已经被推荐为第一成交候选人后撤回</w:t>
      </w:r>
      <w:r>
        <w:rPr>
          <w:rFonts w:hint="eastAsia" w:ascii="宋体" w:hAnsi="宋体"/>
          <w:b/>
          <w:color w:val="auto"/>
          <w:szCs w:val="21"/>
          <w:highlight w:val="none"/>
        </w:rPr>
        <w:t>竞争性谈判</w:t>
      </w:r>
      <w:r>
        <w:rPr>
          <w:rFonts w:hint="eastAsia" w:ascii="宋体" w:hAnsi="宋体" w:cs="宋体"/>
          <w:b/>
          <w:color w:val="auto"/>
          <w:kern w:val="0"/>
          <w:szCs w:val="21"/>
          <w:highlight w:val="none"/>
        </w:rPr>
        <w:t>响应文件</w:t>
      </w:r>
      <w:r>
        <w:rPr>
          <w:rFonts w:hint="eastAsia" w:hAnsi="宋体"/>
          <w:b/>
          <w:color w:val="auto"/>
          <w:highlight w:val="none"/>
        </w:rPr>
        <w:t>或</w:t>
      </w:r>
      <w:r>
        <w:rPr>
          <w:rFonts w:hint="eastAsia" w:ascii="宋体" w:hAnsi="宋体" w:cs="宋体"/>
          <w:b/>
          <w:color w:val="auto"/>
          <w:kern w:val="0"/>
          <w:szCs w:val="21"/>
          <w:highlight w:val="none"/>
        </w:rPr>
        <w:t>拒绝签订政府采购合同的</w:t>
      </w:r>
      <w:r>
        <w:rPr>
          <w:rFonts w:hint="eastAsia" w:hAnsi="宋体"/>
          <w:b/>
          <w:color w:val="auto"/>
          <w:highlight w:val="none"/>
        </w:rPr>
        <w:t>，</w:t>
      </w:r>
      <w:r>
        <w:rPr>
          <w:rFonts w:hint="eastAsia"/>
          <w:b/>
          <w:color w:val="auto"/>
          <w:highlight w:val="none"/>
        </w:rPr>
        <w:t>其保证金将不予退还，并上缴国库，给采购人造成损失的，还应当赔偿损失，并作为不良行为记录在案</w:t>
      </w:r>
      <w:r>
        <w:rPr>
          <w:rFonts w:hint="eastAsia" w:hAnsi="宋体"/>
          <w:b/>
          <w:color w:val="auto"/>
          <w:highlight w:val="none"/>
        </w:rPr>
        <w:t>。</w:t>
      </w:r>
    </w:p>
    <w:p w14:paraId="225D6C69">
      <w:pPr>
        <w:tabs>
          <w:tab w:val="left" w:pos="975"/>
        </w:tabs>
        <w:snapToGrid w:val="0"/>
        <w:spacing w:line="360" w:lineRule="exact"/>
        <w:ind w:firstLine="413" w:firstLineChars="196"/>
        <w:jc w:val="left"/>
        <w:rPr>
          <w:rFonts w:hint="eastAsia"/>
          <w:b/>
          <w:color w:val="auto"/>
          <w:highlight w:val="none"/>
        </w:rPr>
      </w:pPr>
      <w:r>
        <w:rPr>
          <w:rFonts w:hint="eastAsia" w:ascii="宋体" w:hAnsi="宋体"/>
          <w:b/>
          <w:color w:val="auto"/>
          <w:szCs w:val="21"/>
          <w:highlight w:val="none"/>
        </w:rPr>
        <w:t>六</w:t>
      </w:r>
      <w:r>
        <w:rPr>
          <w:rFonts w:hint="eastAsia"/>
          <w:b/>
          <w:color w:val="auto"/>
          <w:highlight w:val="none"/>
        </w:rPr>
        <w:t>、谈判程序</w:t>
      </w:r>
      <w:r>
        <w:rPr>
          <w:rFonts w:hint="eastAsia" w:ascii="宋体" w:hAnsi="宋体"/>
          <w:b/>
          <w:color w:val="auto"/>
          <w:szCs w:val="21"/>
          <w:highlight w:val="none"/>
        </w:rPr>
        <w:t>及</w:t>
      </w:r>
      <w:r>
        <w:rPr>
          <w:rFonts w:hint="eastAsia"/>
          <w:b/>
          <w:color w:val="auto"/>
          <w:highlight w:val="none"/>
        </w:rPr>
        <w:t>评标方法</w:t>
      </w:r>
    </w:p>
    <w:p w14:paraId="3587A195">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（一）在谈判正式开始前由谈判小组对竞争性谈判文件进行确认，认可竞争性谈判文件的内容符合法律法规的规定、不存在歧视性或排他性内容。</w:t>
      </w:r>
    </w:p>
    <w:p w14:paraId="0D059712">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（二）竞争性谈判响应文件无效的情形：</w:t>
      </w:r>
    </w:p>
    <w:p w14:paraId="171E9289">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1.未实质性响应竞争性谈判文件的竞争性谈判响应文件按无效处理。</w:t>
      </w:r>
    </w:p>
    <w:p w14:paraId="260AF43B">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2.有下列情形之一的视为供应商相互串通参与谈判活动，竞争性谈判响应文件将被视为无效：</w:t>
      </w:r>
    </w:p>
    <w:p w14:paraId="28EC7F34">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（1）不同供应商的竞争性谈判响应文件由同一单位或者个人编制；或不同供应商报名的IP地址一致的；</w:t>
      </w:r>
    </w:p>
    <w:p w14:paraId="13F071A5">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（2）不同供应商委托同一单位或者个人办理谈判活动事宜；</w:t>
      </w:r>
    </w:p>
    <w:p w14:paraId="50C3E097">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（3）不同的供应商的竞争性谈判响应文件载明的项目管理员为同一个人；</w:t>
      </w:r>
    </w:p>
    <w:p w14:paraId="52601612">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（4）不同供应商的竞争性谈判响应文件异常一致或谈判报价呈规律性差异；</w:t>
      </w:r>
    </w:p>
    <w:p w14:paraId="666FD2FE">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（5）不同供应商的竞争性谈判响应文件相互混装；</w:t>
      </w:r>
    </w:p>
    <w:p w14:paraId="558BF207">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（6）不同供应商的保证金从同一单位或者个人账户转出。</w:t>
      </w:r>
    </w:p>
    <w:p w14:paraId="0B9F3E52">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3.有下列情形的视为关联供应商参加同一合同项下政府采购活动，竞争性谈判响应文件将被视为无效：</w:t>
      </w:r>
    </w:p>
    <w:p w14:paraId="489BB681">
      <w:pPr>
        <w:tabs>
          <w:tab w:val="left" w:pos="975"/>
        </w:tabs>
        <w:snapToGrid w:val="0"/>
        <w:spacing w:line="360" w:lineRule="exact"/>
        <w:ind w:firstLine="411" w:firstLineChars="196"/>
        <w:jc w:val="left"/>
        <w:rPr>
          <w:rFonts w:hint="eastAsia"/>
          <w:color w:val="auto"/>
          <w:highlight w:val="none"/>
        </w:rPr>
      </w:pPr>
      <w:r>
        <w:rPr>
          <w:rFonts w:hint="eastAsia"/>
          <w:color w:val="auto"/>
          <w:highlight w:val="none"/>
        </w:rPr>
        <w:t>单位负责人为同一人或者存在直接控股、管理关系的不同供应商，参加同一合同项下政府采购活动。</w:t>
      </w:r>
    </w:p>
    <w:p w14:paraId="3C37E732">
      <w:pPr>
        <w:tabs>
          <w:tab w:val="left" w:pos="975"/>
        </w:tabs>
        <w:snapToGrid w:val="0"/>
        <w:spacing w:line="360" w:lineRule="exact"/>
        <w:ind w:firstLine="413" w:firstLineChars="196"/>
        <w:jc w:val="left"/>
        <w:rPr>
          <w:rFonts w:hint="eastAsia"/>
          <w:b/>
          <w:color w:val="auto"/>
          <w:highlight w:val="none"/>
        </w:rPr>
      </w:pPr>
      <w:r>
        <w:rPr>
          <w:rFonts w:hint="eastAsia"/>
          <w:b/>
          <w:color w:val="auto"/>
          <w:highlight w:val="none"/>
        </w:rPr>
        <w:t>4. 其他竞标无效的情形：</w:t>
      </w:r>
    </w:p>
    <w:p w14:paraId="22F3C9EB">
      <w:pPr>
        <w:tabs>
          <w:tab w:val="left" w:pos="975"/>
        </w:tabs>
        <w:snapToGrid w:val="0"/>
        <w:spacing w:line="360" w:lineRule="exact"/>
        <w:ind w:firstLine="413" w:firstLineChars="196"/>
        <w:jc w:val="left"/>
        <w:rPr>
          <w:rFonts w:hint="eastAsia"/>
          <w:b/>
          <w:color w:val="auto"/>
          <w:highlight w:val="none"/>
        </w:rPr>
      </w:pPr>
      <w:r>
        <w:rPr>
          <w:rFonts w:hint="eastAsia"/>
          <w:b/>
          <w:color w:val="auto"/>
          <w:highlight w:val="none"/>
        </w:rPr>
        <w:t>（1）竞争性谈判响应文件未按竞争性谈判文件要求签署或CA电子签章的；</w:t>
      </w:r>
    </w:p>
    <w:p w14:paraId="3D28CE65">
      <w:pPr>
        <w:tabs>
          <w:tab w:val="left" w:pos="975"/>
        </w:tabs>
        <w:snapToGrid w:val="0"/>
        <w:spacing w:line="360" w:lineRule="exact"/>
        <w:ind w:firstLine="413" w:firstLineChars="196"/>
        <w:jc w:val="left"/>
        <w:rPr>
          <w:rFonts w:hint="eastAsia"/>
          <w:b/>
          <w:color w:val="auto"/>
          <w:highlight w:val="none"/>
        </w:rPr>
      </w:pPr>
      <w:r>
        <w:rPr>
          <w:rFonts w:hint="eastAsia"/>
          <w:b/>
          <w:color w:val="auto"/>
          <w:highlight w:val="none"/>
        </w:rPr>
        <w:t>（2）供应商提交两份或两份以上内容不同的竞争性谈判响应文件；</w:t>
      </w:r>
    </w:p>
    <w:p w14:paraId="6AC4D613">
      <w:pPr>
        <w:tabs>
          <w:tab w:val="left" w:pos="975"/>
        </w:tabs>
        <w:snapToGrid w:val="0"/>
        <w:spacing w:line="360" w:lineRule="exact"/>
        <w:ind w:firstLine="413" w:firstLineChars="196"/>
        <w:jc w:val="left"/>
        <w:rPr>
          <w:rFonts w:hint="eastAsia"/>
          <w:b/>
          <w:color w:val="auto"/>
          <w:highlight w:val="none"/>
        </w:rPr>
      </w:pPr>
      <w:r>
        <w:rPr>
          <w:rFonts w:hint="eastAsia"/>
          <w:b/>
          <w:color w:val="auto"/>
          <w:highlight w:val="none"/>
        </w:rPr>
        <w:t>（3）谈判供应商在线制作竞争性谈判响应文件时填写的报价金额与解密后“电子加密响应文件”中《报价表》填写的金额不一致并拒绝按采购文件要求接受调整的；</w:t>
      </w:r>
    </w:p>
    <w:p w14:paraId="22D9E3F3">
      <w:pPr>
        <w:tabs>
          <w:tab w:val="left" w:pos="975"/>
        </w:tabs>
        <w:snapToGrid w:val="0"/>
        <w:spacing w:line="360" w:lineRule="exact"/>
        <w:ind w:firstLine="413" w:firstLineChars="196"/>
        <w:jc w:val="left"/>
        <w:rPr>
          <w:color w:val="auto"/>
          <w:highlight w:val="none"/>
        </w:rPr>
      </w:pPr>
      <w:r>
        <w:rPr>
          <w:rFonts w:hint="eastAsia"/>
          <w:b/>
          <w:color w:val="auto"/>
          <w:highlight w:val="none"/>
        </w:rPr>
        <w:t>（4）</w:t>
      </w:r>
      <w:r>
        <w:rPr>
          <w:rFonts w:hint="eastAsia"/>
          <w:b/>
          <w:color w:val="auto"/>
          <w:highlight w:val="none"/>
          <w:lang w:eastAsia="zh-CN"/>
        </w:rPr>
        <w:t>法律法规</w:t>
      </w:r>
      <w:r>
        <w:rPr>
          <w:rFonts w:hint="eastAsia"/>
          <w:b/>
          <w:color w:val="auto"/>
          <w:highlight w:val="none"/>
        </w:rPr>
        <w:t>和采购文件规定的其他无效情形（或出现重大偏差）。</w:t>
      </w:r>
      <w:r>
        <w:rPr>
          <w:color w:val="auto"/>
          <w:highlight w:val="none"/>
        </w:rPr>
        <w:t xml:space="preserve">  </w:t>
      </w:r>
    </w:p>
    <w:p w14:paraId="75B58262">
      <w:pPr>
        <w:tabs>
          <w:tab w:val="left" w:pos="975"/>
        </w:tabs>
        <w:snapToGrid w:val="0"/>
        <w:spacing w:line="360" w:lineRule="exact"/>
        <w:ind w:firstLine="411" w:firstLineChars="196"/>
        <w:jc w:val="left"/>
        <w:rPr>
          <w:rFonts w:hint="eastAsia"/>
          <w:color w:val="auto"/>
          <w:highlight w:val="none"/>
        </w:rPr>
      </w:pPr>
      <w:r>
        <w:rPr>
          <w:rFonts w:hint="eastAsia" w:ascii="宋体" w:hAnsi="宋体" w:cs="宋体"/>
          <w:color w:val="auto"/>
          <w:kern w:val="0"/>
          <w:szCs w:val="21"/>
          <w:highlight w:val="none"/>
        </w:rPr>
        <w:t>5.</w:t>
      </w:r>
      <w:r>
        <w:rPr>
          <w:rFonts w:hint="eastAsia"/>
          <w:color w:val="auto"/>
          <w:highlight w:val="none"/>
        </w:rPr>
        <w:t xml:space="preserve"> 被拒绝的响应文件为无效。</w:t>
      </w:r>
    </w:p>
    <w:p w14:paraId="0A661F38">
      <w:pPr>
        <w:tabs>
          <w:tab w:val="left" w:pos="975"/>
        </w:tabs>
        <w:snapToGrid w:val="0"/>
        <w:spacing w:line="360" w:lineRule="exact"/>
        <w:ind w:firstLine="413" w:firstLineChars="196"/>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谈判供应商竞争性谈判响应文件无效的，谈判小组应当告知有关供应商。</w:t>
      </w:r>
    </w:p>
    <w:p w14:paraId="32A0E677">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（三）谈判</w:t>
      </w:r>
    </w:p>
    <w:p w14:paraId="76E4E4CC">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第一轮谈判</w:t>
      </w:r>
    </w:p>
    <w:p w14:paraId="4D98BE82">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1.1</w:t>
      </w:r>
      <w:r>
        <w:rPr>
          <w:rFonts w:hint="eastAsia" w:ascii="宋体" w:hAnsi="宋体"/>
          <w:color w:val="auto"/>
          <w:szCs w:val="21"/>
          <w:highlight w:val="none"/>
        </w:rPr>
        <w:t>谈判准备</w:t>
      </w:r>
    </w:p>
    <w:p w14:paraId="32CC7D29">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本公司将在规定的时间和地点进行电子谈判，谈判供应商的法定代表人或其委托代理人应做好谈判准备，准时在线参加电子谈判会议，随时关注谈判进度。</w:t>
      </w:r>
    </w:p>
    <w:p w14:paraId="7452D727">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1.2</w:t>
      </w:r>
      <w:r>
        <w:rPr>
          <w:rFonts w:hint="eastAsia" w:ascii="宋体" w:hAnsi="宋体"/>
          <w:color w:val="auto"/>
          <w:szCs w:val="21"/>
          <w:highlight w:val="none"/>
        </w:rPr>
        <w:t xml:space="preserve"> 第一轮谈判程序：</w:t>
      </w:r>
    </w:p>
    <w:p w14:paraId="6677B2E5">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①谈判</w:t>
      </w:r>
      <w:r>
        <w:rPr>
          <w:rFonts w:hint="eastAsia" w:ascii="宋体" w:hAnsi="宋体"/>
          <w:color w:val="auto"/>
          <w:szCs w:val="21"/>
          <w:highlight w:val="none"/>
          <w:lang w:eastAsia="zh-CN"/>
        </w:rPr>
        <w:t>会议</w:t>
      </w:r>
      <w:r>
        <w:rPr>
          <w:rFonts w:hint="eastAsia" w:ascii="宋体" w:hAnsi="宋体"/>
          <w:color w:val="auto"/>
          <w:szCs w:val="21"/>
          <w:highlight w:val="none"/>
        </w:rPr>
        <w:t>由本公司主持，主持人宣布谈判会议开始；</w:t>
      </w:r>
    </w:p>
    <w:p w14:paraId="1D0B1C4B">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②主持人介绍参加谈判会的人员名单； </w:t>
      </w:r>
    </w:p>
    <w:p w14:paraId="1AB858E3">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③主持人宣布谈判会议纪律及评审期间的有关事项；告知应当回避的情形,提请有关人员回避；</w:t>
      </w:r>
    </w:p>
    <w:p w14:paraId="533EF08D">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1.3</w:t>
      </w:r>
      <w:r>
        <w:rPr>
          <w:rFonts w:hint="eastAsia" w:ascii="宋体" w:hAnsi="宋体"/>
          <w:color w:val="auto"/>
          <w:szCs w:val="21"/>
          <w:highlight w:val="none"/>
        </w:rPr>
        <w:t>谈判及评审程序</w:t>
      </w:r>
    </w:p>
    <w:p w14:paraId="3EC76D48">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①在谈判开始时间截止后30分钟内由各供应商自行对谈判响应文件进行解密；</w:t>
      </w:r>
    </w:p>
    <w:p w14:paraId="607BDC0D">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②由谈判小组进行资格审查和符合性审查，审查结束后，在线通知无效谈判供应商谈判响应文件无效理由，有效谈判供应商进入谈判程序。</w:t>
      </w:r>
    </w:p>
    <w:p w14:paraId="0390C17C">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③系统对各供应商的商务技术进行汇总；</w:t>
      </w:r>
    </w:p>
    <w:p w14:paraId="4A767C2D">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④谈判小组所有成员应当集中与单一供应商分别进行在线谈判，并给予所有参加谈判的供应商平等的谈判机会。</w:t>
      </w:r>
    </w:p>
    <w:p w14:paraId="1F295581">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⑤当谈判小组一致确定供应商的竞争性谈判响应文件能够详细列明采购标的技术、服务要求且符合竞争性谈判文件要求，无需再谈判的，谈判小组按竞争性谈判文件设定的</w:t>
      </w:r>
      <w:r>
        <w:rPr>
          <w:rFonts w:hint="eastAsia" w:ascii="宋体" w:hAnsi="宋体"/>
          <w:color w:val="auto"/>
          <w:szCs w:val="21"/>
          <w:highlight w:val="none"/>
          <w:lang w:val="en-US" w:eastAsia="zh-CN"/>
        </w:rPr>
        <w:t>谈判</w:t>
      </w:r>
      <w:r>
        <w:rPr>
          <w:rFonts w:hint="eastAsia" w:ascii="宋体" w:hAnsi="宋体"/>
          <w:color w:val="auto"/>
          <w:szCs w:val="21"/>
          <w:highlight w:val="none"/>
        </w:rPr>
        <w:t>程序和评标方法确定成交候选供应商。第一轮谈判后竞争性谈判文件有实质性变动或仍需谈判的，谈判小组对竞争性谈判文件变动或提出谈判意见后进行第二轮谈判。</w:t>
      </w:r>
    </w:p>
    <w:p w14:paraId="5B3F2FD7">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1.2竞争性谈判文件变动</w:t>
      </w:r>
    </w:p>
    <w:p w14:paraId="1D288ABB">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轮谈判结束后，由谈判小组组长主持，根据竞争性谈判文件和谈判情况结合第一轮谈判整体情况，可以对竞争性谈判文件采购需求中已事先明确的可能实质性变动采购需求中的技术、服务要求以及合同草案条款进行统一变动，但不得变动竞争性谈判文件中的其他内容。实质性变动的内容，须经采购人代表确认。</w:t>
      </w:r>
    </w:p>
    <w:p w14:paraId="0B879DCF">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对竞争性谈判文件作出的实质性变动是竞争性谈判文件的有效组成部分，谈判小组应当在询标规定时间内及时通知所有参加谈判的供应商，并要求供应商做出响应（需盖CA电子签章）。</w:t>
      </w:r>
    </w:p>
    <w:p w14:paraId="001C8684">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第二轮谈判</w:t>
      </w:r>
    </w:p>
    <w:p w14:paraId="7AF68FF8">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谈判小组集中就重新提交的响应材料或谈判小组提出的谈判意见与单一响应供应商分别进行在线谈判。</w:t>
      </w:r>
    </w:p>
    <w:p w14:paraId="12EF2E7F">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谈判后，在询标规定时间内供应商根据谈判小组统一整理的谈判记录要求做出承诺（需盖CA电子签章）。</w:t>
      </w:r>
    </w:p>
    <w:p w14:paraId="7724A8F9">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当谈判小组一致确定供应商的竞争性谈判响应文件能够详细列明采购标的技术、服务要求且符合竞争性谈判文件要求，无需再谈判的，谈判小组按竞争性谈判文件设定的</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程序和评标方法确定成交候选供应商。第二轮谈判后竞争性谈判文件仍有实质性变动的或仍需谈判的，谈判小组对竞争性谈判文件变动或提出谈判意见后进行第三轮谈判。以此类推。</w:t>
      </w:r>
    </w:p>
    <w:p w14:paraId="6B8C1C98">
      <w:pPr>
        <w:widowControl/>
        <w:tabs>
          <w:tab w:val="left" w:pos="540"/>
        </w:tabs>
        <w:spacing w:line="360" w:lineRule="exact"/>
        <w:ind w:firstLine="422" w:firstLineChars="200"/>
        <w:jc w:val="left"/>
        <w:rPr>
          <w:rFonts w:hint="eastAsia" w:ascii="宋体" w:hAnsi="宋体"/>
          <w:color w:val="auto"/>
          <w:szCs w:val="21"/>
          <w:highlight w:val="none"/>
        </w:rPr>
      </w:pPr>
      <w:r>
        <w:rPr>
          <w:rFonts w:hint="eastAsia" w:ascii="宋体" w:hAnsi="宋体"/>
          <w:b/>
          <w:color w:val="auto"/>
          <w:szCs w:val="21"/>
          <w:highlight w:val="none"/>
        </w:rPr>
        <w:t>特别说明：如遇“广西政府采购云平台”电子化开标或评审程序调整的，按调整后程序执行。</w:t>
      </w:r>
    </w:p>
    <w:p w14:paraId="102984F3">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谈判评审在严格保密的情况下进行，谈判的任何一方不得透露与谈判有关的其他供应商的技术资料、价格和其他信息。</w:t>
      </w:r>
    </w:p>
    <w:p w14:paraId="31FF874A">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电子谈判过程中需要供应商在线确认的所有内容，供应商不予确认的应说明理由，超过规定时间未确认的，将被视为放弃确认或者无异议。</w:t>
      </w:r>
    </w:p>
    <w:p w14:paraId="74C09F4E">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澄清问题的形式：对响应文件中含义不明确、同类问题表述不一致或者有明显文字和计算错误的内容，谈判小组可要求供应商作出必要的澄清、说明或者纠正，供应商应在询标规定时间内进行澄清或说明（需盖CA电子签章），并不得超出采购文件的范围或者改变谈判响应文件的实质性内容。</w:t>
      </w:r>
    </w:p>
    <w:p w14:paraId="02CB85BA">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最后报价及成交候选供应商推荐</w:t>
      </w:r>
    </w:p>
    <w:p w14:paraId="1B456BC2">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谈判结束后，谈判小组要求所有继续参加谈判的供应商在规定时间内在线提交最后报价。继续参加谈判的供应商作最后报价，由其法定代表人(负责人)或授权代表盖CA电子签章后提交。</w:t>
      </w:r>
    </w:p>
    <w:p w14:paraId="106D8A3F">
      <w:pPr>
        <w:widowControl/>
        <w:tabs>
          <w:tab w:val="left" w:pos="540"/>
        </w:tabs>
        <w:spacing w:line="360" w:lineRule="exact"/>
        <w:ind w:firstLine="420" w:firstLineChars="200"/>
        <w:jc w:val="left"/>
        <w:rPr>
          <w:rFonts w:hint="eastAsia" w:ascii="宋体" w:hAnsi="宋体" w:cs="宋体"/>
          <w:b/>
          <w:bCs/>
          <w:color w:val="auto"/>
          <w:kern w:val="0"/>
          <w:szCs w:val="21"/>
          <w:highlight w:val="none"/>
        </w:rPr>
      </w:pPr>
      <w:r>
        <w:rPr>
          <w:rFonts w:hint="eastAsia" w:ascii="宋体" w:hAnsi="宋体" w:cs="宋体"/>
          <w:color w:val="auto"/>
          <w:kern w:val="0"/>
          <w:szCs w:val="21"/>
          <w:highlight w:val="none"/>
        </w:rPr>
        <w:t>谈判小组从质量和服务均能满足竞争性谈判文件实质性响应要求的供应商中，按照最后报价由低到高的顺序提出3名以上成交候选人，最后报价相同时，由谈判小组根据竞争性谈判响应文件中技术、服务、合同条款情况确定排序，按确定排序由低到高的原则推荐成交候选人，并编写评审报告。最后报价是供应商竞争性谈判响应文件的有效组成部分。</w:t>
      </w:r>
    </w:p>
    <w:p w14:paraId="144DF415">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谈判小组按照少数服从多数的原则推荐成交候选供应商，采购程序继续进行。对评审报告有异议的谈判小组成员，应当明确不同意见并说明理由。谈判小组成员拒绝提出理由的，视为同意评审结果。</w:t>
      </w:r>
    </w:p>
    <w:p w14:paraId="67618A54">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在采购过程中符合竞争要求的供应商或者报价未超过采购预算的供应商不足3家的，谈判活动终止。</w:t>
      </w:r>
    </w:p>
    <w:p w14:paraId="52E2BD60">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szCs w:val="21"/>
          <w:highlight w:val="none"/>
          <w:lang w:val="en-US" w:eastAsia="zh-CN"/>
        </w:rPr>
        <w:t>5.</w:t>
      </w:r>
      <w:r>
        <w:rPr>
          <w:rFonts w:hint="eastAsia"/>
          <w:color w:val="auto"/>
          <w:highlight w:val="none"/>
        </w:rPr>
        <w:t>本采购</w:t>
      </w:r>
      <w:r>
        <w:rPr>
          <w:rFonts w:hint="eastAsia" w:ascii="宋体" w:hAnsi="宋体"/>
          <w:color w:val="auto"/>
          <w:highlight w:val="none"/>
        </w:rPr>
        <w:t>项目的评审依据为竞争性谈判文件和竞争性谈判响应文件，采用的评标方法为</w:t>
      </w:r>
      <w:r>
        <w:rPr>
          <w:rFonts w:hint="eastAsia" w:ascii="宋体" w:hAnsi="宋体"/>
          <w:b/>
          <w:color w:val="auto"/>
          <w:highlight w:val="none"/>
        </w:rPr>
        <w:t>最低评标价法</w:t>
      </w:r>
      <w:r>
        <w:rPr>
          <w:rFonts w:hint="eastAsia" w:ascii="宋体" w:hAnsi="宋体"/>
          <w:color w:val="auto"/>
          <w:highlight w:val="none"/>
        </w:rPr>
        <w:t>。</w:t>
      </w:r>
    </w:p>
    <w:p w14:paraId="41583BC2">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可中止电子交易活动的情形</w:t>
      </w:r>
    </w:p>
    <w:p w14:paraId="1CDCEC4B">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采购过程中出现以下情形，导致电子交易平台无法正常运行，或者无法保证电子交易的公平、公正和安全时，本公司可中止电子标活动：</w:t>
      </w:r>
    </w:p>
    <w:p w14:paraId="3904481B">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(1)电子交易平台发生故障而无法登录访问的；</w:t>
      </w:r>
    </w:p>
    <w:p w14:paraId="5CB78CDA">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3BE95E38">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4DD5712B">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(4)病毒发作导致不能进行正常操作的；</w:t>
      </w:r>
    </w:p>
    <w:p w14:paraId="7C0CAA5D">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7D219E63">
      <w:pPr>
        <w:widowControl/>
        <w:tabs>
          <w:tab w:val="left" w:pos="540"/>
        </w:tabs>
        <w:spacing w:line="360" w:lineRule="exact"/>
        <w:ind w:firstLine="420" w:firstLineChars="200"/>
        <w:jc w:val="left"/>
        <w:rPr>
          <w:rFonts w:hint="eastAsia" w:ascii="宋体" w:hAnsi="宋体"/>
          <w:color w:val="auto"/>
          <w:highlight w:val="none"/>
        </w:rPr>
      </w:pPr>
      <w:r>
        <w:rPr>
          <w:rFonts w:hint="eastAsia" w:ascii="宋体" w:hAnsi="宋体"/>
          <w:color w:val="auto"/>
          <w:highlight w:val="none"/>
        </w:rPr>
        <w:t>出现前款规定情形，不影响采购公平、公正性的，本公司待上述情形消除后继续组织电子交易活动；影响或可能影响采购公平、公正性的，重新组织采购活动。</w:t>
      </w:r>
    </w:p>
    <w:p w14:paraId="5CEB2D7F">
      <w:pPr>
        <w:widowControl/>
        <w:tabs>
          <w:tab w:val="left" w:pos="540"/>
        </w:tabs>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七、确定成交供应商办法</w:t>
      </w:r>
    </w:p>
    <w:p w14:paraId="27876600">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ascii="宋体" w:hAnsi="宋体" w:cs="宋体"/>
          <w:color w:val="auto"/>
          <w:kern w:val="0"/>
          <w:szCs w:val="21"/>
          <w:highlight w:val="none"/>
        </w:rPr>
        <w:t>根据以下原则确定成交供应商：</w:t>
      </w:r>
      <w:r>
        <w:rPr>
          <w:rFonts w:hint="eastAsia" w:ascii="宋体" w:hAnsi="宋体" w:cs="宋体"/>
          <w:color w:val="auto"/>
          <w:kern w:val="0"/>
          <w:szCs w:val="21"/>
          <w:highlight w:val="none"/>
        </w:rPr>
        <w:t>质量和服务均能满足</w:t>
      </w:r>
      <w:r>
        <w:rPr>
          <w:rFonts w:hint="eastAsia"/>
          <w:color w:val="auto"/>
          <w:highlight w:val="none"/>
        </w:rPr>
        <w:t>竞争性谈判文件</w:t>
      </w:r>
      <w:r>
        <w:rPr>
          <w:rFonts w:hint="eastAsia" w:ascii="宋体" w:hAnsi="宋体" w:cs="宋体"/>
          <w:color w:val="auto"/>
          <w:kern w:val="0"/>
          <w:szCs w:val="21"/>
          <w:highlight w:val="none"/>
        </w:rPr>
        <w:t>实质性响应要求的供应商中</w:t>
      </w:r>
      <w:r>
        <w:rPr>
          <w:rFonts w:ascii="宋体" w:hAnsi="宋体" w:cs="宋体"/>
          <w:color w:val="auto"/>
          <w:kern w:val="0"/>
          <w:szCs w:val="21"/>
          <w:highlight w:val="none"/>
        </w:rPr>
        <w:t>按</w:t>
      </w:r>
      <w:r>
        <w:rPr>
          <w:rFonts w:hint="eastAsia" w:ascii="宋体" w:hAnsi="宋体" w:cs="宋体"/>
          <w:color w:val="auto"/>
          <w:kern w:val="0"/>
          <w:szCs w:val="21"/>
          <w:highlight w:val="none"/>
        </w:rPr>
        <w:t>最后</w:t>
      </w:r>
      <w:r>
        <w:rPr>
          <w:rFonts w:ascii="宋体" w:hAnsi="宋体" w:cs="宋体"/>
          <w:color w:val="auto"/>
          <w:kern w:val="0"/>
          <w:szCs w:val="21"/>
          <w:highlight w:val="none"/>
        </w:rPr>
        <w:t>报价</w:t>
      </w:r>
      <w:r>
        <w:rPr>
          <w:rFonts w:hint="eastAsia" w:ascii="宋体" w:hAnsi="宋体" w:cs="宋体"/>
          <w:color w:val="auto"/>
          <w:kern w:val="0"/>
          <w:szCs w:val="21"/>
          <w:highlight w:val="none"/>
        </w:rPr>
        <w:t>/评审报价</w:t>
      </w:r>
      <w:r>
        <w:rPr>
          <w:rFonts w:ascii="宋体" w:hAnsi="宋体" w:cs="宋体"/>
          <w:color w:val="auto"/>
          <w:kern w:val="0"/>
          <w:szCs w:val="21"/>
          <w:highlight w:val="none"/>
        </w:rPr>
        <w:t>最低的原则确定成交供应商</w:t>
      </w:r>
      <w:r>
        <w:rPr>
          <w:rFonts w:hint="eastAsia" w:ascii="宋体" w:hAnsi="宋体" w:cs="宋体"/>
          <w:color w:val="auto"/>
          <w:kern w:val="0"/>
          <w:szCs w:val="21"/>
          <w:highlight w:val="none"/>
        </w:rPr>
        <w:t>。</w:t>
      </w:r>
    </w:p>
    <w:p w14:paraId="74A0BCBC">
      <w:pPr>
        <w:widowControl/>
        <w:tabs>
          <w:tab w:val="left" w:pos="540"/>
        </w:tabs>
        <w:spacing w:line="360" w:lineRule="exact"/>
        <w:ind w:firstLine="422" w:firstLineChars="200"/>
        <w:jc w:val="left"/>
        <w:rPr>
          <w:rFonts w:hint="eastAsia" w:hAnsi="宋体"/>
          <w:b/>
          <w:color w:val="auto"/>
          <w:highlight w:val="none"/>
        </w:rPr>
      </w:pPr>
      <w:r>
        <w:rPr>
          <w:rFonts w:hint="eastAsia" w:hAnsi="宋体"/>
          <w:b/>
          <w:color w:val="auto"/>
          <w:highlight w:val="none"/>
        </w:rPr>
        <w:t>八、成交结果公告</w:t>
      </w:r>
    </w:p>
    <w:p w14:paraId="221CCDD1">
      <w:pPr>
        <w:widowControl/>
        <w:tabs>
          <w:tab w:val="left" w:pos="540"/>
        </w:tabs>
        <w:spacing w:line="360" w:lineRule="exact"/>
        <w:ind w:firstLine="420" w:firstLineChars="200"/>
        <w:jc w:val="left"/>
        <w:rPr>
          <w:rFonts w:hint="eastAsia" w:hAnsi="宋体"/>
          <w:color w:val="auto"/>
          <w:highlight w:val="none"/>
        </w:rPr>
      </w:pPr>
      <w:r>
        <w:rPr>
          <w:rFonts w:hint="eastAsia" w:ascii="宋体" w:hAnsi="宋体" w:cs="宋体"/>
          <w:color w:val="auto"/>
          <w:kern w:val="0"/>
          <w:szCs w:val="21"/>
          <w:highlight w:val="none"/>
          <w:lang w:val="en-US" w:eastAsia="zh-CN"/>
        </w:rPr>
        <w:t>1.</w:t>
      </w:r>
      <w:r>
        <w:rPr>
          <w:rFonts w:hint="eastAsia" w:hAnsi="宋体"/>
          <w:color w:val="auto"/>
          <w:highlight w:val="none"/>
        </w:rPr>
        <w:t>采购代理机构在评审结束后2个工作日内将谈判评审报告送采购人确认，</w:t>
      </w:r>
      <w:r>
        <w:rPr>
          <w:rFonts w:hint="eastAsia" w:hAnsi="宋体" w:cs="宋体"/>
          <w:color w:val="auto"/>
          <w:kern w:val="0"/>
          <w:highlight w:val="none"/>
        </w:rPr>
        <w:t>采购人</w:t>
      </w:r>
      <w:r>
        <w:rPr>
          <w:rFonts w:hint="eastAsia" w:hAnsi="宋体"/>
          <w:color w:val="auto"/>
          <w:highlight w:val="none"/>
        </w:rPr>
        <w:t>确认后，成交结果公告将在财政部门指定的政府采购信息发布媒体上发布，</w:t>
      </w:r>
      <w:r>
        <w:rPr>
          <w:rFonts w:hint="eastAsia" w:hAnsi="宋体" w:cs="宋体"/>
          <w:color w:val="auto"/>
          <w:kern w:val="0"/>
          <w:highlight w:val="none"/>
        </w:rPr>
        <w:t>同时向成交供应商发出成交通知书</w:t>
      </w:r>
      <w:r>
        <w:rPr>
          <w:rFonts w:hint="eastAsia" w:hAnsi="宋体"/>
          <w:color w:val="auto"/>
          <w:highlight w:val="none"/>
        </w:rPr>
        <w:t>。</w:t>
      </w:r>
    </w:p>
    <w:p w14:paraId="6C7A3168">
      <w:pPr>
        <w:pStyle w:val="20"/>
        <w:spacing w:line="360" w:lineRule="exact"/>
        <w:ind w:left="105" w:firstLine="315"/>
        <w:rPr>
          <w:rFonts w:hint="eastAsia" w:hAnsi="宋体"/>
          <w:bCs/>
          <w:color w:val="auto"/>
          <w:highlight w:val="none"/>
        </w:rPr>
      </w:pPr>
      <w:r>
        <w:rPr>
          <w:rFonts w:hint="eastAsia" w:hAnsi="宋体"/>
          <w:color w:val="auto"/>
          <w:highlight w:val="none"/>
          <w:lang w:val="en-US" w:eastAsia="zh-CN"/>
        </w:rPr>
        <w:t>2.</w:t>
      </w:r>
      <w:r>
        <w:rPr>
          <w:rFonts w:hint="eastAsia" w:hAnsi="宋体"/>
          <w:color w:val="auto"/>
          <w:highlight w:val="none"/>
        </w:rPr>
        <w:t>谈判供应商</w:t>
      </w:r>
      <w:r>
        <w:rPr>
          <w:rFonts w:hint="eastAsia" w:hAnsi="宋体" w:cs="宋体"/>
          <w:color w:val="auto"/>
          <w:kern w:val="0"/>
          <w:highlight w:val="none"/>
        </w:rPr>
        <w:t>认为采购过程、成交结果使自己的权益受到损害的</w:t>
      </w:r>
      <w:r>
        <w:rPr>
          <w:rFonts w:hint="eastAsia" w:hAnsi="宋体"/>
          <w:color w:val="auto"/>
          <w:highlight w:val="none"/>
        </w:rPr>
        <w:t>，</w:t>
      </w:r>
      <w:r>
        <w:rPr>
          <w:rFonts w:hint="eastAsia" w:hAnsi="宋体" w:cs="宋体"/>
          <w:color w:val="auto"/>
          <w:kern w:val="0"/>
          <w:highlight w:val="none"/>
        </w:rPr>
        <w:t>可以在成交结果公告期限届满之日起</w:t>
      </w:r>
      <w:r>
        <w:rPr>
          <w:rFonts w:hint="eastAsia" w:hAnsi="宋体"/>
          <w:bCs/>
          <w:color w:val="auto"/>
          <w:highlight w:val="none"/>
        </w:rPr>
        <w:t>七个工作日内以书面形式向采购代理机构提出质疑</w:t>
      </w:r>
      <w:r>
        <w:rPr>
          <w:rFonts w:hint="eastAsia" w:hAnsi="宋体"/>
          <w:color w:val="auto"/>
          <w:highlight w:val="none"/>
        </w:rPr>
        <w:t>，供应商在法定质疑期内必须一次性提出针对同一采购程序环节的质疑</w:t>
      </w:r>
      <w:r>
        <w:rPr>
          <w:rFonts w:hint="eastAsia" w:hAnsi="宋体"/>
          <w:bCs/>
          <w:color w:val="auto"/>
          <w:highlight w:val="none"/>
        </w:rPr>
        <w:t>。采购代理机构将在收到</w:t>
      </w:r>
      <w:r>
        <w:rPr>
          <w:rFonts w:hint="eastAsia" w:hAnsi="宋体"/>
          <w:color w:val="auto"/>
          <w:highlight w:val="none"/>
        </w:rPr>
        <w:t>谈判供应商</w:t>
      </w:r>
      <w:r>
        <w:rPr>
          <w:rFonts w:hint="eastAsia" w:hAnsi="宋体"/>
          <w:bCs/>
          <w:color w:val="auto"/>
          <w:highlight w:val="none"/>
        </w:rPr>
        <w:t>的书面质疑后七个工作日内做出答复，但答复的内容不得涉及商业秘密。</w:t>
      </w:r>
    </w:p>
    <w:p w14:paraId="303C0160">
      <w:pPr>
        <w:pStyle w:val="20"/>
        <w:spacing w:line="360" w:lineRule="exact"/>
        <w:ind w:firstLine="420"/>
        <w:rPr>
          <w:rFonts w:hint="eastAsia" w:hAnsi="宋体"/>
          <w:bCs/>
          <w:color w:val="auto"/>
          <w:highlight w:val="none"/>
        </w:rPr>
      </w:pPr>
      <w:r>
        <w:rPr>
          <w:rFonts w:hint="eastAsia" w:hAnsi="宋体"/>
          <w:color w:val="auto"/>
          <w:highlight w:val="none"/>
          <w:lang w:val="en-US" w:eastAsia="zh-CN"/>
        </w:rPr>
        <w:t>3.</w:t>
      </w:r>
      <w:r>
        <w:rPr>
          <w:rFonts w:hint="eastAsia" w:hAnsi="宋体"/>
          <w:bCs/>
          <w:color w:val="auto"/>
          <w:highlight w:val="none"/>
        </w:rPr>
        <w:t>质疑</w:t>
      </w:r>
      <w:r>
        <w:rPr>
          <w:rFonts w:hint="eastAsia" w:hAnsi="宋体"/>
          <w:color w:val="auto"/>
          <w:highlight w:val="none"/>
        </w:rPr>
        <w:t>谈判供应商</w:t>
      </w:r>
      <w:r>
        <w:rPr>
          <w:rFonts w:hint="eastAsia" w:hAnsi="宋体"/>
          <w:bCs/>
          <w:color w:val="auto"/>
          <w:highlight w:val="none"/>
        </w:rPr>
        <w:t>必须首先经过质疑程序，在对采购代理机构的答复不满意或者采购代理机构未在规定的时间内做出答复的，可以在答复期满后十五个工作日内书面向本级政府采购监督管理部门投诉。</w:t>
      </w:r>
    </w:p>
    <w:p w14:paraId="177CA4EA">
      <w:pPr>
        <w:pStyle w:val="20"/>
        <w:spacing w:line="380" w:lineRule="exact"/>
        <w:ind w:firstLine="420"/>
        <w:rPr>
          <w:rFonts w:hint="eastAsia" w:hAnsi="宋体"/>
          <w:color w:val="auto"/>
          <w:highlight w:val="none"/>
        </w:rPr>
      </w:pPr>
      <w:r>
        <w:rPr>
          <w:rFonts w:hint="eastAsia" w:hAnsi="宋体"/>
          <w:color w:val="auto"/>
          <w:highlight w:val="none"/>
        </w:rPr>
        <w:t>质疑联系部门及电话为：广西国力招标有限公司                     0771-4915558</w:t>
      </w:r>
    </w:p>
    <w:p w14:paraId="554D1C53">
      <w:pPr>
        <w:pStyle w:val="20"/>
        <w:spacing w:line="360" w:lineRule="exact"/>
        <w:ind w:firstLine="420"/>
        <w:rPr>
          <w:rFonts w:hint="eastAsia" w:hAnsi="宋体"/>
          <w:bCs/>
          <w:color w:val="auto"/>
          <w:highlight w:val="none"/>
        </w:rPr>
      </w:pPr>
      <w:r>
        <w:rPr>
          <w:rFonts w:hint="eastAsia" w:hAnsi="宋体"/>
          <w:color w:val="auto"/>
          <w:highlight w:val="none"/>
        </w:rPr>
        <w:t>投诉联系部门及电话为：广西壮族自治区财政厅政府采购监督管理处</w:t>
      </w:r>
      <w:r>
        <w:rPr>
          <w:rFonts w:hAnsi="宋体"/>
          <w:color w:val="auto"/>
          <w:highlight w:val="none"/>
        </w:rPr>
        <w:t xml:space="preserve">   0771-533</w:t>
      </w:r>
      <w:r>
        <w:rPr>
          <w:rFonts w:hint="eastAsia" w:hAnsi="宋体"/>
          <w:color w:val="auto"/>
          <w:highlight w:val="none"/>
        </w:rPr>
        <w:t>1544</w:t>
      </w:r>
    </w:p>
    <w:p w14:paraId="5AFA0B1A">
      <w:pPr>
        <w:pStyle w:val="20"/>
        <w:spacing w:line="360" w:lineRule="exact"/>
        <w:ind w:firstLine="420"/>
        <w:rPr>
          <w:rFonts w:hint="eastAsia" w:hAnsi="宋体"/>
          <w:b/>
          <w:color w:val="auto"/>
          <w:highlight w:val="none"/>
        </w:rPr>
      </w:pPr>
      <w:r>
        <w:rPr>
          <w:rFonts w:hint="eastAsia" w:hAnsi="宋体"/>
          <w:b/>
          <w:color w:val="auto"/>
          <w:highlight w:val="none"/>
        </w:rPr>
        <w:t>九、签订合同</w:t>
      </w:r>
    </w:p>
    <w:p w14:paraId="668461F5">
      <w:pPr>
        <w:pStyle w:val="20"/>
        <w:spacing w:line="360" w:lineRule="exact"/>
        <w:ind w:firstLine="420"/>
        <w:rPr>
          <w:rFonts w:hint="eastAsia" w:hAnsi="宋体"/>
          <w:color w:val="auto"/>
          <w:highlight w:val="none"/>
        </w:rPr>
      </w:pPr>
      <w:r>
        <w:rPr>
          <w:rFonts w:hint="eastAsia" w:hAnsi="宋体"/>
          <w:color w:val="auto"/>
          <w:highlight w:val="none"/>
          <w:lang w:val="en-US" w:eastAsia="zh-CN"/>
        </w:rPr>
        <w:t>1.</w:t>
      </w:r>
      <w:r>
        <w:rPr>
          <w:rFonts w:hint="eastAsia" w:hAnsi="宋体"/>
          <w:color w:val="auto"/>
          <w:highlight w:val="none"/>
        </w:rPr>
        <w:t>成交供应商自成交通知书发出之日起</w:t>
      </w:r>
      <w:r>
        <w:rPr>
          <w:rFonts w:hint="eastAsia" w:hAnsi="宋体"/>
          <w:b/>
          <w:color w:val="auto"/>
          <w:highlight w:val="none"/>
        </w:rPr>
        <w:t>25日</w:t>
      </w:r>
      <w:r>
        <w:rPr>
          <w:rFonts w:hint="eastAsia" w:hAnsi="宋体"/>
          <w:color w:val="auto"/>
          <w:highlight w:val="none"/>
        </w:rPr>
        <w:t>内与采购人签订合同。</w:t>
      </w:r>
    </w:p>
    <w:p w14:paraId="02110096">
      <w:pPr>
        <w:pStyle w:val="20"/>
        <w:spacing w:line="360" w:lineRule="exact"/>
        <w:ind w:firstLine="420"/>
        <w:rPr>
          <w:rFonts w:hint="eastAsia" w:hAnsi="宋体" w:cs="宋体"/>
          <w:color w:val="auto"/>
          <w:kern w:val="0"/>
          <w:highlight w:val="none"/>
        </w:rPr>
      </w:pPr>
      <w:r>
        <w:rPr>
          <w:rFonts w:hint="eastAsia" w:hAnsi="宋体"/>
          <w:color w:val="auto"/>
          <w:highlight w:val="none"/>
          <w:lang w:val="en-US" w:eastAsia="zh-CN"/>
        </w:rPr>
        <w:t>2.</w:t>
      </w:r>
      <w:r>
        <w:rPr>
          <w:rFonts w:hint="eastAsia" w:hAnsi="宋体" w:cs="宋体"/>
          <w:color w:val="auto"/>
          <w:kern w:val="0"/>
          <w:highlight w:val="none"/>
        </w:rPr>
        <w:t>成交供应商拒绝签订政府采购合同的</w:t>
      </w:r>
      <w:r>
        <w:rPr>
          <w:rFonts w:hint="eastAsia" w:hAnsi="宋体"/>
          <w:color w:val="auto"/>
          <w:highlight w:val="none"/>
        </w:rPr>
        <w:t>，采购人可以根据谈判评审报告确定成交供应商之后排名第一的成交候选人</w:t>
      </w:r>
      <w:r>
        <w:rPr>
          <w:rFonts w:hint="eastAsia" w:hAnsi="宋体" w:cs="宋体"/>
          <w:color w:val="auto"/>
          <w:kern w:val="0"/>
          <w:highlight w:val="none"/>
        </w:rPr>
        <w:t>作为</w:t>
      </w:r>
      <w:r>
        <w:rPr>
          <w:rFonts w:hint="eastAsia" w:hAnsi="宋体"/>
          <w:color w:val="auto"/>
          <w:highlight w:val="none"/>
        </w:rPr>
        <w:t>成交供应商</w:t>
      </w:r>
      <w:r>
        <w:rPr>
          <w:rFonts w:hint="eastAsia" w:hAnsi="宋体" w:cs="宋体"/>
          <w:color w:val="auto"/>
          <w:kern w:val="0"/>
          <w:highlight w:val="none"/>
        </w:rPr>
        <w:t>并签订政府采购合同，也可以重新开展采购活动。拒绝签订政府采购合同的成交供应商不得参加对该项目重新开展的采购活动。</w:t>
      </w:r>
    </w:p>
    <w:p w14:paraId="11A38D75">
      <w:pPr>
        <w:pStyle w:val="20"/>
        <w:spacing w:line="360" w:lineRule="exact"/>
        <w:ind w:firstLine="420"/>
        <w:rPr>
          <w:rFonts w:hint="eastAsia" w:hAnsi="宋体"/>
          <w:b/>
          <w:color w:val="auto"/>
          <w:highlight w:val="none"/>
        </w:rPr>
      </w:pPr>
      <w:r>
        <w:rPr>
          <w:rFonts w:hint="eastAsia"/>
          <w:b/>
          <w:color w:val="auto"/>
          <w:highlight w:val="none"/>
          <w:lang w:val="en-US" w:eastAsia="zh-CN"/>
        </w:rPr>
        <w:t>3.</w:t>
      </w:r>
      <w:r>
        <w:rPr>
          <w:rFonts w:hint="eastAsia" w:hAnsi="宋体" w:cs="宋体"/>
          <w:b/>
          <w:color w:val="auto"/>
          <w:kern w:val="0"/>
          <w:highlight w:val="none"/>
        </w:rPr>
        <w:t>成交供应商拒绝签订政府采购合同的</w:t>
      </w:r>
      <w:r>
        <w:rPr>
          <w:rFonts w:hint="eastAsia"/>
          <w:b/>
          <w:color w:val="auto"/>
          <w:highlight w:val="none"/>
        </w:rPr>
        <w:t>，其保证金将不予退还，并上缴国库，给采购人造成损失的，还应当赔偿损失，并作为不良行为记录在案</w:t>
      </w:r>
      <w:r>
        <w:rPr>
          <w:rFonts w:hint="eastAsia" w:hAnsi="宋体"/>
          <w:b/>
          <w:color w:val="auto"/>
          <w:highlight w:val="none"/>
        </w:rPr>
        <w:t>。</w:t>
      </w:r>
    </w:p>
    <w:p w14:paraId="4C1709AA">
      <w:pPr>
        <w:pStyle w:val="20"/>
        <w:spacing w:line="360" w:lineRule="exact"/>
        <w:ind w:firstLine="420"/>
        <w:rPr>
          <w:rFonts w:hint="eastAsia" w:hAnsi="宋体"/>
          <w:b/>
          <w:color w:val="auto"/>
          <w:highlight w:val="none"/>
        </w:rPr>
      </w:pPr>
      <w:r>
        <w:rPr>
          <w:rFonts w:hint="eastAsia" w:hAnsi="宋体"/>
          <w:b/>
          <w:color w:val="auto"/>
          <w:highlight w:val="none"/>
          <w:lang w:val="en-US" w:eastAsia="zh-CN"/>
        </w:rPr>
        <w:t>4.</w:t>
      </w:r>
      <w:r>
        <w:rPr>
          <w:rFonts w:hint="eastAsia" w:hAnsi="宋体"/>
          <w:b/>
          <w:color w:val="auto"/>
          <w:highlight w:val="none"/>
        </w:rPr>
        <w:t>履约保证金</w:t>
      </w:r>
    </w:p>
    <w:p w14:paraId="3335C295">
      <w:pPr>
        <w:pStyle w:val="20"/>
        <w:spacing w:line="360" w:lineRule="exact"/>
        <w:ind w:firstLine="420"/>
        <w:rPr>
          <w:rFonts w:hint="eastAsia" w:hAnsi="宋体"/>
          <w:color w:val="auto"/>
          <w:highlight w:val="none"/>
        </w:rPr>
      </w:pPr>
      <w:r>
        <w:rPr>
          <w:rFonts w:hint="eastAsia" w:hAnsi="宋体"/>
          <w:color w:val="auto"/>
          <w:highlight w:val="none"/>
          <w:lang w:eastAsia="zh-CN"/>
        </w:rPr>
        <w:t>（</w:t>
      </w:r>
      <w:r>
        <w:rPr>
          <w:rFonts w:hint="eastAsia" w:hAnsi="宋体"/>
          <w:color w:val="auto"/>
          <w:highlight w:val="none"/>
          <w:lang w:val="en-US" w:eastAsia="zh-CN"/>
        </w:rPr>
        <w:t>1）</w:t>
      </w:r>
      <w:r>
        <w:rPr>
          <w:rFonts w:hint="eastAsia" w:hAnsi="宋体"/>
          <w:color w:val="auto"/>
          <w:highlight w:val="none"/>
        </w:rPr>
        <w:t>成交人须于签订合同前按本项目关于履约保证金的规定进行办理。否则，不予签订合同。</w:t>
      </w:r>
    </w:p>
    <w:p w14:paraId="07B7F9BE">
      <w:pPr>
        <w:pStyle w:val="20"/>
        <w:spacing w:line="360" w:lineRule="exact"/>
        <w:ind w:firstLine="420"/>
        <w:rPr>
          <w:rFonts w:hint="eastAsia" w:hAnsi="宋体"/>
          <w:color w:val="auto"/>
          <w:highlight w:val="none"/>
        </w:rPr>
      </w:pPr>
      <w:r>
        <w:rPr>
          <w:rFonts w:hint="eastAsia" w:hAnsi="宋体"/>
          <w:color w:val="auto"/>
          <w:highlight w:val="none"/>
          <w:lang w:eastAsia="zh-CN"/>
        </w:rPr>
        <w:t>（</w:t>
      </w:r>
      <w:r>
        <w:rPr>
          <w:rFonts w:hint="eastAsia" w:hAnsi="宋体"/>
          <w:color w:val="auto"/>
          <w:highlight w:val="none"/>
          <w:lang w:val="en-US" w:eastAsia="zh-CN"/>
        </w:rPr>
        <w:t>2）</w:t>
      </w:r>
      <w:r>
        <w:rPr>
          <w:rFonts w:hint="eastAsia" w:hAnsi="宋体"/>
          <w:color w:val="auto"/>
          <w:highlight w:val="none"/>
        </w:rPr>
        <w:t>签订合同后，如成交人不按双方签订的合同规定履约，则没收其全部履约保证金，履约保证金不足以赔偿损失的，按实际损失赔偿。</w:t>
      </w:r>
    </w:p>
    <w:p w14:paraId="664FA581">
      <w:pPr>
        <w:pStyle w:val="20"/>
        <w:spacing w:line="360" w:lineRule="exact"/>
        <w:ind w:firstLine="420"/>
        <w:rPr>
          <w:rFonts w:hint="eastAsia" w:hAnsi="宋体"/>
          <w:color w:val="auto"/>
          <w:highlight w:val="none"/>
        </w:rPr>
      </w:pPr>
      <w:r>
        <w:rPr>
          <w:rFonts w:hint="eastAsia" w:hAnsi="宋体"/>
          <w:color w:val="auto"/>
          <w:highlight w:val="none"/>
          <w:lang w:eastAsia="zh-CN"/>
        </w:rPr>
        <w:t>（</w:t>
      </w:r>
      <w:r>
        <w:rPr>
          <w:rFonts w:hint="eastAsia" w:hAnsi="宋体"/>
          <w:color w:val="auto"/>
          <w:highlight w:val="none"/>
          <w:lang w:val="en-US" w:eastAsia="zh-CN"/>
        </w:rPr>
        <w:t>3）</w:t>
      </w:r>
      <w:r>
        <w:rPr>
          <w:rFonts w:hint="eastAsia" w:hAnsi="宋体"/>
          <w:color w:val="auto"/>
          <w:highlight w:val="none"/>
        </w:rPr>
        <w:t>履约保证金在成交人按合同约定交货验收合格后，由成交人提供《政府采购项目履约保证金退付意见书》及《政府采购项目合同验收报告》（详见附件），履约保证金在收到合格材料后5个工作日内以银行转账方式如数退还（不计利息）。</w:t>
      </w:r>
    </w:p>
    <w:p w14:paraId="0C8A0066">
      <w:pPr>
        <w:pStyle w:val="20"/>
        <w:spacing w:line="360" w:lineRule="exact"/>
        <w:ind w:firstLine="420"/>
        <w:rPr>
          <w:rFonts w:hint="eastAsia" w:hAnsi="宋体"/>
          <w:color w:val="auto"/>
          <w:highlight w:val="none"/>
        </w:rPr>
      </w:pPr>
      <w:r>
        <w:rPr>
          <w:rFonts w:hint="eastAsia" w:hAnsi="宋体"/>
          <w:color w:val="auto"/>
          <w:highlight w:val="none"/>
          <w:lang w:eastAsia="zh-CN"/>
        </w:rPr>
        <w:t>（</w:t>
      </w:r>
      <w:r>
        <w:rPr>
          <w:rFonts w:hint="eastAsia" w:hAnsi="宋体"/>
          <w:color w:val="auto"/>
          <w:highlight w:val="none"/>
          <w:lang w:val="en-US" w:eastAsia="zh-CN"/>
        </w:rPr>
        <w:t>4）</w:t>
      </w:r>
      <w:r>
        <w:rPr>
          <w:rFonts w:hint="eastAsia" w:hAnsi="宋体"/>
          <w:color w:val="auto"/>
          <w:highlight w:val="none"/>
        </w:rPr>
        <w:t>在履约保证金退还日期前，若成交人的开户名称、开户银行、账号有变动的，请以书面形式通知履约保证金收取机构，否则由此产生的后果由成交人自负。</w:t>
      </w:r>
    </w:p>
    <w:p w14:paraId="36378133">
      <w:pPr>
        <w:pStyle w:val="20"/>
        <w:spacing w:line="360" w:lineRule="exact"/>
        <w:ind w:firstLine="420"/>
        <w:rPr>
          <w:rFonts w:hint="eastAsia" w:hAnsi="宋体"/>
          <w:b/>
          <w:color w:val="auto"/>
          <w:highlight w:val="none"/>
        </w:rPr>
      </w:pPr>
      <w:r>
        <w:rPr>
          <w:rFonts w:hint="eastAsia" w:hAnsi="宋体"/>
          <w:b/>
          <w:color w:val="auto"/>
          <w:highlight w:val="none"/>
        </w:rPr>
        <w:t>十、适用法律</w:t>
      </w:r>
    </w:p>
    <w:p w14:paraId="1B9DCEF8">
      <w:pPr>
        <w:pStyle w:val="20"/>
        <w:spacing w:line="360" w:lineRule="exact"/>
        <w:ind w:firstLine="420"/>
        <w:rPr>
          <w:rFonts w:hint="eastAsia" w:hAnsi="宋体"/>
          <w:color w:val="auto"/>
          <w:highlight w:val="none"/>
        </w:rPr>
      </w:pPr>
      <w:r>
        <w:rPr>
          <w:rFonts w:hint="eastAsia" w:hAnsi="宋体"/>
          <w:color w:val="auto"/>
          <w:highlight w:val="none"/>
        </w:rPr>
        <w:t>15.采购当事人的一切活动均适用于《中华人民共和国政府采购法》及相关规定。最终谈判结束后，谈判小组不得再与谈判供应商进行任何形式的商谈。</w:t>
      </w:r>
    </w:p>
    <w:p w14:paraId="6542FF9B">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十一、其他事项</w:t>
      </w:r>
    </w:p>
    <w:p w14:paraId="0DEB4082">
      <w:pPr>
        <w:spacing w:line="360" w:lineRule="exact"/>
        <w:ind w:firstLine="632" w:firstLineChars="300"/>
        <w:rPr>
          <w:rFonts w:hint="eastAsia" w:ascii="宋体" w:hAnsi="宋体" w:cs="Courier New"/>
          <w:b/>
          <w:color w:val="auto"/>
          <w:szCs w:val="21"/>
          <w:highlight w:val="none"/>
        </w:rPr>
      </w:pPr>
      <w:r>
        <w:rPr>
          <w:rFonts w:hint="eastAsia" w:ascii="宋体" w:hAnsi="宋体" w:cs="Courier New"/>
          <w:b/>
          <w:color w:val="auto"/>
          <w:szCs w:val="21"/>
          <w:highlight w:val="none"/>
          <w:lang w:val="en-US" w:eastAsia="zh-CN"/>
        </w:rPr>
        <w:t>1.</w:t>
      </w:r>
      <w:r>
        <w:rPr>
          <w:rFonts w:hint="eastAsia" w:ascii="宋体" w:hAnsi="宋体" w:cs="Courier New"/>
          <w:b/>
          <w:color w:val="auto"/>
          <w:szCs w:val="21"/>
          <w:highlight w:val="none"/>
        </w:rPr>
        <w:t>成交服务费</w:t>
      </w:r>
    </w:p>
    <w:p w14:paraId="52621FE8">
      <w:pPr>
        <w:spacing w:line="360" w:lineRule="exact"/>
        <w:ind w:firstLine="420" w:firstLineChars="200"/>
        <w:rPr>
          <w:rFonts w:hint="eastAsia" w:hAnsi="宋体"/>
          <w:color w:val="auto"/>
          <w:highlight w:val="none"/>
        </w:rPr>
      </w:pPr>
      <w:r>
        <w:rPr>
          <w:rFonts w:hint="eastAsia" w:hAnsi="宋体"/>
          <w:color w:val="auto"/>
          <w:highlight w:val="none"/>
        </w:rPr>
        <w:t>（1）采购代理机构按（桂价费〔2011〕55号）的收费标准，按差额定率累进法计取成交服务费。发布成交结果公告后，成交供应商须向广西国力招标有限公司一次付清成交服务费。</w:t>
      </w:r>
    </w:p>
    <w:p w14:paraId="6A2243DC">
      <w:pPr>
        <w:spacing w:line="360" w:lineRule="exact"/>
        <w:ind w:firstLine="420" w:firstLineChars="200"/>
        <w:rPr>
          <w:rFonts w:hint="eastAsia" w:hAnsi="宋体"/>
          <w:color w:val="auto"/>
          <w:highlight w:val="none"/>
        </w:rPr>
      </w:pPr>
      <w:r>
        <w:rPr>
          <w:rFonts w:hint="eastAsia" w:hAnsi="宋体"/>
          <w:color w:val="auto"/>
          <w:highlight w:val="none"/>
        </w:rPr>
        <w:t>（2）代理服务收费标准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11A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51DA2E63">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               费率</w:t>
            </w:r>
          </w:p>
          <w:p w14:paraId="15B2F881">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中标金额</w:t>
            </w:r>
          </w:p>
        </w:tc>
        <w:tc>
          <w:tcPr>
            <w:tcW w:w="1659" w:type="dxa"/>
            <w:noWrap w:val="0"/>
            <w:vAlign w:val="center"/>
          </w:tcPr>
          <w:p w14:paraId="004541A2">
            <w:pPr>
              <w:keepNext w:val="0"/>
              <w:keepLines w:val="0"/>
              <w:suppressLineNumbers w:val="0"/>
              <w:spacing w:before="0" w:beforeAutospacing="0" w:after="0" w:afterAutospacing="0"/>
              <w:ind w:left="0" w:right="0" w:firstLine="105" w:firstLineChars="5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货物招标</w:t>
            </w:r>
          </w:p>
        </w:tc>
        <w:tc>
          <w:tcPr>
            <w:tcW w:w="1532" w:type="dxa"/>
            <w:noWrap w:val="0"/>
            <w:vAlign w:val="center"/>
          </w:tcPr>
          <w:p w14:paraId="07D12298">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服务招标</w:t>
            </w:r>
          </w:p>
        </w:tc>
        <w:tc>
          <w:tcPr>
            <w:tcW w:w="1546" w:type="dxa"/>
            <w:noWrap w:val="0"/>
            <w:vAlign w:val="center"/>
          </w:tcPr>
          <w:p w14:paraId="193A6FF2">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工程招标</w:t>
            </w:r>
          </w:p>
        </w:tc>
      </w:tr>
      <w:tr w14:paraId="2A17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5120590">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100万元以下</w:t>
            </w:r>
          </w:p>
        </w:tc>
        <w:tc>
          <w:tcPr>
            <w:tcW w:w="1659" w:type="dxa"/>
            <w:noWrap w:val="0"/>
            <w:vAlign w:val="top"/>
          </w:tcPr>
          <w:p w14:paraId="04149C00">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eastAsia" w:ascii="宋体" w:hAnsi="宋体" w:cs="宋体"/>
                <w:color w:val="auto"/>
                <w:kern w:val="0"/>
                <w:szCs w:val="21"/>
                <w:highlight w:val="none"/>
              </w:rPr>
              <w:t xml:space="preserve">  </w:t>
            </w:r>
            <w:r>
              <w:rPr>
                <w:rFonts w:hint="default"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hint="default"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532" w:type="dxa"/>
            <w:noWrap w:val="0"/>
            <w:vAlign w:val="top"/>
          </w:tcPr>
          <w:p w14:paraId="322467DD">
            <w:pPr>
              <w:keepNext w:val="0"/>
              <w:keepLines w:val="0"/>
              <w:suppressLineNumbers w:val="0"/>
              <w:spacing w:before="0" w:beforeAutospacing="0" w:after="0" w:afterAutospacing="0"/>
              <w:ind w:left="0" w:right="0" w:firstLine="210" w:firstLineChars="100"/>
              <w:rPr>
                <w:rFonts w:hint="default" w:ascii="Times New Roman" w:hAnsi="Times New Roman" w:cs="Times New Roman"/>
                <w:color w:val="auto"/>
                <w:szCs w:val="21"/>
                <w:highlight w:val="none"/>
              </w:rPr>
            </w:pPr>
            <w:r>
              <w:rPr>
                <w:rFonts w:hint="default" w:ascii="宋体" w:hAnsi="宋体" w:cs="宋体"/>
                <w:color w:val="auto"/>
                <w:kern w:val="0"/>
                <w:szCs w:val="21"/>
                <w:highlight w:val="none"/>
              </w:rPr>
              <w:t>1.5%</w:t>
            </w:r>
          </w:p>
        </w:tc>
        <w:tc>
          <w:tcPr>
            <w:tcW w:w="1546" w:type="dxa"/>
            <w:noWrap w:val="0"/>
            <w:vAlign w:val="top"/>
          </w:tcPr>
          <w:p w14:paraId="53582A83">
            <w:pPr>
              <w:keepNext w:val="0"/>
              <w:keepLines w:val="0"/>
              <w:suppressLineNumbers w:val="0"/>
              <w:spacing w:before="0" w:beforeAutospacing="0" w:after="0" w:afterAutospacing="0"/>
              <w:ind w:left="0" w:right="0" w:firstLine="210" w:firstLineChars="100"/>
              <w:rPr>
                <w:rFonts w:hint="eastAsia" w:ascii="Times New Roman" w:hAnsi="Times New Roman" w:cs="Times New Roman"/>
                <w:color w:val="auto"/>
                <w:szCs w:val="21"/>
                <w:highlight w:val="none"/>
              </w:rPr>
            </w:pPr>
            <w:r>
              <w:rPr>
                <w:rFonts w:hint="default" w:ascii="宋体" w:hAnsi="宋体" w:cs="宋体"/>
                <w:color w:val="auto"/>
                <w:kern w:val="0"/>
                <w:szCs w:val="21"/>
                <w:highlight w:val="none"/>
              </w:rPr>
              <w:t xml:space="preserve">1.0% </w:t>
            </w:r>
          </w:p>
        </w:tc>
      </w:tr>
      <w:tr w14:paraId="1D57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29DA4AA">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10</w:t>
            </w:r>
            <w:r>
              <w:rPr>
                <w:rFonts w:hint="eastAsia" w:ascii="宋体" w:hAnsi="宋体" w:cs="Times New Roman"/>
                <w:color w:val="auto"/>
                <w:szCs w:val="21"/>
                <w:highlight w:val="none"/>
              </w:rPr>
              <w:t>0～</w:t>
            </w:r>
            <w:r>
              <w:rPr>
                <w:rFonts w:hint="eastAsia" w:ascii="Times New Roman" w:hAnsi="Times New Roman" w:cs="Times New Roman"/>
                <w:color w:val="auto"/>
                <w:szCs w:val="21"/>
                <w:highlight w:val="none"/>
              </w:rPr>
              <w:t>500万元</w:t>
            </w:r>
          </w:p>
        </w:tc>
        <w:tc>
          <w:tcPr>
            <w:tcW w:w="1659" w:type="dxa"/>
            <w:noWrap w:val="0"/>
            <w:vAlign w:val="top"/>
          </w:tcPr>
          <w:p w14:paraId="60A518CD">
            <w:pPr>
              <w:keepNext w:val="0"/>
              <w:keepLines w:val="0"/>
              <w:suppressLineNumbers w:val="0"/>
              <w:spacing w:before="0" w:beforeAutospacing="0" w:after="0" w:afterAutospacing="0"/>
              <w:ind w:left="0" w:right="0" w:firstLine="210" w:firstLineChars="100"/>
              <w:rPr>
                <w:rFonts w:hint="default" w:ascii="Times New Roman" w:hAnsi="Times New Roman" w:cs="Times New Roman"/>
                <w:color w:val="auto"/>
                <w:szCs w:val="21"/>
                <w:highlight w:val="none"/>
              </w:rPr>
            </w:pPr>
            <w:r>
              <w:rPr>
                <w:rFonts w:hint="default"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1532" w:type="dxa"/>
            <w:noWrap w:val="0"/>
            <w:vAlign w:val="top"/>
          </w:tcPr>
          <w:p w14:paraId="10A1011B">
            <w:pPr>
              <w:keepNext w:val="0"/>
              <w:keepLines w:val="0"/>
              <w:suppressLineNumbers w:val="0"/>
              <w:spacing w:before="0" w:beforeAutospacing="0" w:after="0" w:afterAutospacing="0"/>
              <w:ind w:left="0" w:right="0" w:firstLine="210" w:firstLineChars="100"/>
              <w:rPr>
                <w:rFonts w:hint="default" w:ascii="Times New Roman" w:hAnsi="Times New Roman" w:cs="Times New Roman"/>
                <w:color w:val="auto"/>
                <w:szCs w:val="21"/>
                <w:highlight w:val="none"/>
              </w:rPr>
            </w:pPr>
            <w:r>
              <w:rPr>
                <w:rFonts w:hint="default" w:ascii="宋体" w:hAnsi="宋体" w:cs="宋体"/>
                <w:color w:val="auto"/>
                <w:kern w:val="0"/>
                <w:szCs w:val="21"/>
                <w:highlight w:val="none"/>
              </w:rPr>
              <w:t>0.8%</w:t>
            </w:r>
          </w:p>
        </w:tc>
        <w:tc>
          <w:tcPr>
            <w:tcW w:w="1546" w:type="dxa"/>
            <w:noWrap w:val="0"/>
            <w:vAlign w:val="top"/>
          </w:tcPr>
          <w:p w14:paraId="3D634A45">
            <w:pPr>
              <w:keepNext w:val="0"/>
              <w:keepLines w:val="0"/>
              <w:suppressLineNumbers w:val="0"/>
              <w:spacing w:before="0" w:beforeAutospacing="0" w:after="0" w:afterAutospacing="0"/>
              <w:ind w:left="0" w:right="0" w:firstLine="210" w:firstLineChars="100"/>
              <w:rPr>
                <w:rFonts w:hint="eastAsia" w:ascii="Times New Roman" w:hAnsi="Times New Roman" w:cs="Times New Roman"/>
                <w:color w:val="auto"/>
                <w:szCs w:val="21"/>
                <w:highlight w:val="none"/>
              </w:rPr>
            </w:pPr>
            <w:r>
              <w:rPr>
                <w:rFonts w:hint="default" w:ascii="宋体" w:hAnsi="宋体" w:cs="宋体"/>
                <w:color w:val="auto"/>
                <w:kern w:val="0"/>
                <w:szCs w:val="21"/>
                <w:highlight w:val="none"/>
              </w:rPr>
              <w:t xml:space="preserve">0.7% </w:t>
            </w:r>
          </w:p>
        </w:tc>
      </w:tr>
      <w:tr w14:paraId="606F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9DCB252">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50</w:t>
            </w:r>
            <w:r>
              <w:rPr>
                <w:rFonts w:hint="eastAsia" w:ascii="宋体" w:hAnsi="宋体" w:cs="Times New Roman"/>
                <w:color w:val="auto"/>
                <w:szCs w:val="21"/>
                <w:highlight w:val="none"/>
              </w:rPr>
              <w:t>0～</w:t>
            </w:r>
            <w:r>
              <w:rPr>
                <w:rFonts w:hint="eastAsia" w:ascii="Times New Roman" w:hAnsi="Times New Roman" w:cs="Times New Roman"/>
                <w:color w:val="auto"/>
                <w:szCs w:val="21"/>
                <w:highlight w:val="none"/>
              </w:rPr>
              <w:t>1000万元</w:t>
            </w:r>
          </w:p>
        </w:tc>
        <w:tc>
          <w:tcPr>
            <w:tcW w:w="1659" w:type="dxa"/>
            <w:noWrap w:val="0"/>
            <w:vAlign w:val="top"/>
          </w:tcPr>
          <w:p w14:paraId="7C05B836">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eastAsia" w:ascii="宋体" w:hAnsi="宋体" w:cs="宋体"/>
                <w:color w:val="auto"/>
                <w:kern w:val="0"/>
                <w:szCs w:val="21"/>
                <w:highlight w:val="none"/>
              </w:rPr>
              <w:t xml:space="preserve">  </w:t>
            </w:r>
            <w:r>
              <w:rPr>
                <w:rFonts w:hint="default"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1532" w:type="dxa"/>
            <w:noWrap w:val="0"/>
            <w:vAlign w:val="top"/>
          </w:tcPr>
          <w:p w14:paraId="77059DA9">
            <w:pPr>
              <w:keepNext w:val="0"/>
              <w:keepLines w:val="0"/>
              <w:suppressLineNumbers w:val="0"/>
              <w:spacing w:before="0" w:beforeAutospacing="0" w:after="0" w:afterAutospacing="0"/>
              <w:ind w:left="0" w:right="0" w:firstLine="210" w:firstLineChars="100"/>
              <w:rPr>
                <w:rFonts w:hint="default" w:ascii="Times New Roman" w:hAnsi="Times New Roman" w:cs="Times New Roman"/>
                <w:color w:val="auto"/>
                <w:szCs w:val="21"/>
                <w:highlight w:val="none"/>
              </w:rPr>
            </w:pPr>
            <w:r>
              <w:rPr>
                <w:rFonts w:hint="default" w:ascii="宋体" w:hAnsi="宋体" w:cs="宋体"/>
                <w:color w:val="auto"/>
                <w:kern w:val="0"/>
                <w:szCs w:val="21"/>
                <w:highlight w:val="none"/>
              </w:rPr>
              <w:t>0.45%</w:t>
            </w:r>
          </w:p>
        </w:tc>
        <w:tc>
          <w:tcPr>
            <w:tcW w:w="1546" w:type="dxa"/>
            <w:noWrap w:val="0"/>
            <w:vAlign w:val="top"/>
          </w:tcPr>
          <w:p w14:paraId="2A03B8FE">
            <w:pPr>
              <w:keepNext w:val="0"/>
              <w:keepLines w:val="0"/>
              <w:suppressLineNumbers w:val="0"/>
              <w:spacing w:before="0" w:beforeAutospacing="0" w:after="0" w:afterAutospacing="0"/>
              <w:ind w:left="0" w:right="0" w:firstLine="210" w:firstLineChars="100"/>
              <w:rPr>
                <w:rFonts w:hint="default" w:ascii="Times New Roman" w:hAnsi="Times New Roman" w:cs="Times New Roman"/>
                <w:color w:val="auto"/>
                <w:szCs w:val="21"/>
                <w:highlight w:val="none"/>
              </w:rPr>
            </w:pPr>
            <w:r>
              <w:rPr>
                <w:rFonts w:hint="default" w:ascii="宋体" w:hAnsi="宋体" w:cs="宋体"/>
                <w:color w:val="auto"/>
                <w:kern w:val="0"/>
                <w:szCs w:val="21"/>
                <w:highlight w:val="none"/>
              </w:rPr>
              <w:t>0.55%</w:t>
            </w:r>
          </w:p>
        </w:tc>
      </w:tr>
      <w:tr w14:paraId="4720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13B0ABF">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100</w:t>
            </w:r>
            <w:r>
              <w:rPr>
                <w:rFonts w:hint="eastAsia" w:ascii="宋体" w:hAnsi="宋体" w:cs="Times New Roman"/>
                <w:color w:val="auto"/>
                <w:szCs w:val="21"/>
                <w:highlight w:val="none"/>
              </w:rPr>
              <w:t>0～</w:t>
            </w:r>
            <w:r>
              <w:rPr>
                <w:rFonts w:hint="eastAsia" w:ascii="Times New Roman" w:hAnsi="Times New Roman" w:cs="Times New Roman"/>
                <w:color w:val="auto"/>
                <w:szCs w:val="21"/>
                <w:highlight w:val="none"/>
              </w:rPr>
              <w:t>5000万元</w:t>
            </w:r>
          </w:p>
        </w:tc>
        <w:tc>
          <w:tcPr>
            <w:tcW w:w="1659" w:type="dxa"/>
            <w:noWrap w:val="0"/>
            <w:vAlign w:val="top"/>
          </w:tcPr>
          <w:p w14:paraId="73F2C0E9">
            <w:pPr>
              <w:keepNext w:val="0"/>
              <w:keepLines w:val="0"/>
              <w:suppressLineNumbers w:val="0"/>
              <w:spacing w:before="0" w:beforeAutospacing="0" w:after="0" w:afterAutospacing="0"/>
              <w:ind w:left="0" w:right="0" w:firstLine="210" w:firstLineChars="100"/>
              <w:rPr>
                <w:rFonts w:hint="default" w:ascii="Times New Roman" w:hAnsi="Times New Roman" w:cs="Times New Roman"/>
                <w:color w:val="auto"/>
                <w:szCs w:val="21"/>
                <w:highlight w:val="none"/>
              </w:rPr>
            </w:pPr>
            <w:r>
              <w:rPr>
                <w:rFonts w:hint="default"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1532" w:type="dxa"/>
            <w:noWrap w:val="0"/>
            <w:vAlign w:val="top"/>
          </w:tcPr>
          <w:p w14:paraId="6353949E">
            <w:pPr>
              <w:keepNext w:val="0"/>
              <w:keepLines w:val="0"/>
              <w:suppressLineNumbers w:val="0"/>
              <w:spacing w:before="0" w:beforeAutospacing="0" w:after="0" w:afterAutospacing="0"/>
              <w:ind w:left="0" w:right="0" w:firstLine="210" w:firstLineChars="100"/>
              <w:rPr>
                <w:rFonts w:hint="default" w:ascii="Times New Roman" w:hAnsi="Times New Roman" w:cs="Times New Roman"/>
                <w:color w:val="auto"/>
                <w:szCs w:val="21"/>
                <w:highlight w:val="none"/>
              </w:rPr>
            </w:pPr>
            <w:r>
              <w:rPr>
                <w:rFonts w:hint="default" w:ascii="宋体" w:hAnsi="宋体" w:cs="宋体"/>
                <w:color w:val="auto"/>
                <w:kern w:val="0"/>
                <w:szCs w:val="21"/>
                <w:highlight w:val="none"/>
              </w:rPr>
              <w:t>0.25%</w:t>
            </w:r>
          </w:p>
        </w:tc>
        <w:tc>
          <w:tcPr>
            <w:tcW w:w="1546" w:type="dxa"/>
            <w:noWrap w:val="0"/>
            <w:vAlign w:val="top"/>
          </w:tcPr>
          <w:p w14:paraId="6E1F515D">
            <w:pPr>
              <w:keepNext w:val="0"/>
              <w:keepLines w:val="0"/>
              <w:suppressLineNumbers w:val="0"/>
              <w:spacing w:before="0" w:beforeAutospacing="0" w:after="0" w:afterAutospacing="0"/>
              <w:ind w:left="0" w:right="0" w:firstLine="210" w:firstLineChars="100"/>
              <w:rPr>
                <w:rFonts w:hint="eastAsia" w:ascii="Times New Roman" w:hAnsi="Times New Roman" w:cs="Times New Roman"/>
                <w:color w:val="auto"/>
                <w:szCs w:val="21"/>
                <w:highlight w:val="none"/>
              </w:rPr>
            </w:pPr>
            <w:r>
              <w:rPr>
                <w:rFonts w:hint="default" w:ascii="宋体" w:hAnsi="宋体" w:cs="宋体"/>
                <w:color w:val="auto"/>
                <w:kern w:val="0"/>
                <w:szCs w:val="21"/>
                <w:highlight w:val="none"/>
              </w:rPr>
              <w:t xml:space="preserve">0.35% </w:t>
            </w:r>
          </w:p>
        </w:tc>
      </w:tr>
      <w:tr w14:paraId="47BC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68243A">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5000万元～1亿元</w:t>
            </w:r>
          </w:p>
        </w:tc>
        <w:tc>
          <w:tcPr>
            <w:tcW w:w="1659" w:type="dxa"/>
            <w:noWrap w:val="0"/>
            <w:vAlign w:val="top"/>
          </w:tcPr>
          <w:p w14:paraId="7D15E458">
            <w:pPr>
              <w:keepNext w:val="0"/>
              <w:keepLines w:val="0"/>
              <w:suppressLineNumbers w:val="0"/>
              <w:spacing w:before="0" w:beforeAutospacing="0" w:after="0" w:afterAutospacing="0"/>
              <w:ind w:left="0" w:right="0" w:firstLine="210" w:firstLineChars="100"/>
              <w:rPr>
                <w:rFonts w:hint="eastAsia" w:ascii="宋体" w:hAnsi="宋体" w:cs="Times New Roman"/>
                <w:color w:val="auto"/>
                <w:szCs w:val="21"/>
                <w:highlight w:val="none"/>
              </w:rPr>
            </w:pPr>
            <w:r>
              <w:rPr>
                <w:rFonts w:hint="default"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hint="default"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532" w:type="dxa"/>
            <w:noWrap w:val="0"/>
            <w:vAlign w:val="top"/>
          </w:tcPr>
          <w:p w14:paraId="01D6E5B7">
            <w:pPr>
              <w:keepNext w:val="0"/>
              <w:keepLines w:val="0"/>
              <w:suppressLineNumbers w:val="0"/>
              <w:spacing w:before="0" w:beforeAutospacing="0" w:after="0" w:afterAutospacing="0"/>
              <w:ind w:left="0" w:right="0" w:firstLine="210" w:firstLineChars="100"/>
              <w:rPr>
                <w:rFonts w:hint="default" w:ascii="宋体" w:hAnsi="宋体" w:cs="Times New Roman"/>
                <w:color w:val="auto"/>
                <w:szCs w:val="21"/>
                <w:highlight w:val="none"/>
              </w:rPr>
            </w:pPr>
            <w:r>
              <w:rPr>
                <w:rFonts w:hint="default" w:ascii="宋体" w:hAnsi="宋体" w:cs="宋体"/>
                <w:color w:val="auto"/>
                <w:kern w:val="0"/>
                <w:szCs w:val="21"/>
                <w:highlight w:val="none"/>
              </w:rPr>
              <w:t>0.1%</w:t>
            </w:r>
          </w:p>
        </w:tc>
        <w:tc>
          <w:tcPr>
            <w:tcW w:w="1546" w:type="dxa"/>
            <w:noWrap w:val="0"/>
            <w:vAlign w:val="top"/>
          </w:tcPr>
          <w:p w14:paraId="515DB6E5">
            <w:pPr>
              <w:keepNext w:val="0"/>
              <w:keepLines w:val="0"/>
              <w:suppressLineNumbers w:val="0"/>
              <w:spacing w:before="0" w:beforeAutospacing="0" w:after="0" w:afterAutospacing="0"/>
              <w:ind w:left="0" w:right="0" w:firstLine="210" w:firstLineChars="100"/>
              <w:rPr>
                <w:rFonts w:hint="default" w:ascii="宋体" w:hAnsi="宋体" w:cs="Times New Roman"/>
                <w:color w:val="auto"/>
                <w:szCs w:val="21"/>
                <w:highlight w:val="none"/>
              </w:rPr>
            </w:pPr>
            <w:r>
              <w:rPr>
                <w:rFonts w:hint="default" w:ascii="宋体" w:hAnsi="宋体" w:cs="宋体"/>
                <w:color w:val="auto"/>
                <w:kern w:val="0"/>
                <w:szCs w:val="21"/>
                <w:highlight w:val="none"/>
              </w:rPr>
              <w:t>0.2%</w:t>
            </w:r>
          </w:p>
        </w:tc>
      </w:tr>
      <w:tr w14:paraId="2E91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23589B1">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1～5亿元</w:t>
            </w:r>
          </w:p>
        </w:tc>
        <w:tc>
          <w:tcPr>
            <w:tcW w:w="1659" w:type="dxa"/>
            <w:noWrap w:val="0"/>
            <w:vAlign w:val="top"/>
          </w:tcPr>
          <w:p w14:paraId="2FBFCAC2">
            <w:pPr>
              <w:keepNext w:val="0"/>
              <w:keepLines w:val="0"/>
              <w:suppressLineNumbers w:val="0"/>
              <w:spacing w:before="0" w:beforeAutospacing="0" w:after="0" w:afterAutospacing="0"/>
              <w:ind w:left="0" w:right="0" w:firstLine="210" w:firstLineChars="100"/>
              <w:rPr>
                <w:rFonts w:hint="eastAsia" w:ascii="宋体" w:hAnsi="宋体" w:cs="Times New Roman"/>
                <w:color w:val="auto"/>
                <w:szCs w:val="21"/>
                <w:highlight w:val="none"/>
              </w:rPr>
            </w:pPr>
            <w:r>
              <w:rPr>
                <w:rFonts w:hint="eastAsia" w:ascii="宋体" w:hAnsi="宋体" w:cs="Times New Roman"/>
                <w:color w:val="auto"/>
                <w:szCs w:val="21"/>
                <w:highlight w:val="none"/>
              </w:rPr>
              <w:t>0.05%</w:t>
            </w:r>
          </w:p>
        </w:tc>
        <w:tc>
          <w:tcPr>
            <w:tcW w:w="1532" w:type="dxa"/>
            <w:noWrap w:val="0"/>
            <w:vAlign w:val="top"/>
          </w:tcPr>
          <w:p w14:paraId="158A0ED8">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  0.05%</w:t>
            </w:r>
          </w:p>
        </w:tc>
        <w:tc>
          <w:tcPr>
            <w:tcW w:w="1546" w:type="dxa"/>
            <w:noWrap w:val="0"/>
            <w:vAlign w:val="top"/>
          </w:tcPr>
          <w:p w14:paraId="1CD44D47">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  0.05%</w:t>
            </w:r>
          </w:p>
        </w:tc>
      </w:tr>
      <w:tr w14:paraId="2D50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4B69FFF">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5～10亿元</w:t>
            </w:r>
          </w:p>
        </w:tc>
        <w:tc>
          <w:tcPr>
            <w:tcW w:w="1659" w:type="dxa"/>
            <w:noWrap w:val="0"/>
            <w:vAlign w:val="top"/>
          </w:tcPr>
          <w:p w14:paraId="43969CB3">
            <w:pPr>
              <w:keepNext w:val="0"/>
              <w:keepLines w:val="0"/>
              <w:suppressLineNumbers w:val="0"/>
              <w:spacing w:before="0" w:beforeAutospacing="0" w:after="0" w:afterAutospacing="0"/>
              <w:ind w:left="0" w:right="0" w:firstLine="105" w:firstLineChars="50"/>
              <w:rPr>
                <w:rFonts w:hint="eastAsia" w:ascii="宋体" w:hAnsi="宋体" w:cs="Times New Roman"/>
                <w:color w:val="auto"/>
                <w:szCs w:val="21"/>
                <w:highlight w:val="none"/>
              </w:rPr>
            </w:pPr>
            <w:r>
              <w:rPr>
                <w:rFonts w:hint="eastAsia" w:ascii="宋体" w:hAnsi="宋体" w:cs="Times New Roman"/>
                <w:color w:val="auto"/>
                <w:szCs w:val="21"/>
                <w:highlight w:val="none"/>
              </w:rPr>
              <w:t>0.035%</w:t>
            </w:r>
          </w:p>
        </w:tc>
        <w:tc>
          <w:tcPr>
            <w:tcW w:w="1532" w:type="dxa"/>
            <w:noWrap w:val="0"/>
            <w:vAlign w:val="top"/>
          </w:tcPr>
          <w:p w14:paraId="768D85F2">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  0.035%</w:t>
            </w:r>
          </w:p>
        </w:tc>
        <w:tc>
          <w:tcPr>
            <w:tcW w:w="1546" w:type="dxa"/>
            <w:noWrap w:val="0"/>
            <w:vAlign w:val="top"/>
          </w:tcPr>
          <w:p w14:paraId="574ED65B">
            <w:pPr>
              <w:keepNext w:val="0"/>
              <w:keepLines w:val="0"/>
              <w:suppressLineNumbers w:val="0"/>
              <w:spacing w:before="0" w:beforeAutospacing="0" w:after="0" w:afterAutospacing="0"/>
              <w:ind w:left="0" w:right="0" w:firstLine="105" w:firstLineChars="50"/>
              <w:rPr>
                <w:rFonts w:hint="default" w:ascii="宋体" w:hAnsi="宋体" w:cs="Times New Roman"/>
                <w:color w:val="auto"/>
                <w:szCs w:val="21"/>
                <w:highlight w:val="none"/>
              </w:rPr>
            </w:pPr>
            <w:r>
              <w:rPr>
                <w:rFonts w:hint="eastAsia" w:ascii="宋体" w:hAnsi="宋体" w:cs="Times New Roman"/>
                <w:color w:val="auto"/>
                <w:szCs w:val="21"/>
                <w:highlight w:val="none"/>
              </w:rPr>
              <w:t>0.035%</w:t>
            </w:r>
          </w:p>
        </w:tc>
      </w:tr>
      <w:tr w14:paraId="4A63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D0DBF06">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10～50亿元</w:t>
            </w:r>
          </w:p>
        </w:tc>
        <w:tc>
          <w:tcPr>
            <w:tcW w:w="1659" w:type="dxa"/>
            <w:noWrap w:val="0"/>
            <w:vAlign w:val="top"/>
          </w:tcPr>
          <w:p w14:paraId="09135225">
            <w:pPr>
              <w:keepNext w:val="0"/>
              <w:keepLines w:val="0"/>
              <w:suppressLineNumbers w:val="0"/>
              <w:spacing w:before="0" w:beforeAutospacing="0" w:after="0" w:afterAutospacing="0"/>
              <w:ind w:left="0" w:right="0" w:firstLine="105" w:firstLineChars="50"/>
              <w:rPr>
                <w:rFonts w:hint="eastAsia" w:ascii="宋体" w:hAnsi="宋体" w:cs="Times New Roman"/>
                <w:color w:val="auto"/>
                <w:szCs w:val="21"/>
                <w:highlight w:val="none"/>
              </w:rPr>
            </w:pPr>
            <w:r>
              <w:rPr>
                <w:rFonts w:hint="eastAsia" w:ascii="宋体" w:hAnsi="宋体" w:cs="Times New Roman"/>
                <w:color w:val="auto"/>
                <w:szCs w:val="21"/>
                <w:highlight w:val="none"/>
              </w:rPr>
              <w:t>0.008%</w:t>
            </w:r>
          </w:p>
        </w:tc>
        <w:tc>
          <w:tcPr>
            <w:tcW w:w="1532" w:type="dxa"/>
            <w:noWrap w:val="0"/>
            <w:vAlign w:val="top"/>
          </w:tcPr>
          <w:p w14:paraId="643A0205">
            <w:pPr>
              <w:keepNext w:val="0"/>
              <w:keepLines w:val="0"/>
              <w:suppressLineNumbers w:val="0"/>
              <w:spacing w:before="0" w:beforeAutospacing="0" w:after="0" w:afterAutospacing="0"/>
              <w:ind w:left="0" w:right="0" w:firstLine="210" w:firstLineChars="100"/>
              <w:rPr>
                <w:rFonts w:hint="default" w:ascii="宋体" w:hAnsi="宋体" w:cs="Times New Roman"/>
                <w:color w:val="auto"/>
                <w:szCs w:val="21"/>
                <w:highlight w:val="none"/>
              </w:rPr>
            </w:pPr>
            <w:r>
              <w:rPr>
                <w:rFonts w:hint="eastAsia" w:ascii="宋体" w:hAnsi="宋体" w:cs="Times New Roman"/>
                <w:color w:val="auto"/>
                <w:szCs w:val="21"/>
                <w:highlight w:val="none"/>
              </w:rPr>
              <w:t>0.008%</w:t>
            </w:r>
          </w:p>
        </w:tc>
        <w:tc>
          <w:tcPr>
            <w:tcW w:w="1546" w:type="dxa"/>
            <w:noWrap w:val="0"/>
            <w:vAlign w:val="top"/>
          </w:tcPr>
          <w:p w14:paraId="7DB63AE6">
            <w:pPr>
              <w:keepNext w:val="0"/>
              <w:keepLines w:val="0"/>
              <w:suppressLineNumbers w:val="0"/>
              <w:spacing w:before="0" w:beforeAutospacing="0" w:after="0" w:afterAutospacing="0"/>
              <w:ind w:left="0" w:right="0" w:firstLine="105" w:firstLineChars="50"/>
              <w:rPr>
                <w:rFonts w:hint="default" w:ascii="宋体" w:hAnsi="宋体" w:cs="Times New Roman"/>
                <w:color w:val="auto"/>
                <w:szCs w:val="21"/>
                <w:highlight w:val="none"/>
              </w:rPr>
            </w:pPr>
            <w:r>
              <w:rPr>
                <w:rFonts w:hint="eastAsia" w:ascii="宋体" w:hAnsi="宋体" w:cs="Times New Roman"/>
                <w:color w:val="auto"/>
                <w:szCs w:val="21"/>
                <w:highlight w:val="none"/>
              </w:rPr>
              <w:t>0.008%</w:t>
            </w:r>
          </w:p>
        </w:tc>
      </w:tr>
      <w:tr w14:paraId="790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0E7EB9B">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50～100亿元</w:t>
            </w:r>
          </w:p>
        </w:tc>
        <w:tc>
          <w:tcPr>
            <w:tcW w:w="1659" w:type="dxa"/>
            <w:noWrap w:val="0"/>
            <w:vAlign w:val="top"/>
          </w:tcPr>
          <w:p w14:paraId="5FEBE83B">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 0.006%</w:t>
            </w:r>
          </w:p>
        </w:tc>
        <w:tc>
          <w:tcPr>
            <w:tcW w:w="1532" w:type="dxa"/>
            <w:noWrap w:val="0"/>
            <w:vAlign w:val="top"/>
          </w:tcPr>
          <w:p w14:paraId="55789A7E">
            <w:pPr>
              <w:keepNext w:val="0"/>
              <w:keepLines w:val="0"/>
              <w:suppressLineNumbers w:val="0"/>
              <w:spacing w:before="0" w:beforeAutospacing="0" w:after="0" w:afterAutospacing="0"/>
              <w:ind w:left="0" w:right="0" w:firstLine="210" w:firstLineChars="100"/>
              <w:rPr>
                <w:rFonts w:hint="default" w:ascii="宋体" w:hAnsi="宋体" w:cs="Times New Roman"/>
                <w:color w:val="auto"/>
                <w:szCs w:val="21"/>
                <w:highlight w:val="none"/>
              </w:rPr>
            </w:pPr>
            <w:r>
              <w:rPr>
                <w:rFonts w:hint="eastAsia" w:ascii="宋体" w:hAnsi="宋体" w:cs="Times New Roman"/>
                <w:color w:val="auto"/>
                <w:szCs w:val="21"/>
                <w:highlight w:val="none"/>
              </w:rPr>
              <w:t>0.006%</w:t>
            </w:r>
          </w:p>
        </w:tc>
        <w:tc>
          <w:tcPr>
            <w:tcW w:w="1546" w:type="dxa"/>
            <w:noWrap w:val="0"/>
            <w:vAlign w:val="top"/>
          </w:tcPr>
          <w:p w14:paraId="48FAC37E">
            <w:pPr>
              <w:keepNext w:val="0"/>
              <w:keepLines w:val="0"/>
              <w:suppressLineNumbers w:val="0"/>
              <w:spacing w:before="0" w:beforeAutospacing="0" w:after="0" w:afterAutospacing="0"/>
              <w:ind w:left="0" w:right="0" w:firstLine="105" w:firstLineChars="50"/>
              <w:rPr>
                <w:rFonts w:hint="default" w:ascii="宋体" w:hAnsi="宋体" w:cs="Times New Roman"/>
                <w:color w:val="auto"/>
                <w:szCs w:val="21"/>
                <w:highlight w:val="none"/>
              </w:rPr>
            </w:pPr>
            <w:r>
              <w:rPr>
                <w:rFonts w:hint="eastAsia" w:ascii="宋体" w:hAnsi="宋体" w:cs="Times New Roman"/>
                <w:color w:val="auto"/>
                <w:szCs w:val="21"/>
                <w:highlight w:val="none"/>
              </w:rPr>
              <w:t>0.006%</w:t>
            </w:r>
          </w:p>
        </w:tc>
      </w:tr>
      <w:tr w14:paraId="40C9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2D0E66B">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100亿以上</w:t>
            </w:r>
          </w:p>
        </w:tc>
        <w:tc>
          <w:tcPr>
            <w:tcW w:w="1659" w:type="dxa"/>
            <w:noWrap w:val="0"/>
            <w:vAlign w:val="top"/>
          </w:tcPr>
          <w:p w14:paraId="5379BD24">
            <w:pPr>
              <w:keepNext w:val="0"/>
              <w:keepLines w:val="0"/>
              <w:suppressLineNumbers w:val="0"/>
              <w:spacing w:before="0" w:beforeAutospacing="0" w:after="0" w:afterAutospacing="0"/>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 0.004%</w:t>
            </w:r>
          </w:p>
        </w:tc>
        <w:tc>
          <w:tcPr>
            <w:tcW w:w="1532" w:type="dxa"/>
            <w:noWrap w:val="0"/>
            <w:vAlign w:val="top"/>
          </w:tcPr>
          <w:p w14:paraId="20CFFD46">
            <w:pPr>
              <w:keepNext w:val="0"/>
              <w:keepLines w:val="0"/>
              <w:suppressLineNumbers w:val="0"/>
              <w:spacing w:before="0" w:beforeAutospacing="0" w:after="0" w:afterAutospacing="0"/>
              <w:ind w:left="0" w:right="0" w:firstLine="210" w:firstLineChars="100"/>
              <w:rPr>
                <w:rFonts w:hint="default" w:ascii="宋体" w:hAnsi="宋体" w:cs="Times New Roman"/>
                <w:color w:val="auto"/>
                <w:szCs w:val="21"/>
                <w:highlight w:val="none"/>
              </w:rPr>
            </w:pPr>
            <w:r>
              <w:rPr>
                <w:rFonts w:hint="eastAsia" w:ascii="宋体" w:hAnsi="宋体" w:cs="Times New Roman"/>
                <w:color w:val="auto"/>
                <w:szCs w:val="21"/>
                <w:highlight w:val="none"/>
              </w:rPr>
              <w:t>0.004%</w:t>
            </w:r>
          </w:p>
        </w:tc>
        <w:tc>
          <w:tcPr>
            <w:tcW w:w="1546" w:type="dxa"/>
            <w:noWrap w:val="0"/>
            <w:vAlign w:val="top"/>
          </w:tcPr>
          <w:p w14:paraId="06BD09CD">
            <w:pPr>
              <w:keepNext w:val="0"/>
              <w:keepLines w:val="0"/>
              <w:suppressLineNumbers w:val="0"/>
              <w:spacing w:before="0" w:beforeAutospacing="0" w:after="0" w:afterAutospacing="0"/>
              <w:ind w:left="0" w:right="0" w:firstLine="105" w:firstLineChars="50"/>
              <w:rPr>
                <w:rFonts w:hint="default" w:ascii="宋体" w:hAnsi="宋体" w:cs="Times New Roman"/>
                <w:color w:val="auto"/>
                <w:szCs w:val="21"/>
                <w:highlight w:val="none"/>
              </w:rPr>
            </w:pPr>
            <w:r>
              <w:rPr>
                <w:rFonts w:hint="eastAsia" w:ascii="宋体" w:hAnsi="宋体" w:cs="Times New Roman"/>
                <w:color w:val="auto"/>
                <w:szCs w:val="21"/>
                <w:highlight w:val="none"/>
              </w:rPr>
              <w:t>0.004%</w:t>
            </w:r>
          </w:p>
        </w:tc>
      </w:tr>
    </w:tbl>
    <w:p w14:paraId="4CA8F378">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（3）服务费指定银行账户：</w:t>
      </w:r>
    </w:p>
    <w:p w14:paraId="15828CD1">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开户名称：广西国力招标有限公司</w:t>
      </w:r>
    </w:p>
    <w:p w14:paraId="56C59B82">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开户银行：广西北部湾银行股份有限公司南宁市白沙支行（网银支付可选广西北部湾银行江南支行）</w:t>
      </w:r>
    </w:p>
    <w:p w14:paraId="460222A4">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银行账号：800109057400039</w:t>
      </w:r>
    </w:p>
    <w:p w14:paraId="4B0E0B81">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银行行号：313611002051</w:t>
      </w:r>
    </w:p>
    <w:p w14:paraId="4A5E7F1A">
      <w:pPr>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（4）开具代理服务费发票事宜的联系方式：0771-4915100、4915200。</w:t>
      </w:r>
    </w:p>
    <w:p w14:paraId="3EAB22BA">
      <w:pPr>
        <w:spacing w:line="400" w:lineRule="exact"/>
        <w:ind w:firstLine="422" w:firstLineChars="200"/>
        <w:rPr>
          <w:rFonts w:hint="eastAsia" w:hAnsi="宋体"/>
          <w:b/>
          <w:color w:val="auto"/>
          <w:highlight w:val="none"/>
        </w:rPr>
      </w:pPr>
      <w:r>
        <w:rPr>
          <w:rFonts w:hint="eastAsia" w:ascii="宋体" w:hAnsi="宋体" w:cs="Courier New"/>
          <w:b/>
          <w:color w:val="auto"/>
          <w:szCs w:val="21"/>
          <w:highlight w:val="none"/>
          <w:lang w:val="en-US" w:eastAsia="zh-CN"/>
        </w:rPr>
        <w:t>2.</w:t>
      </w:r>
      <w:r>
        <w:rPr>
          <w:rFonts w:hint="eastAsia" w:hAnsi="宋体"/>
          <w:b/>
          <w:color w:val="auto"/>
          <w:highlight w:val="none"/>
        </w:rPr>
        <w:t>解释权</w:t>
      </w:r>
    </w:p>
    <w:p w14:paraId="740D316D">
      <w:pPr>
        <w:spacing w:line="400" w:lineRule="exact"/>
        <w:ind w:firstLine="404" w:firstLineChars="200"/>
        <w:rPr>
          <w:rFonts w:hint="eastAsia" w:hAnsi="宋体"/>
          <w:color w:val="auto"/>
          <w:spacing w:val="-4"/>
          <w:highlight w:val="none"/>
        </w:rPr>
      </w:pPr>
      <w:r>
        <w:rPr>
          <w:rFonts w:hint="eastAsia" w:hAnsi="宋体"/>
          <w:color w:val="auto"/>
          <w:spacing w:val="-4"/>
          <w:highlight w:val="none"/>
        </w:rPr>
        <w:t>本竞争性谈判文件是根据国家有关法律、法规以及政府采购管理的有关规定和参照国际惯例编制，解释权属本采购代理机构。</w:t>
      </w:r>
    </w:p>
    <w:p w14:paraId="3005197F">
      <w:pPr>
        <w:spacing w:line="400" w:lineRule="exact"/>
        <w:ind w:firstLine="422" w:firstLineChars="200"/>
        <w:rPr>
          <w:rFonts w:hint="eastAsia" w:hAnsi="宋体"/>
          <w:b/>
          <w:color w:val="auto"/>
          <w:highlight w:val="none"/>
        </w:rPr>
      </w:pPr>
      <w:r>
        <w:rPr>
          <w:rFonts w:hint="eastAsia" w:ascii="宋体" w:hAnsi="宋体" w:cs="Courier New"/>
          <w:b/>
          <w:color w:val="auto"/>
          <w:szCs w:val="21"/>
          <w:highlight w:val="none"/>
          <w:lang w:val="en-US" w:eastAsia="zh-CN"/>
        </w:rPr>
        <w:t>3.</w:t>
      </w:r>
      <w:r>
        <w:rPr>
          <w:rFonts w:hint="eastAsia" w:hAnsi="宋体"/>
          <w:b/>
          <w:color w:val="auto"/>
          <w:highlight w:val="none"/>
        </w:rPr>
        <w:t>有关事宜</w:t>
      </w:r>
    </w:p>
    <w:p w14:paraId="0BF3FD5B">
      <w:pPr>
        <w:spacing w:line="400" w:lineRule="exact"/>
        <w:ind w:firstLine="420" w:firstLineChars="200"/>
        <w:rPr>
          <w:rFonts w:hint="eastAsia" w:hAnsi="宋体"/>
          <w:color w:val="auto"/>
          <w:highlight w:val="none"/>
        </w:rPr>
      </w:pPr>
      <w:r>
        <w:rPr>
          <w:rFonts w:hint="eastAsia" w:hAnsi="宋体"/>
          <w:color w:val="auto"/>
          <w:highlight w:val="none"/>
        </w:rPr>
        <w:t>所有与本竞争性谈判文件有关的函电请按下列通讯地址联系：</w:t>
      </w:r>
    </w:p>
    <w:p w14:paraId="1DF40909">
      <w:pPr>
        <w:pStyle w:val="20"/>
        <w:spacing w:line="340" w:lineRule="exact"/>
        <w:ind w:firstLine="420" w:firstLineChars="200"/>
        <w:rPr>
          <w:rFonts w:hint="eastAsia" w:hAnsi="宋体"/>
          <w:color w:val="auto"/>
          <w:highlight w:val="none"/>
        </w:rPr>
      </w:pPr>
      <w:r>
        <w:rPr>
          <w:rFonts w:hint="eastAsia" w:hAnsi="宋体"/>
          <w:color w:val="auto"/>
          <w:highlight w:val="none"/>
        </w:rPr>
        <w:t>广西国力招标有限公司</w:t>
      </w:r>
    </w:p>
    <w:p w14:paraId="218385D9">
      <w:pPr>
        <w:pStyle w:val="20"/>
        <w:tabs>
          <w:tab w:val="left" w:pos="1990"/>
        </w:tabs>
        <w:spacing w:line="340" w:lineRule="exact"/>
        <w:ind w:firstLine="420" w:firstLineChars="200"/>
        <w:rPr>
          <w:rFonts w:hint="eastAsia" w:hAnsi="宋体"/>
          <w:color w:val="auto"/>
          <w:highlight w:val="none"/>
          <w:u w:val="single"/>
        </w:rPr>
      </w:pPr>
      <w:r>
        <w:rPr>
          <w:rFonts w:hint="eastAsia" w:hAnsi="宋体"/>
          <w:color w:val="auto"/>
          <w:highlight w:val="none"/>
        </w:rPr>
        <w:t>邮政编码：530000</w:t>
      </w:r>
    </w:p>
    <w:p w14:paraId="71E2C0F0">
      <w:pPr>
        <w:pStyle w:val="20"/>
        <w:tabs>
          <w:tab w:val="left" w:pos="1990"/>
        </w:tabs>
        <w:spacing w:line="340" w:lineRule="exact"/>
        <w:ind w:firstLine="420" w:firstLineChars="200"/>
        <w:rPr>
          <w:rFonts w:hint="eastAsia" w:hAnsi="宋体"/>
          <w:color w:val="auto"/>
          <w:spacing w:val="-4"/>
          <w:highlight w:val="none"/>
        </w:rPr>
      </w:pPr>
      <w:r>
        <w:rPr>
          <w:rFonts w:hint="eastAsia" w:hAnsi="宋体"/>
          <w:color w:val="auto"/>
          <w:highlight w:val="none"/>
        </w:rPr>
        <w:t>通讯地址：广西南宁市白沙大道53号松宇时代13楼</w:t>
      </w:r>
    </w:p>
    <w:p w14:paraId="174FF957">
      <w:pPr>
        <w:pStyle w:val="20"/>
        <w:spacing w:line="340" w:lineRule="exact"/>
        <w:ind w:firstLine="420" w:firstLineChars="200"/>
        <w:rPr>
          <w:rFonts w:hint="eastAsia" w:hAnsi="宋体"/>
          <w:color w:val="auto"/>
          <w:highlight w:val="none"/>
        </w:rPr>
      </w:pPr>
      <w:r>
        <w:rPr>
          <w:rFonts w:hint="eastAsia" w:hAnsi="宋体"/>
          <w:color w:val="auto"/>
          <w:highlight w:val="none"/>
        </w:rPr>
        <w:t>电    话：0771—</w:t>
      </w:r>
      <w:r>
        <w:rPr>
          <w:rFonts w:hAnsi="宋体"/>
          <w:color w:val="auto"/>
          <w:highlight w:val="none"/>
        </w:rPr>
        <w:t>4915</w:t>
      </w:r>
      <w:r>
        <w:rPr>
          <w:rFonts w:hint="eastAsia" w:hAnsi="宋体"/>
          <w:color w:val="auto"/>
          <w:highlight w:val="none"/>
        </w:rPr>
        <w:t>558</w:t>
      </w:r>
    </w:p>
    <w:p w14:paraId="3E1BEF2F">
      <w:pPr>
        <w:pStyle w:val="20"/>
        <w:tabs>
          <w:tab w:val="left" w:pos="1990"/>
        </w:tabs>
        <w:spacing w:line="340" w:lineRule="exact"/>
        <w:ind w:firstLine="420" w:firstLineChars="200"/>
        <w:rPr>
          <w:rFonts w:hAnsi="宋体"/>
          <w:color w:val="auto"/>
          <w:highlight w:val="none"/>
        </w:rPr>
      </w:pPr>
      <w:r>
        <w:rPr>
          <w:rFonts w:hint="eastAsia" w:hAnsi="宋体"/>
          <w:color w:val="auto"/>
          <w:highlight w:val="none"/>
        </w:rPr>
        <w:t>传    真：0771—4915558、4915100</w:t>
      </w:r>
    </w:p>
    <w:p w14:paraId="2290E8CF">
      <w:pPr>
        <w:snapToGrid w:val="0"/>
        <w:rPr>
          <w:rFonts w:hint="eastAsia" w:ascii="宋体" w:hAnsi="宋体"/>
          <w:color w:val="auto"/>
          <w:kern w:val="0"/>
          <w:sz w:val="32"/>
          <w:szCs w:val="32"/>
          <w:highlight w:val="none"/>
        </w:rPr>
      </w:pPr>
      <w:r>
        <w:rPr>
          <w:rFonts w:hAnsi="宋体"/>
          <w:color w:val="auto"/>
          <w:highlight w:val="none"/>
        </w:rPr>
        <w:br w:type="page"/>
      </w:r>
      <w:r>
        <w:rPr>
          <w:rFonts w:hint="eastAsia" w:ascii="宋体" w:hAnsi="宋体"/>
          <w:color w:val="auto"/>
          <w:kern w:val="0"/>
          <w:sz w:val="32"/>
          <w:szCs w:val="32"/>
          <w:highlight w:val="none"/>
        </w:rPr>
        <w:t>附件1：</w:t>
      </w:r>
    </w:p>
    <w:p w14:paraId="340673B8">
      <w:pPr>
        <w:widowControl/>
        <w:shd w:val="clear" w:color="auto" w:fill="FFFFFF"/>
        <w:spacing w:line="720" w:lineRule="auto"/>
        <w:jc w:val="center"/>
        <w:rPr>
          <w:rFonts w:hint="eastAsia" w:ascii="宋体" w:hAnsi="宋体" w:cs="宋体"/>
          <w:color w:val="auto"/>
          <w:kern w:val="0"/>
          <w:sz w:val="32"/>
          <w:szCs w:val="32"/>
          <w:highlight w:val="none"/>
        </w:rPr>
      </w:pPr>
      <w:r>
        <w:rPr>
          <w:rFonts w:hint="eastAsia" w:ascii="宋体" w:hAnsi="宋体" w:cs="黑体"/>
          <w:color w:val="auto"/>
          <w:kern w:val="0"/>
          <w:sz w:val="32"/>
          <w:szCs w:val="32"/>
          <w:highlight w:val="none"/>
        </w:rPr>
        <w:t>广西壮族自治区政府采购项目合同验收书</w:t>
      </w:r>
      <w:r>
        <w:rPr>
          <w:rFonts w:hint="eastAsia" w:ascii="宋体" w:hAnsi="宋体" w:cs="宋体"/>
          <w:color w:val="auto"/>
          <w:kern w:val="0"/>
          <w:sz w:val="32"/>
          <w:szCs w:val="32"/>
          <w:highlight w:val="none"/>
        </w:rPr>
        <w:t>（格式）</w:t>
      </w:r>
    </w:p>
    <w:p w14:paraId="622CA64E">
      <w:pPr>
        <w:widowControl/>
        <w:shd w:val="clear" w:color="auto" w:fill="FFFFFF"/>
        <w:snapToGrid w:val="0"/>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rPr>
        <w:t>分标中标（或成交）供应商（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37"/>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5BF47329">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noWrap w:val="0"/>
            <w:vAlign w:val="center"/>
          </w:tcPr>
          <w:p w14:paraId="5676FA52">
            <w:pPr>
              <w:keepNext w:val="0"/>
              <w:keepLines w:val="0"/>
              <w:widowControl/>
              <w:suppressLineNumbers w:val="0"/>
              <w:snapToGrid w:val="0"/>
              <w:spacing w:before="100" w:beforeAutospacing="1" w:after="100" w:afterAutospacing="1" w:line="320" w:lineRule="atLeast"/>
              <w:ind w:left="0" w:right="0" w:firstLine="5"/>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验收方式：</w:t>
            </w:r>
          </w:p>
        </w:tc>
        <w:tc>
          <w:tcPr>
            <w:tcW w:w="5838" w:type="dxa"/>
            <w:gridSpan w:val="6"/>
            <w:tcBorders>
              <w:top w:val="single" w:color="auto" w:sz="8" w:space="0"/>
              <w:left w:val="nil"/>
              <w:bottom w:val="single" w:color="auto" w:sz="8" w:space="0"/>
              <w:right w:val="single" w:color="auto" w:sz="8" w:space="0"/>
            </w:tcBorders>
            <w:noWrap w:val="0"/>
            <w:vAlign w:val="center"/>
          </w:tcPr>
          <w:p w14:paraId="53FAA4A0">
            <w:pPr>
              <w:keepNext w:val="0"/>
              <w:keepLines w:val="0"/>
              <w:widowControl/>
              <w:suppressLineNumbers w:val="0"/>
              <w:snapToGrid w:val="0"/>
              <w:spacing w:before="100" w:beforeAutospacing="1" w:after="100" w:afterAutospacing="1" w:line="320" w:lineRule="atLeast"/>
              <w:ind w:left="0" w:right="0" w:firstLine="480"/>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□自行验收 □委托验收</w:t>
            </w:r>
          </w:p>
        </w:tc>
      </w:tr>
      <w:tr w14:paraId="7E1B3CBC">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6ED97103">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序号</w:t>
            </w:r>
          </w:p>
        </w:tc>
        <w:tc>
          <w:tcPr>
            <w:tcW w:w="2159" w:type="dxa"/>
            <w:tcBorders>
              <w:top w:val="nil"/>
              <w:left w:val="nil"/>
              <w:bottom w:val="single" w:color="auto" w:sz="8" w:space="0"/>
              <w:right w:val="single" w:color="auto" w:sz="8" w:space="0"/>
            </w:tcBorders>
            <w:noWrap w:val="0"/>
            <w:vAlign w:val="center"/>
          </w:tcPr>
          <w:p w14:paraId="02009465">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名 称</w:t>
            </w:r>
          </w:p>
        </w:tc>
        <w:tc>
          <w:tcPr>
            <w:tcW w:w="3262" w:type="dxa"/>
            <w:gridSpan w:val="3"/>
            <w:tcBorders>
              <w:top w:val="nil"/>
              <w:left w:val="nil"/>
              <w:bottom w:val="single" w:color="auto" w:sz="8" w:space="0"/>
              <w:right w:val="single" w:color="auto" w:sz="8" w:space="0"/>
            </w:tcBorders>
            <w:noWrap w:val="0"/>
            <w:vAlign w:val="center"/>
          </w:tcPr>
          <w:p w14:paraId="7DB0B9AB">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货物型号规格、标准及配置等（或服务内容、标准）</w:t>
            </w:r>
          </w:p>
        </w:tc>
        <w:tc>
          <w:tcPr>
            <w:tcW w:w="970" w:type="dxa"/>
            <w:gridSpan w:val="2"/>
            <w:tcBorders>
              <w:top w:val="nil"/>
              <w:left w:val="nil"/>
              <w:bottom w:val="single" w:color="auto" w:sz="8" w:space="0"/>
              <w:right w:val="single" w:color="auto" w:sz="8" w:space="0"/>
            </w:tcBorders>
            <w:noWrap w:val="0"/>
            <w:vAlign w:val="center"/>
          </w:tcPr>
          <w:p w14:paraId="64FC442A">
            <w:pPr>
              <w:keepNext w:val="0"/>
              <w:keepLines w:val="0"/>
              <w:widowControl/>
              <w:suppressLineNumbers w:val="0"/>
              <w:snapToGrid w:val="0"/>
              <w:spacing w:before="100" w:beforeAutospacing="1" w:after="100" w:afterAutospacing="1" w:line="320" w:lineRule="atLeast"/>
              <w:ind w:left="0" w:right="0"/>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数量</w:t>
            </w:r>
          </w:p>
        </w:tc>
        <w:tc>
          <w:tcPr>
            <w:tcW w:w="1606" w:type="dxa"/>
            <w:tcBorders>
              <w:top w:val="nil"/>
              <w:left w:val="nil"/>
              <w:bottom w:val="single" w:color="auto" w:sz="8" w:space="0"/>
              <w:right w:val="single" w:color="auto" w:sz="8" w:space="0"/>
            </w:tcBorders>
            <w:noWrap w:val="0"/>
            <w:vAlign w:val="center"/>
          </w:tcPr>
          <w:p w14:paraId="5C8B0443">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金 额</w:t>
            </w:r>
          </w:p>
        </w:tc>
      </w:tr>
      <w:tr w14:paraId="59D18684">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4643C2BF">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569A12F7">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2E275DE5">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670D79DD">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6B74F930">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43EF2945">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7190AA73">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282253A9">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19CA4A21">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74966688">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01BD459C">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5FB610C1">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60EED855">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6D1B6D65">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56CE3A00">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3867BF0B">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3577E0FC">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654BF691">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noWrap w:val="0"/>
            <w:vAlign w:val="center"/>
          </w:tcPr>
          <w:p w14:paraId="32862292">
            <w:pPr>
              <w:keepNext w:val="0"/>
              <w:keepLines w:val="0"/>
              <w:widowControl/>
              <w:suppressLineNumbers w:val="0"/>
              <w:snapToGrid w:val="0"/>
              <w:spacing w:before="100" w:beforeAutospacing="1" w:after="100" w:afterAutospacing="1" w:line="320" w:lineRule="atLeast"/>
              <w:ind w:left="0" w:right="0" w:firstLine="5"/>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合 计</w:t>
            </w:r>
          </w:p>
        </w:tc>
        <w:tc>
          <w:tcPr>
            <w:tcW w:w="970" w:type="dxa"/>
            <w:gridSpan w:val="2"/>
            <w:tcBorders>
              <w:top w:val="nil"/>
              <w:left w:val="nil"/>
              <w:bottom w:val="single" w:color="auto" w:sz="8" w:space="0"/>
              <w:right w:val="single" w:color="auto" w:sz="8" w:space="0"/>
            </w:tcBorders>
            <w:noWrap w:val="0"/>
            <w:vAlign w:val="center"/>
          </w:tcPr>
          <w:p w14:paraId="3707C883">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1AA2BDB5">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2D2F6FBB">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noWrap w:val="0"/>
            <w:vAlign w:val="center"/>
          </w:tcPr>
          <w:p w14:paraId="56489EF0">
            <w:pPr>
              <w:keepNext w:val="0"/>
              <w:keepLines w:val="0"/>
              <w:widowControl/>
              <w:suppressLineNumbers w:val="0"/>
              <w:snapToGrid w:val="0"/>
              <w:spacing w:before="100" w:beforeAutospacing="1" w:after="100" w:afterAutospacing="1" w:line="320" w:lineRule="atLeast"/>
              <w:ind w:left="0" w:right="0" w:firstLine="2"/>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合计大写金额： 仟 佰 拾 万 仟 佰 拾 元</w:t>
            </w:r>
          </w:p>
        </w:tc>
      </w:tr>
      <w:tr w14:paraId="440F5900">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74787115">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实际供货日期</w:t>
            </w:r>
          </w:p>
        </w:tc>
        <w:tc>
          <w:tcPr>
            <w:tcW w:w="3056" w:type="dxa"/>
            <w:gridSpan w:val="2"/>
            <w:tcBorders>
              <w:top w:val="nil"/>
              <w:left w:val="nil"/>
              <w:bottom w:val="single" w:color="auto" w:sz="8" w:space="0"/>
              <w:right w:val="single" w:color="auto" w:sz="8" w:space="0"/>
            </w:tcBorders>
            <w:noWrap w:val="0"/>
            <w:vAlign w:val="center"/>
          </w:tcPr>
          <w:p w14:paraId="12FBBB01">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565" w:type="dxa"/>
            <w:gridSpan w:val="3"/>
            <w:tcBorders>
              <w:top w:val="nil"/>
              <w:left w:val="nil"/>
              <w:bottom w:val="single" w:color="auto" w:sz="8" w:space="0"/>
              <w:right w:val="single" w:color="auto" w:sz="8" w:space="0"/>
            </w:tcBorders>
            <w:noWrap w:val="0"/>
            <w:vAlign w:val="center"/>
          </w:tcPr>
          <w:p w14:paraId="1D6D0A27">
            <w:pPr>
              <w:keepNext w:val="0"/>
              <w:keepLines w:val="0"/>
              <w:widowControl/>
              <w:suppressLineNumbers w:val="0"/>
              <w:snapToGrid w:val="0"/>
              <w:spacing w:before="100" w:beforeAutospacing="1" w:after="100" w:afterAutospacing="1" w:line="320" w:lineRule="atLeast"/>
              <w:ind w:left="0" w:right="0" w:firstLine="46"/>
              <w:jc w:val="center"/>
              <w:rPr>
                <w:rFonts w:hint="default" w:ascii="宋体" w:hAnsi="宋体" w:cs="宋体"/>
                <w:color w:val="auto"/>
                <w:kern w:val="0"/>
                <w:szCs w:val="21"/>
                <w:highlight w:val="none"/>
              </w:rPr>
            </w:pPr>
            <w:r>
              <w:rPr>
                <w:rFonts w:hint="default" w:ascii="宋体" w:hAnsi="宋体" w:cs="宋体"/>
                <w:color w:val="auto"/>
                <w:kern w:val="0"/>
                <w:szCs w:val="21"/>
                <w:highlight w:val="none"/>
              </w:rPr>
              <w:t>合同交货验收日期</w:t>
            </w:r>
          </w:p>
        </w:tc>
        <w:tc>
          <w:tcPr>
            <w:tcW w:w="2376" w:type="dxa"/>
            <w:gridSpan w:val="2"/>
            <w:tcBorders>
              <w:top w:val="nil"/>
              <w:left w:val="nil"/>
              <w:bottom w:val="single" w:color="auto" w:sz="8" w:space="0"/>
              <w:right w:val="single" w:color="auto" w:sz="8" w:space="0"/>
            </w:tcBorders>
            <w:noWrap w:val="0"/>
            <w:vAlign w:val="center"/>
          </w:tcPr>
          <w:p w14:paraId="04C3275A">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7485FB6B">
        <w:tblPrEx>
          <w:tblCellMar>
            <w:top w:w="0" w:type="dxa"/>
            <w:left w:w="0" w:type="dxa"/>
            <w:bottom w:w="0" w:type="dxa"/>
            <w:right w:w="0" w:type="dxa"/>
          </w:tblCellMar>
        </w:tblPrEx>
        <w:trPr>
          <w:trHeight w:val="729" w:hRule="atLeast"/>
          <w:jc w:val="center"/>
        </w:trPr>
        <w:tc>
          <w:tcPr>
            <w:tcW w:w="14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76A0B3B">
            <w:pPr>
              <w:keepNext w:val="0"/>
              <w:keepLines w:val="0"/>
              <w:widowControl/>
              <w:suppressLineNumbers w:val="0"/>
              <w:snapToGrid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验收具体内容</w:t>
            </w:r>
          </w:p>
        </w:tc>
        <w:tc>
          <w:tcPr>
            <w:tcW w:w="7997" w:type="dxa"/>
            <w:gridSpan w:val="7"/>
            <w:tcBorders>
              <w:top w:val="nil"/>
              <w:left w:val="nil"/>
              <w:bottom w:val="single" w:color="auto" w:sz="8" w:space="0"/>
              <w:right w:val="single" w:color="auto" w:sz="8" w:space="0"/>
            </w:tcBorders>
            <w:noWrap w:val="0"/>
            <w:tcMar>
              <w:left w:w="108" w:type="dxa"/>
              <w:right w:w="108" w:type="dxa"/>
            </w:tcMar>
            <w:vAlign w:val="center"/>
          </w:tcPr>
          <w:p w14:paraId="75D6F69C">
            <w:pPr>
              <w:keepNext w:val="0"/>
              <w:keepLines w:val="0"/>
              <w:widowControl/>
              <w:suppressLineNumbers w:val="0"/>
              <w:snapToGrid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64284369">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CEAA5EB">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验收小组意见</w:t>
            </w:r>
          </w:p>
        </w:tc>
        <w:tc>
          <w:tcPr>
            <w:tcW w:w="7997" w:type="dxa"/>
            <w:gridSpan w:val="7"/>
            <w:tcBorders>
              <w:top w:val="nil"/>
              <w:left w:val="nil"/>
              <w:bottom w:val="single" w:color="auto" w:sz="8" w:space="0"/>
              <w:right w:val="single" w:color="auto" w:sz="8" w:space="0"/>
            </w:tcBorders>
            <w:noWrap w:val="0"/>
            <w:vAlign w:val="center"/>
          </w:tcPr>
          <w:p w14:paraId="567F1190">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验收结论性意见：</w:t>
            </w:r>
          </w:p>
        </w:tc>
      </w:tr>
      <w:tr w14:paraId="0CFB2E99">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noWrap w:val="0"/>
            <w:vAlign w:val="center"/>
          </w:tcPr>
          <w:p w14:paraId="4B505EB2">
            <w:pPr>
              <w:keepNext w:val="0"/>
              <w:keepLines w:val="0"/>
              <w:suppressLineNumbers w:val="0"/>
              <w:spacing w:before="0" w:beforeAutospacing="0" w:after="0" w:afterAutospacing="0"/>
              <w:ind w:left="0" w:right="0"/>
              <w:rPr>
                <w:rFonts w:hint="default" w:ascii="宋体" w:hAnsi="宋体" w:cs="Times New Roman"/>
                <w:color w:val="auto"/>
                <w:highlight w:val="none"/>
              </w:rPr>
            </w:pPr>
          </w:p>
        </w:tc>
        <w:tc>
          <w:tcPr>
            <w:tcW w:w="7997" w:type="dxa"/>
            <w:gridSpan w:val="7"/>
            <w:tcBorders>
              <w:top w:val="nil"/>
              <w:left w:val="nil"/>
              <w:bottom w:val="single" w:color="auto" w:sz="8" w:space="0"/>
              <w:right w:val="single" w:color="auto" w:sz="8" w:space="0"/>
            </w:tcBorders>
            <w:noWrap w:val="0"/>
            <w:vAlign w:val="center"/>
          </w:tcPr>
          <w:p w14:paraId="02D8A318">
            <w:pPr>
              <w:keepNext w:val="0"/>
              <w:keepLines w:val="0"/>
              <w:widowControl/>
              <w:suppressLineNumbers w:val="0"/>
              <w:spacing w:before="100" w:beforeAutospacing="1" w:after="100" w:afterAutospacing="1" w:line="320" w:lineRule="atLeast"/>
              <w:ind w:left="0" w:right="0" w:firstLine="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有异议的意见和说明理由：</w:t>
            </w:r>
          </w:p>
          <w:p w14:paraId="5A7DDA30">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签字：</w:t>
            </w:r>
          </w:p>
        </w:tc>
      </w:tr>
      <w:tr w14:paraId="1E7A30BD">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16414BAB">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验收小组成员签字：</w:t>
            </w:r>
          </w:p>
        </w:tc>
      </w:tr>
      <w:tr w14:paraId="58759D31">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3320DCC4">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监督人员或其他相关人员签字：</w:t>
            </w:r>
          </w:p>
          <w:p w14:paraId="50FC050C">
            <w:pPr>
              <w:keepNext w:val="0"/>
              <w:keepLines w:val="0"/>
              <w:widowControl/>
              <w:suppressLineNumbers w:val="0"/>
              <w:spacing w:before="100" w:beforeAutospacing="1" w:after="100" w:afterAutospacing="1" w:line="320" w:lineRule="atLeast"/>
              <w:ind w:left="0" w:right="0" w:firstLine="74"/>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或受邀机构的意见（盖章）：</w:t>
            </w:r>
          </w:p>
        </w:tc>
      </w:tr>
      <w:tr w14:paraId="2A3D9149">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noWrap w:val="0"/>
            <w:tcMar>
              <w:left w:w="108" w:type="dxa"/>
              <w:right w:w="108" w:type="dxa"/>
            </w:tcMar>
            <w:vAlign w:val="center"/>
          </w:tcPr>
          <w:p w14:paraId="38D13252">
            <w:pPr>
              <w:keepNext w:val="0"/>
              <w:keepLines w:val="0"/>
              <w:widowControl/>
              <w:suppressLineNumbers w:val="0"/>
              <w:spacing w:before="100" w:beforeAutospacing="1" w:after="100" w:afterAutospacing="1" w:line="320" w:lineRule="atLeast"/>
              <w:ind w:left="0" w:right="0" w:firstLine="74"/>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中标或者成交供应商负责人签字或盖章：</w:t>
            </w:r>
          </w:p>
          <w:p w14:paraId="3E71176C">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联系电话： 年 月 日</w:t>
            </w:r>
          </w:p>
        </w:tc>
        <w:tc>
          <w:tcPr>
            <w:tcW w:w="4827" w:type="dxa"/>
            <w:gridSpan w:val="4"/>
            <w:tcBorders>
              <w:top w:val="nil"/>
              <w:left w:val="nil"/>
              <w:bottom w:val="single" w:color="auto" w:sz="8" w:space="0"/>
              <w:right w:val="single" w:color="auto" w:sz="8" w:space="0"/>
            </w:tcBorders>
            <w:noWrap w:val="0"/>
            <w:vAlign w:val="center"/>
          </w:tcPr>
          <w:p w14:paraId="4E1F7E8A">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采购人或受托机构的意见（盖章）：</w:t>
            </w:r>
          </w:p>
          <w:p w14:paraId="1551320F">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联系电话： 年 月 日</w:t>
            </w:r>
          </w:p>
        </w:tc>
      </w:tr>
    </w:tbl>
    <w:p w14:paraId="4024D65E">
      <w:pPr>
        <w:jc w:val="left"/>
        <w:rPr>
          <w:rFonts w:ascii="宋体" w:hAnsi="宋体"/>
          <w:color w:val="auto"/>
          <w:highlight w:val="none"/>
        </w:rPr>
      </w:pPr>
    </w:p>
    <w:p w14:paraId="0EBF29B3">
      <w:pPr>
        <w:jc w:val="left"/>
        <w:rPr>
          <w:rFonts w:hint="eastAsia"/>
          <w:color w:val="auto"/>
          <w:highlight w:val="none"/>
        </w:rPr>
      </w:pPr>
      <w:r>
        <w:rPr>
          <w:rFonts w:ascii="宋体" w:hAnsi="宋体"/>
          <w:color w:val="auto"/>
          <w:highlight w:val="none"/>
        </w:rPr>
        <w:br w:type="page"/>
      </w:r>
      <w:r>
        <w:rPr>
          <w:rFonts w:hint="eastAsia" w:ascii="楷体" w:eastAsia="楷体"/>
          <w:color w:val="auto"/>
          <w:kern w:val="0"/>
          <w:sz w:val="32"/>
          <w:szCs w:val="32"/>
          <w:highlight w:val="none"/>
        </w:rPr>
        <w:t>附件2：</w:t>
      </w:r>
    </w:p>
    <w:p w14:paraId="51F644BD">
      <w:pPr>
        <w:jc w:val="center"/>
        <w:rPr>
          <w:rFonts w:hint="eastAsia" w:ascii="黑体" w:eastAsia="黑体"/>
          <w:color w:val="auto"/>
          <w:sz w:val="32"/>
          <w:szCs w:val="32"/>
          <w:highlight w:val="none"/>
        </w:rPr>
      </w:pPr>
      <w:r>
        <w:rPr>
          <w:rFonts w:hint="eastAsia" w:ascii="黑体" w:eastAsia="黑体"/>
          <w:color w:val="auto"/>
          <w:sz w:val="32"/>
          <w:szCs w:val="32"/>
          <w:highlight w:val="none"/>
        </w:rPr>
        <w:t>政府采购项目履约保证金退付意见书</w:t>
      </w:r>
      <w:r>
        <w:rPr>
          <w:rFonts w:hint="eastAsia" w:ascii="仿宋" w:eastAsia="仿宋" w:cs="宋体"/>
          <w:color w:val="auto"/>
          <w:kern w:val="0"/>
          <w:sz w:val="32"/>
          <w:szCs w:val="32"/>
          <w:highlight w:val="none"/>
        </w:rPr>
        <w:t>（格式）</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4179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5DBC3A74">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供</w:t>
            </w:r>
          </w:p>
          <w:p w14:paraId="4846CD65">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应</w:t>
            </w:r>
          </w:p>
          <w:p w14:paraId="1F906538">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商</w:t>
            </w:r>
          </w:p>
          <w:p w14:paraId="52D81BED">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申</w:t>
            </w:r>
          </w:p>
          <w:p w14:paraId="380154AD">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请</w:t>
            </w:r>
          </w:p>
        </w:tc>
        <w:tc>
          <w:tcPr>
            <w:tcW w:w="8640" w:type="dxa"/>
            <w:noWrap w:val="0"/>
            <w:vAlign w:val="center"/>
          </w:tcPr>
          <w:p w14:paraId="1C0E108B">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项目编号：</w:t>
            </w:r>
          </w:p>
        </w:tc>
      </w:tr>
      <w:tr w14:paraId="4C5E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2F309FAC">
            <w:pPr>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p>
        </w:tc>
        <w:tc>
          <w:tcPr>
            <w:tcW w:w="8640" w:type="dxa"/>
            <w:noWrap w:val="0"/>
            <w:vAlign w:val="center"/>
          </w:tcPr>
          <w:p w14:paraId="77FFFDC4">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项目名称：</w:t>
            </w:r>
          </w:p>
        </w:tc>
      </w:tr>
      <w:tr w14:paraId="39B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61DF72BD">
            <w:pPr>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p>
        </w:tc>
        <w:tc>
          <w:tcPr>
            <w:tcW w:w="8640" w:type="dxa"/>
            <w:noWrap w:val="0"/>
            <w:vAlign w:val="top"/>
          </w:tcPr>
          <w:p w14:paraId="0AB6727F">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  </w:t>
            </w:r>
          </w:p>
          <w:p w14:paraId="486B21B8">
            <w:pPr>
              <w:keepNext w:val="0"/>
              <w:keepLines w:val="0"/>
              <w:suppressLineNumbers w:val="0"/>
              <w:spacing w:before="0" w:beforeAutospacing="0" w:after="0" w:afterAutospacing="0" w:line="400" w:lineRule="exact"/>
              <w:ind w:left="0" w:right="0" w:firstLine="420" w:firstLineChars="20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该项目已于</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年</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月</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日验收并交付使用。根据合同规定，该项目的履约保证金期限于</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年</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月</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日已满，请将履约保证金</w:t>
            </w:r>
          </w:p>
          <w:p w14:paraId="6A8D7D86">
            <w:pPr>
              <w:keepNext w:val="0"/>
              <w:keepLines w:val="0"/>
              <w:suppressLineNumbers w:val="0"/>
              <w:spacing w:before="0" w:beforeAutospacing="0" w:after="0" w:afterAutospacing="0" w:line="40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（大写）¥</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（小写）退付到达以下账户。</w:t>
            </w:r>
          </w:p>
          <w:p w14:paraId="66020692">
            <w:pPr>
              <w:keepNext w:val="0"/>
              <w:keepLines w:val="0"/>
              <w:suppressLineNumbers w:val="0"/>
              <w:spacing w:before="0" w:beforeAutospacing="0" w:after="0" w:afterAutospacing="0" w:line="400" w:lineRule="exact"/>
              <w:ind w:left="0" w:right="0" w:firstLine="705"/>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单位名称：</w:t>
            </w:r>
          </w:p>
          <w:p w14:paraId="16821B9D">
            <w:pPr>
              <w:keepNext w:val="0"/>
              <w:keepLines w:val="0"/>
              <w:suppressLineNumbers w:val="0"/>
              <w:spacing w:before="0" w:beforeAutospacing="0" w:after="0" w:afterAutospacing="0" w:line="400" w:lineRule="exact"/>
              <w:ind w:left="0" w:right="0" w:firstLine="705"/>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开户银行：</w:t>
            </w:r>
          </w:p>
          <w:p w14:paraId="67D5669E">
            <w:pPr>
              <w:keepNext w:val="0"/>
              <w:keepLines w:val="0"/>
              <w:suppressLineNumbers w:val="0"/>
              <w:spacing w:before="0" w:beforeAutospacing="0" w:after="0" w:afterAutospacing="0" w:line="400" w:lineRule="exact"/>
              <w:ind w:left="0" w:right="0" w:firstLine="705"/>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账   号：</w:t>
            </w:r>
          </w:p>
          <w:p w14:paraId="2603AE35">
            <w:pPr>
              <w:keepNext w:val="0"/>
              <w:keepLines w:val="0"/>
              <w:suppressLineNumbers w:val="0"/>
              <w:spacing w:before="0" w:beforeAutospacing="0" w:after="0" w:afterAutospacing="0" w:line="40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联系人及电话：</w:t>
            </w:r>
          </w:p>
          <w:p w14:paraId="139F8ACA">
            <w:pPr>
              <w:keepNext w:val="0"/>
              <w:keepLines w:val="0"/>
              <w:suppressLineNumbers w:val="0"/>
              <w:spacing w:before="0" w:beforeAutospacing="0" w:after="0" w:afterAutospacing="0" w:line="400" w:lineRule="exact"/>
              <w:ind w:left="0" w:right="0"/>
              <w:rPr>
                <w:rFonts w:hint="eastAsia" w:ascii="Times New Roman" w:hAnsi="Times New Roman" w:cs="Times New Roman"/>
                <w:color w:val="auto"/>
                <w:szCs w:val="21"/>
                <w:highlight w:val="none"/>
              </w:rPr>
            </w:pPr>
          </w:p>
          <w:p w14:paraId="6B990F3F">
            <w:pPr>
              <w:keepNext w:val="0"/>
              <w:keepLines w:val="0"/>
              <w:suppressLineNumbers w:val="0"/>
              <w:spacing w:before="0" w:beforeAutospacing="0" w:after="0" w:afterAutospacing="0" w:line="520" w:lineRule="exact"/>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                                     供应商签章：</w:t>
            </w:r>
          </w:p>
          <w:p w14:paraId="34E2317E">
            <w:pPr>
              <w:keepNext w:val="0"/>
              <w:keepLines w:val="0"/>
              <w:suppressLineNumbers w:val="0"/>
              <w:spacing w:before="0" w:beforeAutospacing="0" w:after="0" w:afterAutospacing="0" w:line="520" w:lineRule="exact"/>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                           年    月     日</w:t>
            </w:r>
          </w:p>
        </w:tc>
      </w:tr>
      <w:tr w14:paraId="397D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12B532FD">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采</w:t>
            </w:r>
          </w:p>
          <w:p w14:paraId="725A8C1C">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购</w:t>
            </w:r>
          </w:p>
          <w:p w14:paraId="6B53784E">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单</w:t>
            </w:r>
          </w:p>
          <w:p w14:paraId="4C5494B0">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位</w:t>
            </w:r>
          </w:p>
          <w:p w14:paraId="6D23EEEC">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意</w:t>
            </w:r>
          </w:p>
          <w:p w14:paraId="17162DD8">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见</w:t>
            </w:r>
          </w:p>
        </w:tc>
        <w:tc>
          <w:tcPr>
            <w:tcW w:w="8640" w:type="dxa"/>
            <w:noWrap w:val="0"/>
            <w:vAlign w:val="top"/>
          </w:tcPr>
          <w:p w14:paraId="25EB9556">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p>
          <w:p w14:paraId="748EED83">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退付意见：是否同意退付履约保证金及退付金额：</w:t>
            </w:r>
          </w:p>
          <w:p w14:paraId="61E77F08">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p>
          <w:p w14:paraId="34D33ABB">
            <w:pPr>
              <w:keepNext w:val="0"/>
              <w:keepLines w:val="0"/>
              <w:suppressLineNumbers w:val="0"/>
              <w:spacing w:before="0" w:beforeAutospacing="0" w:after="0" w:afterAutospacing="0"/>
              <w:ind w:left="0" w:right="0"/>
              <w:rPr>
                <w:rFonts w:hint="eastAsia" w:ascii="Times New Roman" w:hAnsi="Times New Roman" w:cs="Times New Roman"/>
                <w:color w:val="auto"/>
                <w:szCs w:val="21"/>
                <w:highlight w:val="none"/>
              </w:rPr>
            </w:pPr>
          </w:p>
          <w:p w14:paraId="72B8DBB9">
            <w:pPr>
              <w:keepNext w:val="0"/>
              <w:keepLines w:val="0"/>
              <w:suppressLineNumbers w:val="0"/>
              <w:spacing w:before="0" w:beforeAutospacing="0" w:after="0" w:afterAutospacing="0" w:line="52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联系人及电话：                                 采购单位签章</w:t>
            </w:r>
          </w:p>
          <w:p w14:paraId="04701892">
            <w:pPr>
              <w:keepNext w:val="0"/>
              <w:keepLines w:val="0"/>
              <w:suppressLineNumbers w:val="0"/>
              <w:spacing w:before="0" w:beforeAutospacing="0" w:after="0" w:afterAutospacing="0" w:line="520" w:lineRule="exact"/>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                                        年    月     日</w:t>
            </w:r>
          </w:p>
        </w:tc>
      </w:tr>
      <w:tr w14:paraId="49C4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2597FC7B">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财</w:t>
            </w:r>
          </w:p>
          <w:p w14:paraId="7E8DBCBF">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务</w:t>
            </w:r>
          </w:p>
          <w:p w14:paraId="29DD7422">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部</w:t>
            </w:r>
          </w:p>
          <w:p w14:paraId="42EBBF4C">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门</w:t>
            </w:r>
          </w:p>
          <w:p w14:paraId="1CA3171A">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意</w:t>
            </w:r>
          </w:p>
          <w:p w14:paraId="7BFE2235">
            <w:pPr>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见</w:t>
            </w:r>
          </w:p>
        </w:tc>
        <w:tc>
          <w:tcPr>
            <w:tcW w:w="8640" w:type="dxa"/>
            <w:noWrap w:val="0"/>
            <w:vAlign w:val="top"/>
          </w:tcPr>
          <w:p w14:paraId="73552902">
            <w:pPr>
              <w:keepNext w:val="0"/>
              <w:keepLines w:val="0"/>
              <w:suppressLineNumbers w:val="0"/>
              <w:spacing w:before="0" w:beforeAutospacing="0" w:after="0" w:afterAutospacing="0" w:line="64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此表于</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年</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 xml:space="preserve"> 月 </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 xml:space="preserve"> 日收到。</w:t>
            </w:r>
          </w:p>
          <w:p w14:paraId="695F9A7C">
            <w:pPr>
              <w:keepNext w:val="0"/>
              <w:keepLines w:val="0"/>
              <w:suppressLineNumbers w:val="0"/>
              <w:spacing w:before="0" w:beforeAutospacing="0" w:after="0" w:afterAutospacing="0" w:line="64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会计审核：</w:t>
            </w:r>
          </w:p>
          <w:p w14:paraId="237EF83E">
            <w:pPr>
              <w:keepNext w:val="0"/>
              <w:keepLines w:val="0"/>
              <w:suppressLineNumbers w:val="0"/>
              <w:spacing w:before="0" w:beforeAutospacing="0" w:after="0" w:afterAutospacing="0" w:line="64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财务负责人审核：</w:t>
            </w:r>
          </w:p>
          <w:p w14:paraId="2B28A1DF">
            <w:pPr>
              <w:keepNext w:val="0"/>
              <w:keepLines w:val="0"/>
              <w:suppressLineNumbers w:val="0"/>
              <w:spacing w:before="0" w:beforeAutospacing="0" w:after="0" w:afterAutospacing="0" w:line="64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单位负责人签字：</w:t>
            </w:r>
          </w:p>
          <w:p w14:paraId="1AFDC94D">
            <w:pPr>
              <w:keepNext w:val="0"/>
              <w:keepLines w:val="0"/>
              <w:suppressLineNumbers w:val="0"/>
              <w:spacing w:before="0" w:beforeAutospacing="0" w:after="0" w:afterAutospacing="0" w:line="640" w:lineRule="exact"/>
              <w:ind w:left="0" w:right="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出纳办理转账日期：</w:t>
            </w:r>
          </w:p>
        </w:tc>
      </w:tr>
    </w:tbl>
    <w:p w14:paraId="45658AF4">
      <w:pPr>
        <w:spacing w:line="380" w:lineRule="exact"/>
        <w:ind w:left="420" w:leftChars="114" w:hanging="181" w:hangingChars="100"/>
        <w:rPr>
          <w:rFonts w:hint="eastAsia"/>
          <w:color w:val="auto"/>
          <w:highlight w:val="none"/>
        </w:rPr>
      </w:pPr>
      <w:r>
        <w:rPr>
          <w:rFonts w:hint="eastAsia" w:ascii="宋体"/>
          <w:b/>
          <w:bCs/>
          <w:color w:val="auto"/>
          <w:kern w:val="0"/>
          <w:sz w:val="18"/>
          <w:highlight w:val="none"/>
        </w:rPr>
        <w:t>注：供应商凭经采购单位审批的退付意见书办理履约保证金退付事宜。</w:t>
      </w:r>
    </w:p>
    <w:p w14:paraId="5D0E42BE">
      <w:pPr>
        <w:jc w:val="left"/>
        <w:rPr>
          <w:rFonts w:hint="eastAsia" w:ascii="楷体" w:eastAsia="楷体"/>
          <w:color w:val="auto"/>
          <w:kern w:val="0"/>
          <w:sz w:val="32"/>
          <w:szCs w:val="32"/>
          <w:highlight w:val="none"/>
        </w:rPr>
      </w:pPr>
      <w:r>
        <w:rPr>
          <w:rFonts w:ascii="宋体" w:hAnsi="宋体"/>
          <w:color w:val="auto"/>
          <w:highlight w:val="none"/>
        </w:rPr>
        <w:br w:type="page"/>
      </w:r>
      <w:r>
        <w:rPr>
          <w:rFonts w:hint="eastAsia" w:ascii="楷体" w:eastAsia="楷体"/>
          <w:color w:val="auto"/>
          <w:kern w:val="0"/>
          <w:sz w:val="32"/>
          <w:szCs w:val="32"/>
          <w:highlight w:val="none"/>
        </w:rPr>
        <w:t>附件3：</w:t>
      </w:r>
    </w:p>
    <w:p w14:paraId="5F3A38C2">
      <w:pPr>
        <w:spacing w:line="528" w:lineRule="exact"/>
        <w:ind w:firstLine="2000" w:firstLineChars="500"/>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7"/>
        <w:tblW w:w="9220" w:type="dxa"/>
        <w:tblInd w:w="93" w:type="dxa"/>
        <w:tblLayout w:type="autofit"/>
        <w:tblCellMar>
          <w:top w:w="0" w:type="dxa"/>
          <w:left w:w="108" w:type="dxa"/>
          <w:bottom w:w="0" w:type="dxa"/>
          <w:right w:w="108" w:type="dxa"/>
        </w:tblCellMar>
      </w:tblPr>
      <w:tblGrid>
        <w:gridCol w:w="631"/>
        <w:gridCol w:w="1161"/>
        <w:gridCol w:w="1581"/>
        <w:gridCol w:w="1615"/>
        <w:gridCol w:w="4232"/>
      </w:tblGrid>
      <w:tr w14:paraId="6B3CB15E">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773049E9">
            <w:pPr>
              <w:keepNext w:val="0"/>
              <w:keepLines w:val="0"/>
              <w:widowControl/>
              <w:suppressLineNumbers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6FB4F5C2">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1E3EF6C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依据的标准</w:t>
            </w:r>
          </w:p>
        </w:tc>
      </w:tr>
      <w:tr w14:paraId="782B282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3449BC03">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2B2450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499E1DF6">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62D5C87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4C269B9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099C41F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E272457">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7F545E">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5E4D947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79610A92">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0262EC7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6DA2282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B77EB2">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BF644D9">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23A17C2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2035E86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2E41972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37E98E9C">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67F0ED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D980C80">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68C10CDD">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3E70F61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6A44057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3233D6E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0B1447E">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A9A6399">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8230B4">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72341B22">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0C4A32E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1643B11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1EE4BBE">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4769B22">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3D0544C">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4452A536">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6AB11FC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5E98CF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4E042D">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36CDDC">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35506F8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51CF026D">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77E982D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《计算机显示器能效限定值及能效等级》（GB21520）</w:t>
            </w:r>
          </w:p>
        </w:tc>
      </w:tr>
      <w:tr w14:paraId="0506D5A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130A9E">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4E3426">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5262A27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1FF8A2E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700F5D1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参照《复印机、打印机和传真机能效限定值及能效等级》（GB21521中打印速度为15页/分的针式打印机相关要求中打印速度为15页/分的针式打印机相关要求</w:t>
            </w:r>
          </w:p>
        </w:tc>
      </w:tr>
      <w:tr w14:paraId="4386A75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00CB861">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080" w:type="dxa"/>
            <w:tcBorders>
              <w:top w:val="nil"/>
              <w:left w:val="nil"/>
              <w:bottom w:val="single" w:color="000000" w:sz="8" w:space="0"/>
              <w:right w:val="single" w:color="000000" w:sz="8" w:space="0"/>
            </w:tcBorders>
            <w:noWrap w:val="0"/>
            <w:vAlign w:val="center"/>
          </w:tcPr>
          <w:p w14:paraId="333FA65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A020202投影仪</w:t>
            </w:r>
          </w:p>
        </w:tc>
        <w:tc>
          <w:tcPr>
            <w:tcW w:w="1320" w:type="dxa"/>
            <w:tcBorders>
              <w:top w:val="nil"/>
              <w:left w:val="nil"/>
              <w:bottom w:val="single" w:color="000000" w:sz="8" w:space="0"/>
              <w:right w:val="single" w:color="000000" w:sz="8" w:space="0"/>
            </w:tcBorders>
            <w:noWrap w:val="0"/>
            <w:vAlign w:val="center"/>
          </w:tcPr>
          <w:p w14:paraId="675F1F4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31CCAB2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025DC45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《投影机能效限定值及能效等级》（GB32028）</w:t>
            </w:r>
          </w:p>
        </w:tc>
      </w:tr>
      <w:tr w14:paraId="513D5C4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4DD70F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1080" w:type="dxa"/>
            <w:tcBorders>
              <w:top w:val="nil"/>
              <w:left w:val="nil"/>
              <w:bottom w:val="single" w:color="000000" w:sz="8" w:space="0"/>
              <w:right w:val="single" w:color="000000" w:sz="8" w:space="0"/>
            </w:tcBorders>
            <w:noWrap w:val="0"/>
            <w:vAlign w:val="center"/>
          </w:tcPr>
          <w:p w14:paraId="2AB750E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080053C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7A4CD41F">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3CCB47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47FBED7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6DF908A">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080" w:type="dxa"/>
            <w:tcBorders>
              <w:top w:val="nil"/>
              <w:left w:val="nil"/>
              <w:bottom w:val="single" w:color="000000" w:sz="8" w:space="0"/>
              <w:right w:val="single" w:color="000000" w:sz="8" w:space="0"/>
            </w:tcBorders>
            <w:noWrap w:val="0"/>
            <w:vAlign w:val="center"/>
          </w:tcPr>
          <w:p w14:paraId="1EDDC95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A020519泵</w:t>
            </w:r>
          </w:p>
        </w:tc>
        <w:tc>
          <w:tcPr>
            <w:tcW w:w="1320" w:type="dxa"/>
            <w:tcBorders>
              <w:top w:val="nil"/>
              <w:left w:val="nil"/>
              <w:bottom w:val="single" w:color="000000" w:sz="8" w:space="0"/>
              <w:right w:val="single" w:color="000000" w:sz="8" w:space="0"/>
            </w:tcBorders>
            <w:noWrap w:val="0"/>
            <w:vAlign w:val="center"/>
          </w:tcPr>
          <w:p w14:paraId="33E35D3A">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A02051901离心泵</w:t>
            </w:r>
          </w:p>
        </w:tc>
        <w:tc>
          <w:tcPr>
            <w:tcW w:w="1620" w:type="dxa"/>
            <w:tcBorders>
              <w:top w:val="nil"/>
              <w:left w:val="nil"/>
              <w:bottom w:val="single" w:color="000000" w:sz="8" w:space="0"/>
              <w:right w:val="single" w:color="000000" w:sz="8" w:space="0"/>
            </w:tcBorders>
            <w:noWrap w:val="0"/>
            <w:vAlign w:val="center"/>
          </w:tcPr>
          <w:p w14:paraId="6AC0BCBF">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CC7C74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《清水离心泵能效限定值及节能评价值》（GB19762）</w:t>
            </w:r>
          </w:p>
        </w:tc>
      </w:tr>
      <w:tr w14:paraId="27364882">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185C30A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18803FF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57A994FA">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★A02052301制冷压缩机</w:t>
            </w:r>
          </w:p>
        </w:tc>
        <w:tc>
          <w:tcPr>
            <w:tcW w:w="1620" w:type="dxa"/>
            <w:tcBorders>
              <w:top w:val="nil"/>
              <w:left w:val="nil"/>
              <w:bottom w:val="single" w:color="000000" w:sz="8" w:space="0"/>
              <w:right w:val="single" w:color="000000" w:sz="8" w:space="0"/>
            </w:tcBorders>
            <w:noWrap w:val="0"/>
            <w:vAlign w:val="center"/>
          </w:tcPr>
          <w:p w14:paraId="1DE2B471">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冷水机组</w:t>
            </w:r>
          </w:p>
        </w:tc>
        <w:tc>
          <w:tcPr>
            <w:tcW w:w="4540" w:type="dxa"/>
            <w:tcBorders>
              <w:top w:val="nil"/>
              <w:left w:val="nil"/>
              <w:bottom w:val="single" w:color="000000" w:sz="8" w:space="0"/>
              <w:right w:val="single" w:color="000000" w:sz="8" w:space="0"/>
            </w:tcBorders>
            <w:noWrap w:val="0"/>
            <w:vAlign w:val="center"/>
          </w:tcPr>
          <w:p w14:paraId="50C25DF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《冷水机组能效限定值及能效等级》（GB19577），《低环境温度空气源热泵（冷水）机组能效限定值及能效等级》（GB37480）</w:t>
            </w:r>
          </w:p>
        </w:tc>
      </w:tr>
      <w:tr w14:paraId="4657736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8E47701">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9DD8454">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9329AE">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4ACAC649">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水源热泵机组</w:t>
            </w:r>
          </w:p>
        </w:tc>
        <w:tc>
          <w:tcPr>
            <w:tcW w:w="4540" w:type="dxa"/>
            <w:tcBorders>
              <w:top w:val="nil"/>
              <w:left w:val="nil"/>
              <w:bottom w:val="single" w:color="000000" w:sz="8" w:space="0"/>
              <w:right w:val="single" w:color="000000" w:sz="8" w:space="0"/>
            </w:tcBorders>
            <w:noWrap w:val="0"/>
            <w:vAlign w:val="center"/>
          </w:tcPr>
          <w:p w14:paraId="0B828A3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《水（地）源热泵机组能效限定值及能效等级》（GB30721）</w:t>
            </w:r>
          </w:p>
        </w:tc>
      </w:tr>
      <w:tr w14:paraId="7649833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E18EEA8">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ABCD1A">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EB14AF">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02E801A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溴化锂吸收式冷水机组</w:t>
            </w:r>
          </w:p>
        </w:tc>
        <w:tc>
          <w:tcPr>
            <w:tcW w:w="4540" w:type="dxa"/>
            <w:tcBorders>
              <w:top w:val="nil"/>
              <w:left w:val="nil"/>
              <w:bottom w:val="single" w:color="000000" w:sz="8" w:space="0"/>
              <w:right w:val="single" w:color="000000" w:sz="8" w:space="0"/>
            </w:tcBorders>
            <w:noWrap w:val="0"/>
            <w:vAlign w:val="center"/>
          </w:tcPr>
          <w:p w14:paraId="1F9A563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《溴化锂吸收式冷水机组能效限定值及能效等级》（GB29540）</w:t>
            </w:r>
          </w:p>
        </w:tc>
      </w:tr>
      <w:tr w14:paraId="1497273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74D1A4">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A80C81B">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07C2957D">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★A02052305空调机组</w:t>
            </w:r>
          </w:p>
        </w:tc>
        <w:tc>
          <w:tcPr>
            <w:tcW w:w="1620" w:type="dxa"/>
            <w:tcBorders>
              <w:top w:val="nil"/>
              <w:left w:val="nil"/>
              <w:bottom w:val="single" w:color="000000" w:sz="8" w:space="0"/>
              <w:right w:val="single" w:color="000000" w:sz="8" w:space="0"/>
            </w:tcBorders>
            <w:noWrap w:val="0"/>
            <w:vAlign w:val="center"/>
          </w:tcPr>
          <w:p w14:paraId="6D228675">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47ABF47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534251F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BB24086">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80BB5F">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4CA141">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1A4AFC12">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25FD13D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《单元式空气调节机能效限定值及能效等级》（GB19576）《风管送风式空调机组能效限定值及能效等级》（GB37479）</w:t>
            </w:r>
          </w:p>
        </w:tc>
      </w:tr>
      <w:tr w14:paraId="33E4B09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E684834">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1BCF66">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0ECF7CD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★A02052309专用制冷、空调设备</w:t>
            </w:r>
          </w:p>
        </w:tc>
        <w:tc>
          <w:tcPr>
            <w:tcW w:w="1620" w:type="dxa"/>
            <w:tcBorders>
              <w:top w:val="nil"/>
              <w:left w:val="nil"/>
              <w:bottom w:val="single" w:color="000000" w:sz="8" w:space="0"/>
              <w:right w:val="single" w:color="000000" w:sz="8" w:space="0"/>
            </w:tcBorders>
            <w:noWrap w:val="0"/>
            <w:vAlign w:val="center"/>
          </w:tcPr>
          <w:p w14:paraId="3431B3BA">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机房空调</w:t>
            </w:r>
          </w:p>
        </w:tc>
        <w:tc>
          <w:tcPr>
            <w:tcW w:w="4540" w:type="dxa"/>
            <w:tcBorders>
              <w:top w:val="nil"/>
              <w:left w:val="nil"/>
              <w:bottom w:val="single" w:color="000000" w:sz="8" w:space="0"/>
              <w:right w:val="single" w:color="000000" w:sz="8" w:space="0"/>
            </w:tcBorders>
            <w:noWrap w:val="0"/>
            <w:vAlign w:val="center"/>
          </w:tcPr>
          <w:p w14:paraId="3D33F5F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w:t>
            </w:r>
          </w:p>
        </w:tc>
      </w:tr>
      <w:tr w14:paraId="248D043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9A8B21C">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D3C765">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74CF789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A02052399其他制冷空调设备</w:t>
            </w:r>
          </w:p>
        </w:tc>
        <w:tc>
          <w:tcPr>
            <w:tcW w:w="1620" w:type="dxa"/>
            <w:tcBorders>
              <w:top w:val="nil"/>
              <w:left w:val="nil"/>
              <w:bottom w:val="single" w:color="000000" w:sz="8" w:space="0"/>
              <w:right w:val="single" w:color="000000" w:sz="8" w:space="0"/>
            </w:tcBorders>
            <w:noWrap w:val="0"/>
            <w:vAlign w:val="center"/>
          </w:tcPr>
          <w:p w14:paraId="4733A70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冷却塔</w:t>
            </w:r>
          </w:p>
        </w:tc>
        <w:tc>
          <w:tcPr>
            <w:tcW w:w="4540" w:type="dxa"/>
            <w:tcBorders>
              <w:top w:val="nil"/>
              <w:left w:val="nil"/>
              <w:bottom w:val="single" w:color="000000" w:sz="8" w:space="0"/>
              <w:right w:val="single" w:color="000000" w:sz="8" w:space="0"/>
            </w:tcBorders>
            <w:noWrap w:val="0"/>
            <w:vAlign w:val="center"/>
          </w:tcPr>
          <w:p w14:paraId="1339772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《机械通风冷却塔第1部分：中小型开式冷却塔》（GB/T7190.1）；《机械通风冷却塔第2部分：大型开式冷却塔》（GB/T7190.2）</w:t>
            </w:r>
          </w:p>
        </w:tc>
      </w:tr>
      <w:tr w14:paraId="5541331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73206C5">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1080" w:type="dxa"/>
            <w:tcBorders>
              <w:top w:val="nil"/>
              <w:left w:val="nil"/>
              <w:bottom w:val="single" w:color="000000" w:sz="8" w:space="0"/>
              <w:right w:val="single" w:color="000000" w:sz="8" w:space="0"/>
            </w:tcBorders>
            <w:noWrap w:val="0"/>
            <w:vAlign w:val="center"/>
          </w:tcPr>
          <w:p w14:paraId="613DE592">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A020601电机</w:t>
            </w:r>
          </w:p>
        </w:tc>
        <w:tc>
          <w:tcPr>
            <w:tcW w:w="1320" w:type="dxa"/>
            <w:tcBorders>
              <w:top w:val="nil"/>
              <w:left w:val="nil"/>
              <w:bottom w:val="single" w:color="000000" w:sz="8" w:space="0"/>
              <w:right w:val="single" w:color="000000" w:sz="8" w:space="0"/>
            </w:tcBorders>
            <w:noWrap w:val="0"/>
            <w:vAlign w:val="center"/>
          </w:tcPr>
          <w:p w14:paraId="360960FF">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0232568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A69657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《中小型三相异步电动机能效限定值及能效等级》（GB18613）</w:t>
            </w:r>
          </w:p>
        </w:tc>
      </w:tr>
      <w:tr w14:paraId="5BF6919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755E26A">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1080" w:type="dxa"/>
            <w:tcBorders>
              <w:top w:val="nil"/>
              <w:left w:val="nil"/>
              <w:bottom w:val="single" w:color="000000" w:sz="8" w:space="0"/>
              <w:right w:val="single" w:color="000000" w:sz="8" w:space="0"/>
            </w:tcBorders>
            <w:noWrap w:val="0"/>
            <w:vAlign w:val="center"/>
          </w:tcPr>
          <w:p w14:paraId="78994A66">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A020602变压器</w:t>
            </w:r>
          </w:p>
        </w:tc>
        <w:tc>
          <w:tcPr>
            <w:tcW w:w="1320" w:type="dxa"/>
            <w:tcBorders>
              <w:top w:val="nil"/>
              <w:left w:val="nil"/>
              <w:bottom w:val="single" w:color="000000" w:sz="8" w:space="0"/>
              <w:right w:val="single" w:color="000000" w:sz="8" w:space="0"/>
            </w:tcBorders>
            <w:noWrap w:val="0"/>
            <w:vAlign w:val="center"/>
          </w:tcPr>
          <w:p w14:paraId="1C7A18E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配电变压器</w:t>
            </w:r>
          </w:p>
        </w:tc>
        <w:tc>
          <w:tcPr>
            <w:tcW w:w="1620" w:type="dxa"/>
            <w:tcBorders>
              <w:top w:val="nil"/>
              <w:left w:val="nil"/>
              <w:bottom w:val="single" w:color="000000" w:sz="8" w:space="0"/>
              <w:right w:val="single" w:color="000000" w:sz="8" w:space="0"/>
            </w:tcBorders>
            <w:noWrap w:val="0"/>
            <w:vAlign w:val="center"/>
          </w:tcPr>
          <w:p w14:paraId="30E5B1E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521535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《三相配电变压器能效限定值及能效等级》（GB20052）</w:t>
            </w:r>
          </w:p>
        </w:tc>
      </w:tr>
      <w:tr w14:paraId="0DB6D6D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B29FB36">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9</w:t>
            </w:r>
          </w:p>
        </w:tc>
        <w:tc>
          <w:tcPr>
            <w:tcW w:w="1080" w:type="dxa"/>
            <w:tcBorders>
              <w:top w:val="nil"/>
              <w:left w:val="nil"/>
              <w:bottom w:val="single" w:color="000000" w:sz="8" w:space="0"/>
              <w:right w:val="single" w:color="000000" w:sz="8" w:space="0"/>
            </w:tcBorders>
            <w:noWrap w:val="0"/>
            <w:vAlign w:val="center"/>
          </w:tcPr>
          <w:p w14:paraId="680E16B0">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★A020609镇流器</w:t>
            </w:r>
          </w:p>
        </w:tc>
        <w:tc>
          <w:tcPr>
            <w:tcW w:w="1320" w:type="dxa"/>
            <w:tcBorders>
              <w:top w:val="nil"/>
              <w:left w:val="nil"/>
              <w:bottom w:val="single" w:color="000000" w:sz="8" w:space="0"/>
              <w:right w:val="single" w:color="000000" w:sz="8" w:space="0"/>
            </w:tcBorders>
            <w:noWrap w:val="0"/>
            <w:vAlign w:val="center"/>
          </w:tcPr>
          <w:p w14:paraId="3ADA2971">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461BD49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92F7E7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《管形荧光灯镇流器能效限定值及能效等级》（GB17896）</w:t>
            </w:r>
          </w:p>
        </w:tc>
      </w:tr>
      <w:tr w14:paraId="174BD16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7136A3D">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4CF91C55">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5AC80392">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076728E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72217B8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《家用电冰箱耗电量限定值及能效等级》（GB 12021.2）</w:t>
            </w:r>
          </w:p>
        </w:tc>
      </w:tr>
      <w:tr w14:paraId="6B965070">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71DBCF">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888A38">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0B4814E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60F3A69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67511F2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《转速可控型房间空气调节器能效限定值及能效等级》（GB21455-2013），待2019年修订发布后，按《房间空气调节器能效限定值及能效等级》（GB21455-2019实施。</w:t>
            </w:r>
          </w:p>
        </w:tc>
      </w:tr>
      <w:tr w14:paraId="5AD366F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A8220DF">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7445EFC">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BB96007">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3039E69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23686C0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040E1F3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D736AD">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0C5EFCC">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A087560">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47ACE09A">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05D9C58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《单元式空气调节机能效限定值及能源效率等级》（GB19576）《风管送风式空调机组能效限定值及能效等级》（GB37479）</w:t>
            </w:r>
          </w:p>
        </w:tc>
      </w:tr>
      <w:tr w14:paraId="187265C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72EF49">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2B56B0">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2A9AC306">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7C3E68A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6F00319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《电动洗衣机能效水效限定值及等级》（GB12021.4）</w:t>
            </w:r>
          </w:p>
        </w:tc>
      </w:tr>
      <w:tr w14:paraId="3154A3A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DC29AE8">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E161640">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40D240B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A02061808热水器</w:t>
            </w:r>
          </w:p>
        </w:tc>
        <w:tc>
          <w:tcPr>
            <w:tcW w:w="1620" w:type="dxa"/>
            <w:tcBorders>
              <w:top w:val="nil"/>
              <w:left w:val="nil"/>
              <w:bottom w:val="single" w:color="000000" w:sz="8" w:space="0"/>
              <w:right w:val="single" w:color="000000" w:sz="8" w:space="0"/>
            </w:tcBorders>
            <w:noWrap w:val="0"/>
            <w:vAlign w:val="center"/>
          </w:tcPr>
          <w:p w14:paraId="505EBE50">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★电热水器</w:t>
            </w:r>
          </w:p>
        </w:tc>
        <w:tc>
          <w:tcPr>
            <w:tcW w:w="4540" w:type="dxa"/>
            <w:tcBorders>
              <w:top w:val="nil"/>
              <w:left w:val="nil"/>
              <w:bottom w:val="single" w:color="000000" w:sz="8" w:space="0"/>
              <w:right w:val="single" w:color="000000" w:sz="8" w:space="0"/>
            </w:tcBorders>
            <w:noWrap w:val="0"/>
            <w:vAlign w:val="center"/>
          </w:tcPr>
          <w:p w14:paraId="0FE3BEA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《储水式电热水器能效限定值及能效等级》（GB21519）</w:t>
            </w:r>
          </w:p>
        </w:tc>
      </w:tr>
      <w:tr w14:paraId="60CD6B6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592041F">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7337C7F">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D7C7522">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59A72F01">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燃气热水器</w:t>
            </w:r>
          </w:p>
        </w:tc>
        <w:tc>
          <w:tcPr>
            <w:tcW w:w="4540" w:type="dxa"/>
            <w:tcBorders>
              <w:top w:val="nil"/>
              <w:left w:val="nil"/>
              <w:bottom w:val="single" w:color="000000" w:sz="8" w:space="0"/>
              <w:right w:val="single" w:color="000000" w:sz="8" w:space="0"/>
            </w:tcBorders>
            <w:noWrap w:val="0"/>
            <w:vAlign w:val="center"/>
          </w:tcPr>
          <w:p w14:paraId="726FE86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《家用燃气快速热水器和燃气采暖热水炉能效限定值及能效等级》（GB20665）</w:t>
            </w:r>
          </w:p>
        </w:tc>
      </w:tr>
      <w:tr w14:paraId="553216F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6D0CC27">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EBE2C1">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27CA8C1">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37A03EA6">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热泵热水器</w:t>
            </w:r>
          </w:p>
        </w:tc>
        <w:tc>
          <w:tcPr>
            <w:tcW w:w="4540" w:type="dxa"/>
            <w:tcBorders>
              <w:top w:val="nil"/>
              <w:left w:val="nil"/>
              <w:bottom w:val="single" w:color="000000" w:sz="8" w:space="0"/>
              <w:right w:val="single" w:color="000000" w:sz="8" w:space="0"/>
            </w:tcBorders>
            <w:noWrap w:val="0"/>
            <w:vAlign w:val="center"/>
          </w:tcPr>
          <w:p w14:paraId="5A20678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《热泵热水机（器）能效限定值及能效等级》（GB29541）</w:t>
            </w:r>
          </w:p>
        </w:tc>
      </w:tr>
      <w:tr w14:paraId="15E0CE1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BCDF002">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5C61DF2">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1FA658">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620" w:type="dxa"/>
            <w:tcBorders>
              <w:top w:val="nil"/>
              <w:left w:val="nil"/>
              <w:bottom w:val="single" w:color="000000" w:sz="8" w:space="0"/>
              <w:right w:val="single" w:color="000000" w:sz="8" w:space="0"/>
            </w:tcBorders>
            <w:noWrap w:val="0"/>
            <w:vAlign w:val="center"/>
          </w:tcPr>
          <w:p w14:paraId="0075ED5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2BA72D4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《家用太阳能热水系统能效限定值及能效等级》（GB26969）</w:t>
            </w:r>
          </w:p>
        </w:tc>
      </w:tr>
      <w:tr w14:paraId="1A79426C">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019624A">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4854916">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A020619照明设备</w:t>
            </w:r>
          </w:p>
        </w:tc>
        <w:tc>
          <w:tcPr>
            <w:tcW w:w="1320" w:type="dxa"/>
            <w:tcBorders>
              <w:top w:val="nil"/>
              <w:left w:val="nil"/>
              <w:bottom w:val="single" w:color="000000" w:sz="8" w:space="0"/>
              <w:right w:val="single" w:color="000000" w:sz="8" w:space="0"/>
            </w:tcBorders>
            <w:noWrap w:val="0"/>
            <w:vAlign w:val="center"/>
          </w:tcPr>
          <w:p w14:paraId="3E12499D">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★普通照明用双端荧光灯</w:t>
            </w:r>
          </w:p>
        </w:tc>
        <w:tc>
          <w:tcPr>
            <w:tcW w:w="1620" w:type="dxa"/>
            <w:tcBorders>
              <w:top w:val="nil"/>
              <w:left w:val="nil"/>
              <w:bottom w:val="single" w:color="000000" w:sz="8" w:space="0"/>
              <w:right w:val="single" w:color="000000" w:sz="8" w:space="0"/>
            </w:tcBorders>
            <w:noWrap w:val="0"/>
            <w:vAlign w:val="center"/>
          </w:tcPr>
          <w:p w14:paraId="6F27840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4D066F4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《普通照明用双端荧光灯能效限定值及能效等级》（GB19043）</w:t>
            </w:r>
          </w:p>
        </w:tc>
      </w:tr>
      <w:tr w14:paraId="1D5EF0E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CA2BF83">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2CB0833">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5AB81CC5">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LED道路/隧道照明产品</w:t>
            </w:r>
          </w:p>
        </w:tc>
        <w:tc>
          <w:tcPr>
            <w:tcW w:w="1620" w:type="dxa"/>
            <w:tcBorders>
              <w:top w:val="nil"/>
              <w:left w:val="nil"/>
              <w:bottom w:val="single" w:color="000000" w:sz="8" w:space="0"/>
              <w:right w:val="single" w:color="000000" w:sz="8" w:space="0"/>
            </w:tcBorders>
            <w:noWrap w:val="0"/>
            <w:vAlign w:val="center"/>
          </w:tcPr>
          <w:p w14:paraId="4047DA75">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1A6532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《道路和隧道照明用LED灯具能效限定值及能效等级》（GB37478）</w:t>
            </w:r>
          </w:p>
        </w:tc>
      </w:tr>
      <w:tr w14:paraId="07EFC7C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22C1945">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8A9EE0D">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3D0A6DD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LED筒灯</w:t>
            </w:r>
          </w:p>
        </w:tc>
        <w:tc>
          <w:tcPr>
            <w:tcW w:w="1620" w:type="dxa"/>
            <w:tcBorders>
              <w:top w:val="nil"/>
              <w:left w:val="nil"/>
              <w:bottom w:val="single" w:color="000000" w:sz="8" w:space="0"/>
              <w:right w:val="single" w:color="000000" w:sz="8" w:space="0"/>
            </w:tcBorders>
            <w:noWrap w:val="0"/>
            <w:vAlign w:val="center"/>
          </w:tcPr>
          <w:p w14:paraId="562203F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2880475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50AAF86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AD9B68C">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9906059">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7F79796F">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636409A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DFBD18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46C5DA4F">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0EB3B6BF">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12</w:t>
            </w:r>
          </w:p>
        </w:tc>
        <w:tc>
          <w:tcPr>
            <w:tcW w:w="1080" w:type="dxa"/>
            <w:tcBorders>
              <w:top w:val="nil"/>
              <w:left w:val="nil"/>
              <w:bottom w:val="single" w:color="000000" w:sz="8" w:space="0"/>
              <w:right w:val="single" w:color="000000" w:sz="8" w:space="0"/>
            </w:tcBorders>
            <w:noWrap w:val="0"/>
            <w:vAlign w:val="center"/>
          </w:tcPr>
          <w:p w14:paraId="3338CC6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★A020910电视设备</w:t>
            </w:r>
          </w:p>
        </w:tc>
        <w:tc>
          <w:tcPr>
            <w:tcW w:w="1320" w:type="dxa"/>
            <w:tcBorders>
              <w:top w:val="nil"/>
              <w:left w:val="nil"/>
              <w:bottom w:val="single" w:color="000000" w:sz="8" w:space="0"/>
              <w:right w:val="single" w:color="000000" w:sz="8" w:space="0"/>
            </w:tcBorders>
            <w:noWrap w:val="0"/>
            <w:vAlign w:val="center"/>
          </w:tcPr>
          <w:p w14:paraId="110248C9">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A02091001普通电视设备（电视机）</w:t>
            </w:r>
          </w:p>
        </w:tc>
        <w:tc>
          <w:tcPr>
            <w:tcW w:w="1620" w:type="dxa"/>
            <w:tcBorders>
              <w:top w:val="nil"/>
              <w:left w:val="nil"/>
              <w:bottom w:val="single" w:color="000000" w:sz="8" w:space="0"/>
              <w:right w:val="single" w:color="000000" w:sz="8" w:space="0"/>
            </w:tcBorders>
            <w:noWrap w:val="0"/>
            <w:vAlign w:val="center"/>
          </w:tcPr>
          <w:p w14:paraId="6913D83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121DDF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《平板电视能效限定值及能效等级》（GB24850）</w:t>
            </w:r>
          </w:p>
        </w:tc>
      </w:tr>
      <w:tr w14:paraId="393A62F5">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5573F6B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13</w:t>
            </w:r>
          </w:p>
        </w:tc>
        <w:tc>
          <w:tcPr>
            <w:tcW w:w="1080" w:type="dxa"/>
            <w:tcBorders>
              <w:top w:val="nil"/>
              <w:left w:val="nil"/>
              <w:bottom w:val="single" w:color="000000" w:sz="8" w:space="0"/>
              <w:right w:val="single" w:color="000000" w:sz="8" w:space="0"/>
            </w:tcBorders>
            <w:noWrap w:val="0"/>
            <w:vAlign w:val="center"/>
          </w:tcPr>
          <w:p w14:paraId="1FED5329">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★A020911视频设备</w:t>
            </w:r>
          </w:p>
        </w:tc>
        <w:tc>
          <w:tcPr>
            <w:tcW w:w="1320" w:type="dxa"/>
            <w:tcBorders>
              <w:top w:val="nil"/>
              <w:left w:val="nil"/>
              <w:bottom w:val="single" w:color="000000" w:sz="8" w:space="0"/>
              <w:right w:val="single" w:color="000000" w:sz="8" w:space="0"/>
            </w:tcBorders>
            <w:noWrap w:val="0"/>
            <w:vAlign w:val="center"/>
          </w:tcPr>
          <w:p w14:paraId="3791AD03">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A02091107视频监控设备</w:t>
            </w:r>
          </w:p>
        </w:tc>
        <w:tc>
          <w:tcPr>
            <w:tcW w:w="1620" w:type="dxa"/>
            <w:tcBorders>
              <w:top w:val="nil"/>
              <w:left w:val="nil"/>
              <w:bottom w:val="single" w:color="000000" w:sz="8" w:space="0"/>
              <w:right w:val="single" w:color="000000" w:sz="8" w:space="0"/>
            </w:tcBorders>
            <w:noWrap w:val="0"/>
            <w:vAlign w:val="center"/>
          </w:tcPr>
          <w:p w14:paraId="78BA0A12">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4540" w:type="dxa"/>
            <w:tcBorders>
              <w:top w:val="nil"/>
              <w:left w:val="nil"/>
              <w:bottom w:val="single" w:color="000000" w:sz="8" w:space="0"/>
              <w:right w:val="single" w:color="000000" w:sz="8" w:space="0"/>
            </w:tcBorders>
            <w:noWrap w:val="0"/>
            <w:vAlign w:val="center"/>
          </w:tcPr>
          <w:p w14:paraId="3FEE092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5EA584E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C0C6D13">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14</w:t>
            </w:r>
          </w:p>
        </w:tc>
        <w:tc>
          <w:tcPr>
            <w:tcW w:w="1080" w:type="dxa"/>
            <w:tcBorders>
              <w:top w:val="nil"/>
              <w:left w:val="nil"/>
              <w:bottom w:val="single" w:color="000000" w:sz="8" w:space="0"/>
              <w:right w:val="single" w:color="000000" w:sz="8" w:space="0"/>
            </w:tcBorders>
            <w:noWrap w:val="0"/>
            <w:vAlign w:val="center"/>
          </w:tcPr>
          <w:p w14:paraId="4295F1C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A031210饮食炊事机械</w:t>
            </w:r>
          </w:p>
        </w:tc>
        <w:tc>
          <w:tcPr>
            <w:tcW w:w="1320" w:type="dxa"/>
            <w:tcBorders>
              <w:top w:val="nil"/>
              <w:left w:val="nil"/>
              <w:bottom w:val="single" w:color="000000" w:sz="8" w:space="0"/>
              <w:right w:val="single" w:color="000000" w:sz="8" w:space="0"/>
            </w:tcBorders>
            <w:noWrap w:val="0"/>
            <w:vAlign w:val="center"/>
          </w:tcPr>
          <w:p w14:paraId="442DE47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商用燃气灶具</w:t>
            </w:r>
          </w:p>
        </w:tc>
        <w:tc>
          <w:tcPr>
            <w:tcW w:w="1620" w:type="dxa"/>
            <w:tcBorders>
              <w:top w:val="nil"/>
              <w:left w:val="nil"/>
              <w:bottom w:val="single" w:color="000000" w:sz="8" w:space="0"/>
              <w:right w:val="single" w:color="000000" w:sz="8" w:space="0"/>
            </w:tcBorders>
            <w:noWrap w:val="0"/>
            <w:vAlign w:val="center"/>
          </w:tcPr>
          <w:p w14:paraId="3CF856F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96F42F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《商用燃气灶具能效限定值及能效等级》（GB30531）</w:t>
            </w:r>
          </w:p>
        </w:tc>
      </w:tr>
      <w:tr w14:paraId="42AB4202">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3F909F5">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476D8D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★A060805便器</w:t>
            </w:r>
          </w:p>
        </w:tc>
        <w:tc>
          <w:tcPr>
            <w:tcW w:w="1320" w:type="dxa"/>
            <w:tcBorders>
              <w:top w:val="nil"/>
              <w:left w:val="nil"/>
              <w:bottom w:val="single" w:color="000000" w:sz="8" w:space="0"/>
              <w:right w:val="single" w:color="000000" w:sz="8" w:space="0"/>
            </w:tcBorders>
            <w:noWrap w:val="0"/>
            <w:vAlign w:val="center"/>
          </w:tcPr>
          <w:p w14:paraId="3DCCC15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坐便器</w:t>
            </w:r>
          </w:p>
        </w:tc>
        <w:tc>
          <w:tcPr>
            <w:tcW w:w="1620" w:type="dxa"/>
            <w:tcBorders>
              <w:top w:val="nil"/>
              <w:left w:val="nil"/>
              <w:bottom w:val="single" w:color="000000" w:sz="8" w:space="0"/>
              <w:right w:val="single" w:color="000000" w:sz="8" w:space="0"/>
            </w:tcBorders>
            <w:noWrap w:val="0"/>
            <w:vAlign w:val="center"/>
          </w:tcPr>
          <w:p w14:paraId="09AA441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5A9678B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《坐便器水效限定值及水效等级》（GB25502）</w:t>
            </w:r>
          </w:p>
        </w:tc>
      </w:tr>
      <w:tr w14:paraId="68BB5B0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29C95BD">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A6FE35">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74081F0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蹲便器</w:t>
            </w:r>
          </w:p>
        </w:tc>
        <w:tc>
          <w:tcPr>
            <w:tcW w:w="1620" w:type="dxa"/>
            <w:tcBorders>
              <w:top w:val="nil"/>
              <w:left w:val="nil"/>
              <w:bottom w:val="single" w:color="000000" w:sz="8" w:space="0"/>
              <w:right w:val="single" w:color="000000" w:sz="8" w:space="0"/>
            </w:tcBorders>
            <w:noWrap w:val="0"/>
            <w:vAlign w:val="center"/>
          </w:tcPr>
          <w:p w14:paraId="1AFEBC9D">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125C1FB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《蹲便器用水效率限定值及用水效率等级》（GB30717）</w:t>
            </w:r>
          </w:p>
        </w:tc>
      </w:tr>
      <w:tr w14:paraId="4A7ACE9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07B3F6">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52DB0FF">
            <w:pPr>
              <w:keepNext w:val="0"/>
              <w:keepLines w:val="0"/>
              <w:widowControl/>
              <w:suppressLineNumbers w:val="0"/>
              <w:spacing w:before="0" w:beforeAutospacing="0" w:after="0" w:afterAutospacing="0"/>
              <w:ind w:left="0" w:right="0"/>
              <w:jc w:val="left"/>
              <w:rPr>
                <w:rFonts w:hint="default" w:ascii="宋体" w:hAnsi="宋体" w:cs="宋体"/>
                <w:color w:val="auto"/>
                <w:kern w:val="0"/>
                <w:szCs w:val="21"/>
                <w:highlight w:val="none"/>
              </w:rPr>
            </w:pPr>
          </w:p>
        </w:tc>
        <w:tc>
          <w:tcPr>
            <w:tcW w:w="1320" w:type="dxa"/>
            <w:tcBorders>
              <w:top w:val="nil"/>
              <w:left w:val="nil"/>
              <w:bottom w:val="single" w:color="000000" w:sz="8" w:space="0"/>
              <w:right w:val="single" w:color="000000" w:sz="8" w:space="0"/>
            </w:tcBorders>
            <w:noWrap w:val="0"/>
            <w:vAlign w:val="center"/>
          </w:tcPr>
          <w:p w14:paraId="12F03B8B">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小便器</w:t>
            </w:r>
          </w:p>
        </w:tc>
        <w:tc>
          <w:tcPr>
            <w:tcW w:w="1620" w:type="dxa"/>
            <w:tcBorders>
              <w:top w:val="nil"/>
              <w:left w:val="nil"/>
              <w:bottom w:val="single" w:color="000000" w:sz="8" w:space="0"/>
              <w:right w:val="single" w:color="000000" w:sz="8" w:space="0"/>
            </w:tcBorders>
            <w:noWrap w:val="0"/>
            <w:vAlign w:val="center"/>
          </w:tcPr>
          <w:p w14:paraId="2F0FF43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06E95D6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《小便器用水效率限定值及用水效率等级》（GB28377）</w:t>
            </w:r>
          </w:p>
        </w:tc>
      </w:tr>
      <w:tr w14:paraId="183E5A3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079EB7F">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16</w:t>
            </w:r>
          </w:p>
        </w:tc>
        <w:tc>
          <w:tcPr>
            <w:tcW w:w="1080" w:type="dxa"/>
            <w:tcBorders>
              <w:top w:val="nil"/>
              <w:left w:val="nil"/>
              <w:bottom w:val="single" w:color="000000" w:sz="8" w:space="0"/>
              <w:right w:val="single" w:color="000000" w:sz="8" w:space="0"/>
            </w:tcBorders>
            <w:noWrap w:val="0"/>
            <w:vAlign w:val="center"/>
          </w:tcPr>
          <w:p w14:paraId="40517BC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★A060806水嘴</w:t>
            </w:r>
          </w:p>
        </w:tc>
        <w:tc>
          <w:tcPr>
            <w:tcW w:w="1320" w:type="dxa"/>
            <w:tcBorders>
              <w:top w:val="nil"/>
              <w:left w:val="nil"/>
              <w:bottom w:val="single" w:color="000000" w:sz="8" w:space="0"/>
              <w:right w:val="single" w:color="000000" w:sz="8" w:space="0"/>
            </w:tcBorders>
            <w:noWrap w:val="0"/>
            <w:vAlign w:val="center"/>
          </w:tcPr>
          <w:p w14:paraId="1F3E42D8">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05BD2BBE">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2B72C2C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《水嘴用水效率限定值及用水效率等级》（GB 25501）</w:t>
            </w:r>
          </w:p>
        </w:tc>
      </w:tr>
      <w:tr w14:paraId="7BE36A7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083EC54">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17</w:t>
            </w:r>
          </w:p>
        </w:tc>
        <w:tc>
          <w:tcPr>
            <w:tcW w:w="1080" w:type="dxa"/>
            <w:tcBorders>
              <w:top w:val="nil"/>
              <w:left w:val="nil"/>
              <w:bottom w:val="single" w:color="000000" w:sz="8" w:space="0"/>
              <w:right w:val="single" w:color="000000" w:sz="8" w:space="0"/>
            </w:tcBorders>
            <w:noWrap w:val="0"/>
            <w:vAlign w:val="center"/>
          </w:tcPr>
          <w:p w14:paraId="0BB4922D">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337B63C1">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2712D55F">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4EEA794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《便器冲洗阀用水效率限定值及用水效率等级》（GB28379）</w:t>
            </w:r>
          </w:p>
        </w:tc>
      </w:tr>
      <w:tr w14:paraId="5071888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83FC5C7">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18</w:t>
            </w:r>
          </w:p>
        </w:tc>
        <w:tc>
          <w:tcPr>
            <w:tcW w:w="1080" w:type="dxa"/>
            <w:tcBorders>
              <w:top w:val="nil"/>
              <w:left w:val="nil"/>
              <w:bottom w:val="single" w:color="000000" w:sz="8" w:space="0"/>
              <w:right w:val="single" w:color="000000" w:sz="8" w:space="0"/>
            </w:tcBorders>
            <w:noWrap w:val="0"/>
            <w:vAlign w:val="center"/>
          </w:tcPr>
          <w:p w14:paraId="0DBDB2DC">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A060810淋浴器</w:t>
            </w:r>
          </w:p>
        </w:tc>
        <w:tc>
          <w:tcPr>
            <w:tcW w:w="1320" w:type="dxa"/>
            <w:tcBorders>
              <w:top w:val="nil"/>
              <w:left w:val="nil"/>
              <w:bottom w:val="single" w:color="000000" w:sz="8" w:space="0"/>
              <w:right w:val="single" w:color="000000" w:sz="8" w:space="0"/>
            </w:tcBorders>
            <w:noWrap w:val="0"/>
            <w:vAlign w:val="center"/>
          </w:tcPr>
          <w:p w14:paraId="62669593">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tcBorders>
              <w:top w:val="nil"/>
              <w:left w:val="nil"/>
              <w:bottom w:val="single" w:color="000000" w:sz="8" w:space="0"/>
              <w:right w:val="single" w:color="000000" w:sz="8" w:space="0"/>
            </w:tcBorders>
            <w:noWrap w:val="0"/>
            <w:vAlign w:val="center"/>
          </w:tcPr>
          <w:p w14:paraId="7CCE09D1">
            <w:pPr>
              <w:keepNext w:val="0"/>
              <w:keepLines w:val="0"/>
              <w:widowControl/>
              <w:suppressLineNumbers w:val="0"/>
              <w:spacing w:before="0" w:beforeAutospacing="0" w:after="0" w:afterAutospacing="0"/>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tcBorders>
              <w:top w:val="nil"/>
              <w:left w:val="nil"/>
              <w:bottom w:val="single" w:color="000000" w:sz="8" w:space="0"/>
              <w:right w:val="single" w:color="000000" w:sz="8" w:space="0"/>
            </w:tcBorders>
            <w:noWrap w:val="0"/>
            <w:vAlign w:val="center"/>
          </w:tcPr>
          <w:p w14:paraId="08CF906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《淋浴器用水效率限定值及用水效率等级》（GB28378）</w:t>
            </w:r>
          </w:p>
        </w:tc>
      </w:tr>
    </w:tbl>
    <w:p w14:paraId="1591BB21">
      <w:pPr>
        <w:pStyle w:val="16"/>
        <w:spacing w:line="360" w:lineRule="auto"/>
        <w:rPr>
          <w:rFonts w:hint="eastAsia"/>
          <w:color w:val="auto"/>
          <w:spacing w:val="-3"/>
          <w:sz w:val="21"/>
          <w:szCs w:val="21"/>
          <w:highlight w:val="none"/>
        </w:rPr>
      </w:pPr>
    </w:p>
    <w:p w14:paraId="7AF71FD7">
      <w:pPr>
        <w:pStyle w:val="16"/>
        <w:spacing w:line="360" w:lineRule="auto"/>
        <w:rPr>
          <w:rFonts w:ascii="宋体" w:hAnsi="宋体"/>
          <w:color w:val="auto"/>
          <w:sz w:val="21"/>
          <w:szCs w:val="21"/>
          <w:highlight w:val="none"/>
        </w:rPr>
      </w:pPr>
      <w:r>
        <w:rPr>
          <w:rFonts w:hint="eastAsia"/>
          <w:color w:val="auto"/>
          <w:spacing w:val="-3"/>
          <w:sz w:val="21"/>
          <w:szCs w:val="21"/>
          <w:highlight w:val="none"/>
        </w:rPr>
        <w:t>注：</w:t>
      </w:r>
      <w:r>
        <w:rPr>
          <w:color w:val="auto"/>
          <w:spacing w:val="-3"/>
          <w:sz w:val="21"/>
          <w:szCs w:val="21"/>
          <w:highlight w:val="none"/>
        </w:rPr>
        <w:t>1.</w:t>
      </w:r>
      <w:r>
        <w:rPr>
          <w:rFonts w:hint="eastAsia"/>
          <w:color w:val="auto"/>
          <w:spacing w:val="-3"/>
          <w:sz w:val="21"/>
          <w:szCs w:val="21"/>
          <w:highlight w:val="none"/>
        </w:rPr>
        <w:t>节能产品认证应依据相关国家标准的最新版本，依据国家标准中二级能效（水效）</w:t>
      </w:r>
      <w:r>
        <w:rPr>
          <w:rFonts w:hint="eastAsia"/>
          <w:color w:val="auto"/>
          <w:sz w:val="21"/>
          <w:szCs w:val="21"/>
          <w:highlight w:val="none"/>
        </w:rPr>
        <w:t>指标。</w:t>
      </w:r>
    </w:p>
    <w:p w14:paraId="1F1A10DD">
      <w:pPr>
        <w:jc w:val="left"/>
        <w:rPr>
          <w:b/>
          <w:bCs/>
          <w:color w:val="auto"/>
          <w:szCs w:val="21"/>
          <w:highlight w:val="none"/>
        </w:rPr>
      </w:pPr>
      <w:r>
        <w:rPr>
          <w:rFonts w:hint="eastAsia" w:ascii="宋体" w:hAnsi="宋体"/>
          <w:color w:val="auto"/>
          <w:szCs w:val="21"/>
          <w:highlight w:val="none"/>
        </w:rPr>
        <w:t xml:space="preserve">    </w:t>
      </w:r>
      <w:r>
        <w:rPr>
          <w:color w:val="auto"/>
          <w:szCs w:val="21"/>
          <w:highlight w:val="none"/>
        </w:rPr>
        <w:t>2</w:t>
      </w:r>
      <w:r>
        <w:rPr>
          <w:b/>
          <w:bCs/>
          <w:color w:val="auto"/>
          <w:szCs w:val="21"/>
          <w:highlight w:val="none"/>
        </w:rPr>
        <w:t>.</w:t>
      </w:r>
      <w:r>
        <w:rPr>
          <w:rFonts w:hint="eastAsia"/>
          <w:b/>
          <w:bCs/>
          <w:color w:val="auto"/>
          <w:szCs w:val="21"/>
          <w:highlight w:val="none"/>
        </w:rPr>
        <w:t>以</w:t>
      </w:r>
      <w:r>
        <w:rPr>
          <w:b/>
          <w:bCs/>
          <w:color w:val="auto"/>
          <w:szCs w:val="21"/>
          <w:highlight w:val="none"/>
        </w:rPr>
        <w:t>“</w:t>
      </w:r>
      <w:r>
        <w:rPr>
          <w:rFonts w:hint="eastAsia"/>
          <w:b/>
          <w:bCs/>
          <w:color w:val="auto"/>
          <w:szCs w:val="21"/>
          <w:highlight w:val="none"/>
        </w:rPr>
        <w:t>★</w:t>
      </w:r>
      <w:r>
        <w:rPr>
          <w:b/>
          <w:bCs/>
          <w:color w:val="auto"/>
          <w:szCs w:val="21"/>
          <w:highlight w:val="none"/>
        </w:rPr>
        <w:t>”</w:t>
      </w:r>
      <w:r>
        <w:rPr>
          <w:rFonts w:hint="eastAsia"/>
          <w:b/>
          <w:bCs/>
          <w:color w:val="auto"/>
          <w:szCs w:val="21"/>
          <w:highlight w:val="none"/>
        </w:rPr>
        <w:t>标注的为政府强制采购产品。</w:t>
      </w:r>
    </w:p>
    <w:p w14:paraId="2828C4CA">
      <w:pPr>
        <w:jc w:val="left"/>
        <w:rPr>
          <w:rFonts w:hint="eastAsia" w:ascii="宋体" w:hAnsi="宋体"/>
          <w:b/>
          <w:color w:val="auto"/>
          <w:sz w:val="32"/>
          <w:szCs w:val="32"/>
          <w:highlight w:val="none"/>
        </w:rPr>
      </w:pPr>
      <w:r>
        <w:rPr>
          <w:b/>
          <w:bCs/>
          <w:color w:val="auto"/>
          <w:szCs w:val="21"/>
          <w:highlight w:val="none"/>
        </w:rPr>
        <w:br w:type="page"/>
      </w:r>
    </w:p>
    <w:p w14:paraId="5748EDBD">
      <w:pPr>
        <w:spacing w:line="400" w:lineRule="exact"/>
        <w:jc w:val="center"/>
        <w:rPr>
          <w:rFonts w:hint="eastAsia" w:ascii="宋体" w:hAnsi="宋体"/>
          <w:b/>
          <w:color w:val="auto"/>
          <w:sz w:val="32"/>
          <w:szCs w:val="32"/>
          <w:highlight w:val="none"/>
        </w:rPr>
      </w:pPr>
    </w:p>
    <w:p w14:paraId="2191D123">
      <w:pPr>
        <w:spacing w:line="400" w:lineRule="exact"/>
        <w:jc w:val="center"/>
        <w:rPr>
          <w:rFonts w:hint="eastAsia" w:ascii="宋体" w:hAnsi="宋体"/>
          <w:b/>
          <w:color w:val="auto"/>
          <w:sz w:val="32"/>
          <w:szCs w:val="32"/>
          <w:highlight w:val="none"/>
        </w:rPr>
      </w:pPr>
    </w:p>
    <w:p w14:paraId="6511EE71">
      <w:pPr>
        <w:spacing w:line="400" w:lineRule="exact"/>
        <w:jc w:val="center"/>
        <w:rPr>
          <w:rFonts w:hint="eastAsia" w:ascii="宋体" w:hAnsi="宋体"/>
          <w:b/>
          <w:color w:val="auto"/>
          <w:sz w:val="32"/>
          <w:szCs w:val="32"/>
          <w:highlight w:val="none"/>
        </w:rPr>
      </w:pPr>
    </w:p>
    <w:p w14:paraId="7C9363CF">
      <w:pPr>
        <w:spacing w:line="400" w:lineRule="exact"/>
        <w:jc w:val="center"/>
        <w:rPr>
          <w:rFonts w:hint="eastAsia" w:ascii="宋体" w:hAnsi="宋体"/>
          <w:b/>
          <w:color w:val="auto"/>
          <w:sz w:val="32"/>
          <w:szCs w:val="32"/>
          <w:highlight w:val="none"/>
        </w:rPr>
      </w:pPr>
    </w:p>
    <w:p w14:paraId="084C4C2C">
      <w:pPr>
        <w:spacing w:line="400" w:lineRule="exact"/>
        <w:jc w:val="center"/>
        <w:rPr>
          <w:rFonts w:hint="eastAsia" w:ascii="宋体" w:hAnsi="宋体"/>
          <w:b/>
          <w:color w:val="auto"/>
          <w:sz w:val="32"/>
          <w:szCs w:val="32"/>
          <w:highlight w:val="none"/>
        </w:rPr>
      </w:pPr>
    </w:p>
    <w:p w14:paraId="09028F42">
      <w:pPr>
        <w:spacing w:line="400" w:lineRule="exact"/>
        <w:jc w:val="center"/>
        <w:rPr>
          <w:rFonts w:hint="eastAsia" w:ascii="宋体" w:hAnsi="宋体"/>
          <w:b/>
          <w:color w:val="auto"/>
          <w:sz w:val="32"/>
          <w:szCs w:val="32"/>
          <w:highlight w:val="none"/>
        </w:rPr>
      </w:pPr>
    </w:p>
    <w:p w14:paraId="57F157E9">
      <w:pPr>
        <w:spacing w:line="400" w:lineRule="exact"/>
        <w:jc w:val="center"/>
        <w:rPr>
          <w:rFonts w:hint="eastAsia" w:ascii="宋体" w:hAnsi="宋体"/>
          <w:b/>
          <w:color w:val="auto"/>
          <w:sz w:val="32"/>
          <w:szCs w:val="32"/>
          <w:highlight w:val="none"/>
        </w:rPr>
      </w:pPr>
    </w:p>
    <w:p w14:paraId="04E28FAE">
      <w:pPr>
        <w:spacing w:line="400" w:lineRule="exact"/>
        <w:jc w:val="center"/>
        <w:rPr>
          <w:rFonts w:hint="eastAsia" w:ascii="宋体" w:hAnsi="宋体"/>
          <w:b/>
          <w:color w:val="auto"/>
          <w:sz w:val="32"/>
          <w:szCs w:val="32"/>
          <w:highlight w:val="none"/>
        </w:rPr>
      </w:pPr>
    </w:p>
    <w:p w14:paraId="4B3349A2">
      <w:pPr>
        <w:spacing w:line="400" w:lineRule="exact"/>
        <w:jc w:val="center"/>
        <w:rPr>
          <w:rFonts w:hint="eastAsia" w:ascii="宋体" w:hAnsi="宋体"/>
          <w:b/>
          <w:color w:val="auto"/>
          <w:sz w:val="32"/>
          <w:szCs w:val="32"/>
          <w:highlight w:val="none"/>
        </w:rPr>
      </w:pPr>
    </w:p>
    <w:p w14:paraId="66C9BA43">
      <w:pPr>
        <w:spacing w:line="400" w:lineRule="exact"/>
        <w:jc w:val="center"/>
        <w:rPr>
          <w:rFonts w:hint="eastAsia" w:ascii="宋体" w:hAnsi="宋体"/>
          <w:b/>
          <w:color w:val="auto"/>
          <w:sz w:val="32"/>
          <w:szCs w:val="32"/>
          <w:highlight w:val="none"/>
        </w:rPr>
      </w:pPr>
    </w:p>
    <w:p w14:paraId="1943AEB4">
      <w:pPr>
        <w:spacing w:line="400" w:lineRule="exact"/>
        <w:jc w:val="center"/>
        <w:rPr>
          <w:rFonts w:hint="eastAsia" w:ascii="宋体" w:hAnsi="宋体"/>
          <w:b/>
          <w:color w:val="auto"/>
          <w:sz w:val="32"/>
          <w:szCs w:val="32"/>
          <w:highlight w:val="none"/>
        </w:rPr>
      </w:pPr>
    </w:p>
    <w:p w14:paraId="7B65AFE5">
      <w:pPr>
        <w:spacing w:line="400" w:lineRule="exact"/>
        <w:jc w:val="center"/>
        <w:rPr>
          <w:rFonts w:hint="eastAsia" w:ascii="宋体" w:hAnsi="宋体"/>
          <w:b/>
          <w:color w:val="auto"/>
          <w:sz w:val="32"/>
          <w:szCs w:val="32"/>
          <w:highlight w:val="none"/>
        </w:rPr>
      </w:pPr>
    </w:p>
    <w:p w14:paraId="593842D3">
      <w:pPr>
        <w:spacing w:line="400" w:lineRule="exact"/>
        <w:jc w:val="center"/>
        <w:rPr>
          <w:rFonts w:hint="eastAsia" w:ascii="宋体" w:hAnsi="宋体"/>
          <w:b/>
          <w:color w:val="auto"/>
          <w:sz w:val="32"/>
          <w:szCs w:val="32"/>
          <w:highlight w:val="none"/>
        </w:rPr>
      </w:pPr>
    </w:p>
    <w:p w14:paraId="10354443">
      <w:pPr>
        <w:spacing w:line="400" w:lineRule="exact"/>
        <w:jc w:val="center"/>
        <w:rPr>
          <w:rFonts w:hint="eastAsia" w:ascii="宋体" w:hAnsi="宋体"/>
          <w:b/>
          <w:color w:val="auto"/>
          <w:sz w:val="32"/>
          <w:szCs w:val="32"/>
          <w:highlight w:val="none"/>
        </w:rPr>
      </w:pPr>
    </w:p>
    <w:p w14:paraId="011F29D4">
      <w:pPr>
        <w:pStyle w:val="34"/>
        <w:rPr>
          <w:rFonts w:hint="eastAsia"/>
          <w:color w:val="auto"/>
          <w:sz w:val="44"/>
          <w:szCs w:val="44"/>
          <w:highlight w:val="none"/>
        </w:rPr>
      </w:pPr>
      <w:bookmarkStart w:id="53" w:name="_Toc476258664"/>
      <w:bookmarkStart w:id="54" w:name="_Toc476258758"/>
      <w:r>
        <w:rPr>
          <w:rFonts w:hint="eastAsia"/>
          <w:color w:val="auto"/>
          <w:sz w:val="44"/>
          <w:szCs w:val="44"/>
          <w:highlight w:val="none"/>
        </w:rPr>
        <w:t>第三章  采购需求</w:t>
      </w:r>
      <w:bookmarkEnd w:id="53"/>
      <w:bookmarkEnd w:id="54"/>
    </w:p>
    <w:p w14:paraId="4AAFBDC4">
      <w:pPr>
        <w:spacing w:line="720" w:lineRule="auto"/>
        <w:jc w:val="center"/>
        <w:rPr>
          <w:rFonts w:hint="eastAsia" w:ascii="宋体" w:hAnsi="宋体"/>
          <w:b/>
          <w:color w:val="auto"/>
          <w:sz w:val="32"/>
          <w:szCs w:val="32"/>
          <w:highlight w:val="none"/>
        </w:rPr>
      </w:pPr>
      <w:r>
        <w:rPr>
          <w:rFonts w:ascii="仿宋_GB2312" w:hAnsi="宋体" w:eastAsia="仿宋_GB2312"/>
          <w:b/>
          <w:color w:val="auto"/>
          <w:sz w:val="32"/>
          <w:szCs w:val="32"/>
          <w:highlight w:val="none"/>
        </w:rPr>
        <w:br w:type="page"/>
      </w:r>
      <w:r>
        <w:rPr>
          <w:rFonts w:hint="eastAsia" w:ascii="宋体" w:hAnsi="宋体"/>
          <w:b/>
          <w:color w:val="auto"/>
          <w:sz w:val="32"/>
          <w:szCs w:val="32"/>
          <w:highlight w:val="none"/>
        </w:rPr>
        <w:t>采购项目技术规格、参数及要求</w:t>
      </w:r>
    </w:p>
    <w:p w14:paraId="37D3A1DF">
      <w:pPr>
        <w:tabs>
          <w:tab w:val="left" w:pos="180"/>
          <w:tab w:val="left" w:pos="1620"/>
        </w:tabs>
        <w:spacing w:line="276"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一、采购项目编号：</w:t>
      </w:r>
      <w:r>
        <w:rPr>
          <w:rFonts w:hint="eastAsia" w:ascii="宋体" w:hAnsi="宋体"/>
          <w:color w:val="auto"/>
          <w:szCs w:val="21"/>
          <w:highlight w:val="none"/>
          <w:u w:val="single"/>
        </w:rPr>
        <w:t>GXZC2026-J1-001734-GLZB</w:t>
      </w:r>
    </w:p>
    <w:p w14:paraId="46683A77">
      <w:pPr>
        <w:tabs>
          <w:tab w:val="left" w:pos="180"/>
          <w:tab w:val="left" w:pos="1620"/>
        </w:tabs>
        <w:spacing w:line="276"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二、采购项目类别：</w:t>
      </w:r>
      <w:r>
        <w:rPr>
          <w:rFonts w:hint="eastAsia" w:ascii="宋体" w:hAnsi="宋体"/>
          <w:color w:val="auto"/>
          <w:szCs w:val="21"/>
          <w:highlight w:val="none"/>
          <w:u w:val="single"/>
        </w:rPr>
        <w:t xml:space="preserve">  货物类  </w:t>
      </w:r>
    </w:p>
    <w:p w14:paraId="7B9FB67C">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三、采购需求一览表</w:t>
      </w:r>
    </w:p>
    <w:p w14:paraId="2DC837B7">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说明：</w:t>
      </w:r>
    </w:p>
    <w:p w14:paraId="0A952DF9">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为落实政府采购政策需满足的要求</w:t>
      </w:r>
    </w:p>
    <w:p w14:paraId="00A79F41">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（1）本采购文件所称中小企业必须符合《政府采购促进中小企业发展管理办法》（财库〔2020〕46号）的规定。</w:t>
      </w:r>
    </w:p>
    <w:p w14:paraId="30DB2462">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竞标人的竞标货物必须使用政府强制采购的节能产品，竞标人必须在竞标文件（商务及技术文件）中提供所竞标产品的节能产品认证证书复印件（加盖竞标人电子签章），否则按无效竞标处理。如本项目包含的货物属于品目清单内非标注“★”的产品时，应优先采购，具体详见“第四章 评标方法及评标标准”。根据财库〔2019〕9号及财库〔2019〕19号文件规定，若采购货物属于以上品目清单的产品时，竞标人的竞标货物必须使用政府强制采购的节能产品，竞标人必须在竞标文件中提供由国家确定的认证机构出具的处于有效期之内的节能产品认证证书复印件（加盖竞标人公章），否则相应竞标无效。</w:t>
      </w:r>
    </w:p>
    <w:p w14:paraId="1A808C4C">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本国产品标准适用于货物，包括政府采购货物项目和服务项目中涉及的货物。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7736FFE">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根据《关于调整网络安全专用产品安全管理有关事项的公告》（2023第1号）规定，本项目采购需求中的产品如果包括《网络关键设备和网络安全专用产品目录》的网络安全专用产品，供应商在竞标文件中应主动列明供货范围中属于网络安全专用产品的竞标产品，并在竞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竞标处理。如属于《网络关键设备和网络安全专用产品目录》中“二、网络安全专用产品”内“产品类别”中的所描述的产品，但不属于所列“产品描述”情形的，应提供相应的说明及证明材料。</w:t>
      </w:r>
    </w:p>
    <w:p w14:paraId="47D3D702">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实质性要求”是指采购文件中已经指明不满足则竞标无效的条款，或者不能负偏离的条款，或者采购需求中带“▲”的条款。重要参数要求是指采购需求中带“●”的条款，作为评分内容；无标识则表示为一般技术参数要求，重要参数要求和一般技术参数要求如响应为负偏离，不会导致竞标被否决。</w:t>
      </w:r>
    </w:p>
    <w:p w14:paraId="702FAF2A">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需求中出现的品牌、型号或者生产厂家仅起参考作用，不属于指定品牌、型号或者生产厂家的情形。竞标人可参照或者选用其他相当的品牌、型号或者生产厂家替代，但选用的竞标产品参数性能必须满足实质性要求。</w:t>
      </w:r>
    </w:p>
    <w:p w14:paraId="6CF2B403">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 竞标人应根据自身实际情况如实响应采购文件，对采购文件提出的要求和条件作出明确响应，否则将作无效响应处理。对于重要技术条款或技术参数应当在竞标文件中提供技术支持资料，技术支持资料以采购文件中规定的形式为准，否则将视为无效技术支持资料。</w:t>
      </w:r>
    </w:p>
    <w:p w14:paraId="14E83860">
      <w:pPr>
        <w:tabs>
          <w:tab w:val="left" w:pos="180"/>
          <w:tab w:val="left" w:pos="162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5.竞标人必须自行为其竞标产品侵犯他人的知识产权或者专利成果的行为承担相应法律责任。</w:t>
      </w:r>
    </w:p>
    <w:p w14:paraId="051B39F3">
      <w:pPr>
        <w:spacing w:line="500" w:lineRule="exact"/>
        <w:ind w:firstLine="0" w:firstLineChars="0"/>
        <w:outlineLvl w:val="1"/>
        <w:rPr>
          <w:rFonts w:hint="eastAsia"/>
          <w:b/>
          <w:color w:val="auto"/>
          <w:highlight w:val="none"/>
        </w:rPr>
      </w:pPr>
      <w:r>
        <w:rPr>
          <w:rFonts w:hint="eastAsia" w:ascii="宋体" w:hAnsi="宋体"/>
          <w:b/>
          <w:color w:val="auto"/>
          <w:szCs w:val="21"/>
          <w:highlight w:val="none"/>
          <w:lang w:val="en-US" w:eastAsia="zh-CN"/>
        </w:rPr>
        <w:t>标项一</w:t>
      </w:r>
      <w:r>
        <w:rPr>
          <w:rFonts w:hint="eastAsia" w:ascii="宋体" w:hAnsi="宋体"/>
          <w:b/>
          <w:color w:val="auto"/>
          <w:szCs w:val="21"/>
          <w:highlight w:val="none"/>
        </w:rPr>
        <w:t>采购预算</w:t>
      </w:r>
      <w:r>
        <w:rPr>
          <w:rFonts w:hint="eastAsia" w:ascii="宋体" w:hAnsi="宋体"/>
          <w:b/>
          <w:color w:val="auto"/>
          <w:highlight w:val="none"/>
        </w:rPr>
        <w:t>95.30</w:t>
      </w:r>
      <w:r>
        <w:rPr>
          <w:rFonts w:hint="eastAsia"/>
          <w:b/>
          <w:color w:val="auto"/>
          <w:highlight w:val="none"/>
        </w:rPr>
        <w:t>万元</w:t>
      </w:r>
    </w:p>
    <w:tbl>
      <w:tblPr>
        <w:tblStyle w:val="37"/>
        <w:tblpPr w:leftFromText="180" w:rightFromText="180" w:vertAnchor="text" w:tblpXSpec="center" w:tblpY="1"/>
        <w:tblOverlap w:val="never"/>
        <w:tblW w:w="10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212"/>
        <w:gridCol w:w="496"/>
        <w:gridCol w:w="459"/>
        <w:gridCol w:w="5495"/>
        <w:gridCol w:w="1142"/>
        <w:gridCol w:w="1142"/>
      </w:tblGrid>
      <w:tr w14:paraId="600F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dxa"/>
            <w:noWrap w:val="0"/>
            <w:vAlign w:val="center"/>
          </w:tcPr>
          <w:p w14:paraId="29211A4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12" w:type="dxa"/>
            <w:noWrap w:val="0"/>
            <w:vAlign w:val="center"/>
          </w:tcPr>
          <w:p w14:paraId="6635649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496" w:type="dxa"/>
            <w:noWrap w:val="0"/>
            <w:vAlign w:val="center"/>
          </w:tcPr>
          <w:p w14:paraId="0098726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59" w:type="dxa"/>
            <w:noWrap w:val="0"/>
            <w:vAlign w:val="center"/>
          </w:tcPr>
          <w:p w14:paraId="51BE90BD">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495" w:type="dxa"/>
            <w:noWrap w:val="0"/>
            <w:vAlign w:val="center"/>
          </w:tcPr>
          <w:p w14:paraId="356883F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技术参数及性能配置要求</w:t>
            </w:r>
          </w:p>
        </w:tc>
        <w:tc>
          <w:tcPr>
            <w:tcW w:w="1142" w:type="dxa"/>
            <w:noWrap w:val="0"/>
            <w:vAlign w:val="center"/>
          </w:tcPr>
          <w:p w14:paraId="329DADA5">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分项预算金额（万元）</w:t>
            </w:r>
          </w:p>
        </w:tc>
        <w:tc>
          <w:tcPr>
            <w:tcW w:w="1142" w:type="dxa"/>
            <w:noWrap w:val="0"/>
            <w:vAlign w:val="center"/>
          </w:tcPr>
          <w:p w14:paraId="3216521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采购标的对应的中小企业划分标准所属行业</w:t>
            </w:r>
          </w:p>
        </w:tc>
      </w:tr>
      <w:tr w14:paraId="322C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dxa"/>
            <w:noWrap w:val="0"/>
            <w:vAlign w:val="center"/>
          </w:tcPr>
          <w:p w14:paraId="4DDC3378">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12" w:type="dxa"/>
            <w:noWrap w:val="0"/>
            <w:vAlign w:val="center"/>
          </w:tcPr>
          <w:p w14:paraId="7A2DBEB3">
            <w:pPr>
              <w:keepNext w:val="0"/>
              <w:keepLines w:val="0"/>
              <w:pageBreakBefore w:val="0"/>
              <w:widowControl/>
              <w:suppressLineNumbers w:val="0"/>
              <w:tabs>
                <w:tab w:val="left" w:pos="3150"/>
              </w:tabs>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传热操作实训装置（水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水）</w:t>
            </w:r>
          </w:p>
        </w:tc>
        <w:tc>
          <w:tcPr>
            <w:tcW w:w="496" w:type="dxa"/>
            <w:noWrap w:val="0"/>
            <w:vAlign w:val="center"/>
          </w:tcPr>
          <w:p w14:paraId="4F6C7540">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47F9DB1B">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10DE296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1、装置要求</w:t>
            </w:r>
          </w:p>
          <w:p w14:paraId="2662A23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（1）装置要求具有实训、考核、实验、研究功能，具有工厂情景化、操作实际化、控制自动化、故障模拟真实化。</w:t>
            </w:r>
          </w:p>
          <w:p w14:paraId="149B660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（2）装置要求设备采用不锈钢材料制作，装置框架为碳钢喷塑。</w:t>
            </w:r>
          </w:p>
          <w:p w14:paraId="5AFA325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（3）装置要求能进行开车准备、开车、正常操作、停车、异常故障处理等方面的技能操作训练和工艺指标控制操作技能训练。</w:t>
            </w:r>
          </w:p>
          <w:p w14:paraId="6CB4DEC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（4）装置要求包含不少于4种典型换热器，分别为：列管式换热器、浮头式换热器、板式换热器、套管式换热器。</w:t>
            </w:r>
          </w:p>
          <w:p w14:paraId="517BF26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（5）装置要求能测定列管式换热器冷热介质的进出口温度，计算列管换热器的传热系数，比较列管换热器中两种介质逆并流的优缺点。</w:t>
            </w:r>
          </w:p>
          <w:p w14:paraId="79606C0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（6）装置要求能测定浮头式换热器冷热介质的进出口温度，计算浮头式换热器的传热系数。</w:t>
            </w:r>
          </w:p>
          <w:p w14:paraId="1A57C7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（7）装置要求能测定板式换热器冷热介质的进出口温度，计算板式换热器的传热系数。</w:t>
            </w:r>
          </w:p>
          <w:p w14:paraId="6FD7670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（8）装置要求能测定套管式换热器冷热介质的进出口温度，计算套管式换热器的传热系数。</w:t>
            </w:r>
          </w:p>
          <w:p w14:paraId="4A36A60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（9）装置要求能进行安全设计和验证。</w:t>
            </w:r>
          </w:p>
          <w:p w14:paraId="520B1C1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（10）装置要求具有设定故障的功能。装置通过系统隐蔽发出故障干扰信号，能使正常运行的装置出现真实异常现象，培训学员发现、分析、排除工业生产过程故障的技能。</w:t>
            </w:r>
          </w:p>
          <w:p w14:paraId="243A8AB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（11）装置要求具有自动评分功能。</w:t>
            </w:r>
          </w:p>
          <w:p w14:paraId="61573D0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装置设备要求</w:t>
            </w:r>
          </w:p>
          <w:p w14:paraId="780AEE8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(1)列管式换热器，不小于Ф219×1300mm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，不锈钢材质，1台；</w:t>
            </w:r>
          </w:p>
          <w:p w14:paraId="5EA280A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(2)浮头式换热器，不小于Ф219×1200mm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，不锈钢材质，1台；</w:t>
            </w:r>
          </w:p>
          <w:p w14:paraId="6A26D17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(3)板式换热器，不小于550×150×200</w:t>
            </w:r>
            <w:r>
              <w:rPr>
                <w:rFonts w:hint="eastAsia" w:ascii="宋体" w:hAnsi="宋体" w:cs="宋体"/>
                <w:color w:val="auto"/>
                <w:kern w:val="2"/>
                <w:sz w:val="21"/>
                <w:szCs w:val="21"/>
                <w:highlight w:val="none"/>
                <w:lang w:val="en-US" w:eastAsia="zh-CN" w:bidi="ar"/>
              </w:rPr>
              <w:t>mm（</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，不锈钢材质换热片，1台；</w:t>
            </w:r>
          </w:p>
          <w:p w14:paraId="7D57DA8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(4)套管式换热器，不小于Ф57×900mm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，不锈钢材质，1台；</w:t>
            </w:r>
          </w:p>
          <w:p w14:paraId="28CD377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(5)热水罐，不小于Ф377×1000mm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，加热功率不低于18KW，不锈钢材质，1台；</w:t>
            </w:r>
          </w:p>
          <w:p w14:paraId="7171F21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(6)冷水罐，不小于Ф377×1000mm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，不锈钢材质，1台；</w:t>
            </w:r>
          </w:p>
          <w:p w14:paraId="28CC481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(7)热水泵，不锈钢自吸泵，电压：380VAC，流量不低于2.0m³/h，功率不低于0.5KW，1台；</w:t>
            </w:r>
          </w:p>
          <w:p w14:paraId="528CA93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(8)冷水泵，不锈钢离心泵，电压：380VAC，额定流量不低于2.0m³/h，功率不低于0.3KW，1台；</w:t>
            </w:r>
          </w:p>
          <w:p w14:paraId="78504B8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(9)框架，装置主体尺寸（长宽高）：不小于3800×2000×3600mm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，框架碳钢材质，并做喷塑处理。二层平台设计有安全斜梯通上，带步梯、防滑板和防护栏杆，1套。</w:t>
            </w:r>
          </w:p>
          <w:p w14:paraId="0F5C581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3、装置仪控检测系统要求</w:t>
            </w:r>
          </w:p>
          <w:p w14:paraId="6E5C30A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（1）铠装热电阻，分度号：Pt100，输出信号：4～20mA，不少于6台</w:t>
            </w:r>
            <w:r>
              <w:rPr>
                <w:rFonts w:hint="eastAsia" w:ascii="宋体" w:hAnsi="宋体" w:cs="宋体"/>
                <w:color w:val="auto"/>
                <w:kern w:val="2"/>
                <w:sz w:val="21"/>
                <w:szCs w:val="21"/>
                <w:highlight w:val="none"/>
                <w:lang w:val="en-US" w:eastAsia="zh-CN" w:bidi="ar"/>
              </w:rPr>
              <w:t>；</w:t>
            </w:r>
          </w:p>
          <w:p w14:paraId="0B7B4A0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（2）双金属温度计，套管材质：不锈钢，1台</w:t>
            </w:r>
            <w:r>
              <w:rPr>
                <w:rFonts w:hint="eastAsia" w:ascii="宋体" w:hAnsi="宋体" w:cs="宋体"/>
                <w:color w:val="auto"/>
                <w:kern w:val="2"/>
                <w:sz w:val="21"/>
                <w:szCs w:val="21"/>
                <w:highlight w:val="none"/>
                <w:lang w:val="en-US" w:eastAsia="zh-CN" w:bidi="ar"/>
              </w:rPr>
              <w:t>；</w:t>
            </w:r>
          </w:p>
          <w:p w14:paraId="305B1C0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（3）弹簧指针式压力表，表盘直径：100mm，连接方式：M20×1.5外螺纹，2台</w:t>
            </w:r>
            <w:r>
              <w:rPr>
                <w:rFonts w:hint="eastAsia" w:ascii="宋体" w:hAnsi="宋体" w:cs="宋体"/>
                <w:color w:val="auto"/>
                <w:kern w:val="2"/>
                <w:sz w:val="21"/>
                <w:szCs w:val="21"/>
                <w:highlight w:val="none"/>
                <w:lang w:val="en-US" w:eastAsia="zh-CN" w:bidi="ar"/>
              </w:rPr>
              <w:t>；</w:t>
            </w:r>
          </w:p>
          <w:p w14:paraId="7204C5E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（4）电磁流量计，输出信号：4～20mA，供电电压：24VDC，电极材质：304不锈钢，不少于2台</w:t>
            </w:r>
            <w:r>
              <w:rPr>
                <w:rFonts w:hint="eastAsia" w:ascii="宋体" w:hAnsi="宋体" w:cs="宋体"/>
                <w:color w:val="auto"/>
                <w:kern w:val="2"/>
                <w:sz w:val="21"/>
                <w:szCs w:val="21"/>
                <w:highlight w:val="none"/>
                <w:lang w:val="en-US" w:eastAsia="zh-CN" w:bidi="ar"/>
              </w:rPr>
              <w:t>；</w:t>
            </w:r>
          </w:p>
          <w:p w14:paraId="634920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（5）浮球开关，输出类型：无源干触点，触点容量：220V，5A，材质：304不锈钢，快装法兰安装，1台</w:t>
            </w:r>
            <w:r>
              <w:rPr>
                <w:rFonts w:hint="eastAsia" w:ascii="宋体" w:hAnsi="宋体" w:cs="宋体"/>
                <w:color w:val="auto"/>
                <w:kern w:val="2"/>
                <w:sz w:val="21"/>
                <w:szCs w:val="21"/>
                <w:highlight w:val="none"/>
                <w:lang w:val="en-US" w:eastAsia="zh-CN" w:bidi="ar"/>
              </w:rPr>
              <w:t>；</w:t>
            </w:r>
          </w:p>
          <w:p w14:paraId="4E50E8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（6）玻璃管式液位计，带金属护套，法兰安装，2台，</w:t>
            </w:r>
          </w:p>
          <w:p w14:paraId="5C13005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（7）电动开关阀，电动微型阀，供电电压：24VDC，动作方式：90°角行程，螺纹连接，1台</w:t>
            </w:r>
            <w:r>
              <w:rPr>
                <w:rFonts w:hint="eastAsia" w:ascii="宋体" w:hAnsi="宋体" w:cs="宋体"/>
                <w:color w:val="auto"/>
                <w:kern w:val="2"/>
                <w:sz w:val="21"/>
                <w:szCs w:val="21"/>
                <w:highlight w:val="none"/>
                <w:lang w:val="en-US" w:eastAsia="zh-CN" w:bidi="ar"/>
              </w:rPr>
              <w:t>；</w:t>
            </w:r>
          </w:p>
          <w:p w14:paraId="5C023F9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（8）调节阀，电动V型球阀，控制信号：4～20mA，供电：24V DC，阀体材质：304不锈钢，法兰连接，不少于2台</w:t>
            </w:r>
            <w:r>
              <w:rPr>
                <w:rFonts w:hint="eastAsia" w:ascii="宋体" w:hAnsi="宋体" w:cs="宋体"/>
                <w:color w:val="auto"/>
                <w:kern w:val="2"/>
                <w:sz w:val="21"/>
                <w:szCs w:val="21"/>
                <w:highlight w:val="none"/>
                <w:lang w:val="en-US" w:eastAsia="zh-CN" w:bidi="ar"/>
              </w:rPr>
              <w:t>；</w:t>
            </w:r>
          </w:p>
          <w:p w14:paraId="2D07854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（9）调压模块，控制信号：4～20mA，工作电压：380VAC，负载类型：9kW阻性，不少于1台</w:t>
            </w:r>
            <w:r>
              <w:rPr>
                <w:rFonts w:hint="eastAsia" w:ascii="宋体" w:hAnsi="宋体" w:cs="宋体"/>
                <w:color w:val="auto"/>
                <w:kern w:val="2"/>
                <w:sz w:val="21"/>
                <w:szCs w:val="21"/>
                <w:highlight w:val="none"/>
                <w:lang w:val="en-US" w:eastAsia="zh-CN" w:bidi="ar"/>
              </w:rPr>
              <w:t>；</w:t>
            </w:r>
          </w:p>
          <w:p w14:paraId="63BF3F9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（10）操作台，</w:t>
            </w:r>
            <w:r>
              <w:rPr>
                <w:rFonts w:hint="eastAsia" w:ascii="宋体" w:hAnsi="宋体" w:cs="宋体"/>
                <w:color w:val="auto"/>
                <w:kern w:val="2"/>
                <w:sz w:val="21"/>
                <w:szCs w:val="21"/>
                <w:highlight w:val="none"/>
                <w:lang w:val="en-US" w:eastAsia="zh-CN" w:bidi="ar"/>
              </w:rPr>
              <w:t>钢质</w:t>
            </w:r>
            <w:r>
              <w:rPr>
                <w:rFonts w:hint="eastAsia" w:ascii="宋体" w:hAnsi="宋体" w:eastAsia="宋体" w:cs="宋体"/>
                <w:color w:val="auto"/>
                <w:kern w:val="2"/>
                <w:sz w:val="21"/>
                <w:szCs w:val="21"/>
                <w:highlight w:val="none"/>
                <w:lang w:val="en-US" w:eastAsia="zh-CN" w:bidi="ar"/>
              </w:rPr>
              <w:t>喷塑材质，内安装漏电保护空气开关，保证设备安全，操作控制便捷。操作台配置有开关控制、指示灯和声光报警系统等。内嵌操作站1台：配置键盘鼠标，不小于21.5”显示屏</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1套。</w:t>
            </w:r>
          </w:p>
          <w:p w14:paraId="3DCFAE2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4、控制系统要求</w:t>
            </w:r>
          </w:p>
          <w:p w14:paraId="73859F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CPU具有1G主频，编译型指令，位</w:t>
            </w:r>
            <w:r>
              <w:rPr>
                <w:rFonts w:hint="eastAsia" w:ascii="宋体" w:hAnsi="宋体" w:cs="宋体"/>
                <w:color w:val="auto"/>
                <w:kern w:val="2"/>
                <w:sz w:val="21"/>
                <w:szCs w:val="21"/>
                <w:highlight w:val="none"/>
                <w:lang w:val="en-US" w:eastAsia="zh-CN" w:bidi="ar"/>
              </w:rPr>
              <w:t>运算</w:t>
            </w:r>
            <w:r>
              <w:rPr>
                <w:rFonts w:hint="eastAsia" w:ascii="宋体" w:hAnsi="宋体" w:eastAsia="宋体" w:cs="宋体"/>
                <w:color w:val="auto"/>
                <w:kern w:val="2"/>
                <w:sz w:val="21"/>
                <w:szCs w:val="21"/>
                <w:highlight w:val="none"/>
                <w:lang w:val="en-US" w:eastAsia="zh-CN" w:bidi="ar"/>
              </w:rPr>
              <w:t>≥0.01μs。I/O刷新速度≥125μs，100Mbps背板总线，支持数据断电保存，掉电1s保持。双网口设计，可以级联，可实现内外网隔离。本体可扩展16个本地模块。并且支持72个EtherCAT从站。支持4G、</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、RJ45传输方式；支持VPN远传上下载；支持MQTT、API等云协议。</w:t>
            </w:r>
          </w:p>
          <w:p w14:paraId="7FDD447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5、自动评分系统要求</w:t>
            </w:r>
          </w:p>
          <w:p w14:paraId="366322E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装置要求配置有自动评分系统。自动评分系统自动采集系统各个设备的工艺变量，包括但不限于流量、温度、液位、压力等工艺变量，还包括动力设备状态、调节阀开度等设备状态变量等。可以对操作者的操作步骤、故障处理等过程进行自动评判。竞标时需提供体现操作步骤名、详细描述、分值、得分、使能条件、正确条件六大核心功能的自动评分系统操作界面截图予以佐证。</w:t>
            </w:r>
          </w:p>
          <w:p w14:paraId="73B9B34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olor w:val="auto"/>
                <w:szCs w:val="21"/>
                <w:highlight w:val="none"/>
              </w:rPr>
              <w:t>▲</w:t>
            </w:r>
            <w:r>
              <w:rPr>
                <w:rFonts w:hint="eastAsia" w:ascii="宋体" w:hAnsi="宋体" w:eastAsia="宋体" w:cs="宋体"/>
                <w:color w:val="auto"/>
                <w:kern w:val="2"/>
                <w:sz w:val="21"/>
                <w:szCs w:val="21"/>
                <w:highlight w:val="none"/>
                <w:lang w:val="en-US" w:eastAsia="zh-CN" w:bidi="ar"/>
              </w:rPr>
              <w:t>竞标时需提供装置的工艺流程图、控制系统的主监控流程图截图、布局配管图、主设备的结构图、三维效果图、装置照片等资料。</w:t>
            </w:r>
          </w:p>
          <w:p w14:paraId="57F78F8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6、内网安全管理系统：1个点位</w:t>
            </w:r>
          </w:p>
          <w:p w14:paraId="0BFDBDC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olor w:val="auto"/>
                <w:szCs w:val="21"/>
                <w:highlight w:val="none"/>
              </w:rPr>
              <w:t>▲</w:t>
            </w:r>
            <w:r>
              <w:rPr>
                <w:rFonts w:hint="eastAsia" w:ascii="宋体" w:hAnsi="宋体" w:eastAsia="宋体" w:cs="宋体"/>
                <w:color w:val="auto"/>
                <w:kern w:val="2"/>
                <w:sz w:val="21"/>
                <w:szCs w:val="21"/>
                <w:highlight w:val="none"/>
                <w:lang w:val="en-US" w:eastAsia="zh-CN" w:bidi="ar"/>
              </w:rPr>
              <w:t>（1）系统至少应具有：在线状态监测、系统资源监测、软件安装使用情况监测、非授权外联监控、系统服务监控、进程监控、网络端口监控、移动存储介质监控、外围接口监控、远程桌面监控功能，且符合内网主机监测产品安全技术要求（</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2B6BE53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（2）本地查看：客户端程序提供本地信息查看功能，终端使用人可查看本地计算机健康状态、账户信息、共享信息、补丁安装状态、软硬件资产信息、进程运行情况、服务运行情况；</w:t>
            </w:r>
          </w:p>
          <w:p w14:paraId="2F7A72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（3）数据安全：支持对移动存储数据进行透明加密。经过系统格式化为多个分区并注册的U盘，至少包括启动区、交换区、加密区、日志区（竞标时</w:t>
            </w:r>
            <w:r>
              <w:rPr>
                <w:rFonts w:hint="eastAsia" w:ascii="宋体" w:hAnsi="宋体" w:cs="宋体"/>
                <w:color w:val="auto"/>
                <w:kern w:val="2"/>
                <w:sz w:val="21"/>
                <w:szCs w:val="21"/>
                <w:highlight w:val="none"/>
                <w:lang w:val="en-US" w:eastAsia="zh-CN" w:bidi="ar"/>
              </w:rPr>
              <w:t>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bCs w:val="0"/>
                <w:color w:val="auto"/>
                <w:szCs w:val="21"/>
                <w:highlight w:val="none"/>
                <w:lang w:eastAsia="zh-CN"/>
              </w:rPr>
              <w:t>）</w:t>
            </w:r>
            <w:r>
              <w:rPr>
                <w:rFonts w:hint="eastAsia" w:ascii="宋体" w:hAnsi="宋体" w:eastAsia="宋体" w:cs="宋体"/>
                <w:color w:val="auto"/>
                <w:kern w:val="2"/>
                <w:sz w:val="21"/>
                <w:szCs w:val="21"/>
                <w:highlight w:val="none"/>
                <w:lang w:val="en-US" w:eastAsia="zh-CN" w:bidi="ar"/>
              </w:rPr>
              <w:t>；</w:t>
            </w:r>
          </w:p>
          <w:p w14:paraId="7E3EE1C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4）安全网管：系统支持网管功能，能够自动发现可网管网络设备，自动生成网络物理连接拓扑图，网络拓扑结构图可显示PC终端连接和开机情况，显示终端IP地址。支持故障定位，依据IP地址或者MAC地址进行故障主机的查询，并且在网络拓扑图中显示（</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1967AF3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（5）应用程序管理：控制客户端本地环境上可使用的应用软件范围，禁止非法软件程序的安装和使用，支持黑、白、红三种名单方式；</w:t>
            </w:r>
          </w:p>
          <w:p w14:paraId="03CCBAA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（6）违规外联管理，能够对终端计算机的违规外联行为进行控制，实时检测试图接入互联网的行为，一旦出现违规外联行为，系统自动报警并进行阻断（</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2F69AFD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（7）安全态势检查：系统支持终端安全态势检查，能自定义周期对安全事件进行统计，并以图形化输出。对终端计算机的安全状况的评分，可根据需要自定义安全评估项的分值。</w:t>
            </w:r>
          </w:p>
        </w:tc>
        <w:tc>
          <w:tcPr>
            <w:tcW w:w="1142" w:type="dxa"/>
            <w:noWrap w:val="0"/>
            <w:vAlign w:val="center"/>
          </w:tcPr>
          <w:p w14:paraId="704E01E8">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25.20</w:t>
            </w:r>
          </w:p>
        </w:tc>
        <w:tc>
          <w:tcPr>
            <w:tcW w:w="1142" w:type="dxa"/>
            <w:noWrap w:val="0"/>
            <w:vAlign w:val="center"/>
          </w:tcPr>
          <w:p w14:paraId="6E48CD37">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工业</w:t>
            </w:r>
          </w:p>
        </w:tc>
      </w:tr>
      <w:tr w14:paraId="4F47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dxa"/>
            <w:noWrap w:val="0"/>
            <w:vAlign w:val="center"/>
          </w:tcPr>
          <w:p w14:paraId="081C15DA">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12" w:type="dxa"/>
            <w:noWrap w:val="0"/>
            <w:vAlign w:val="center"/>
          </w:tcPr>
          <w:p w14:paraId="71086595">
            <w:pPr>
              <w:keepNext w:val="0"/>
              <w:keepLines w:val="0"/>
              <w:pageBreakBefore w:val="0"/>
              <w:widowControl/>
              <w:suppressLineNumbers w:val="0"/>
              <w:tabs>
                <w:tab w:val="left" w:pos="3150"/>
              </w:tabs>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吸收解吸操作实训装置</w:t>
            </w:r>
          </w:p>
        </w:tc>
        <w:tc>
          <w:tcPr>
            <w:tcW w:w="496" w:type="dxa"/>
            <w:noWrap w:val="0"/>
            <w:vAlign w:val="center"/>
          </w:tcPr>
          <w:p w14:paraId="63FDDA23">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0E6248C0">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7CDCCE4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1、装置要求</w:t>
            </w:r>
          </w:p>
          <w:p w14:paraId="33A4E4A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（1）装置要求具有实训、考核、实验、研究功能，具有工厂情景化、操作实际化、控制自动化、故障模拟真实化特点。</w:t>
            </w:r>
          </w:p>
          <w:p w14:paraId="731F009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（2）装置要求设备采用不锈钢材料制作，装置框架为碳钢喷塑。</w:t>
            </w:r>
          </w:p>
          <w:p w14:paraId="0EB4865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（3）装置要求能进行开车准备、开车、正常操作、停车、异常故障处理等方面的技能操作训练和工艺指标控制操作技能训练。</w:t>
            </w:r>
          </w:p>
          <w:p w14:paraId="646F732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（4）装置要求涵盖吸收解吸的典型设备及二氧化碳吸收解吸工艺流程。</w:t>
            </w:r>
          </w:p>
          <w:p w14:paraId="5019411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（5）装置要求能测定吸收效率。</w:t>
            </w:r>
          </w:p>
          <w:p w14:paraId="3ECC430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（6）装置要求能测定解吸效率。</w:t>
            </w:r>
          </w:p>
          <w:p w14:paraId="12D2441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（7）装置要求能学会二氧化碳分析仪的使用方法。</w:t>
            </w:r>
          </w:p>
          <w:p w14:paraId="59A245F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（8）装置要求能进行安全联锁设计和验证。</w:t>
            </w:r>
          </w:p>
          <w:p w14:paraId="70437D7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（9）装置要求具有设定故障的功能。装置通过系统隐蔽发出故障干扰信号，能使正常运行的装置出现真实异常现象，培训学员发现、分析、排除工业生产过程故障的技能。</w:t>
            </w:r>
          </w:p>
          <w:p w14:paraId="4C107B6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（10）装置要求具有自动评分功能。</w:t>
            </w:r>
          </w:p>
          <w:p w14:paraId="0D0585C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2、装置设备要求</w:t>
            </w:r>
          </w:p>
          <w:p w14:paraId="0BE1755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(1)静态混合器，不锈钢管道混合器，DN25，1台；</w:t>
            </w:r>
          </w:p>
          <w:p w14:paraId="35FBCC8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(2)吸收塔，不小于Ф150×Ф273×3400mm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，不锈钢材质。设计有玻璃视镜口，内装陶瓷填料，1台；</w:t>
            </w:r>
          </w:p>
          <w:p w14:paraId="666A8E4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(3)解吸塔，不小于Ф150×Ф273×3400mm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，不锈钢材质。设计有玻璃视镜口，内装陶瓷填料，1台；</w:t>
            </w:r>
          </w:p>
          <w:p w14:paraId="2287BD5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(4)贫液罐，不小于Ф377×1000mm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，不锈钢材质，1台；</w:t>
            </w:r>
          </w:p>
          <w:p w14:paraId="3B52012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(5)气液分离罐，不小于Ф150×300mm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，不锈钢材质，2台；</w:t>
            </w:r>
          </w:p>
          <w:p w14:paraId="604E2BC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(6)富液泵，不锈钢离心泵，额定流量不低于1m³/h，功率不小于0.2KW，1台；</w:t>
            </w:r>
          </w:p>
          <w:p w14:paraId="757C9A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(7)贫液泵，不锈钢离心泵，额定流量不低于1m³/h，功率不小于0.2KW，2台；</w:t>
            </w:r>
          </w:p>
          <w:p w14:paraId="3F5462D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(8)吸收风机，旋涡式气泵，最大风量不低于35m³/h，功率不小于200W，1台；</w:t>
            </w:r>
          </w:p>
          <w:p w14:paraId="4B7F6A8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(9)解吸风机，旋涡式气泵，最大风量不低于95m³/h，功率不小于500W，1台；</w:t>
            </w:r>
          </w:p>
          <w:p w14:paraId="3073ACB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(10)框架，装置主体尺寸（长宽高）：不小于3800×2000×3600mm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，框架碳钢材质，并做喷塑处理。二层平台设计有安全斜梯通上，带步梯、防滑板和防护栏杆，1套；</w:t>
            </w:r>
          </w:p>
          <w:p w14:paraId="5DF3DA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3、装置仪控检测系统要求</w:t>
            </w:r>
          </w:p>
          <w:p w14:paraId="3992B6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(1)铂电阻，分度号：Pt100，不少于4台；</w:t>
            </w:r>
          </w:p>
          <w:p w14:paraId="02078A9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(2)压力变送器，输出信号：4～20mA，电源：24VDC，不少于2台；</w:t>
            </w:r>
          </w:p>
          <w:p w14:paraId="6075DDB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(3)弹簧指针式压力表，表盘直径：100mm，连接方式： M20×1.5外螺纹，6台；</w:t>
            </w:r>
          </w:p>
          <w:p w14:paraId="6F45B28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(4)电磁流量计，输出信号：4～20mA，供电电压：24VDC，电极材质：304不锈钢，不少于2台；</w:t>
            </w:r>
          </w:p>
          <w:p w14:paraId="6A7896F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(5)孔板流量计，输出信号：4～20mADC，电源：24VDC，不少于2台；</w:t>
            </w:r>
          </w:p>
          <w:p w14:paraId="113D0AD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(6)玻璃转子流量计，螺纹连接，1台；</w:t>
            </w:r>
          </w:p>
          <w:p w14:paraId="017C40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(7)差压变送器，输出信号：4～20mADC，电源：24VDC，不少于2台；</w:t>
            </w:r>
          </w:p>
          <w:p w14:paraId="1FDA791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(8)玻璃管式液位计，带金属护套，法兰安装，3台；</w:t>
            </w:r>
          </w:p>
          <w:p w14:paraId="3839AAE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(9)调节阀，电动V型球阀，控制信号：4～20mA，供电：24V DC，阀体材质：304不锈钢，不少于2台；</w:t>
            </w:r>
          </w:p>
          <w:p w14:paraId="0035417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(10)二氧化碳分析仪，供电电源：24V DC，输出信号：4～20mA，配套有24V进气泵和干燥器，1台；</w:t>
            </w:r>
          </w:p>
          <w:p w14:paraId="30217EA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（11）操作台，</w:t>
            </w:r>
            <w:r>
              <w:rPr>
                <w:rFonts w:hint="eastAsia" w:ascii="宋体" w:hAnsi="宋体" w:cs="宋体"/>
                <w:color w:val="auto"/>
                <w:kern w:val="2"/>
                <w:sz w:val="21"/>
                <w:szCs w:val="21"/>
                <w:highlight w:val="none"/>
                <w:lang w:val="en-US" w:eastAsia="zh-CN" w:bidi="ar"/>
              </w:rPr>
              <w:t>钢质</w:t>
            </w:r>
            <w:r>
              <w:rPr>
                <w:rFonts w:hint="eastAsia" w:ascii="宋体" w:hAnsi="宋体" w:eastAsia="宋体" w:cs="宋体"/>
                <w:color w:val="auto"/>
                <w:kern w:val="2"/>
                <w:sz w:val="21"/>
                <w:szCs w:val="21"/>
                <w:highlight w:val="none"/>
                <w:lang w:val="en-US" w:eastAsia="zh-CN" w:bidi="ar"/>
              </w:rPr>
              <w:t>喷塑材质，内安装漏电保护空气开关，保证设备安全，操作控制便捷。操作台配置有开关控制、指示灯和声光报警系统等。内嵌操作站1台：配置键盘鼠标，不小于21.5”显示屏，1套</w:t>
            </w:r>
            <w:r>
              <w:rPr>
                <w:rFonts w:hint="eastAsia" w:ascii="宋体" w:hAnsi="宋体" w:cs="宋体"/>
                <w:color w:val="auto"/>
                <w:kern w:val="2"/>
                <w:sz w:val="21"/>
                <w:szCs w:val="21"/>
                <w:highlight w:val="none"/>
                <w:lang w:val="en-US" w:eastAsia="zh-CN" w:bidi="ar"/>
              </w:rPr>
              <w:t>。</w:t>
            </w:r>
          </w:p>
          <w:p w14:paraId="4DB5CFB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4、控制系统要求</w:t>
            </w:r>
          </w:p>
          <w:p w14:paraId="49A4A7E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CPU具有1G主频，编译型指令，位</w:t>
            </w:r>
            <w:r>
              <w:rPr>
                <w:rFonts w:hint="eastAsia" w:ascii="宋体" w:hAnsi="宋体" w:cs="宋体"/>
                <w:color w:val="auto"/>
                <w:kern w:val="2"/>
                <w:sz w:val="21"/>
                <w:szCs w:val="21"/>
                <w:highlight w:val="none"/>
                <w:lang w:val="en-US" w:eastAsia="zh-CN" w:bidi="ar"/>
              </w:rPr>
              <w:t>运算</w:t>
            </w:r>
            <w:r>
              <w:rPr>
                <w:rFonts w:hint="eastAsia" w:ascii="宋体" w:hAnsi="宋体" w:eastAsia="宋体" w:cs="宋体"/>
                <w:color w:val="auto"/>
                <w:kern w:val="2"/>
                <w:sz w:val="21"/>
                <w:szCs w:val="21"/>
                <w:highlight w:val="none"/>
                <w:lang w:val="en-US" w:eastAsia="zh-CN" w:bidi="ar"/>
              </w:rPr>
              <w:t>≥0.01μs。I/O刷新速度≥125μs，100Mbps背板总线，支持数据断电保存，掉电1s保持。双网口设计，可以级联，可实现内外网隔离。本体可扩展16个本地模块。并且支持72个EtherCAT从站。支持4G、</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、RJ45传输方式；支持VPN远传上下载；支持MQTT、API等云协议。</w:t>
            </w:r>
          </w:p>
          <w:p w14:paraId="619F5AA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5、自动评分系统要求</w:t>
            </w:r>
          </w:p>
          <w:p w14:paraId="74BF3B3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装置要求配置有自动评分系统。自动评分系统自动采集系统各个设备的工艺变量，包括但不限于流量、温度、液位、压力等工艺变量，还包括动力设备状态、调节阀开度等设备状态变量等。可以对操作者的操作步骤、故障处理等过程进行自动评判。竞标时需提供体现操作步骤名、详细描述、分值、得分、使能条件、正确条件六大核心功能的自动评分系统操作界面截图予以佐证。</w:t>
            </w:r>
          </w:p>
          <w:p w14:paraId="309B7E9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olor w:val="auto"/>
                <w:szCs w:val="21"/>
                <w:highlight w:val="none"/>
              </w:rPr>
              <w:t>▲</w:t>
            </w:r>
            <w:r>
              <w:rPr>
                <w:rFonts w:hint="eastAsia" w:ascii="宋体" w:hAnsi="宋体" w:eastAsia="宋体" w:cs="宋体"/>
                <w:color w:val="auto"/>
                <w:kern w:val="2"/>
                <w:sz w:val="21"/>
                <w:szCs w:val="21"/>
                <w:highlight w:val="none"/>
                <w:lang w:val="en-US" w:eastAsia="zh-CN" w:bidi="ar"/>
              </w:rPr>
              <w:t>竞标时需提供装置的工艺流程图、控制系统的主监控流程图截图、布局配管图、主设备的结构图、三维效果图、装置照片等资料。</w:t>
            </w:r>
          </w:p>
          <w:p w14:paraId="6B7CEDB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6、内网安全管理系统：1个点位</w:t>
            </w:r>
          </w:p>
          <w:p w14:paraId="5453B9B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1）系统至少应具有：在线状态监测、系统资源监测、软件安装使用情况监测、非授权外联监控、系统服务监控、进程监控、网络端口监控、移动存储介质监控、外围接口监控、远程桌面监控功能，且符合内网主机监测产品安全技术要求（</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0394745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（2）本地查看：客户端程序提供本地信息查看功能，终端使用人可查看本地计算机健康状态、账户信息、共享信息、补丁安装状态、软硬件资产信息、进程运行情况、服务运行情况；</w:t>
            </w:r>
          </w:p>
          <w:p w14:paraId="2548559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olor w:val="auto"/>
                <w:szCs w:val="21"/>
                <w:highlight w:val="none"/>
              </w:rPr>
              <w:t>▲</w:t>
            </w:r>
            <w:r>
              <w:rPr>
                <w:rFonts w:hint="eastAsia" w:ascii="宋体" w:hAnsi="宋体" w:eastAsia="宋体" w:cs="宋体"/>
                <w:color w:val="auto"/>
                <w:kern w:val="2"/>
                <w:sz w:val="21"/>
                <w:szCs w:val="21"/>
                <w:highlight w:val="none"/>
                <w:lang w:val="en-US" w:eastAsia="zh-CN" w:bidi="ar"/>
              </w:rPr>
              <w:t>（3）数据安全：支持对移动存储数据进行透明加密。经过系统格式化为多个分区并注册的U盘，至少包括启动区、交换区、加密区、日志区（</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1ECEE71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4）安全网管：系统支持网管功能，能够自动发现可网管网络设备，自动生成网络物理连接拓扑图，网络拓扑结构图可显示PC终端连接和开机情况，显示终端IP地址。支持故障定位，依据IP地址或者MAC地址进行故障主机的查询，并且在网络拓扑图中显示（</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default" w:ascii="Times New Roman" w:hAnsi="Times New Roman" w:eastAsia="宋体" w:cs="Times New Roman"/>
                <w:b w:val="0"/>
                <w:bCs w:val="0"/>
                <w:color w:val="auto"/>
                <w:kern w:val="2"/>
                <w:sz w:val="21"/>
                <w:szCs w:val="21"/>
                <w:highlight w:val="none"/>
                <w:lang w:val="en-US" w:eastAsia="zh-CN" w:bidi="ar"/>
              </w:rPr>
              <w:t>）；</w:t>
            </w:r>
          </w:p>
          <w:p w14:paraId="3E88DD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（5）应用程序管理：控制客户端本地环境上可使用的应用软件范围，禁止非法软件程序的安装和使用，支持黑、白、红三种名单方式；</w:t>
            </w:r>
          </w:p>
          <w:p w14:paraId="44B018A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（6）违规外联管理，能够对终端计算机的违规外联行为进行控制，实时检测试图接入互联网的行为，一旦出现违规外联行为，系统自动报警并进行阻断（</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bCs w:val="0"/>
                <w:color w:val="auto"/>
                <w:szCs w:val="21"/>
                <w:highlight w:val="none"/>
                <w:lang w:eastAsia="zh-CN"/>
              </w:rPr>
              <w:t>）</w:t>
            </w:r>
            <w:r>
              <w:rPr>
                <w:rFonts w:hint="eastAsia" w:ascii="宋体" w:hAnsi="宋体" w:eastAsia="宋体" w:cs="宋体"/>
                <w:color w:val="auto"/>
                <w:kern w:val="2"/>
                <w:sz w:val="21"/>
                <w:szCs w:val="21"/>
                <w:highlight w:val="none"/>
                <w:lang w:val="en-US" w:eastAsia="zh-CN" w:bidi="ar"/>
              </w:rPr>
              <w:t>；</w:t>
            </w:r>
          </w:p>
          <w:p w14:paraId="561B84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（7）安全态势检查：系统支持终端安全态势检查，能自定义周期对安全事件进行统计，并以图形化输出。对终端计算机的安全状况的评分，可根据需要自定义安全评估项的分值。</w:t>
            </w:r>
          </w:p>
        </w:tc>
        <w:tc>
          <w:tcPr>
            <w:tcW w:w="1142" w:type="dxa"/>
            <w:noWrap w:val="0"/>
            <w:vAlign w:val="center"/>
          </w:tcPr>
          <w:p w14:paraId="03C1C9D5">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p>
        </w:tc>
        <w:tc>
          <w:tcPr>
            <w:tcW w:w="1142" w:type="dxa"/>
            <w:noWrap w:val="0"/>
            <w:vAlign w:val="center"/>
          </w:tcPr>
          <w:p w14:paraId="2B215179">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6D82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dxa"/>
            <w:noWrap w:val="0"/>
            <w:vAlign w:val="center"/>
          </w:tcPr>
          <w:p w14:paraId="6FB24241">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12" w:type="dxa"/>
            <w:noWrap w:val="0"/>
            <w:vAlign w:val="center"/>
          </w:tcPr>
          <w:p w14:paraId="6387672F">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流体输送操作实训装置</w:t>
            </w:r>
          </w:p>
        </w:tc>
        <w:tc>
          <w:tcPr>
            <w:tcW w:w="496" w:type="dxa"/>
            <w:noWrap w:val="0"/>
            <w:vAlign w:val="center"/>
          </w:tcPr>
          <w:p w14:paraId="6A31FB4C">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3F987D74">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7A32328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装置要求</w:t>
            </w:r>
          </w:p>
          <w:p w14:paraId="6D60A5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（1）装置要求具有实训、考核、实验、研究功能，具有工厂情景化、操作实际化、控制自动化、故障模拟真实化特点。</w:t>
            </w:r>
          </w:p>
          <w:p w14:paraId="6AE6B0E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（2）装置要求设备采用不锈钢材料制作，装置框架为碳钢喷塑。</w:t>
            </w:r>
          </w:p>
          <w:p w14:paraId="2B103D0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（3）装置要求能进行开车准备、开车、正常操作、停车、异常故障处理等方面的技能操作训练和工艺指标控制操作技能训练。</w:t>
            </w:r>
          </w:p>
          <w:p w14:paraId="4C327F0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（4）装置需至少包括泵输送、压力输送、真空输送、高位输送。</w:t>
            </w:r>
          </w:p>
          <w:p w14:paraId="5B53B8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（5）装置要求能测定离心泵特性曲线。</w:t>
            </w:r>
          </w:p>
          <w:p w14:paraId="72859B9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（6）装置要求能测定光滑管、粗糙管、局部阻力管的流量与压差的关系，了解掌握流体阻力测定方法。</w:t>
            </w:r>
          </w:p>
          <w:p w14:paraId="462FF56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（7）装置要求能进行安全联锁设计和验证。</w:t>
            </w:r>
          </w:p>
          <w:p w14:paraId="27A0233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（8）装置要求具有设定故障的功能。装置通过系统隐蔽发出故障干扰信号，能使正常运行的装置出现真实异常现象，培训学员发现、分析、排除工业生产过程故障的技能。</w:t>
            </w:r>
          </w:p>
          <w:p w14:paraId="0BA0904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（9）装置要求具有自动评分功能。</w:t>
            </w:r>
          </w:p>
          <w:p w14:paraId="5A7623C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2、装置设备要求</w:t>
            </w:r>
          </w:p>
          <w:p w14:paraId="59688F2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（1）原料槽，不小于Ф377×1000mm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，不锈钢材质，2台；</w:t>
            </w:r>
          </w:p>
          <w:p w14:paraId="00E8B8D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（2）高位槽，不小于Ф377×1000mm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，不锈钢材质，1台；</w:t>
            </w:r>
          </w:p>
          <w:p w14:paraId="70A114E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（3）水罐，不小于Ф273×1000mm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，不锈钢材质，1台；</w:t>
            </w:r>
          </w:p>
          <w:p w14:paraId="50EE108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（4）离心泵，不锈钢离心泵，电压：380VAC，额定流量不低于2.0m³/h，功率不小于0.3KW，2台；</w:t>
            </w:r>
          </w:p>
          <w:p w14:paraId="1DA5D03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（5）真空泵，水环真空泵，电压：380VAC，最大气量不低于0.4m³/min，功率不小于0.8KW，1台；</w:t>
            </w:r>
          </w:p>
          <w:p w14:paraId="1780203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（6）旋涡泵，220V，额定流量：0.5-2.0m³/h，功率不小于0.5KW，1台；</w:t>
            </w:r>
          </w:p>
          <w:p w14:paraId="568BDD2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（7）空压机，静音无油空压机，排气量不低于110L/min，功率不小于500W，电压：220V，1台；</w:t>
            </w:r>
          </w:p>
          <w:p w14:paraId="0ACA25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（8）框架，装置主体尺寸（长宽高）：不小于3800×2000×3700mm</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，框架碳钢材质，并做喷塑处理。二层平台设计有安全斜梯通上，带步梯、防滑板和防护栏杆，1套；</w:t>
            </w:r>
          </w:p>
          <w:p w14:paraId="06FA4CD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3、装置仪控检测系统要求</w:t>
            </w:r>
          </w:p>
          <w:p w14:paraId="3326CB6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（1）铂电阻，分度号：Pt100，1台</w:t>
            </w:r>
            <w:r>
              <w:rPr>
                <w:rFonts w:hint="eastAsia" w:ascii="宋体" w:hAnsi="宋体" w:cs="宋体"/>
                <w:color w:val="auto"/>
                <w:kern w:val="2"/>
                <w:sz w:val="21"/>
                <w:szCs w:val="21"/>
                <w:highlight w:val="none"/>
                <w:lang w:val="en-US" w:eastAsia="zh-CN" w:bidi="ar"/>
              </w:rPr>
              <w:t>；</w:t>
            </w:r>
          </w:p>
          <w:p w14:paraId="534E151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（2）压力变送器，输出信号：4～20mA，电源：24VDC，不少于4台</w:t>
            </w:r>
            <w:r>
              <w:rPr>
                <w:rFonts w:hint="eastAsia" w:ascii="宋体" w:hAnsi="宋体" w:cs="宋体"/>
                <w:color w:val="auto"/>
                <w:kern w:val="2"/>
                <w:sz w:val="21"/>
                <w:szCs w:val="21"/>
                <w:highlight w:val="none"/>
                <w:lang w:val="en-US" w:eastAsia="zh-CN" w:bidi="ar"/>
              </w:rPr>
              <w:t>；</w:t>
            </w:r>
          </w:p>
          <w:p w14:paraId="4F29543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（3）弹簧指针式压力表，表盘直径：100mm，连接方式：M20×1.5外螺纹，2台</w:t>
            </w:r>
            <w:r>
              <w:rPr>
                <w:rFonts w:hint="eastAsia" w:ascii="宋体" w:hAnsi="宋体" w:cs="宋体"/>
                <w:color w:val="auto"/>
                <w:kern w:val="2"/>
                <w:sz w:val="21"/>
                <w:szCs w:val="21"/>
                <w:highlight w:val="none"/>
                <w:lang w:val="en-US" w:eastAsia="zh-CN" w:bidi="ar"/>
              </w:rPr>
              <w:t>；</w:t>
            </w:r>
          </w:p>
          <w:p w14:paraId="3D13B58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（4）电磁流量计，输出信号：4～20mA，供电电压：24VDC，电极材质：304不锈钢，1台</w:t>
            </w:r>
            <w:r>
              <w:rPr>
                <w:rFonts w:hint="eastAsia" w:ascii="宋体" w:hAnsi="宋体" w:cs="宋体"/>
                <w:color w:val="auto"/>
                <w:kern w:val="2"/>
                <w:sz w:val="21"/>
                <w:szCs w:val="21"/>
                <w:highlight w:val="none"/>
                <w:lang w:val="en-US" w:eastAsia="zh-CN" w:bidi="ar"/>
              </w:rPr>
              <w:t>；</w:t>
            </w:r>
          </w:p>
          <w:p w14:paraId="6B8411D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（5）涡轮流量计，输出信号：4～20mA，电源：24V DC，材质：304，1台</w:t>
            </w:r>
            <w:r>
              <w:rPr>
                <w:rFonts w:hint="eastAsia" w:ascii="宋体" w:hAnsi="宋体" w:cs="宋体"/>
                <w:color w:val="auto"/>
                <w:kern w:val="2"/>
                <w:sz w:val="21"/>
                <w:szCs w:val="21"/>
                <w:highlight w:val="none"/>
                <w:lang w:val="en-US" w:eastAsia="zh-CN" w:bidi="ar"/>
              </w:rPr>
              <w:t>；</w:t>
            </w:r>
          </w:p>
          <w:p w14:paraId="0882B43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（6）孔板流量计，输出信号：4～20mA，电源：24VDC，1台</w:t>
            </w:r>
            <w:r>
              <w:rPr>
                <w:rFonts w:hint="eastAsia" w:ascii="宋体" w:hAnsi="宋体" w:cs="宋体"/>
                <w:color w:val="auto"/>
                <w:kern w:val="2"/>
                <w:sz w:val="21"/>
                <w:szCs w:val="21"/>
                <w:highlight w:val="none"/>
                <w:lang w:val="en-US" w:eastAsia="zh-CN" w:bidi="ar"/>
              </w:rPr>
              <w:t>；</w:t>
            </w:r>
          </w:p>
          <w:p w14:paraId="58245C7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（7）玻璃转子流量计，连接形式：DN25 PN16，1台，</w:t>
            </w:r>
          </w:p>
          <w:p w14:paraId="6B0D517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（8）差压变送器，输出信号：4～20mA，电源：24VDC，不少于2台</w:t>
            </w:r>
            <w:r>
              <w:rPr>
                <w:rFonts w:hint="eastAsia" w:ascii="宋体" w:hAnsi="宋体" w:cs="宋体"/>
                <w:color w:val="auto"/>
                <w:kern w:val="2"/>
                <w:sz w:val="21"/>
                <w:szCs w:val="21"/>
                <w:highlight w:val="none"/>
                <w:lang w:val="en-US" w:eastAsia="zh-CN" w:bidi="ar"/>
              </w:rPr>
              <w:t>；</w:t>
            </w:r>
          </w:p>
          <w:p w14:paraId="41AA7AE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（9）磁翻板液位计，普通侧装式，输出信号：两线制4～20mA，供电电源：DC24V，接液材质：304，1台</w:t>
            </w:r>
            <w:r>
              <w:rPr>
                <w:rFonts w:hint="eastAsia" w:ascii="宋体" w:hAnsi="宋体" w:cs="宋体"/>
                <w:color w:val="auto"/>
                <w:kern w:val="2"/>
                <w:sz w:val="21"/>
                <w:szCs w:val="21"/>
                <w:highlight w:val="none"/>
                <w:lang w:val="en-US" w:eastAsia="zh-CN" w:bidi="ar"/>
              </w:rPr>
              <w:t>；</w:t>
            </w:r>
          </w:p>
          <w:p w14:paraId="671C66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（10）玻璃管式液位计，带金属护套，法兰安装，2台</w:t>
            </w:r>
            <w:r>
              <w:rPr>
                <w:rFonts w:hint="eastAsia" w:ascii="宋体" w:hAnsi="宋体" w:cs="宋体"/>
                <w:color w:val="auto"/>
                <w:kern w:val="2"/>
                <w:sz w:val="21"/>
                <w:szCs w:val="21"/>
                <w:highlight w:val="none"/>
                <w:lang w:val="en-US" w:eastAsia="zh-CN" w:bidi="ar"/>
              </w:rPr>
              <w:t>；</w:t>
            </w:r>
          </w:p>
          <w:p w14:paraId="7681974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（11）电动开关阀，电动微型阀，供电电压：24VDC，动作方式：90°角行程，不少于2台</w:t>
            </w:r>
            <w:r>
              <w:rPr>
                <w:rFonts w:hint="eastAsia" w:ascii="宋体" w:hAnsi="宋体" w:cs="宋体"/>
                <w:color w:val="auto"/>
                <w:kern w:val="2"/>
                <w:sz w:val="21"/>
                <w:szCs w:val="21"/>
                <w:highlight w:val="none"/>
                <w:lang w:val="en-US" w:eastAsia="zh-CN" w:bidi="ar"/>
              </w:rPr>
              <w:t>；</w:t>
            </w:r>
          </w:p>
          <w:p w14:paraId="20C8376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（12）电动球阀，反馈信号：无源开关量，供电：24V DC，阀体材质：304不锈钢，1台</w:t>
            </w:r>
            <w:r>
              <w:rPr>
                <w:rFonts w:hint="eastAsia" w:ascii="宋体" w:hAnsi="宋体" w:cs="宋体"/>
                <w:color w:val="auto"/>
                <w:kern w:val="2"/>
                <w:sz w:val="21"/>
                <w:szCs w:val="21"/>
                <w:highlight w:val="none"/>
                <w:lang w:val="en-US" w:eastAsia="zh-CN" w:bidi="ar"/>
              </w:rPr>
              <w:t>；</w:t>
            </w:r>
          </w:p>
          <w:p w14:paraId="16A3539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（13）调节阀，气动调节阀，流量特性：等百分比，控制信号：4～20mA，供电：24V DC，1台</w:t>
            </w:r>
            <w:r>
              <w:rPr>
                <w:rFonts w:hint="eastAsia" w:ascii="宋体" w:hAnsi="宋体" w:cs="宋体"/>
                <w:color w:val="auto"/>
                <w:kern w:val="2"/>
                <w:sz w:val="21"/>
                <w:szCs w:val="21"/>
                <w:highlight w:val="none"/>
                <w:lang w:val="en-US" w:eastAsia="zh-CN" w:bidi="ar"/>
              </w:rPr>
              <w:t>；</w:t>
            </w:r>
          </w:p>
          <w:p w14:paraId="2821C98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（14）电动V型球阀，控制信号：4～20mA，供电：24V DC，阀体材质：304不锈钢，不少于4台</w:t>
            </w:r>
            <w:r>
              <w:rPr>
                <w:rFonts w:hint="eastAsia" w:ascii="宋体" w:hAnsi="宋体" w:cs="宋体"/>
                <w:color w:val="auto"/>
                <w:kern w:val="2"/>
                <w:sz w:val="21"/>
                <w:szCs w:val="21"/>
                <w:highlight w:val="none"/>
                <w:lang w:val="en-US" w:eastAsia="zh-CN" w:bidi="ar"/>
              </w:rPr>
              <w:t>；</w:t>
            </w:r>
          </w:p>
          <w:p w14:paraId="0EEC5AC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（15）编码器，测量离心泵转速，供电电源：24V DC，输出方式：PNP信号，1台</w:t>
            </w:r>
            <w:r>
              <w:rPr>
                <w:rFonts w:hint="eastAsia" w:ascii="宋体" w:hAnsi="宋体" w:cs="宋体"/>
                <w:color w:val="auto"/>
                <w:kern w:val="2"/>
                <w:sz w:val="21"/>
                <w:szCs w:val="21"/>
                <w:highlight w:val="none"/>
                <w:lang w:val="en-US" w:eastAsia="zh-CN" w:bidi="ar"/>
              </w:rPr>
              <w:t>；</w:t>
            </w:r>
          </w:p>
          <w:p w14:paraId="5B49B05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（16）功率变送器，输入电压：0～450V，输出信号：4～20mA，工作电源：24VDC，安装方式：DIN导轨，1台</w:t>
            </w:r>
            <w:r>
              <w:rPr>
                <w:rFonts w:hint="eastAsia" w:ascii="宋体" w:hAnsi="宋体" w:cs="宋体"/>
                <w:color w:val="auto"/>
                <w:kern w:val="2"/>
                <w:sz w:val="21"/>
                <w:szCs w:val="21"/>
                <w:highlight w:val="none"/>
                <w:lang w:val="en-US" w:eastAsia="zh-CN" w:bidi="ar"/>
              </w:rPr>
              <w:t>；</w:t>
            </w:r>
          </w:p>
          <w:p w14:paraId="03AED14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（17）操作台，</w:t>
            </w:r>
            <w:r>
              <w:rPr>
                <w:rFonts w:hint="eastAsia" w:ascii="宋体" w:hAnsi="宋体" w:cs="宋体"/>
                <w:color w:val="auto"/>
                <w:kern w:val="2"/>
                <w:sz w:val="21"/>
                <w:szCs w:val="21"/>
                <w:highlight w:val="none"/>
                <w:lang w:val="en-US" w:eastAsia="zh-CN" w:bidi="ar"/>
              </w:rPr>
              <w:t>钢质</w:t>
            </w:r>
            <w:r>
              <w:rPr>
                <w:rFonts w:hint="eastAsia" w:ascii="宋体" w:hAnsi="宋体" w:eastAsia="宋体" w:cs="宋体"/>
                <w:color w:val="auto"/>
                <w:kern w:val="2"/>
                <w:sz w:val="21"/>
                <w:szCs w:val="21"/>
                <w:highlight w:val="none"/>
                <w:lang w:val="en-US" w:eastAsia="zh-CN" w:bidi="ar"/>
              </w:rPr>
              <w:t>喷塑材质，内安装漏电保护空气开关，保证设备安全，操作控制便捷。操作台配置有开关控制、指示灯和声光报警系统等。内嵌操作站1台：配置键盘鼠标，不小于21.5”显示屏，1套。</w:t>
            </w:r>
          </w:p>
          <w:p w14:paraId="022954B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4、控制系统要求</w:t>
            </w:r>
          </w:p>
          <w:p w14:paraId="24745D0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CPU具有1G主频，编译型指令，位</w:t>
            </w:r>
            <w:r>
              <w:rPr>
                <w:rFonts w:hint="eastAsia" w:ascii="宋体" w:hAnsi="宋体" w:cs="宋体"/>
                <w:color w:val="auto"/>
                <w:kern w:val="2"/>
                <w:sz w:val="21"/>
                <w:szCs w:val="21"/>
                <w:highlight w:val="none"/>
                <w:lang w:val="en-US" w:eastAsia="zh-CN" w:bidi="ar"/>
              </w:rPr>
              <w:t>运算</w:t>
            </w:r>
            <w:r>
              <w:rPr>
                <w:rFonts w:hint="eastAsia" w:ascii="宋体" w:hAnsi="宋体" w:eastAsia="宋体" w:cs="宋体"/>
                <w:color w:val="auto"/>
                <w:kern w:val="2"/>
                <w:sz w:val="21"/>
                <w:szCs w:val="21"/>
                <w:highlight w:val="none"/>
                <w:lang w:val="en-US" w:eastAsia="zh-CN" w:bidi="ar"/>
              </w:rPr>
              <w:t>≥0.01μs。I/O刷新速度≥125μs，100Mbps背板总线，支持数据断电保存，掉电1s保持。双网口设计，可以级联，可实现内外网隔离。本体可扩展16个本地模块。并且支持72个EtherCAT从站。支持4G、</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、RJ45传输方式；支持VPN远传上下载；支持MQTT、API等云协议。</w:t>
            </w:r>
          </w:p>
          <w:p w14:paraId="4214D42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5、自动评分系统要求</w:t>
            </w:r>
          </w:p>
          <w:p w14:paraId="6471FA0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装置要求配置有自动评分系统。自动评分系统自动采集系统各个设备的工艺变量，包括但不限于流量、温度、液位、压力等工艺变量，还包括动力设备状态、调节阀开度等设备状态变量等。可以对操作者的操作步骤、故障处理等过程进行自动评判。</w:t>
            </w:r>
          </w:p>
          <w:p w14:paraId="46984FA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竞标时需提供体现操作步骤名、详细描述、分值、得分、使能条件、正确条件六大核心功能的自动评分系统操作界面截图予以佐证。</w:t>
            </w:r>
          </w:p>
          <w:p w14:paraId="79A1C68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竞标时需提供装置的工艺流程图、控制系统的主监控流程图截图、布局配管图、主设备的结构图、三维效果图、装置照片等资料。</w:t>
            </w:r>
          </w:p>
          <w:p w14:paraId="122E83D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0" w:firstLineChars="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6、内网安全管理系统：1个点位</w:t>
            </w:r>
          </w:p>
          <w:p w14:paraId="7FF9C84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1）系统至少应具有：在线状态监测、系统资源监测、软件安装使用情况监测、非授权外联监控、系统服务监控、进程监控、网络端口监控、移动存储介质监控、外围接口监控、远程桌面监控功能，且符合内网主机监测产品安全技术要求（</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0A88D30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（2）本地查看：客户端程序提供本地信息查看功能，终端使用人可查看本地计算机健康状态、账户信息、共享信息、补丁安装状态、软硬件资产信息、进程运行情况、服务运行情况；</w:t>
            </w:r>
          </w:p>
          <w:p w14:paraId="7CDBC01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（3）数据安全：支持对移动存储数据进行透明加密。经过系统格式化为多个分区并注册的U盘，至少包括启动区、交换区、加密区、日志区（</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59A1855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olor w:val="auto"/>
                <w:szCs w:val="21"/>
                <w:highlight w:val="none"/>
              </w:rPr>
              <w:t>▲</w:t>
            </w:r>
            <w:r>
              <w:rPr>
                <w:rFonts w:hint="eastAsia" w:ascii="宋体" w:hAnsi="宋体" w:eastAsia="宋体" w:cs="宋体"/>
                <w:color w:val="auto"/>
                <w:kern w:val="2"/>
                <w:sz w:val="21"/>
                <w:szCs w:val="21"/>
                <w:highlight w:val="none"/>
                <w:lang w:val="en-US" w:eastAsia="zh-CN" w:bidi="ar"/>
              </w:rPr>
              <w:t>（4）安全网管：系统支持网管功能，能够自动发现可网管网络设备，自动生成网络物理连接拓扑图，网络拓扑结构图可显示PC终端连接和开机情况，显示终端IP地址。支持故障定位，依据IP地址或者MAC地址进行故障主机的查询，并且在网络拓扑图中显示（</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4DCF33A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（5）应用程序管理：控制客户端本地环境上可使用的应用软件范围，禁止非法软件程序的安装和使用，支持黑、白、红三种名单方式；</w:t>
            </w:r>
          </w:p>
          <w:p w14:paraId="27FE59C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color w:val="auto"/>
                <w:highlight w:val="none"/>
              </w:rPr>
              <w:t>▲</w:t>
            </w:r>
            <w:r>
              <w:rPr>
                <w:rFonts w:hint="eastAsia" w:ascii="宋体" w:hAnsi="宋体" w:eastAsia="宋体" w:cs="宋体"/>
                <w:color w:val="auto"/>
                <w:kern w:val="2"/>
                <w:sz w:val="21"/>
                <w:szCs w:val="21"/>
                <w:highlight w:val="none"/>
                <w:lang w:val="en-US" w:eastAsia="zh-CN" w:bidi="ar"/>
              </w:rPr>
              <w:t>（6）违规外联管理，能够对终端计算机的违规外联行为进行控制，实时检测试图接入互联网的行为，一旦出现违规外联行为，系统自动报警并进行阻断（</w:t>
            </w:r>
            <w:r>
              <w:rPr>
                <w:rFonts w:hint="eastAsia" w:ascii="宋体" w:hAnsi="宋体" w:cs="宋体"/>
                <w:color w:val="auto"/>
                <w:kern w:val="2"/>
                <w:sz w:val="21"/>
                <w:szCs w:val="21"/>
                <w:highlight w:val="none"/>
                <w:lang w:val="en-US" w:eastAsia="zh-CN" w:bidi="ar"/>
              </w:rPr>
              <w:t>竞标时提供</w:t>
            </w:r>
            <w:r>
              <w:rPr>
                <w:rFonts w:hint="default"/>
                <w:bCs w:val="0"/>
                <w:color w:val="auto"/>
                <w:szCs w:val="21"/>
                <w:highlight w:val="none"/>
              </w:rPr>
              <w:t>功能截图或彩页资料复印件或技术白皮书复印件或第三方检测机构出具的检测报告复印件加盖供应商公章</w:t>
            </w:r>
            <w:r>
              <w:rPr>
                <w:rFonts w:hint="eastAsia" w:ascii="宋体" w:hAnsi="宋体" w:eastAsia="宋体" w:cs="宋体"/>
                <w:color w:val="auto"/>
                <w:kern w:val="2"/>
                <w:sz w:val="21"/>
                <w:szCs w:val="21"/>
                <w:highlight w:val="none"/>
                <w:lang w:val="en-US" w:eastAsia="zh-CN" w:bidi="ar"/>
              </w:rPr>
              <w:t>）；</w:t>
            </w:r>
          </w:p>
          <w:p w14:paraId="243E988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（7）安全态势检查：系统支持终端安全态势检查，能自定义周期对安全事件进行统计，并以图形化输出。对终端计算机的安全状况的评分，可根据需要自定义安全评估项的分值。</w:t>
            </w:r>
          </w:p>
        </w:tc>
        <w:tc>
          <w:tcPr>
            <w:tcW w:w="1142" w:type="dxa"/>
            <w:noWrap w:val="0"/>
            <w:vAlign w:val="center"/>
          </w:tcPr>
          <w:p w14:paraId="285AC6D0">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28.8</w:t>
            </w:r>
          </w:p>
        </w:tc>
        <w:tc>
          <w:tcPr>
            <w:tcW w:w="1142" w:type="dxa"/>
            <w:noWrap w:val="0"/>
            <w:vAlign w:val="center"/>
          </w:tcPr>
          <w:p w14:paraId="4B35ED04">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0504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dxa"/>
            <w:noWrap w:val="0"/>
            <w:vAlign w:val="center"/>
          </w:tcPr>
          <w:p w14:paraId="39398AC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12" w:type="dxa"/>
            <w:noWrap w:val="0"/>
            <w:vAlign w:val="center"/>
          </w:tcPr>
          <w:p w14:paraId="6B75A9AA">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实训室装修</w:t>
            </w:r>
          </w:p>
        </w:tc>
        <w:tc>
          <w:tcPr>
            <w:tcW w:w="496" w:type="dxa"/>
            <w:noWrap w:val="0"/>
            <w:vAlign w:val="center"/>
          </w:tcPr>
          <w:p w14:paraId="03448F1C">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59" w:type="dxa"/>
            <w:noWrap w:val="0"/>
            <w:vAlign w:val="center"/>
          </w:tcPr>
          <w:p w14:paraId="0407B44F">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w:t>
            </w:r>
          </w:p>
        </w:tc>
        <w:tc>
          <w:tcPr>
            <w:tcW w:w="5495" w:type="dxa"/>
            <w:noWrap w:val="0"/>
            <w:vAlign w:val="center"/>
          </w:tcPr>
          <w:p w14:paraId="6E6228D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水电、地板、封面、实训室文化等环境改造</w:t>
            </w:r>
            <w:r>
              <w:rPr>
                <w:rFonts w:hint="eastAsia" w:ascii="宋体" w:hAnsi="宋体" w:cs="宋体"/>
                <w:bCs/>
                <w:color w:val="auto"/>
                <w:kern w:val="2"/>
                <w:sz w:val="21"/>
                <w:szCs w:val="21"/>
                <w:highlight w:val="none"/>
                <w:lang w:val="en-US" w:eastAsia="zh-CN" w:bidi="ar"/>
              </w:rPr>
              <w:t>。详见工程量清单及施工图纸。</w:t>
            </w:r>
          </w:p>
        </w:tc>
        <w:tc>
          <w:tcPr>
            <w:tcW w:w="1142" w:type="dxa"/>
            <w:noWrap w:val="0"/>
            <w:vAlign w:val="center"/>
          </w:tcPr>
          <w:p w14:paraId="076E41EE">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15.3</w:t>
            </w:r>
          </w:p>
        </w:tc>
        <w:tc>
          <w:tcPr>
            <w:tcW w:w="1142" w:type="dxa"/>
            <w:noWrap w:val="0"/>
            <w:vAlign w:val="center"/>
          </w:tcPr>
          <w:p w14:paraId="69C1EE1E">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建筑业</w:t>
            </w:r>
          </w:p>
        </w:tc>
      </w:tr>
      <w:tr w14:paraId="51DC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8" w:type="dxa"/>
            <w:gridSpan w:val="7"/>
            <w:noWrap w:val="0"/>
            <w:vAlign w:val="center"/>
          </w:tcPr>
          <w:p w14:paraId="4FFB6F8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一、商务要求表：</w:t>
            </w:r>
            <w:r>
              <w:rPr>
                <w:rFonts w:hint="eastAsia" w:ascii="宋体" w:hAnsi="宋体" w:eastAsia="宋体" w:cs="宋体"/>
                <w:color w:val="auto"/>
                <w:sz w:val="21"/>
                <w:szCs w:val="21"/>
                <w:highlight w:val="none"/>
              </w:rPr>
              <w:t xml:space="preserve"> </w:t>
            </w:r>
          </w:p>
        </w:tc>
      </w:tr>
      <w:tr w14:paraId="088E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7170726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交付使用时间及地点</w:t>
            </w:r>
          </w:p>
        </w:tc>
        <w:tc>
          <w:tcPr>
            <w:tcW w:w="8238" w:type="dxa"/>
            <w:gridSpan w:val="4"/>
            <w:noWrap w:val="0"/>
            <w:vAlign w:val="center"/>
          </w:tcPr>
          <w:p w14:paraId="5ECE6E4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1、交付使用时间：自签订合同之日起30日历日内全部交货安装完成并验收合格。</w:t>
            </w:r>
          </w:p>
          <w:p w14:paraId="25CE64F3">
            <w:pPr>
              <w:pStyle w:val="14"/>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2、交付使用地点：</w:t>
            </w:r>
            <w:r>
              <w:rPr>
                <w:rFonts w:hint="eastAsia"/>
                <w:color w:val="auto"/>
                <w:highlight w:val="none"/>
                <w:lang w:val="en-US" w:eastAsia="zh-CN"/>
              </w:rPr>
              <w:t>南宁市武鸣区上河路9号广西安全工程职业技术学院</w:t>
            </w:r>
            <w:r>
              <w:rPr>
                <w:rFonts w:hint="eastAsia" w:ascii="宋体" w:hAnsi="宋体" w:eastAsia="宋体" w:cs="宋体"/>
                <w:color w:val="auto"/>
                <w:sz w:val="21"/>
                <w:szCs w:val="21"/>
                <w:highlight w:val="none"/>
              </w:rPr>
              <w:t>。</w:t>
            </w:r>
          </w:p>
        </w:tc>
      </w:tr>
      <w:tr w14:paraId="4D7A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1B1206F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8238" w:type="dxa"/>
            <w:gridSpan w:val="4"/>
            <w:noWrap w:val="0"/>
            <w:vAlign w:val="center"/>
          </w:tcPr>
          <w:p w14:paraId="7EA0F4C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1、成交人提供的所有产品（含部件）必须是全新的原厂原装正品，负责上门、安装调试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验收</w:t>
            </w:r>
            <w:r>
              <w:rPr>
                <w:rFonts w:hint="eastAsia" w:ascii="宋体" w:hAnsi="宋体" w:eastAsia="宋体" w:cs="宋体"/>
                <w:color w:val="auto"/>
                <w:sz w:val="21"/>
                <w:szCs w:val="21"/>
                <w:highlight w:val="none"/>
              </w:rPr>
              <w:t>至合格。</w:t>
            </w:r>
          </w:p>
          <w:p w14:paraId="5A60B1CF">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2、故障响应时间：成交人接到故障通知后需在1小时</w:t>
            </w:r>
            <w:r>
              <w:rPr>
                <w:rFonts w:hint="eastAsia" w:ascii="宋体" w:hAnsi="宋体" w:eastAsia="宋体" w:cs="宋体"/>
                <w:color w:val="auto"/>
                <w:sz w:val="21"/>
                <w:szCs w:val="21"/>
                <w:highlight w:val="none"/>
                <w:lang w:eastAsia="zh-CN"/>
              </w:rPr>
              <w:t>内作出响应</w:t>
            </w:r>
            <w:r>
              <w:rPr>
                <w:rFonts w:hint="eastAsia" w:ascii="宋体" w:hAnsi="宋体" w:eastAsia="宋体" w:cs="宋体"/>
                <w:color w:val="auto"/>
                <w:sz w:val="21"/>
                <w:szCs w:val="21"/>
                <w:highlight w:val="none"/>
              </w:rPr>
              <w:t>（电话），同时在12小时内派工程师到现场进行故障解除。</w:t>
            </w:r>
          </w:p>
          <w:p w14:paraId="3EAF491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color w:val="auto"/>
                <w:sz w:val="21"/>
                <w:szCs w:val="21"/>
                <w:highlight w:val="none"/>
                <w:lang w:val="en-US" w:eastAsia="zh-CN"/>
              </w:rPr>
              <w:t>质保</w:t>
            </w:r>
            <w:r>
              <w:rPr>
                <w:rFonts w:hint="eastAsia" w:ascii="宋体" w:hAnsi="宋体" w:eastAsia="宋体" w:cs="宋体"/>
                <w:color w:val="auto"/>
                <w:sz w:val="21"/>
                <w:szCs w:val="21"/>
                <w:highlight w:val="none"/>
              </w:rPr>
              <w:t>期内提供人员和技术支持配合</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单位进行技术改进，竞标人应提供保修期内日常维护和保养计划。</w:t>
            </w:r>
            <w:r>
              <w:rPr>
                <w:rFonts w:hint="eastAsia" w:ascii="宋体" w:hAnsi="宋体" w:eastAsia="宋体" w:cs="宋体"/>
                <w:color w:val="auto"/>
                <w:sz w:val="21"/>
                <w:szCs w:val="21"/>
                <w:highlight w:val="none"/>
                <w:lang w:val="en-US" w:eastAsia="zh-CN"/>
              </w:rPr>
              <w:t>质保期</w:t>
            </w:r>
            <w:r>
              <w:rPr>
                <w:rFonts w:hint="eastAsia" w:ascii="宋体" w:hAnsi="宋体" w:eastAsia="宋体" w:cs="宋体"/>
                <w:color w:val="auto"/>
                <w:sz w:val="21"/>
                <w:szCs w:val="21"/>
                <w:highlight w:val="none"/>
              </w:rPr>
              <w:t>后优惠提供产品更新、改造服务。</w:t>
            </w:r>
          </w:p>
        </w:tc>
      </w:tr>
      <w:tr w14:paraId="7CE0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647F069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w:t>
            </w:r>
          </w:p>
        </w:tc>
        <w:tc>
          <w:tcPr>
            <w:tcW w:w="8238" w:type="dxa"/>
            <w:gridSpan w:val="4"/>
            <w:noWrap w:val="0"/>
            <w:vAlign w:val="center"/>
          </w:tcPr>
          <w:p w14:paraId="3486579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按国家有关产品“三包”规定执行“三包”，自货物验收合格之日起计算，产品质保期最短不少于1年。若厂家质保期超过此年限的，合同履行过程中按厂家规定执行。</w:t>
            </w:r>
          </w:p>
        </w:tc>
      </w:tr>
      <w:tr w14:paraId="2F12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0BB3C92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8238" w:type="dxa"/>
            <w:gridSpan w:val="4"/>
            <w:noWrap w:val="0"/>
            <w:vAlign w:val="center"/>
          </w:tcPr>
          <w:p w14:paraId="076901C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1、本项目预付款为合同款的30%。</w:t>
            </w:r>
          </w:p>
          <w:p w14:paraId="688580C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2、货物安装验收合格后，</w:t>
            </w:r>
            <w:r>
              <w:rPr>
                <w:rFonts w:hint="eastAsia" w:ascii="宋体" w:hAnsi="宋体" w:eastAsia="宋体" w:cs="宋体"/>
                <w:color w:val="auto"/>
                <w:sz w:val="21"/>
                <w:szCs w:val="21"/>
                <w:highlight w:val="none"/>
                <w:lang w:val="en-US" w:eastAsia="zh-CN"/>
              </w:rPr>
              <w:t>成交人</w:t>
            </w:r>
            <w:r>
              <w:rPr>
                <w:rFonts w:hint="eastAsia" w:ascii="宋体" w:hAnsi="宋体" w:eastAsia="宋体" w:cs="宋体"/>
                <w:color w:val="auto"/>
                <w:sz w:val="21"/>
                <w:szCs w:val="21"/>
                <w:highlight w:val="none"/>
              </w:rPr>
              <w:t>按照合同最终价款向采购人提交相应的正规发票，采购人收到发票后10个工作日内以转</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方式，将全部合同价款70%支付</w:t>
            </w:r>
            <w:r>
              <w:rPr>
                <w:rFonts w:hint="eastAsia" w:ascii="宋体" w:hAnsi="宋体" w:cs="宋体"/>
                <w:color w:val="auto"/>
                <w:sz w:val="21"/>
                <w:szCs w:val="21"/>
                <w:highlight w:val="none"/>
                <w:lang w:eastAsia="zh-CN"/>
              </w:rPr>
              <w:t>至</w:t>
            </w:r>
            <w:r>
              <w:rPr>
                <w:rFonts w:hint="eastAsia" w:ascii="宋体" w:hAnsi="宋体" w:eastAsia="宋体" w:cs="宋体"/>
                <w:color w:val="auto"/>
                <w:sz w:val="21"/>
                <w:szCs w:val="21"/>
                <w:highlight w:val="none"/>
              </w:rPr>
              <w:t>供应商账户。</w:t>
            </w:r>
          </w:p>
        </w:tc>
      </w:tr>
      <w:tr w14:paraId="2D4B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617CF578">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要求</w:t>
            </w:r>
          </w:p>
        </w:tc>
        <w:tc>
          <w:tcPr>
            <w:tcW w:w="8238" w:type="dxa"/>
            <w:gridSpan w:val="4"/>
            <w:noWrap w:val="0"/>
            <w:vAlign w:val="center"/>
          </w:tcPr>
          <w:p w14:paraId="2AEC026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竞标报价为采购人指定地点的现场交货价，包括但不限于：</w:t>
            </w:r>
          </w:p>
          <w:p w14:paraId="42A164E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w:t>
            </w:r>
          </w:p>
          <w:p w14:paraId="6E7672F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617FBA1D">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（3）运输、装卸、调试、培训、技术支持、售后服务、代理服务费等费用；</w:t>
            </w:r>
          </w:p>
          <w:p w14:paraId="3991A8A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（4）必要的保险费用和各项税费；</w:t>
            </w:r>
          </w:p>
          <w:p w14:paraId="1E0EDC5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（5）送货上门、安装、调试费用；</w:t>
            </w:r>
          </w:p>
          <w:p w14:paraId="08ADFA78">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实训室装修</w:t>
            </w:r>
            <w:r>
              <w:rPr>
                <w:rFonts w:hint="eastAsia" w:ascii="Segoe UI" w:hAnsi="Segoe UI" w:eastAsia="宋体" w:cs="Segoe UI"/>
                <w:i w:val="0"/>
                <w:iCs w:val="0"/>
                <w:caps w:val="0"/>
                <w:color w:val="auto"/>
                <w:spacing w:val="0"/>
                <w:sz w:val="24"/>
                <w:szCs w:val="24"/>
                <w:highlight w:val="none"/>
                <w:lang w:eastAsia="zh-CN"/>
              </w:rPr>
              <w:t>的</w:t>
            </w:r>
            <w:r>
              <w:rPr>
                <w:rFonts w:hint="default" w:ascii="Segoe UI" w:hAnsi="Segoe UI" w:eastAsia="Segoe UI" w:cs="Segoe UI"/>
                <w:i w:val="0"/>
                <w:iCs w:val="0"/>
                <w:caps w:val="0"/>
                <w:color w:val="auto"/>
                <w:spacing w:val="0"/>
                <w:sz w:val="24"/>
                <w:szCs w:val="24"/>
                <w:highlight w:val="none"/>
              </w:rPr>
              <w:t>人工、辅材、水电改造、墙面地面、文化装饰、清运、验收、维保全部费用</w:t>
            </w:r>
            <w:r>
              <w:rPr>
                <w:rFonts w:hint="eastAsia" w:ascii="Segoe UI" w:hAnsi="Segoe UI" w:eastAsia="宋体" w:cs="Segoe UI"/>
                <w:i w:val="0"/>
                <w:iCs w:val="0"/>
                <w:caps w:val="0"/>
                <w:color w:val="auto"/>
                <w:spacing w:val="0"/>
                <w:sz w:val="24"/>
                <w:szCs w:val="24"/>
                <w:highlight w:val="none"/>
                <w:lang w:eastAsia="zh-CN"/>
              </w:rPr>
              <w:t>；</w:t>
            </w:r>
          </w:p>
          <w:p w14:paraId="64F4E27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）包括项目整体验收各项费用。</w:t>
            </w:r>
          </w:p>
          <w:p w14:paraId="26E983CF">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本项目报价为总价包干，即一次性报出本项目实施过程所需的全部费用。采购人不再针对本项目另行支付其他费用，所有设备即可投入使用。</w:t>
            </w:r>
          </w:p>
        </w:tc>
      </w:tr>
      <w:tr w14:paraId="0F0C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1AB3F348">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分包要求</w:t>
            </w:r>
          </w:p>
        </w:tc>
        <w:tc>
          <w:tcPr>
            <w:tcW w:w="8238" w:type="dxa"/>
            <w:gridSpan w:val="4"/>
            <w:noWrap w:val="0"/>
            <w:vAlign w:val="center"/>
          </w:tcPr>
          <w:p w14:paraId="55CBF193">
            <w:pPr>
              <w:keepNext w:val="0"/>
              <w:keepLines w:val="0"/>
              <w:pageBreakBefore w:val="0"/>
              <w:numPr>
                <w:ilvl w:val="0"/>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color w:val="auto"/>
                <w:szCs w:val="21"/>
                <w:highlight w:val="none"/>
                <w:u w:val="none"/>
              </w:rPr>
            </w:pPr>
            <w:r>
              <w:rPr>
                <w:rFonts w:hint="eastAsia" w:ascii="宋体" w:hAnsi="宋体"/>
                <w:color w:val="auto"/>
                <w:szCs w:val="21"/>
                <w:highlight w:val="none"/>
                <w:u w:val="none"/>
              </w:rPr>
              <w:t>第</w:t>
            </w:r>
            <w:r>
              <w:rPr>
                <w:rFonts w:hint="eastAsia" w:ascii="宋体" w:hAnsi="宋体"/>
                <w:color w:val="auto"/>
                <w:szCs w:val="21"/>
                <w:highlight w:val="none"/>
                <w:u w:val="none"/>
                <w:lang w:val="en-US" w:eastAsia="zh-CN"/>
              </w:rPr>
              <w:t>4</w:t>
            </w:r>
            <w:r>
              <w:rPr>
                <w:rFonts w:hint="eastAsia" w:ascii="宋体" w:hAnsi="宋体"/>
                <w:color w:val="auto"/>
                <w:szCs w:val="21"/>
                <w:highlight w:val="none"/>
                <w:u w:val="none"/>
              </w:rPr>
              <w:t>项</w:t>
            </w:r>
            <w:r>
              <w:rPr>
                <w:rFonts w:hint="eastAsia" w:ascii="宋体" w:hAnsi="宋体"/>
                <w:color w:val="auto"/>
                <w:szCs w:val="21"/>
                <w:highlight w:val="none"/>
                <w:u w:val="single"/>
              </w:rPr>
              <w:t>“</w:t>
            </w:r>
            <w:r>
              <w:rPr>
                <w:rFonts w:hint="eastAsia" w:ascii="宋体" w:hAnsi="宋体" w:eastAsia="宋体" w:cs="宋体"/>
                <w:color w:val="auto"/>
                <w:sz w:val="21"/>
                <w:szCs w:val="21"/>
                <w:highlight w:val="none"/>
                <w:u w:val="single"/>
              </w:rPr>
              <w:t>实训室装修</w:t>
            </w:r>
            <w:r>
              <w:rPr>
                <w:rFonts w:hint="eastAsia" w:ascii="宋体" w:hAnsi="宋体"/>
                <w:color w:val="auto"/>
                <w:szCs w:val="21"/>
                <w:highlight w:val="none"/>
                <w:u w:val="single"/>
              </w:rPr>
              <w:t>”</w:t>
            </w:r>
            <w:r>
              <w:rPr>
                <w:rFonts w:hint="eastAsia" w:ascii="宋体" w:hAnsi="宋体"/>
                <w:color w:val="auto"/>
                <w:szCs w:val="21"/>
                <w:highlight w:val="none"/>
                <w:u w:val="none"/>
                <w:lang w:eastAsia="zh-CN"/>
              </w:rPr>
              <w:t>允许分包</w:t>
            </w:r>
            <w:r>
              <w:rPr>
                <w:rFonts w:hint="eastAsia" w:ascii="宋体" w:hAnsi="宋体"/>
                <w:color w:val="auto"/>
                <w:szCs w:val="21"/>
                <w:highlight w:val="none"/>
                <w:u w:val="none"/>
              </w:rPr>
              <w:t>。</w:t>
            </w:r>
          </w:p>
          <w:p w14:paraId="04223F6A">
            <w:pPr>
              <w:keepNext w:val="0"/>
              <w:keepLines w:val="0"/>
              <w:pageBreakBefore w:val="0"/>
              <w:numPr>
                <w:ilvl w:val="0"/>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color w:val="auto"/>
                <w:szCs w:val="21"/>
                <w:highlight w:val="none"/>
                <w:u w:val="none"/>
                <w:lang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u w:val="none"/>
                <w:lang w:val="en-US" w:eastAsia="zh-CN"/>
              </w:rPr>
              <w:t>分包单位须具备</w:t>
            </w:r>
            <w:r>
              <w:rPr>
                <w:rFonts w:hint="eastAsia" w:ascii="宋体" w:hAnsi="宋体" w:eastAsia="宋体" w:cs="宋体"/>
                <w:color w:val="auto"/>
                <w:szCs w:val="21"/>
                <w:highlight w:val="none"/>
                <w:u w:val="none"/>
              </w:rPr>
              <w:t>建筑装修装饰工程专业承包二级及以上资质</w:t>
            </w:r>
            <w:r>
              <w:rPr>
                <w:rFonts w:hint="eastAsia" w:ascii="宋体" w:hAnsi="宋体" w:eastAsia="宋体" w:cs="宋体"/>
                <w:b w:val="0"/>
                <w:bCs w:val="0"/>
                <w:color w:val="auto"/>
                <w:szCs w:val="21"/>
                <w:highlight w:val="none"/>
                <w:u w:val="none"/>
                <w:lang w:val="en-US" w:eastAsia="zh-CN"/>
              </w:rPr>
              <w:t>或</w:t>
            </w:r>
            <w:r>
              <w:rPr>
                <w:rFonts w:hint="eastAsia" w:ascii="宋体" w:hAnsi="宋体" w:eastAsia="宋体" w:cs="宋体"/>
                <w:color w:val="auto"/>
                <w:szCs w:val="21"/>
                <w:highlight w:val="none"/>
                <w:u w:val="none"/>
                <w:lang w:val="en-US" w:eastAsia="zh-CN"/>
              </w:rPr>
              <w:t>建筑工程施工总承包叁级以上（含本级）资质，且具备省级及以上建设行政主管部门颁发的安全生产许可证</w:t>
            </w:r>
            <w:r>
              <w:rPr>
                <w:rFonts w:hint="eastAsia" w:ascii="宋体" w:hAnsi="宋体" w:eastAsia="宋体" w:cs="宋体"/>
                <w:color w:val="auto"/>
                <w:szCs w:val="21"/>
                <w:highlight w:val="none"/>
                <w:u w:val="none"/>
                <w:lang w:eastAsia="zh-CN"/>
              </w:rPr>
              <w:t>，并在人员、设备、资金等方面具有相应的施工能力</w:t>
            </w:r>
            <w:r>
              <w:rPr>
                <w:rFonts w:hint="eastAsia" w:ascii="宋体" w:hAnsi="宋体" w:eastAsia="宋体" w:cs="宋体"/>
                <w:color w:val="auto"/>
                <w:szCs w:val="21"/>
                <w:highlight w:val="none"/>
                <w:u w:val="none"/>
              </w:rPr>
              <w:t>；</w:t>
            </w:r>
          </w:p>
          <w:p w14:paraId="13EE0D5E">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2、</w:t>
            </w:r>
            <w:r>
              <w:rPr>
                <w:rFonts w:hint="eastAsia" w:ascii="宋体" w:hAnsi="宋体" w:eastAsia="宋体" w:cs="宋体"/>
                <w:i w:val="0"/>
                <w:iCs w:val="0"/>
                <w:caps w:val="0"/>
                <w:color w:val="auto"/>
                <w:spacing w:val="0"/>
                <w:sz w:val="21"/>
                <w:szCs w:val="21"/>
                <w:highlight w:val="none"/>
              </w:rPr>
              <w:t>分包单位不得再次转包、二次分包，一经发现总包（成交供应商）承担全部违约损失</w:t>
            </w:r>
          </w:p>
          <w:p w14:paraId="66FC5102">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szCs w:val="21"/>
                <w:highlight w:val="none"/>
                <w:u w:val="none"/>
                <w:lang w:val="en-US" w:eastAsia="zh-CN"/>
              </w:rPr>
              <w:t>3、</w:t>
            </w:r>
            <w:r>
              <w:rPr>
                <w:rFonts w:hint="eastAsia" w:ascii="宋体" w:hAnsi="宋体" w:eastAsia="宋体" w:cs="宋体"/>
                <w:i w:val="0"/>
                <w:iCs w:val="0"/>
                <w:caps w:val="0"/>
                <w:color w:val="auto"/>
                <w:spacing w:val="0"/>
                <w:sz w:val="21"/>
                <w:szCs w:val="21"/>
                <w:highlight w:val="none"/>
              </w:rPr>
              <w:t>成交供应商对采购人负全部总责，装修分包所有施工、材料、安全、验收、售后问题均由成交供应商先行向采购人兜底</w:t>
            </w:r>
            <w:r>
              <w:rPr>
                <w:rFonts w:hint="eastAsia" w:ascii="宋体" w:hAnsi="宋体" w:eastAsia="宋体" w:cs="宋体"/>
                <w:i w:val="0"/>
                <w:iCs w:val="0"/>
                <w:caps w:val="0"/>
                <w:color w:val="auto"/>
                <w:spacing w:val="0"/>
                <w:sz w:val="21"/>
                <w:szCs w:val="21"/>
                <w:highlight w:val="none"/>
                <w:lang w:eastAsia="zh-CN"/>
              </w:rPr>
              <w:t>；</w:t>
            </w:r>
          </w:p>
          <w:p w14:paraId="3A798079">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val="en-US" w:eastAsia="zh-CN"/>
              </w:rPr>
              <w:t>4、</w:t>
            </w:r>
            <w:r>
              <w:rPr>
                <w:rFonts w:hint="eastAsia" w:ascii="宋体" w:hAnsi="宋体" w:eastAsia="宋体" w:cs="宋体"/>
                <w:i w:val="0"/>
                <w:iCs w:val="0"/>
                <w:caps w:val="0"/>
                <w:color w:val="auto"/>
                <w:spacing w:val="0"/>
                <w:sz w:val="21"/>
                <w:szCs w:val="21"/>
                <w:highlight w:val="none"/>
              </w:rPr>
              <w:t>分包方案、分包单位资质、施工图纸、材料清单须提前书面报送采购人审核，审核通过方可进场施工</w:t>
            </w:r>
            <w:r>
              <w:rPr>
                <w:rFonts w:hint="eastAsia" w:ascii="宋体" w:hAnsi="宋体" w:eastAsia="宋体" w:cs="宋体"/>
                <w:i w:val="0"/>
                <w:iCs w:val="0"/>
                <w:caps w:val="0"/>
                <w:color w:val="auto"/>
                <w:spacing w:val="0"/>
                <w:sz w:val="21"/>
                <w:szCs w:val="21"/>
                <w:highlight w:val="none"/>
                <w:lang w:eastAsia="zh-CN"/>
              </w:rPr>
              <w:t>；</w:t>
            </w:r>
          </w:p>
          <w:p w14:paraId="78A2BB04">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val="en-US" w:eastAsia="zh-CN"/>
              </w:rPr>
              <w:t>5、</w:t>
            </w:r>
            <w:r>
              <w:rPr>
                <w:rFonts w:hint="eastAsia" w:ascii="宋体" w:hAnsi="宋体" w:eastAsia="宋体" w:cs="宋体"/>
                <w:i w:val="0"/>
                <w:iCs w:val="0"/>
                <w:caps w:val="0"/>
                <w:color w:val="auto"/>
                <w:spacing w:val="0"/>
                <w:sz w:val="21"/>
                <w:szCs w:val="21"/>
                <w:highlight w:val="none"/>
              </w:rPr>
              <w:t>分包款项由成交供应商统一结算支付，采购人仅与成交供应商发生财务往来，不直接对接分包单位付款</w:t>
            </w:r>
            <w:r>
              <w:rPr>
                <w:rFonts w:hint="eastAsia" w:ascii="宋体" w:hAnsi="宋体" w:eastAsia="宋体" w:cs="宋体"/>
                <w:i w:val="0"/>
                <w:iCs w:val="0"/>
                <w:caps w:val="0"/>
                <w:color w:val="auto"/>
                <w:spacing w:val="0"/>
                <w:sz w:val="21"/>
                <w:szCs w:val="21"/>
                <w:highlight w:val="none"/>
                <w:lang w:eastAsia="zh-CN"/>
              </w:rPr>
              <w:t>；</w:t>
            </w:r>
          </w:p>
          <w:p w14:paraId="4D807EC3">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val="en-US" w:eastAsia="zh-CN"/>
              </w:rPr>
              <w:t>6、</w:t>
            </w:r>
            <w:r>
              <w:rPr>
                <w:rFonts w:hint="eastAsia" w:ascii="宋体" w:hAnsi="宋体" w:eastAsia="宋体" w:cs="宋体"/>
                <w:i w:val="0"/>
                <w:iCs w:val="0"/>
                <w:caps w:val="0"/>
                <w:color w:val="auto"/>
                <w:spacing w:val="0"/>
                <w:sz w:val="21"/>
                <w:szCs w:val="21"/>
                <w:highlight w:val="none"/>
              </w:rPr>
              <w:t>装修材料符合国标及校方实训室环保、防火标准，进场材料须提供合格证、检测报告备查</w:t>
            </w:r>
            <w:r>
              <w:rPr>
                <w:rFonts w:hint="eastAsia" w:ascii="宋体" w:hAnsi="宋体" w:eastAsia="宋体" w:cs="宋体"/>
                <w:i w:val="0"/>
                <w:iCs w:val="0"/>
                <w:caps w:val="0"/>
                <w:color w:val="auto"/>
                <w:spacing w:val="0"/>
                <w:sz w:val="21"/>
                <w:szCs w:val="21"/>
                <w:highlight w:val="none"/>
                <w:lang w:eastAsia="zh-CN"/>
              </w:rPr>
              <w:t>；</w:t>
            </w:r>
          </w:p>
          <w:p w14:paraId="383B9713">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val="en-US" w:eastAsia="zh-CN"/>
              </w:rPr>
              <w:t>7、</w:t>
            </w:r>
            <w:r>
              <w:rPr>
                <w:rFonts w:hint="eastAsia" w:ascii="宋体" w:hAnsi="宋体" w:eastAsia="宋体" w:cs="宋体"/>
                <w:i w:val="0"/>
                <w:iCs w:val="0"/>
                <w:caps w:val="0"/>
                <w:color w:val="auto"/>
                <w:spacing w:val="0"/>
                <w:sz w:val="21"/>
                <w:szCs w:val="21"/>
                <w:highlight w:val="none"/>
                <w:lang w:eastAsia="zh-CN"/>
              </w:rPr>
              <w:t>人员要求：</w:t>
            </w:r>
            <w:r>
              <w:rPr>
                <w:rFonts w:hint="eastAsia" w:ascii="宋体" w:hAnsi="宋体" w:eastAsia="宋体" w:cs="宋体"/>
                <w:i w:val="0"/>
                <w:iCs w:val="0"/>
                <w:caps w:val="0"/>
                <w:color w:val="auto"/>
                <w:spacing w:val="0"/>
                <w:sz w:val="21"/>
                <w:szCs w:val="21"/>
                <w:highlight w:val="none"/>
              </w:rPr>
              <w:t>进场施工必须</w:t>
            </w:r>
            <w:r>
              <w:rPr>
                <w:rFonts w:hint="eastAsia" w:ascii="宋体" w:hAnsi="宋体" w:eastAsia="宋体" w:cs="宋体"/>
                <w:i w:val="0"/>
                <w:iCs w:val="0"/>
                <w:caps w:val="0"/>
                <w:color w:val="auto"/>
                <w:spacing w:val="0"/>
                <w:sz w:val="21"/>
                <w:szCs w:val="21"/>
                <w:highlight w:val="none"/>
                <w:lang w:eastAsia="zh-CN"/>
              </w:rPr>
              <w:t>配备持证岗位人员，包括但不限于</w:t>
            </w:r>
            <w:r>
              <w:rPr>
                <w:rFonts w:hint="eastAsia" w:ascii="宋体" w:hAnsi="宋体" w:eastAsia="宋体" w:cs="宋体"/>
                <w:i w:val="0"/>
                <w:iCs w:val="0"/>
                <w:caps w:val="0"/>
                <w:color w:val="auto"/>
                <w:spacing w:val="0"/>
                <w:sz w:val="21"/>
                <w:szCs w:val="21"/>
                <w:highlight w:val="none"/>
              </w:rPr>
              <w:t>现场施工负责人</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rPr>
              <w:t>专职安全员</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rPr>
              <w:t>特种作业持证人员</w:t>
            </w:r>
            <w:r>
              <w:rPr>
                <w:rFonts w:hint="eastAsia" w:ascii="宋体" w:hAnsi="宋体" w:eastAsia="宋体" w:cs="宋体"/>
                <w:i w:val="0"/>
                <w:iCs w:val="0"/>
                <w:caps w:val="0"/>
                <w:color w:val="auto"/>
                <w:spacing w:val="0"/>
                <w:sz w:val="21"/>
                <w:szCs w:val="21"/>
                <w:highlight w:val="none"/>
                <w:lang w:eastAsia="zh-CN"/>
              </w:rPr>
              <w:t>；</w:t>
            </w:r>
          </w:p>
          <w:p w14:paraId="6AC70113">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val="en-US" w:eastAsia="zh-CN"/>
              </w:rPr>
              <w:t>8、</w:t>
            </w:r>
            <w:r>
              <w:rPr>
                <w:rFonts w:hint="eastAsia" w:ascii="宋体" w:hAnsi="宋体" w:eastAsia="宋体" w:cs="宋体"/>
                <w:i w:val="0"/>
                <w:iCs w:val="0"/>
                <w:caps w:val="0"/>
                <w:color w:val="auto"/>
                <w:spacing w:val="0"/>
                <w:sz w:val="21"/>
                <w:szCs w:val="21"/>
                <w:highlight w:val="none"/>
              </w:rPr>
              <w:t>整体验收统一由采购人组织，分包施工瑕疵 3 日内整改完毕，整改费用由总包承担</w:t>
            </w:r>
            <w:r>
              <w:rPr>
                <w:rFonts w:hint="eastAsia" w:ascii="宋体" w:hAnsi="宋体" w:eastAsia="宋体" w:cs="宋体"/>
                <w:i w:val="0"/>
                <w:iCs w:val="0"/>
                <w:caps w:val="0"/>
                <w:color w:val="auto"/>
                <w:spacing w:val="0"/>
                <w:sz w:val="21"/>
                <w:szCs w:val="21"/>
                <w:highlight w:val="none"/>
                <w:lang w:eastAsia="zh-CN"/>
              </w:rPr>
              <w:t>；</w:t>
            </w:r>
          </w:p>
          <w:p w14:paraId="19759898">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sz w:val="21"/>
                <w:szCs w:val="21"/>
                <w:highlight w:val="none"/>
                <w:lang w:val="en-US" w:eastAsia="zh-CN"/>
              </w:rPr>
              <w:t>9、</w:t>
            </w:r>
            <w:r>
              <w:rPr>
                <w:rFonts w:hint="eastAsia" w:ascii="宋体" w:hAnsi="宋体" w:eastAsia="宋体" w:cs="宋体"/>
                <w:i w:val="0"/>
                <w:iCs w:val="0"/>
                <w:caps w:val="0"/>
                <w:color w:val="auto"/>
                <w:spacing w:val="0"/>
                <w:sz w:val="21"/>
                <w:szCs w:val="21"/>
                <w:highlight w:val="none"/>
              </w:rPr>
              <w:t>分包施工期间人身、财产安全事故，全部由成交供应商承担赔偿责任</w:t>
            </w:r>
            <w:r>
              <w:rPr>
                <w:rFonts w:hint="eastAsia" w:ascii="宋体" w:hAnsi="宋体" w:eastAsia="宋体" w:cs="宋体"/>
                <w:i w:val="0"/>
                <w:iCs w:val="0"/>
                <w:caps w:val="0"/>
                <w:color w:val="auto"/>
                <w:spacing w:val="0"/>
                <w:sz w:val="21"/>
                <w:szCs w:val="21"/>
                <w:highlight w:val="none"/>
                <w:lang w:eastAsia="zh-CN"/>
              </w:rPr>
              <w:t>；</w:t>
            </w:r>
          </w:p>
          <w:p w14:paraId="19069338">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10、违规转包或未报备分包、装修质量不达标、逾期完工，采购人有权扣除合同总金额 5% 违约金，情节严重解除合同并追责。</w:t>
            </w:r>
          </w:p>
          <w:p w14:paraId="10C16C0D">
            <w:pPr>
              <w:keepNext w:val="0"/>
              <w:keepLines w:val="0"/>
              <w:pageBreakBefore w:val="0"/>
              <w:numPr>
                <w:ilvl w:val="-1"/>
                <w:numId w:val="0"/>
              </w:numPr>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color w:val="auto"/>
                <w:szCs w:val="21"/>
                <w:highlight w:val="none"/>
                <w:u w:val="single"/>
                <w:lang w:eastAsia="zh-CN"/>
              </w:rPr>
            </w:pPr>
            <w:r>
              <w:rPr>
                <w:rFonts w:hint="eastAsia" w:ascii="宋体" w:hAnsi="宋体" w:eastAsia="宋体" w:cs="宋体"/>
                <w:color w:val="auto"/>
                <w:szCs w:val="21"/>
                <w:highlight w:val="none"/>
                <w:u w:val="none"/>
                <w:lang w:val="en-US" w:eastAsia="zh-CN"/>
              </w:rPr>
              <w:t>11、</w:t>
            </w:r>
            <w:r>
              <w:rPr>
                <w:rFonts w:hint="eastAsia" w:ascii="宋体" w:hAnsi="宋体" w:eastAsia="宋体" w:cs="宋体"/>
                <w:color w:val="auto"/>
                <w:szCs w:val="21"/>
                <w:highlight w:val="none"/>
                <w:u w:val="none"/>
              </w:rPr>
              <w:t>如供应商不具备上述资格条件，应当对相应标的进行分包，分包承担主体（即分包供应商）须具备上述有效资质要求。</w:t>
            </w:r>
          </w:p>
        </w:tc>
      </w:tr>
      <w:tr w14:paraId="74B2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3878505A">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8238" w:type="dxa"/>
            <w:gridSpan w:val="4"/>
            <w:noWrap w:val="0"/>
            <w:vAlign w:val="center"/>
          </w:tcPr>
          <w:p w14:paraId="505FEE13">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1、验收过程中所产生的一切费用均由成交人承担。报价时应考虑相关费用。</w:t>
            </w:r>
          </w:p>
          <w:p w14:paraId="44E4293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2、成交人在货物验收时由采购单位对照采购文件的功能目标及技术指标全面核对检验，对所有要求出具的证明文件的原件进行核查，如不符合采购文件的技术需求及要求以及提供虚假承诺的，按相关规定</w:t>
            </w:r>
            <w:r>
              <w:rPr>
                <w:rFonts w:hint="eastAsia" w:ascii="宋体" w:hAnsi="宋体" w:eastAsia="宋体" w:cs="宋体"/>
                <w:color w:val="auto"/>
                <w:sz w:val="21"/>
                <w:szCs w:val="21"/>
                <w:highlight w:val="none"/>
                <w:lang w:eastAsia="zh-CN"/>
              </w:rPr>
              <w:t>作</w:t>
            </w:r>
            <w:r>
              <w:rPr>
                <w:rFonts w:hint="eastAsia" w:ascii="宋体" w:hAnsi="宋体" w:eastAsia="宋体" w:cs="宋体"/>
                <w:color w:val="auto"/>
                <w:sz w:val="21"/>
                <w:szCs w:val="21"/>
                <w:highlight w:val="none"/>
              </w:rPr>
              <w:t>退货处理及违约处理，成交人承担所有责任和费用，采购人保留进一步追究责任的权利。</w:t>
            </w:r>
          </w:p>
          <w:p w14:paraId="1B7C573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、验收按《合同主要条款格式》执行，未尽事宜参照《关于印发广西壮族自治区政府采购项目履约验收管理办法的通知》[桂财采〔2015〕22 号]以及《财政部关于进一步加强政府采购需求和履约验收管理的指导意见》[财库〔2016〕205 号]规定执行。</w:t>
            </w:r>
          </w:p>
          <w:p w14:paraId="0DF1FE25">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、采购项目进行验收时，采购人可以邀请参加本项目的其他竞标人或者第三方机构参与验收。参与验收的竞标人或者第三方机构的意见作为验收书的参考资料一并存档。</w:t>
            </w:r>
          </w:p>
          <w:p w14:paraId="7EB6B82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、在交货或验收时，采购人</w:t>
            </w:r>
            <w:r>
              <w:rPr>
                <w:rFonts w:hint="eastAsia" w:ascii="宋体" w:hAnsi="宋体" w:eastAsia="宋体" w:cs="宋体"/>
                <w:color w:val="auto"/>
                <w:sz w:val="21"/>
                <w:szCs w:val="21"/>
                <w:highlight w:val="none"/>
                <w:lang w:val="en-US" w:eastAsia="zh-CN"/>
              </w:rPr>
              <w:t>有权</w:t>
            </w:r>
            <w:r>
              <w:rPr>
                <w:rFonts w:hint="eastAsia" w:ascii="宋体" w:hAnsi="宋体" w:eastAsia="宋体" w:cs="宋体"/>
                <w:color w:val="auto"/>
                <w:sz w:val="21"/>
                <w:szCs w:val="21"/>
                <w:highlight w:val="none"/>
              </w:rPr>
              <w:t>要求成交人提供响应文件中相关材料的原件（如检测证书、计算机软件著作权证书及其他采购人认为需要查询的材料）进行真假核实，成交人必须按照采购人的要求提供，否则采购人有权按照合同条款追究成交人的违约责任，并上报财政部门进行处理。</w:t>
            </w:r>
          </w:p>
        </w:tc>
      </w:tr>
      <w:tr w14:paraId="1201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gridSpan w:val="3"/>
            <w:noWrap w:val="0"/>
            <w:vAlign w:val="center"/>
          </w:tcPr>
          <w:p w14:paraId="50869E5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8238" w:type="dxa"/>
            <w:gridSpan w:val="4"/>
            <w:noWrap w:val="0"/>
            <w:vAlign w:val="center"/>
          </w:tcPr>
          <w:p w14:paraId="194396A6">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履约保证金金额：本项目成交金额的</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1DD156B8">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履约保证金提交方式：支票、汇票、本票、银行转账或者金融机构、担保机构出具的保函等非现金形式。</w:t>
            </w:r>
          </w:p>
          <w:p w14:paraId="2067C964">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履约保证金指定账户：广西安全工程职业技术学院</w:t>
            </w:r>
          </w:p>
          <w:p w14:paraId="5F4721DC">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 广西安全工程职业技术学院</w:t>
            </w:r>
          </w:p>
          <w:p w14:paraId="64B512C9">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 南宁市武鸣区农村信用合作联社营业部</w:t>
            </w:r>
          </w:p>
          <w:p w14:paraId="03764330">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账  号：190612010173156516</w:t>
            </w:r>
          </w:p>
        </w:tc>
      </w:tr>
      <w:tr w14:paraId="3972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8" w:type="dxa"/>
            <w:gridSpan w:val="7"/>
            <w:noWrap w:val="0"/>
            <w:vAlign w:val="center"/>
          </w:tcPr>
          <w:p w14:paraId="5EA1A75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color w:val="auto"/>
                <w:kern w:val="0"/>
                <w:sz w:val="21"/>
                <w:szCs w:val="21"/>
                <w:highlight w:val="none"/>
              </w:rPr>
              <w:t>谈判小组根据与供应商谈判情况可能实质性变动的内容</w:t>
            </w:r>
            <w:r>
              <w:rPr>
                <w:rFonts w:hint="eastAsia" w:ascii="宋体" w:hAnsi="宋体" w:eastAsia="宋体" w:cs="宋体"/>
                <w:b/>
                <w:color w:val="auto"/>
                <w:sz w:val="21"/>
                <w:szCs w:val="21"/>
                <w:highlight w:val="none"/>
              </w:rPr>
              <w:t xml:space="preserve">： </w:t>
            </w:r>
          </w:p>
          <w:p w14:paraId="2D56F773">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1.未标注“▲”的内容。</w:t>
            </w:r>
          </w:p>
        </w:tc>
      </w:tr>
    </w:tbl>
    <w:p w14:paraId="38AC4F27">
      <w:pPr>
        <w:spacing w:line="500" w:lineRule="exact"/>
        <w:ind w:firstLine="0" w:firstLineChars="0"/>
        <w:jc w:val="left"/>
        <w:outlineLvl w:val="9"/>
        <w:rPr>
          <w:rFonts w:hint="eastAsia" w:ascii="宋体" w:hAnsi="宋体" w:eastAsia="宋体" w:cs="Times New Roman"/>
          <w:b/>
          <w:color w:val="auto"/>
          <w:szCs w:val="21"/>
          <w:highlight w:val="none"/>
          <w:lang w:val="en-US" w:eastAsia="zh-CN"/>
        </w:rPr>
      </w:pPr>
    </w:p>
    <w:p w14:paraId="3C007AB5">
      <w:pPr>
        <w:spacing w:line="240" w:lineRule="auto"/>
        <w:ind w:firstLine="0" w:firstLineChars="0"/>
        <w:jc w:val="left"/>
        <w:outlineLvl w:val="9"/>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br w:type="page"/>
      </w:r>
    </w:p>
    <w:p w14:paraId="5FF52C8C">
      <w:pPr>
        <w:spacing w:line="500" w:lineRule="exact"/>
        <w:ind w:firstLine="0" w:firstLineChars="0"/>
        <w:jc w:val="left"/>
        <w:outlineLvl w:val="1"/>
        <w:rPr>
          <w:rFonts w:hint="eastAsia" w:ascii="Times New Roman" w:hAnsi="Times New Roman" w:eastAsia="宋体" w:cs="Times New Roman"/>
          <w:b/>
          <w:color w:val="auto"/>
          <w:highlight w:val="none"/>
        </w:rPr>
      </w:pPr>
      <w:r>
        <w:rPr>
          <w:rFonts w:hint="eastAsia" w:ascii="宋体" w:hAnsi="宋体" w:eastAsia="宋体" w:cs="Times New Roman"/>
          <w:b/>
          <w:color w:val="auto"/>
          <w:szCs w:val="21"/>
          <w:highlight w:val="none"/>
          <w:lang w:val="en-US" w:eastAsia="zh-CN"/>
        </w:rPr>
        <w:t>标项二</w:t>
      </w:r>
      <w:r>
        <w:rPr>
          <w:rFonts w:hint="eastAsia" w:ascii="宋体" w:hAnsi="宋体" w:eastAsia="宋体" w:cs="Times New Roman"/>
          <w:b/>
          <w:color w:val="auto"/>
          <w:szCs w:val="21"/>
          <w:highlight w:val="none"/>
        </w:rPr>
        <w:t>采购预算</w:t>
      </w:r>
      <w:r>
        <w:rPr>
          <w:rFonts w:hint="eastAsia" w:ascii="宋体" w:hAnsi="宋体" w:eastAsia="宋体" w:cs="Times New Roman"/>
          <w:b/>
          <w:color w:val="auto"/>
          <w:highlight w:val="none"/>
        </w:rPr>
        <w:t>55</w:t>
      </w:r>
      <w:r>
        <w:rPr>
          <w:rFonts w:hint="eastAsia" w:ascii="宋体" w:hAnsi="宋体" w:eastAsia="宋体" w:cs="Times New Roman"/>
          <w:b/>
          <w:color w:val="auto"/>
          <w:highlight w:val="none"/>
          <w:lang w:val="en-US" w:eastAsia="zh-CN"/>
        </w:rPr>
        <w:t>.</w:t>
      </w:r>
      <w:r>
        <w:rPr>
          <w:rFonts w:hint="eastAsia" w:ascii="宋体" w:hAnsi="宋体" w:eastAsia="宋体" w:cs="Times New Roman"/>
          <w:b/>
          <w:color w:val="auto"/>
          <w:highlight w:val="none"/>
        </w:rPr>
        <w:t>063</w:t>
      </w:r>
      <w:r>
        <w:rPr>
          <w:rFonts w:hint="eastAsia" w:ascii="Times New Roman" w:hAnsi="Times New Roman" w:eastAsia="宋体" w:cs="Times New Roman"/>
          <w:b/>
          <w:color w:val="auto"/>
          <w:highlight w:val="none"/>
        </w:rPr>
        <w:t>万元</w:t>
      </w:r>
    </w:p>
    <w:tbl>
      <w:tblPr>
        <w:tblStyle w:val="37"/>
        <w:tblW w:w="10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212"/>
        <w:gridCol w:w="496"/>
        <w:gridCol w:w="459"/>
        <w:gridCol w:w="5495"/>
        <w:gridCol w:w="1142"/>
        <w:gridCol w:w="1142"/>
      </w:tblGrid>
      <w:tr w14:paraId="369A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072E74F8">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12" w:type="dxa"/>
            <w:noWrap w:val="0"/>
            <w:vAlign w:val="center"/>
          </w:tcPr>
          <w:p w14:paraId="54D7E8F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496" w:type="dxa"/>
            <w:noWrap w:val="0"/>
            <w:vAlign w:val="center"/>
          </w:tcPr>
          <w:p w14:paraId="236B203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59" w:type="dxa"/>
            <w:noWrap w:val="0"/>
            <w:vAlign w:val="center"/>
          </w:tcPr>
          <w:p w14:paraId="0D7B6A6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495" w:type="dxa"/>
            <w:noWrap w:val="0"/>
            <w:vAlign w:val="center"/>
          </w:tcPr>
          <w:p w14:paraId="2CDDFE1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技术参数及性能配置要求</w:t>
            </w:r>
          </w:p>
        </w:tc>
        <w:tc>
          <w:tcPr>
            <w:tcW w:w="1142" w:type="dxa"/>
            <w:noWrap w:val="0"/>
            <w:vAlign w:val="center"/>
          </w:tcPr>
          <w:p w14:paraId="12DB80C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分项预算金额（万元）</w:t>
            </w:r>
          </w:p>
        </w:tc>
        <w:tc>
          <w:tcPr>
            <w:tcW w:w="1142" w:type="dxa"/>
            <w:noWrap w:val="0"/>
            <w:vAlign w:val="center"/>
          </w:tcPr>
          <w:p w14:paraId="4F7F542F">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采购标的对应的中小企业划分标准所属行业</w:t>
            </w:r>
          </w:p>
        </w:tc>
      </w:tr>
      <w:tr w14:paraId="1BE5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6A16B6A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12" w:type="dxa"/>
            <w:noWrap w:val="0"/>
            <w:vAlign w:val="center"/>
          </w:tcPr>
          <w:p w14:paraId="12903B10">
            <w:pPr>
              <w:keepNext w:val="0"/>
              <w:keepLines w:val="0"/>
              <w:pageBreakBefore w:val="0"/>
              <w:widowControl/>
              <w:suppressLineNumbers w:val="0"/>
              <w:tabs>
                <w:tab w:val="left" w:pos="3150"/>
              </w:tabs>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网络综合布线工程技术实训装置</w:t>
            </w:r>
          </w:p>
        </w:tc>
        <w:tc>
          <w:tcPr>
            <w:tcW w:w="496" w:type="dxa"/>
            <w:noWrap w:val="0"/>
            <w:vAlign w:val="center"/>
          </w:tcPr>
          <w:p w14:paraId="590E577D">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59" w:type="dxa"/>
            <w:noWrap w:val="0"/>
            <w:vAlign w:val="center"/>
          </w:tcPr>
          <w:p w14:paraId="03860D01">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59D10E9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
              </w:rPr>
              <w:t>一、产品规格要求：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1.尺寸</w:t>
            </w:r>
            <w:r>
              <w:rPr>
                <w:rFonts w:hint="eastAsia" w:ascii="Times New Roman" w:hAnsi="Times New Roman" w:cs="Times New Roman"/>
                <w:color w:val="auto"/>
                <w:highlight w:val="none"/>
                <w:lang w:val="en-US" w:eastAsia="zh-CN"/>
              </w:rPr>
              <w:t>（±5%）</w:t>
            </w:r>
            <w:r>
              <w:rPr>
                <w:rFonts w:hint="eastAsia" w:ascii="宋体" w:hAnsi="宋体" w:eastAsia="宋体" w:cs="宋体"/>
                <w:color w:val="auto"/>
                <w:kern w:val="2"/>
                <w:sz w:val="21"/>
                <w:szCs w:val="21"/>
                <w:highlight w:val="none"/>
                <w:lang w:val="en-US" w:eastAsia="zh-CN" w:bidi="ar"/>
              </w:rPr>
              <w:t>约为长2780mm×宽2780mm×高1980mm；</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实训装置采用模块化全钢结构设计,可以实现模块化装配，主要由主体框架、多功能面板和管理间小机柜等部分组成。框架采用约30*30的方钢焊接，单模块可拆卸；多功能面板大小统一设计，功能多样，可以独立更换及装配。实训装置内外均采用高强度全钢结构设计，墙体钢板采用约为1.5毫米冷轧钢板，表面喷塑处理，不生锈；</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实训装置配置各种安装孔，适合安装各种IT类产品，进行工程技术实训，设备分为上、中、下三层结构，模拟三层建筑结构，整体模块化设计，能够按照实训场地尺寸合理布局，适合任意实训场地的设备安装与实训；设备配套6U实训专用机柜，能够进行网络综合布线系统管理间和设备间的设备安装调试等综合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二、产品配置要求：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至少包含：4个工作模组，高强度金属焊接框架12套，金属焊接立柱3套，多功能全金属活动墙体正面板48块，侧面板12块，6U机柜4个，可旋转地脚16个，光纤道槽1套，工程桥架1套，U型光纤道槽支架8个，L型桥架支架16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▲1.能够真实体现实际工程安装规范，按照GB50311和GB50312国家标准，可与IDC互联网数据中心安装规范接轨，满足技能大赛比赛设备训练要求。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整体结构采用模块化全钢结构设计，可以实现模块化任意组合装配，整套装置由模块化结构组建而成，可以任意轻松搭建组成“十”字型、“双十”字型、“T”字型、“U”字型等组合，满足技能比赛和学生实训鉴定的不同应用环境需要。</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▲3.实训装置面板采用模块化设计可以保证单独拆卸和维护，在实训中可以对任意一个面板拆卸和维护（采用M6螺丝进行固定，不能使用铆钉固定）。</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实训装置同时设计有暗装工作区模块和明装工作区模块，可以满足同时或交叉进行暗装布线和明装布线的实训和竞赛要求。暗装工作区模块满足86*86型的面板安装，可与线管、波纹管进行连接；明装工作区模块满足86*86型的面板和底盒的安装。</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5.能够作为网络综合布线的实训平台，预设高硬度M6螺孔设备安装孔、Φ30波纹管和线管穿线孔、86*86型的信息面板和底盒安装孔、220V强电安全开关安装孔、安装调试孔等多种规格的安装孔。</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6.实训装置配套网络布线工程桥架装置，采用布线工程常用的网格式结构的桥架装置，规格约为宽200mm*高100mm</w:t>
            </w:r>
            <w:r>
              <w:rPr>
                <w:rFonts w:hint="eastAsia" w:ascii="宋体" w:hAnsi="宋体" w:cs="宋体"/>
                <w:color w:val="auto"/>
                <w:kern w:val="2"/>
                <w:sz w:val="21"/>
                <w:szCs w:val="21"/>
                <w:highlight w:val="none"/>
                <w:lang w:val="en-US" w:eastAsia="zh-CN" w:bidi="ar"/>
              </w:rPr>
              <w:t>（</w:t>
            </w:r>
            <w:r>
              <w:rPr>
                <w:rFonts w:hint="eastAsia"/>
                <w:color w:val="auto"/>
                <w:highlight w:val="none"/>
                <w:lang w:val="en-US" w:eastAsia="zh-CN"/>
              </w:rPr>
              <w:t>学校场地和使用情况确定）</w:t>
            </w:r>
            <w:r>
              <w:rPr>
                <w:rFonts w:hint="eastAsia" w:ascii="宋体" w:hAnsi="宋体" w:eastAsia="宋体" w:cs="宋体"/>
                <w:color w:val="auto"/>
                <w:kern w:val="2"/>
                <w:sz w:val="21"/>
                <w:szCs w:val="21"/>
                <w:highlight w:val="none"/>
                <w:lang w:val="en-US" w:eastAsia="zh-CN" w:bidi="ar"/>
              </w:rPr>
              <w:t>，外表镀锌，带有标准链接组件，可以根据实训环境组合成需要的形态，承载力强，每平方米可以承受≥100公斤承重。</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.实训装置配置有数据中心机房专用的光纤道槽装置，规格采用约为宽120mm*高100mm</w:t>
            </w:r>
            <w:r>
              <w:rPr>
                <w:rFonts w:hint="eastAsia" w:ascii="宋体" w:hAnsi="宋体" w:cs="宋体"/>
                <w:color w:val="auto"/>
                <w:kern w:val="2"/>
                <w:sz w:val="21"/>
                <w:szCs w:val="21"/>
                <w:highlight w:val="none"/>
                <w:lang w:val="en-US" w:eastAsia="zh-CN" w:bidi="ar"/>
              </w:rPr>
              <w:t>（</w:t>
            </w:r>
            <w:r>
              <w:rPr>
                <w:rFonts w:hint="eastAsia"/>
                <w:color w:val="auto"/>
                <w:highlight w:val="none"/>
                <w:lang w:val="en-US" w:eastAsia="zh-CN"/>
              </w:rPr>
              <w:t>学校场地和使用情况确定）</w:t>
            </w:r>
            <w:r>
              <w:rPr>
                <w:rFonts w:hint="eastAsia" w:ascii="宋体" w:hAnsi="宋体" w:eastAsia="宋体" w:cs="宋体"/>
                <w:color w:val="auto"/>
                <w:kern w:val="2"/>
                <w:sz w:val="21"/>
                <w:szCs w:val="21"/>
                <w:highlight w:val="none"/>
                <w:lang w:val="en-US" w:eastAsia="zh-CN" w:bidi="ar"/>
              </w:rPr>
              <w:t>的工程用光纤道槽装置，带有标准链接组件（槽道托架、直槽、连接组件等），可以根据搭建的实训环境组合成需要的形态；采用阻燃工程材料，表面光滑，能够充分保护光纤不受伤害。</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8.多功能墙面模块化设计，分为不同功能的安装区域，可以直观模拟建筑物不同工作区域，如工作区布线、暗装明装布线、机柜布线等。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三、产品功能要求：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1.能够模拟网络综合布线系统工作区子系统、水平子系统、管理间子系统、垂直子系统、设备间等子系统等实际工程项目体现综合布线系统各种典型的安装场景。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2.能够作为综合布线系统、网络搭建与应用、网络工程应用、智能家居、智能楼宇、智能安防、物联网工程技术、视频监控工程等实际应用技术的实训平台，进行各种网络终端设备的安装与调试。</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3.具有设计和搭建多种网络永久链路、信道链路实训的功能。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4.能够模拟实际工程应用技术，进行各种线槽、线管、波纹管的明装和暗装方式的布线和端接实训，设备表面平整，不出现各种凸凹槽。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5.能够满足工程技术展示、设备安装与调试实训、技能鉴定与考核等综合应用功能，具有很强的扩展功能。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6.能够满足综合布线机柜、信息插座面板、底盒、智能家居功能箱、配线架、交换机、桥架等各种网络设备的安装与调试。</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7.配置M6 高强度螺孔，能够直接使用M6螺丝不使用螺母快速安装固定设备。</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8.配置Φ30波纹管和线管穿线孔，可以安装波纹管、线管等设备。</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9.配置86*86型的信息面板和底盒安装孔，可以安装明装和暗装86*86型底盒和面板。</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10.配置手臂安装孔，适合学生手臂轻松穿过和转动，可以在内部安装螺母，进行线管安装及布线，实现暗装布线实训。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11.能够满足数据中心光铜分离布线的实训要求。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12.能够满足桥架布线和光纤道槽布线的实训要求。</w:t>
            </w:r>
          </w:p>
        </w:tc>
        <w:tc>
          <w:tcPr>
            <w:tcW w:w="1142" w:type="dxa"/>
            <w:noWrap w:val="0"/>
            <w:vAlign w:val="center"/>
          </w:tcPr>
          <w:p w14:paraId="4790D9B0">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1142" w:type="dxa"/>
            <w:noWrap w:val="0"/>
            <w:vAlign w:val="center"/>
          </w:tcPr>
          <w:p w14:paraId="0FD974BB">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23A4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7AE5610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12" w:type="dxa"/>
            <w:noWrap w:val="0"/>
            <w:vAlign w:val="center"/>
          </w:tcPr>
          <w:p w14:paraId="570B8440">
            <w:pPr>
              <w:keepNext w:val="0"/>
              <w:keepLines w:val="0"/>
              <w:pageBreakBefore w:val="0"/>
              <w:widowControl/>
              <w:suppressLineNumbers w:val="0"/>
              <w:tabs>
                <w:tab w:val="left" w:pos="3150"/>
              </w:tabs>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网络综合布线数据中心布线实训装置</w:t>
            </w:r>
          </w:p>
        </w:tc>
        <w:tc>
          <w:tcPr>
            <w:tcW w:w="496" w:type="dxa"/>
            <w:noWrap w:val="0"/>
            <w:vAlign w:val="center"/>
          </w:tcPr>
          <w:p w14:paraId="552EB9B1">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59" w:type="dxa"/>
            <w:noWrap w:val="0"/>
            <w:vAlign w:val="center"/>
          </w:tcPr>
          <w:p w14:paraId="58909C0E">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18965BE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
              </w:rPr>
              <w:t>一、产品规格要求：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1.尺寸（±5%）约为长600mm×宽600mm×高1800mm。</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.采用优质冷轧钢板，喷塑处理，防火防静电。</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.两侧为网格金属可拆卸活动挡板，前后为金属网状可拆卸门。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.立柱板孔采用标准化处理，能够安装各种符合标准的IT工程网络设备的安装，可满足4人/台前后同时实训。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▲二、产品配置要求：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1.标准19寸37U机柜≥1个；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2.超五类网络配线架≥6个；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3.六类网路配线架≥6个；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4.110通信跳线架≥5个；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5.25口语音配线架≥5个；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6.机架式光纤配线架≥4个；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7.机架式网络理线架≥8个；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8.48芯ODF光纤配线架≥2个 ；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9.壁挂式光纤接续盒≥2个；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10.直通式光纤接续盒≥2个；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11.卧式光纤接续盒≥2个；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12.机架式M6螺丝螺母≥300套；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13.机架式M5螺丝螺母≥100套；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14.机架理线环50个；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15.网络综合布线配套组件，至少包含以下内容（1、超五类非屏蔽双绞线 单股UTP/305m 1箱；2、6A类屏蔽双绞线 单股S-FTP/100m；3、大对数三类/非屏蔽/25对/灰白 20米；4、室内光缆GJFJV 室内/12芯/B1.1-G652单模光纤 20米；5、松套层绞式轻铠装光缆GYTS室外/48芯/B1.1-G652单模光纤 20米；6、皮线光缆 G657A2 2芯单模/金属加强芯 20米；7、底盒 20个；8、标签纸 10张；9、86型RJ45网络面板 10个；10、86型光纤面板 10个；11、超五类免打线式信息模块 20个；12、6A类免打线式屏蔽信息模块 20个；13、超五类水晶头 5盒；14、SC快速冷接端子 20个；15、网络跳线 超五类UTP跳线/2M 10条；16、单模 1芯SC-SC 3米光纤 20条；17、单模 1芯LC-LC 3米光纤 20条；18、光纤热缩套管 60mm 300根；19、粘米粉水磨粘米粉 1包；20、无尘纸150张/包 1包；21、抽纸 1包；22、一次性橡胶手套 10副；23、固定粘扣3cm*3cm 100个；24、魔术贴宽20mm/黑色 2卷；25、大号扎带 5包；26、小号扎带 5包；27、标签扎带 5包；28、电工胶布 20m*18mm*0.15mm/黑色 2卷；29、机架布线装置理线环套件 20套；30、卡式螺母 M5/镀镍 50个；31、螺钉 M5*12/十字槽盘头/镀镍 50个；32、卡式螺母 M6/镀镍 200个；33、螺钉 M6*12/十字槽大扁头/镀镍 500个；34、耦合器 SC耦合器/单工 50个；35、耦合器 LC耦合器/双工 50个；36、39×19 PVC难燃线槽(3.8米/条) 5条；37、39×19 PVC难燃线槽直角 5只；38、39×19 PVC难燃线槽三通 5只；39、39×19 PVC难燃线槽内角 5只；40、39×19 PVC难燃线槽外角 5只；41、39×19 PVC难燃线槽终端头 5只； 42、24×14 PVC难燃线槽(3.8米/条) 5条；43、24×14 PVC难燃线槽直角 5只；44、24×14 PVC难燃线槽三通 5只；45、24×14 PVC难燃线槽内角 5只；46、24×14 PVC难燃线槽外角 5只；47、24×14 PVC难燃线槽终端头 5只；48、Φ20 PVC难燃线管(3.8米/条) 5条；49、Φ20 PVC难燃线管直通 10只；50、Φ20 PVC难燃线管三通 10只；51、Φ20 PVC难燃线管弯管 10只；52、Φ20 PVC难燃线管杯疏 10只；53、Φ20 PVC难燃管卡 30只）。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三、产品功能要求：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1.能够与网络综合布线工程技术实训装置搭配进行数据中心的安装与调试工作。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2.能够进行数据中心内部机柜设备及终端设备的安装与调试。</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3.能够满足数据中心内部网络综合布线安装的实训。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4.能够实现设计和搭建多种网络永久链路、信道链路的实训。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5.满足数据中心布线系统工程安装实训。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6.满足数据中心或信息中心机架安装实训。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7.能够满足数据中心和信息中心设备安装规范及跳线和理线标准技术规范实训。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8.能够实现超五类、六类屏蔽和非屏蔽布线系统的配线和端接实训。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9.能够实现超五类和六类高密度布线、模块化端接实训。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10.能够实现光纤布线系统及其设备安装实训。</w:t>
            </w:r>
          </w:p>
        </w:tc>
        <w:tc>
          <w:tcPr>
            <w:tcW w:w="1142" w:type="dxa"/>
            <w:noWrap w:val="0"/>
            <w:vAlign w:val="center"/>
          </w:tcPr>
          <w:p w14:paraId="379C695B">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w:t>
            </w:r>
          </w:p>
        </w:tc>
        <w:tc>
          <w:tcPr>
            <w:tcW w:w="1142" w:type="dxa"/>
            <w:noWrap w:val="0"/>
            <w:vAlign w:val="center"/>
          </w:tcPr>
          <w:p w14:paraId="5498A6B0">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3A1B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19398263">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12" w:type="dxa"/>
            <w:noWrap w:val="0"/>
            <w:vAlign w:val="center"/>
          </w:tcPr>
          <w:p w14:paraId="49E6EA31">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铜缆配线端接与测试实训装置</w:t>
            </w:r>
          </w:p>
        </w:tc>
        <w:tc>
          <w:tcPr>
            <w:tcW w:w="496" w:type="dxa"/>
            <w:noWrap w:val="0"/>
            <w:vAlign w:val="center"/>
          </w:tcPr>
          <w:p w14:paraId="17AC9F8D">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59" w:type="dxa"/>
            <w:noWrap w:val="0"/>
            <w:vAlign w:val="center"/>
          </w:tcPr>
          <w:p w14:paraId="050D1D11">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056878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
              </w:rPr>
              <w:t>一、产品结构要求：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1.尺寸（±5%）约为长600mm，宽550mm，高1800mm，立式落地安装。</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2.全钢结构，采用冷轧钢板，喷塑处理，防火防静电、落地安装、立式操作。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3.立柱板孔采用标准化处理，能够安装各种符合标准的IT工程网络设备的安装，可满足2-4人/台同时实训。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4.装置侧板预留各种孔径安装孔，可以进行网络设备、监控设备、面板底盒配件的安装与调试。</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val="en-US" w:eastAsia="zh-CN" w:bidi="ar"/>
              </w:rPr>
              <w:t>.产品配置带遥控器的机架式智能语音播放系统，插入存储卡可以自动播放语音解说词。</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二、产品配置要求：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1.标准19寸38U开放式机架≥1套。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2.8U机架式铜缆跳线制作与测试实训装置≥1台。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3.8U机架式铜缆通信跳线端接与测试实训装置≥1台。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4.24口超五类网络配线架≥1个。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5.24口六类屏蔽配线架空架≥1个。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6.110型通信跳线架≥2个。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7.机架式网络理线架≥2个。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8.铜缆工作区信息面板（含4个信息插座）≥1套。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9.配套110型通信跳线架5对连接块≥40个。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10.19寸1U 零件/工具盒托盘≥1个。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11.19寸1U PDU电源插座≥1个。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12.机架式智能语音播放系统≥1套。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13.五孔地插式电源插座≥1个。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14.双口地插式信息插座≥1个。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三、功能要求：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（一）铜缆跳线制作与测试实训装置至少包含以下功能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1.采用8U标准机架式结构</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2.网络配线端接区能够同时进行≥6组铜缆跳线≥12个网络模块（屏蔽和非屏蔽）的端接与测试实训。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3.测试装置面板设置网络配线端接区和测试结果显示区两个区域，共有7寸液晶彩色显示触摸屏≥1个，屏蔽网络模块≥6个；网络配线端组≥3个，能够通过液晶屏同时显示3组测试结果。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测试结果显示区能够通过液晶触摸屏，同时检测显示≥3组铜缆跳线（屏蔽和非屏蔽）的全部端接情况，能够直观判断网络双绞线的正常、开路、短路、反接、跨接现象，通过触摸液晶屏可详细查看每一组具体的实测结果，方便师生查找故障原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测试装置具有技能操作视频演示的功能，包括RJ45水晶头跳线的压接与测试视频演示，RJ45网络模块的端接与测试视频演示，RJ45模块配线架的端接与测试视频演示，110语音配线架的端接与测试视频演示，语音配线架的端接视频演示，六类屏蔽模块的端接与测试视频演示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▲6.测试前可以选择T568A或T568B的测试标准，并分别单独显示各自测试标准的正确线序和正确线序的示意图方便师生对照测试结果。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▲7.测试结果可自动显示出被测网线类别（屏或非屏蔽）、执行标准（568A或568B）、压接是否正确、故障类型示意图、实测结果等测试内容, 方便查找故障点，排除后可重新验证。</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测试装置具有常见故障的演示功能，比如正常、开路、短路、反接、跨接现象的示例展示，并能够针对每一种现象描述故障现象，分析故障原因，并给出解决故障思路，可帮助学生直观了解各种实际工程中的常见故障错误类型。</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▲9.为保证实训教学功能需要，供应商需</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提供“铜缆跳线制作与测试实训装置”产品介绍的彩页图片及技术证明文件。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（二）铜缆通信跳线端接与测试实训装置至少包含以下功能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1.采用8U标准机架式结构，长约480mm×宽约150mm×高约350mm（±5%）。</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2.网络配线端接区能够同时进行≥6组铜缆跳线的端接与测试实训，配置有标准110通信跳线架。</w:t>
            </w:r>
            <w:r>
              <w:rPr>
                <w:rFonts w:hint="eastAsia" w:ascii="宋体" w:hAnsi="宋体" w:eastAsia="宋体" w:cs="宋体"/>
                <w:color w:val="auto"/>
                <w:kern w:val="2"/>
                <w:sz w:val="21"/>
                <w:szCs w:val="21"/>
                <w:highlight w:val="none"/>
                <w:lang w:val="en-US" w:eastAsia="zh-CN" w:bidi="ar"/>
              </w:rPr>
              <w:br w:type="textWrapping"/>
            </w:r>
            <w:r>
              <w:rPr>
                <w:rFonts w:hint="eastAsia"/>
                <w:color w:val="auto"/>
                <w:highlight w:val="none"/>
                <w:lang w:val="en-US" w:eastAsia="zh-CN"/>
              </w:rPr>
              <w:t>3</w:t>
            </w:r>
            <w:r>
              <w:rPr>
                <w:rFonts w:hint="eastAsia" w:ascii="宋体" w:hAnsi="宋体" w:eastAsia="宋体" w:cs="宋体"/>
                <w:color w:val="auto"/>
                <w:kern w:val="2"/>
                <w:sz w:val="21"/>
                <w:szCs w:val="21"/>
                <w:highlight w:val="none"/>
                <w:lang w:val="en-US" w:eastAsia="zh-CN" w:bidi="ar"/>
              </w:rPr>
              <w:t>.测试装置面板设置网络配线端接区和测试结果显示区两个区域，共有7寸液晶彩色显示触摸屏≥1个，110通信跳线架≥1个；网络配线端组≥3个，能够通过液晶屏同时显示≥3组测试结果。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测试结果显示区能够通过=液晶触摸屏，同时检测显示≥3组铜缆跳线与110通信跳线架的全部端接情况，能够直观判断网络双绞线的正常、开路、短路、反接、跨接现象，通过触摸液晶屏可详细查看每一组具体的实测结果，方便师生查找故障原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测试装置具有技能操作视频演示的功能，包括RJ45水晶头跳线的压接与测试视频演示，RJ45网络模块的端接与测试视频演示，RJ45模块配线架的端接与测试视频演示，110语音配线架的端接与测试视频演示，语音配线架的端接视频演示，六类屏蔽模块的端接与测试技术视频演示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▲6.测试前可以选择T568A或T568B的测试标准，并分别单独显示各自测试标准的正确线序和正确线序的示意图方便师生对照测试结果。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7.测试结果可自动显示出被测网线类别、执行标准（568A或568B）、压接是否正确、故障类型示意图、实测结果等测试内容，方便查找故障点，排除后可重新验证。</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测试装置具有常见故障的演示功能，比如正常、开路、短路、反接、跨接现象的示例展示，并能够针对每一种现象描述故障现象，分析故障原因，并给出解决故障思路，可帮助学生直观了解各种实际工程中的常见故障错误类型。</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▲9.为保证实训教学功能需要，供应商</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需提供“铜缆通信跳线端接与测试实训装置”产品介绍的彩页图片及技术证明文件。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四、产品功能要求：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1.能够进行六类屏蔽网络模块端接原理和技能实训。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2.能够进行25对大对数电缆的端接原理和技能实训。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3.能够进行25对大对数电缆永久链路的搭建与测试技能实训。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4.能够进行六类屏蔽配线架端接原理和技能实训。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5.能够进行25口语音配线架端接原理和技能实训。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6.设备两侧立柱必须预设穿线孔，能够实现PVC管/钢管暗埋穿线模拟实训功能。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7.开放式立柱必须具有桥架布线实训功能和安装网络插座功能。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8.能与网络配线架、通信跳线架组合进行多种端接实训，仿真机柜内配线端接。</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9.能够进行屏蔽永久链路、非屏蔽永久链路的搭建与测试技能实训。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10.能够模拟配线端接、永久链路常见故障，如：开路、短路、反接、跨接等。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11.实训设备具有5000次以上的端接实训功能。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12.能够搭建多种网络链路和测试链路的平台功能。</w:t>
            </w:r>
          </w:p>
        </w:tc>
        <w:tc>
          <w:tcPr>
            <w:tcW w:w="1142" w:type="dxa"/>
            <w:noWrap w:val="0"/>
            <w:vAlign w:val="center"/>
          </w:tcPr>
          <w:p w14:paraId="2996A506">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6.8</w:t>
            </w:r>
          </w:p>
        </w:tc>
        <w:tc>
          <w:tcPr>
            <w:tcW w:w="1142" w:type="dxa"/>
            <w:noWrap w:val="0"/>
            <w:vAlign w:val="center"/>
          </w:tcPr>
          <w:p w14:paraId="33D2D92A">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5C1B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237BD1A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12" w:type="dxa"/>
            <w:noWrap w:val="0"/>
            <w:vAlign w:val="center"/>
          </w:tcPr>
          <w:p w14:paraId="32B6F543">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光缆配线端接与测试实训装置</w:t>
            </w:r>
          </w:p>
        </w:tc>
        <w:tc>
          <w:tcPr>
            <w:tcW w:w="496" w:type="dxa"/>
            <w:noWrap w:val="0"/>
            <w:vAlign w:val="center"/>
          </w:tcPr>
          <w:p w14:paraId="448776B9">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59" w:type="dxa"/>
            <w:noWrap w:val="0"/>
            <w:vAlign w:val="center"/>
          </w:tcPr>
          <w:p w14:paraId="59A358BE">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7409171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一、产品结构要求：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1.尺寸为长约600mm×宽约550mm×高约1800mm(±5%），立式落地安装。</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2.设备为19英寸38U开放式机架结构。</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3.全钢结构，采用冷轧钢板，喷塑处理，防火防静电、落地安装、立式操作。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4.立柱板孔采用标准化处理，能够安装各种符合标准的IT工程网络设备的安装，可满足至少2人同时实训。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5.装置侧板预留各种孔径安装孔，可以进行网络设备、监控设备、面板底盒配件的安装与调试。</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.产品配置了≥48口光纤配线箱(ODF)、各种光纤信息插座，能够同时搭建多路多种复杂光纤链路，进行光纤通信工程安装施工技术实训与测试，包括光纤熔接和光纤冷接。</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.产品选配了常用工程用通信器材，如SC、LC、ST、FC耦合器和光纤跳线等，突出理论教学与工程实践相结合。</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8</w:t>
            </w:r>
            <w:r>
              <w:rPr>
                <w:rFonts w:hint="eastAsia" w:ascii="宋体" w:hAnsi="宋体" w:eastAsia="宋体" w:cs="宋体"/>
                <w:color w:val="auto"/>
                <w:kern w:val="2"/>
                <w:sz w:val="21"/>
                <w:szCs w:val="21"/>
                <w:highlight w:val="none"/>
                <w:lang w:val="en-US" w:eastAsia="zh-CN" w:bidi="ar"/>
              </w:rPr>
              <w:t>.产品按照网络与通信机房真实工程应用案例，采用落地安装，立式操作，能够实现全真模拟训练。</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9.</w:t>
            </w:r>
            <w:r>
              <w:rPr>
                <w:rFonts w:hint="eastAsia" w:ascii="宋体" w:hAnsi="宋体" w:eastAsia="宋体" w:cs="宋体"/>
                <w:color w:val="auto"/>
                <w:kern w:val="2"/>
                <w:sz w:val="21"/>
                <w:szCs w:val="21"/>
                <w:highlight w:val="none"/>
                <w:lang w:val="en-US" w:eastAsia="zh-CN" w:bidi="ar"/>
              </w:rPr>
              <w:t>产品配置带遥控器的机架式智能语音播报系统，插入存储卡可以自动播放语音解说词。</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二、产品配置：</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1.标准19寸38U开放式机架≥1套。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2.8U机架式光纤配线端接实训装置≥1台。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3.8U机架式光纤性能测试实训装置≥1台。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4.19寸机架式SC光纤配线架≥1台。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5.19寸机架式LC光纤配线架≥1台。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6.48口光纤配线架（ODF）≥1台。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7.机架式网络理线架≥2个。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8.光纤工作区面板（含4个信息插座）≥1套。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9.19寸1U 零件/工具盒托盘≥1个。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10.19寸1U PDU电源插座≥1个。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11.机架式智能语音播放系统≥1套。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12.五孔地插式电源插座≥1个。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13.双口地插式信息插座≥1个。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三、功能要求：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（一）光纤配线端接实训装置至少包含以下功能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1.采用≥19英寸8U标准机架式结构。能够同时搭建和测试≥8种复杂光纤链路，满足学生光纤链路配线、端接和测试实训。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2.设计有信号指示灯≥8个，能够直观显示光纤传输情况。</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3.实训装置配置光源发射区≥1个，设置工程常见耦合器组4类≥8个，其中含有≥2个SC耦合器接口、≥2个LC耦合器接口≥、2个FC耦合器接口、≥2个ST耦合器接口。</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4.实训装置配置光纤配线区≥1个：设置工程常见耦合器组4类≥8个，其中含有≥2个SC耦合器接口≥、2个LC耦合器接口、≥2个FC耦合器接口、≥2个ST耦合器接口</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▲5.为保证实训教学功能需要，供应商</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需提供“光纤配线端接实训装置”产品介绍的彩页图片及技术证明文件。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（二）光纤性能测试实训装置至少包含以下功能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▲1.采用8U标准机架式结构，长约480mm×宽约150mm×高约350mm（±5%），采用集成设计，包括控制系统主机（≥7寸彩色液晶电阻式触摸屏）、光源输出模块、光功率采集模块、光时域反射仪模块。</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▲2.测试装置面板设置光纤性能测试实训区、光纤耦合器装配实训区和测试结果显示区3个工作区域，共有≥7寸液晶彩色显示触摸屏≥1个，光纤耦合器4类≥8个。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▲3.光纤配线端接实训装置控制系统主机：屏幕尺寸：≥7寸；显示比例：16.9；分辨率：≥800×480；触摸类型：电阻式触摸屏；屏幕亮度≥300nit；运行内存≥512 MB SDRAM；I/O接口：USB Host(UsB2.0×1)；工作电压：5V。</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光纤性能测试实训装置光源输出模块：支持4种接口模式，上面印有各端口的波长，分别是650nm、1310nm、1490nm、1550nm，其中，650nm对应的接口光输出为可视激光光源，1310nm、1490nm、1550nm对应的接口光输出为非可视光源；光功率：-8dBm；光纤接头：SC、ST、FC。</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光纤性能测试实训装置光功率采集模块：共4个通道模式，上面印有各通道的名称，分别是通道A、分别是通道B、分别是通道C、分别是通道D，波长范围：800nm～1700nm；输入光功率范围：-65dBm～+3dBm；分辨率：≥0.1dB；稳定度：±0.1dB；光纤接头：SC、ST、FC。</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6.光纤性能测试实训装置耦合器装配区：共装配2列SC、LC、FC和ST四种常用的光纤耦合器，能够满足SC-SC，SC-LC，SC-FC，SC-ST, LC-LC，LC-FC，LC-ST，FC-FC，FC-ST，ST-ST10种组合的光纤耦合器的配线。</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▲7.为保证实训教学功能需要，供应商</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需提供“光纤性能测试实训装置”产品介绍的彩页图片及技术证明文件。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四、产品功能要求：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1.光纤熔接技能的实训操作。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2.光纤冷接技能的实训操作。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3、光纤信息插座的安装实训。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4.光纤链路搭建端接与测试实训。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5.不同接口复杂光纤链路端接与测试综合实训。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6.光缆布线、开缆、理线、盘纤等工程技能实训。</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7.可进行光纤通断测试及损耗测试。</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8.掌握光纤接续和测试原理及技巧。</w:t>
            </w:r>
          </w:p>
        </w:tc>
        <w:tc>
          <w:tcPr>
            <w:tcW w:w="1142" w:type="dxa"/>
            <w:noWrap w:val="0"/>
            <w:vAlign w:val="center"/>
          </w:tcPr>
          <w:p w14:paraId="15280CED">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7.6</w:t>
            </w:r>
          </w:p>
        </w:tc>
        <w:tc>
          <w:tcPr>
            <w:tcW w:w="1142" w:type="dxa"/>
            <w:noWrap w:val="0"/>
            <w:vAlign w:val="center"/>
          </w:tcPr>
          <w:p w14:paraId="31A1603B">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1913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6E3E4E1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212" w:type="dxa"/>
            <w:noWrap w:val="0"/>
            <w:vAlign w:val="center"/>
          </w:tcPr>
          <w:p w14:paraId="05A9A3AD">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网络综合布线工具箱</w:t>
            </w:r>
          </w:p>
        </w:tc>
        <w:tc>
          <w:tcPr>
            <w:tcW w:w="496" w:type="dxa"/>
            <w:noWrap w:val="0"/>
            <w:vAlign w:val="center"/>
          </w:tcPr>
          <w:p w14:paraId="305D07D8">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59" w:type="dxa"/>
            <w:noWrap w:val="0"/>
            <w:vAlign w:val="center"/>
          </w:tcPr>
          <w:p w14:paraId="417A59CD">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41F8BC1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1.铝型材工具箱≥1个，规范存放工具用。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2.RJ45网络压线钳≥2把，压接水晶头用。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3.单口打线钳≥2把，模打线接用。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4.剥线器≥2个，线缆外皮开剥用。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5.通断测试仪≥2个，测试网线通断用。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6.五对打线刀钳≥1把，端接5对连接块用。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7.语音打线钳≥1把，打线用。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8.十字螺丝刀≥1把，螺丝固定用。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9.一字螺丝刀≥1把，螺丝固定用。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10.老虎钳≥1把，夹持物件。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11.尖嘴钳≥1把，夹持物件。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12.水口钳≥1把，夹持物件。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13.活动扳手≥1把，螺丝固定用。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14.线槽剪≥1把，PVC线槽切断用。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15.锯弓≥1把，切割用。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16.钢锯条≥5根，切割用。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17.线管剪≥1把，PVC管裁断用。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18.Φ20弯管器≥1个，PVC冷弯管成型用。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19.5m穿线器≥1条，穿线用。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20.美工刀≥1把，切割用。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21.钢卷尺≥1把，长度和位置测量用。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22.微型计算器≥1个，计算用。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23.镊子≥1把，夹持物件。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24.不锈钢角尺≥1把，90度角测量用。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25.条形水平尺≥1把，测量水平和垂直用。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26.M6丝锥≥2个，攻丝用。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27.丝锥架≥1把，攻丝用。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28.Φ4麻花钻头≥2个，开孔用。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29.Φ6麻花钻头≥2个，开孔用。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30.Φ8麻花钻头≥2个，开孔用。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31.十字批头≥2个，电动起子配套用。</w:t>
            </w:r>
          </w:p>
        </w:tc>
        <w:tc>
          <w:tcPr>
            <w:tcW w:w="1142" w:type="dxa"/>
            <w:noWrap w:val="0"/>
            <w:vAlign w:val="center"/>
          </w:tcPr>
          <w:p w14:paraId="2F3E532F">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0.8</w:t>
            </w:r>
          </w:p>
        </w:tc>
        <w:tc>
          <w:tcPr>
            <w:tcW w:w="1142" w:type="dxa"/>
            <w:noWrap w:val="0"/>
            <w:vAlign w:val="center"/>
          </w:tcPr>
          <w:p w14:paraId="4A21A3A0">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6488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3DE1AF1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212" w:type="dxa"/>
            <w:noWrap w:val="0"/>
            <w:vAlign w:val="center"/>
          </w:tcPr>
          <w:p w14:paraId="572E1B1F">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光纤熔接工具箱</w:t>
            </w:r>
          </w:p>
        </w:tc>
        <w:tc>
          <w:tcPr>
            <w:tcW w:w="496" w:type="dxa"/>
            <w:noWrap w:val="0"/>
            <w:vAlign w:val="center"/>
          </w:tcPr>
          <w:p w14:paraId="10F9D5CA">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59" w:type="dxa"/>
            <w:noWrap w:val="0"/>
            <w:vAlign w:val="center"/>
          </w:tcPr>
          <w:p w14:paraId="66A0D867">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1340116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1.铝型材工具箱≥1个，规范存放工具用。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2.蛇头钳≥1把，剪钢丝用。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3.钢丝钳≥1把，夹持物件。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4.斜口钳≥1把 ，夹持物件。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5.尖嘴钳≥1把，夹持物件。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6.活动扳手≥1把，螺丝固定用。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7.横向开缆刀≥1把，室外光缆外皮开剥用。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8.凯夫拉剪刀≥1把，剪切光缆用。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9.剥皮钳≥1把，剥除线缆外皮。</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10.米勒钳≥1把，剥除光纤涂覆层用。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11.美工刀≥1个，切割用。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12.记号笔≥1支，做标记用。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13.清洗球≥1个，清洁光纤污垢。</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14.钢卷尺≥1把，长度和位置测量用。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15.手电筒≥1把，提供光源照明。</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16.镊子≥1把，夹持物件。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17.酒精泵≥1个，用于存储与泵出酒精。</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18.组合螺丝批≥1把，螺丝固定用。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19.微型螺丝批≥1把，用于光纤切割刀导轨的改装。</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20.无尘纸≥1包，清洁光纤使用。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21.热缩套管≥1包，保护光纤用。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22.红光笔≥1个，光源和光缆通断测试用。</w:t>
            </w:r>
          </w:p>
        </w:tc>
        <w:tc>
          <w:tcPr>
            <w:tcW w:w="1142" w:type="dxa"/>
            <w:noWrap w:val="0"/>
            <w:vAlign w:val="center"/>
          </w:tcPr>
          <w:p w14:paraId="21E2268E">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142" w:type="dxa"/>
            <w:noWrap w:val="0"/>
            <w:vAlign w:val="center"/>
          </w:tcPr>
          <w:p w14:paraId="78334339">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6140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4E88AEB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212" w:type="dxa"/>
            <w:noWrap w:val="0"/>
            <w:vAlign w:val="center"/>
          </w:tcPr>
          <w:p w14:paraId="4E2F0D9E">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光纤冷接与测试工具箱</w:t>
            </w:r>
          </w:p>
        </w:tc>
        <w:tc>
          <w:tcPr>
            <w:tcW w:w="496" w:type="dxa"/>
            <w:noWrap w:val="0"/>
            <w:vAlign w:val="center"/>
          </w:tcPr>
          <w:p w14:paraId="0B911C20">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59" w:type="dxa"/>
            <w:noWrap w:val="0"/>
            <w:vAlign w:val="center"/>
          </w:tcPr>
          <w:p w14:paraId="0AACB343">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5774E8B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1.铝型材工具箱≥1个，规范存放工具用。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2.光功率计≥1个，光缆测试用。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3.红光笔≥1支，光源和光缆通断测试用。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4.皮线剥皮钳≥1把，皮线光缆外皮开剥用。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5.光纤切割刀≥1把，切割光纤用。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6.多用剪刀≥1把，剪断室内光缆、皮线光缆用。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7.剥皮钳≥1把，剥除线缆外皮。</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8.尖嘴钳≥1把，夹持物件用。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9.米勒钳≥1把，剥除光纤涂覆层用。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10.快速连接器≥20个，光缆连接用。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11.老虎钳≥1把，夹持物件用。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12.斜口钳≥1把，夹持物件用。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13.酒精泵≥1个，存储与泵出酒精用。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14.无尘纸≥1包，清洁裸纤用。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15.导轨条≥1个，测量光纤长度用。</w:t>
            </w:r>
          </w:p>
        </w:tc>
        <w:tc>
          <w:tcPr>
            <w:tcW w:w="1142" w:type="dxa"/>
            <w:noWrap w:val="0"/>
            <w:vAlign w:val="center"/>
          </w:tcPr>
          <w:p w14:paraId="1815A731">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142" w:type="dxa"/>
            <w:noWrap w:val="0"/>
            <w:vAlign w:val="center"/>
          </w:tcPr>
          <w:p w14:paraId="1776D68C">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08EB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7F520DE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212" w:type="dxa"/>
            <w:noWrap w:val="0"/>
            <w:vAlign w:val="center"/>
          </w:tcPr>
          <w:p w14:paraId="4E244E7B">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光纤熔接实训设备</w:t>
            </w:r>
          </w:p>
        </w:tc>
        <w:tc>
          <w:tcPr>
            <w:tcW w:w="496" w:type="dxa"/>
            <w:noWrap w:val="0"/>
            <w:vAlign w:val="center"/>
          </w:tcPr>
          <w:p w14:paraId="1CED3202">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6ED94586">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562B879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一、产品配置要求：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▲1.硬携带箱≥1个，熔接机主机≥1个，光纤切割刀≥1把，电池≥1块，适配器≥1个，备用电机≥1对，电源线≥1条，肩带≥1条，酒精泵≥1个，米勒钳≥1把。</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▲2.配置可拆卸≥5200毫安电池，熔接、加热≥280次。</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二、产品参数要求：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1.适用芯数：单芯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2.应用场景：FTTH，干线工程。</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3.适用光纤类型：</w:t>
            </w:r>
          </w:p>
          <w:p w14:paraId="294F474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SM:0.02dB/MM:0.01dB/DS:0.04dB/NZDS:0.04dB/G.657:0.02dB。</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4.适用光纤直径：0.25-0.3mm/入户光缆。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5.光纤放置与切割长度：涂覆层：0.125-1mm/切割长度：8-16mm。</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6.熔接模式：预设41种熔接模式,可存储≥100种模式。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7.典型熔接损耗：0.01dB-0.05dB</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8.回波损耗：≥60dB</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9.照明：≥3个大功率LED白光灯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10.熔接时间：SM FAST模式：≥6秒</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11.熔接损耗估计：有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12.熔接长度：20-60mm</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13.加热槽：预设5种热缩套管20\30\40\50\60mm</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14.加热时间：10-900s可选，典型加热时间：30秒</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15.熔接机结果储存：20000条最新储存记录，200张最新图片</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16.拉力实验：1.5-2.0N</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17.显示：约90°双摄像头，彩色高分辨率电容触摸屏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18.光纤放大与显示：X,Y,X/Y；双击500X放大</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19.电源输入：AC100-240V，DC12-15V</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20.电池容量：电池容量5200毫安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21.加热次数：典型熔接加热次数大于280次</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22.操作方式：按键及触屏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23.自适应放电：根据气压和外界温度自动调节</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24.电极寿命：放电≥3000次</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25.端口：Mini USB2.0</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26.光纤对准：纤芯对准、精细对准、纳米级对准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27.整机重量：主机1965G（含电池）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28.操作条件：</w:t>
            </w:r>
            <w:r>
              <w:rPr>
                <w:rFonts w:hint="eastAsia" w:ascii="宋体" w:hAnsi="宋体" w:cs="宋体"/>
                <w:color w:val="auto"/>
                <w:kern w:val="2"/>
                <w:sz w:val="21"/>
                <w:szCs w:val="21"/>
                <w:highlight w:val="none"/>
                <w:lang w:val="en-US" w:eastAsia="zh-CN" w:bidi="ar"/>
              </w:rPr>
              <w:t>海拔</w:t>
            </w:r>
            <w:r>
              <w:rPr>
                <w:rFonts w:hint="eastAsia" w:ascii="宋体" w:hAnsi="宋体" w:eastAsia="宋体" w:cs="宋体"/>
                <w:color w:val="auto"/>
                <w:kern w:val="2"/>
                <w:sz w:val="21"/>
                <w:szCs w:val="21"/>
                <w:highlight w:val="none"/>
                <w:lang w:val="en-US" w:eastAsia="zh-CN" w:bidi="ar"/>
              </w:rPr>
              <w:t>：0-5000米，相对湿度0-95%，-10~50℃，15m/s最大风速</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29、储存条件：相对湿度0-95%，-40~80℃电池存储：-20~30℃长期存储。</w:t>
            </w:r>
          </w:p>
        </w:tc>
        <w:tc>
          <w:tcPr>
            <w:tcW w:w="1142" w:type="dxa"/>
            <w:noWrap w:val="0"/>
            <w:vAlign w:val="center"/>
          </w:tcPr>
          <w:p w14:paraId="5977FBDA">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142" w:type="dxa"/>
            <w:noWrap w:val="0"/>
            <w:vAlign w:val="center"/>
          </w:tcPr>
          <w:p w14:paraId="7E918F02">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4226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66356C4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212" w:type="dxa"/>
            <w:noWrap w:val="0"/>
            <w:vAlign w:val="center"/>
          </w:tcPr>
          <w:p w14:paraId="19235303">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示教系统</w:t>
            </w:r>
          </w:p>
        </w:tc>
        <w:tc>
          <w:tcPr>
            <w:tcW w:w="496" w:type="dxa"/>
            <w:noWrap w:val="0"/>
            <w:vAlign w:val="center"/>
          </w:tcPr>
          <w:p w14:paraId="7A172AE1">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408293BC">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台</w:t>
            </w:r>
          </w:p>
        </w:tc>
        <w:tc>
          <w:tcPr>
            <w:tcW w:w="5495" w:type="dxa"/>
            <w:noWrap w:val="0"/>
            <w:vAlign w:val="center"/>
          </w:tcPr>
          <w:p w14:paraId="442FF2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一、智慧教学录播终端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1.整体功能：ARM嵌入式架构，基于Linux操作系统。要求采用一体式集成化设计，内置视音频互动、视频录制、实时直播、音频处理功能。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2.视频接口：HDMI in≥1和Digital Video in（RJ45）≥1、HDMI out≥1；</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3.音频接口：Digital MIC（RJ45）≥2，Line in≥1，Line out≥1；</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4.Digital Video数字视频接口支持外接1路1080p@30fps高清摄像机，外接摄像机直接传输高清视频裸数据，避免网络摄像机编码传输延时性和传输过程的损耗问题，实现高清视频信号的无延时、低损耗采集；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▲5.Digital Video数字视频接口支持基于RJ45双绞线“一线通”技术，完成对外接摄像机的供电信号、控制信号、数字视频信号的同步传输；Digital MIC（RJ45接口）支持音频“一线通”功能，可在采集数字音频信号的同时对数字麦克风进行供电；（</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需提供具备有效CMA资质的第三方机构出具</w:t>
            </w:r>
            <w:r>
              <w:rPr>
                <w:rFonts w:hint="eastAsia" w:ascii="宋体" w:hAnsi="宋体" w:cs="宋体"/>
                <w:color w:val="auto"/>
                <w:kern w:val="2"/>
                <w:sz w:val="21"/>
                <w:szCs w:val="21"/>
                <w:highlight w:val="none"/>
                <w:lang w:val="en-US" w:eastAsia="zh-CN" w:bidi="ar"/>
              </w:rPr>
              <w:t>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6.其他接口：USB≥1、网口（RJ45）≥1，1000/100Mbps自适应，支持IPv4、IPv6双协议栈。</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7.协议支持：支持H.264编码协议，支持AAC音频编码协议，支持RTMP、RTSP视频传输协议，支持H.323和SIP视频互动通信协议，视频封装格式MP4；</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▲8.内置音频处理功能，支持EQ均衡、AEC回声抑制、AGC自动增益、ANC噪声抑制等功能；（</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需提供具备有效CMA资质的第三方机构出具</w:t>
            </w:r>
            <w:r>
              <w:rPr>
                <w:rFonts w:hint="eastAsia" w:ascii="宋体" w:hAnsi="宋体" w:cs="宋体"/>
                <w:color w:val="auto"/>
                <w:kern w:val="2"/>
                <w:sz w:val="21"/>
                <w:szCs w:val="21"/>
                <w:highlight w:val="none"/>
                <w:lang w:val="en-US" w:eastAsia="zh-CN" w:bidi="ar"/>
              </w:rPr>
              <w:t>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9.供电模式：采用不高于DC 36V的安全电压供电，节能环保。</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二、终端管理软件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1.采用B/S架构设计，通过主流浏览器登录软件对设备进行管控；</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2.支持对设备进行网络设置、系统参数设置等相关管理配置功能；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3.支持自定义设备在关机状态下的上电后的触发模式，包括上电后自动进入休眠、上电后自动进入工作等状态；</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4.支持用户管理系统，可添加多个账户区分管理员与普通用户的不同账号密码及系统权限；</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5.支持通过本设备对外接的数字高清摄像机进行远程配置，统一维护和管理界面，无需独立登录外接摄像机。</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6.支持对外接摄像机画面、外接HDMI教学课件画面进行组合画面或单一画面录制；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7.录制画面分辨率支持1080p@30/25fps、720p@30/25fps，码流512Kbps~40Mbps可设；</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8.支持U盘录制和集中存储录制，支持ftp或http对接存储服务器平台实现分布式录制集中式存储以及视频资源的自动归档；</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9.支持录制、暂停、停止等基本功能操作，可自定义录制的画质，最高支持1080p@30/25fps；</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▲10.支持分段录制技术，当录制的课程时间较长时，可按照用户设定的文件时长自动分割录制成多个视频文件，提供不分段、30分钟分段、60分钟分段三种方式可选。</w:t>
            </w:r>
            <w:r>
              <w:rPr>
                <w:rFonts w:hint="eastAsia" w:ascii="宋体" w:hAnsi="宋体" w:eastAsia="宋体" w:cs="宋体"/>
                <w:b/>
                <w:bCs/>
                <w:color w:val="auto"/>
                <w:kern w:val="2"/>
                <w:sz w:val="21"/>
                <w:szCs w:val="21"/>
                <w:highlight w:val="none"/>
                <w:lang w:val="en-US" w:eastAsia="zh-CN" w:bidi="ar"/>
              </w:rPr>
              <w:t>（竞标时需提供软件功能界面截图并加盖供应商公章）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支持对录制视频按主讲人或文件名进行模糊检索，并查看视频的时长、分辨率、帧率、码率、编码标准等录像文件视音频指标。可基于录制时间对录像文件进行顺序或倒序排列，便于快速检索所需视频。支持对录像文件进行回放和下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12.支持基于web浏览器的导播模式；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13.支持外接摄像机、外接HDMI信号的实时PVW预览画面和PGM实录画面直观窗口显示，支持自定义PVW预览窗口的名称根据用户需求自定义修改；</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14.支持满足基本课堂录制需求的非线编功能，包括添加水印式LOGO、添加字幕、各音轨开关控制和音量调节、添加片头片尾等；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15.配套提供可安装于多媒体教学显示一体机的客户端控制软件，教师在教学显示一体机上进行教学操作的同时，通过客户端即可实现录播终端的便捷控制操作；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16.要求提供的客户端控制软件支持通过网络方式对接录播终端，并能通过账密登录鉴权的方式进行录播终端的操作控制；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17.要求提供的客户端控制软件支持课堂实录控制，通过软件可对录播终端进行录制开始、自动导播开启/关闭等功能控制。同时支持获取录播终端设置的录制课程文件的名称、主讲教师等信息，并支持对此信息进行自定义重新编辑；</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18.支持标准RTMP视频传输协议，实现录制画面或互动画面的推流直播功能。支持主子高低双码流同步推流直播，推流分辨率最高支持1080P@30fps；</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19.支持自定义推流分辨率和码率，码率2Kbps~40Mbps范围可设，以适应不同网络环境下保持直播的流畅性；</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▲20.最大支持4路RTMP同步推流，实现多流直播。</w:t>
            </w:r>
            <w:r>
              <w:rPr>
                <w:rFonts w:hint="eastAsia" w:ascii="宋体" w:hAnsi="宋体" w:eastAsia="宋体" w:cs="宋体"/>
                <w:b/>
                <w:bCs/>
                <w:color w:val="auto"/>
                <w:kern w:val="2"/>
                <w:sz w:val="21"/>
                <w:szCs w:val="21"/>
                <w:highlight w:val="none"/>
                <w:lang w:val="en-US" w:eastAsia="zh-CN" w:bidi="ar"/>
              </w:rPr>
              <w:t>（竞标时需提供软件功能界面截图并加盖供应商公章）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21.短号系统：可以通过直接呼叫短号快速创建互动房间；</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22.分组系统：支持对通讯录自定义添加分组，可对分组内账号进行批量快速呼叫；</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23.呼叫记录：自动保留最近呼叫的历史记录，便于快速查询回拨；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24.互动画质：录播主机双向互动过程中，在4Mbps带宽下可实现1080p@30fps画质，支持网络自适应功能；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25.互动画质支持高清1080p@30fps。</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26.内置高质量音频处理能力，支持EQ均衡、AEC回声抑制、AGC自动增益、ANS噪声抑制；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27.支持录课模式和互动模式两种不同应用场景下的针对性音频处理能力，适应不同场景下的音频指标差异，实现免调试自适应。</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三、高清摄像机</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1.CMOS传感器，1/2.5英寸，有效像素不小于800万，综合变焦倍数不小于20倍</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2.支持预置位个数≥255个；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3.支持3840x2160, 1920x1080, 1280x720等分辨率大小；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4.要求具备机械云台可进行转动跟踪。水平转动速度范围不少于1.0°~ 94.0°/s，垂直转动速度范围不少于1.0°~ 74.0°/s；</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5.支持≥1路D-Video数字视频接口，≥1路网络接口，100/1000Mbps自适应；</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▲6.支持数字视频接口一线通功能，实现基于一根双绞线完成摄像机供电、控制和视频传输功能；（</w:t>
            </w:r>
            <w:r>
              <w:rPr>
                <w:rFonts w:hint="eastAsia" w:ascii="宋体" w:hAnsi="宋体" w:cs="宋体"/>
                <w:color w:val="auto"/>
                <w:kern w:val="2"/>
                <w:sz w:val="21"/>
                <w:szCs w:val="21"/>
                <w:highlight w:val="none"/>
                <w:lang w:val="en-US" w:eastAsia="zh-CN" w:bidi="ar"/>
              </w:rPr>
              <w:t>竞标时须具备</w:t>
            </w:r>
            <w:r>
              <w:rPr>
                <w:rFonts w:hint="eastAsia" w:ascii="宋体" w:hAnsi="宋体" w:eastAsia="宋体" w:cs="宋体"/>
                <w:color w:val="auto"/>
                <w:kern w:val="2"/>
                <w:sz w:val="21"/>
                <w:szCs w:val="21"/>
                <w:highlight w:val="none"/>
                <w:lang w:val="en-US" w:eastAsia="zh-CN" w:bidi="ar"/>
              </w:rPr>
              <w:t>有效CMA资质的第三方机构出具</w:t>
            </w:r>
            <w:r>
              <w:rPr>
                <w:rFonts w:hint="eastAsia" w:ascii="宋体" w:hAnsi="宋体" w:cs="宋体"/>
                <w:color w:val="auto"/>
                <w:kern w:val="2"/>
                <w:sz w:val="21"/>
                <w:szCs w:val="21"/>
                <w:highlight w:val="none"/>
                <w:lang w:val="en-US" w:eastAsia="zh-CN" w:bidi="ar"/>
              </w:rPr>
              <w:t>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▲7.支持人物识别的自动跟踪能力，摄像机自身（无需增加辅助拍摄类设备）即可实现人物前后左右全方位移动的自动画面跟踪拍摄，包括水平运动、俯仰运动、变焦、聚焦四维实时跟踪；（</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需提供具备有效CMA资质的第三方机构出具</w:t>
            </w:r>
            <w:r>
              <w:rPr>
                <w:rFonts w:hint="eastAsia" w:ascii="宋体" w:hAnsi="宋体" w:cs="宋体"/>
                <w:color w:val="auto"/>
                <w:kern w:val="2"/>
                <w:sz w:val="21"/>
                <w:szCs w:val="21"/>
                <w:highlight w:val="none"/>
                <w:lang w:val="en-US" w:eastAsia="zh-CN" w:bidi="ar"/>
              </w:rPr>
              <w:t>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8.支持G.711A、AAC、OPUS等音频编码协议；</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▲9.内置AI算法，支持根据人物面部特征、身体特征进行识别锁定，支持防干扰功能，拍摄画面有显示设备播放动态视频或异物闯入，防干扰功能保障画面始终锁定跟踪对象，不因多人出现而误跟；（</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需提供具备有效CMA资质的第三方机构出具</w:t>
            </w:r>
            <w:r>
              <w:rPr>
                <w:rFonts w:hint="eastAsia" w:ascii="宋体" w:hAnsi="宋体" w:cs="宋体"/>
                <w:color w:val="auto"/>
                <w:kern w:val="2"/>
                <w:sz w:val="21"/>
                <w:szCs w:val="21"/>
                <w:highlight w:val="none"/>
                <w:lang w:val="en-US" w:eastAsia="zh-CN" w:bidi="ar"/>
              </w:rPr>
              <w:t>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▲10.支持划分自动跟踪区域，锁定跟踪人物走出自动跟踪区域时即停止跟踪，直到重新回到区域出现在画面中，支持五分像、七分像、全身像等多种跟踪画面模式；（</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11.为确保系统兼容性,要求摄像机与录播终端为同一品牌。</w:t>
            </w:r>
          </w:p>
          <w:p w14:paraId="0304A3F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rightChars="0"/>
              <w:jc w:val="both"/>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
              </w:rPr>
              <w:t>四、高清摄像机管理软件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1.摄像机管理软件采用B/S架构，支持通用浏览器直接访问进行管理。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2.支持曝光模式设置功能，包括自动、手动。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3.支持抗闪烁频率、动态范围、光圈、快门参数设置。</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4.支持自动白平衡设置功能，红、蓝增益可调。</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5.支持噪声抑制设置功能，支持2D、3D降噪。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6.支持摄像机图像质量调节功能，包括亮度、对比度、色调、饱和度。</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7.支持摄像机控制功能，包括云台控制、预置位设置与调用、焦距调节等。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▲8.支持AI人物识别，支持根据人物面部特征，身体特征进行AI识别锁定，并跟随锁定对象进行跟踪拍摄。（</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锁定跟踪对象后，支持防干扰跟踪。多人出现在拍摄画面中仍能准确识别并跟踪锁定对象，不因其他人的闯入而误跟。拍摄画面有显示设备播放动态视频时，或异物闯入时，自动启动AI防干扰系统，画面始终锁定被跟踪对象，跟踪效果不受影响。（</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▲10.支持划分自动跟踪区域，当锁定跟踪人物走出自动跟踪区域时即停止跟踪，直到重新回到区域出现在画面中为止。（需提供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▲11.支持设置AI跟踪锁定解除时间，被锁定人员脱离画面跟踪区域后，在跟踪锁定解除时间到达之后自动解除人员锁定，回归默认状态，等待下一位人员进入画面中开始重新锁定跟踪。（</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▲12.支持五分像、七分像、全身像等多种图像跟踪画面模式，可根据实际需要设置选用教师画面的大小。（</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五、实训摄像机</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▲1.4K超高清图像：采用1/2.8英寸高品质CMOS图像传感器，最大分辨率≥3840×2160，输出帧率≥30帧/秒。</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2.光学变倍镜头：12倍光学变倍镜头。</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w:t>
            </w:r>
            <w:r>
              <w:rPr>
                <w:rFonts w:hint="eastAsia" w:ascii="宋体" w:hAnsi="宋体" w:cs="宋体"/>
                <w:color w:val="auto"/>
                <w:kern w:val="2"/>
                <w:sz w:val="21"/>
                <w:szCs w:val="21"/>
                <w:highlight w:val="none"/>
                <w:lang w:val="en-US" w:eastAsia="zh-CN" w:bidi="ar"/>
              </w:rPr>
              <w:t>支持</w:t>
            </w:r>
            <w:r>
              <w:rPr>
                <w:rFonts w:hint="eastAsia" w:ascii="宋体" w:hAnsi="宋体" w:eastAsia="宋体" w:cs="宋体"/>
                <w:color w:val="auto"/>
                <w:kern w:val="2"/>
                <w:sz w:val="21"/>
                <w:szCs w:val="21"/>
                <w:highlight w:val="none"/>
                <w:lang w:val="en-US" w:eastAsia="zh-CN" w:bidi="ar"/>
              </w:rPr>
              <w:t>自动聚焦技术：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w:t>
            </w:r>
            <w:r>
              <w:rPr>
                <w:rFonts w:hint="eastAsia" w:ascii="宋体" w:hAnsi="宋体" w:cs="宋体"/>
                <w:color w:val="auto"/>
                <w:kern w:val="2"/>
                <w:sz w:val="21"/>
                <w:szCs w:val="21"/>
                <w:highlight w:val="none"/>
                <w:lang w:val="en-US" w:eastAsia="zh-CN" w:bidi="ar"/>
              </w:rPr>
              <w:t>支持</w:t>
            </w:r>
            <w:r>
              <w:rPr>
                <w:rFonts w:hint="eastAsia" w:ascii="宋体" w:hAnsi="宋体" w:eastAsia="宋体" w:cs="宋体"/>
                <w:color w:val="auto"/>
                <w:kern w:val="2"/>
                <w:sz w:val="21"/>
                <w:szCs w:val="21"/>
                <w:highlight w:val="none"/>
                <w:lang w:val="en-US" w:eastAsia="zh-CN" w:bidi="ar"/>
              </w:rPr>
              <w:t>激光测距功能：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val="en-US" w:eastAsia="zh-CN" w:bidi="ar"/>
              </w:rPr>
              <w:t>.按键操作：支持多功能控制按键面板，可便捷的变倍、聚焦、亮度调节、画面冻结、菜单等常用功能控制。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.多种视频输出接口：支持HDMI、LAN支持音视频输出；LAN接口支持POE供电。</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val="en-US" w:eastAsia="zh-CN" w:bidi="ar"/>
              </w:rPr>
              <w:t>.音频输入接口：支持AAC音频编码，AAC编码支持48000采样频率。</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kern w:val="2"/>
                <w:sz w:val="21"/>
                <w:szCs w:val="21"/>
                <w:highlight w:val="none"/>
                <w:lang w:val="en-US" w:eastAsia="zh-CN" w:bidi="ar"/>
              </w:rPr>
              <w:t>8</w:t>
            </w:r>
            <w:r>
              <w:rPr>
                <w:rFonts w:hint="eastAsia" w:ascii="宋体" w:hAnsi="宋体" w:eastAsia="宋体" w:cs="宋体"/>
                <w:color w:val="auto"/>
                <w:kern w:val="2"/>
                <w:sz w:val="21"/>
                <w:szCs w:val="21"/>
                <w:highlight w:val="none"/>
                <w:lang w:val="en-US" w:eastAsia="zh-CN" w:bidi="ar"/>
              </w:rPr>
              <w:t>.多种网络协议：支持ONVIF、GB/T28181、RTSP、RTMP、VISCA OVER IP、IP VISCA、RTMPS、SRT协议；支持RTMP推送模式，轻松链接流媒体服务器(Wowza、FMS)；支持RTP组播模式。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六、移动示教推车</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1.整车采用一体化、模块化设计，方便扩充功能组件，方便安装、使用，维护。</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2.立柱采用铝合金结构，前后两面开有T型槽，可加装其它设备,表面涂层做防刮处理。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3.立柱顶端可配套云台托板，方便安装各类全景摄像机。</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4.可搭配多种显示器，上下调节。固定架Vesa接口, 可进行左右及俯仰30度摆动。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5.车体附带台面板，可放置鼠标键盘等物品。人工学把手，与台面</w:t>
            </w:r>
            <w:r>
              <w:rPr>
                <w:rFonts w:hint="eastAsia" w:ascii="宋体" w:hAnsi="宋体" w:cs="宋体"/>
                <w:color w:val="auto"/>
                <w:kern w:val="2"/>
                <w:sz w:val="21"/>
                <w:szCs w:val="21"/>
                <w:highlight w:val="none"/>
                <w:lang w:val="en-US" w:eastAsia="zh-CN" w:bidi="ar"/>
              </w:rPr>
              <w:t>一体化</w:t>
            </w:r>
            <w:r>
              <w:rPr>
                <w:rFonts w:hint="eastAsia" w:ascii="宋体" w:hAnsi="宋体" w:eastAsia="宋体" w:cs="宋体"/>
                <w:color w:val="auto"/>
                <w:kern w:val="2"/>
                <w:sz w:val="21"/>
                <w:szCs w:val="21"/>
                <w:highlight w:val="none"/>
                <w:lang w:val="en-US" w:eastAsia="zh-CN" w:bidi="ar"/>
              </w:rPr>
              <w:t>，方便单手推动。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6.车体配套1.2米万向臂，转臂水平360度旋转，双节多方位调节；垂直60度调节。横臂称重：0.5-2KG或2-4KG可选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7.活动关节带阻尼装置，双节多方位调节，支持任意角度拉动，悬停，单手轻松操作。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8.整车高1.8米，可以满足15度倾斜测试，负重50kg行走无倾斜。</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9.车体底部采用底座与配重一体化设计，配套四脚轮，采用静音轮设计，带脚刹装置。</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10.车载箱体电源系统，采用磷酸铁锂电芯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11.电池容量最大39AH，支持4-6小时持续工作容量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12.电源系统采用双保护电源模块，输出220V电压</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13.液晶电量显示屏，可切换不同显示模式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七、控制终端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1.支持安装在移动推车部署；</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2.具备21.5英寸1920*1080高清10点电容触摸屏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3.存储性能：缓存容量不小于4G,存储容量不小于32G；</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4.操作系统 ：Android 11及以上版本；</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5.接口类型：USB≥1，RJ45接口≥1，3.5mm耳麦接口≥1，串口RS232≥1，HDMI输出≥1。</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八、数字阵列麦克风</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1.类型：360°全指向数字阵列麦克风。</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2.内置嵌入式软件和音频处理模块，免配置即插即用；无需使用额外的音频处理主机。</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3.拾音距离：不小于8米拾音距离。</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4.音频输入接口：line in（3.5mm）≥1，无需任何协议/接口转换设备，即可对接功放或有源扬声器完成扩声。</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5.音频输出接口：line out（3.5mm）≥2。</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6.USB接口：USB 2.0≥1，支持UAC 1.0协议，实现音频数据通信。</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7.灵敏度：不小于-26dBFS。</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8.信噪比：不小于80dB(A)。</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9.频率响应：不小于20Hz-16kHz。</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10.采样率：不小于32K采样的宽带音频采样。</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11.供电：USB DC5V。</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b/>
                <w:bCs/>
                <w:color w:val="auto"/>
                <w:kern w:val="2"/>
                <w:sz w:val="21"/>
                <w:szCs w:val="21"/>
                <w:highlight w:val="none"/>
                <w:lang w:val="en-US" w:eastAsia="zh-CN" w:bidi="ar"/>
              </w:rPr>
              <w:t>九、无线图传盒</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1.通过5.8G无线WIFI传输HDMI视频和音频信号，最长可达200米（656英尺）；</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2.支持一发一收，最多可支持一发四收；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3.采用专用格式H.264来压缩和解压视频，有效提高传输效率，使播放更加</w:t>
            </w:r>
            <w:r>
              <w:rPr>
                <w:rFonts w:hint="eastAsia" w:ascii="宋体" w:hAnsi="宋体" w:cs="宋体"/>
                <w:color w:val="auto"/>
                <w:kern w:val="2"/>
                <w:sz w:val="21"/>
                <w:szCs w:val="21"/>
                <w:highlight w:val="none"/>
                <w:lang w:val="en-US" w:eastAsia="zh-CN" w:bidi="ar"/>
              </w:rPr>
              <w:t>流畅</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4.兼容HDMI 1.3标准；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5.符合HDCP 1.2标准–高带宽数字内容保护技术；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6.内置ESD静电保护电路，全方位保护系统安全；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7.能够自动识别和配置各种显示模式；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8.安装简单方便，即插即用，</w:t>
            </w:r>
            <w:r>
              <w:rPr>
                <w:rFonts w:hint="eastAsia" w:ascii="宋体" w:hAnsi="宋体" w:cs="宋体"/>
                <w:color w:val="auto"/>
                <w:kern w:val="2"/>
                <w:sz w:val="21"/>
                <w:szCs w:val="21"/>
                <w:highlight w:val="none"/>
                <w:lang w:val="en-US" w:eastAsia="zh-CN" w:bidi="ar"/>
              </w:rPr>
              <w:t>无须设置</w:t>
            </w:r>
            <w:r>
              <w:rPr>
                <w:rFonts w:hint="eastAsia" w:ascii="宋体" w:hAnsi="宋体" w:eastAsia="宋体" w:cs="宋体"/>
                <w:color w:val="auto"/>
                <w:kern w:val="2"/>
                <w:sz w:val="21"/>
                <w:szCs w:val="21"/>
                <w:highlight w:val="none"/>
                <w:lang w:val="en-US" w:eastAsia="zh-CN" w:bidi="ar"/>
              </w:rPr>
              <w:t>。</w:t>
            </w:r>
          </w:p>
        </w:tc>
        <w:tc>
          <w:tcPr>
            <w:tcW w:w="1142" w:type="dxa"/>
            <w:noWrap w:val="0"/>
            <w:vAlign w:val="center"/>
          </w:tcPr>
          <w:p w14:paraId="1615AF3B">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p>
        </w:tc>
        <w:tc>
          <w:tcPr>
            <w:tcW w:w="1142" w:type="dxa"/>
            <w:noWrap w:val="0"/>
            <w:vAlign w:val="center"/>
          </w:tcPr>
          <w:p w14:paraId="7A625566">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软件和信息技术服务业</w:t>
            </w:r>
          </w:p>
        </w:tc>
      </w:tr>
      <w:tr w14:paraId="7707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0225F08D">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212" w:type="dxa"/>
            <w:noWrap w:val="0"/>
            <w:vAlign w:val="center"/>
          </w:tcPr>
          <w:p w14:paraId="75F55DF2">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液晶电视</w:t>
            </w:r>
          </w:p>
        </w:tc>
        <w:tc>
          <w:tcPr>
            <w:tcW w:w="496" w:type="dxa"/>
            <w:noWrap w:val="0"/>
            <w:vAlign w:val="center"/>
          </w:tcPr>
          <w:p w14:paraId="54AC5F22">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59" w:type="dxa"/>
            <w:noWrap w:val="0"/>
            <w:vAlign w:val="center"/>
          </w:tcPr>
          <w:p w14:paraId="3CAE44FE">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台</w:t>
            </w:r>
          </w:p>
        </w:tc>
        <w:tc>
          <w:tcPr>
            <w:tcW w:w="5495" w:type="dxa"/>
            <w:noWrap w:val="0"/>
            <w:vAlign w:val="center"/>
          </w:tcPr>
          <w:p w14:paraId="2088E15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▲1.≥65寸悬浮全面屏。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▲2.屏占比：≥97%。</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▲3.色域(NTSC)：≥72%。</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4.整机额定功率：≤135W。</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5.能效等级：二级。</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6.物理分辨率：≥4K（3840*2160）。</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7.亮度：≥250（TYP）。</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 xml:space="preserve">功能：支持2.4GHz </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9.内存：≥1.5GB，存储：≥8GB。</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10.芯片：性能满足或优于T963。</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.音频模式：七段式均衡。</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.端口：HDMI2.0(ARC)*≥1，HDMI2.0*≥1、USB2.0*≥2、网口*≥1、音视频输入*≥1、有线/天线输入*≥1、音频数字同轴输出*≥1。</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屏蔽功能：支持</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屏蔽，可自主设置是否屏蔽</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.精准投屏：支持精准投屏功能，可实现手机-电视一对一扫码精准投屏。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val="en-US" w:eastAsia="zh-CN" w:bidi="ar"/>
              </w:rPr>
              <w:t>.具有酒店菜单，可自定义开机LOGO、开机视频、克隆功能、第三方应用开机自启、按键锁定、通电启动。</w:t>
            </w:r>
          </w:p>
          <w:p w14:paraId="12E4965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6</w:t>
            </w:r>
            <w:r>
              <w:rPr>
                <w:rFonts w:hint="eastAsia" w:ascii="宋体" w:hAnsi="宋体" w:eastAsia="宋体" w:cs="宋体"/>
                <w:color w:val="auto"/>
                <w:kern w:val="2"/>
                <w:sz w:val="21"/>
                <w:szCs w:val="21"/>
                <w:highlight w:val="none"/>
                <w:lang w:val="en-US" w:eastAsia="zh-CN" w:bidi="ar"/>
              </w:rPr>
              <w:t>.本产品属于政府强制采购节能产品，竞标时须提供有效期内的节能产品认证证书（加盖供应商电子签章），否则响应无效。</w:t>
            </w:r>
          </w:p>
        </w:tc>
        <w:tc>
          <w:tcPr>
            <w:tcW w:w="1142" w:type="dxa"/>
            <w:noWrap w:val="0"/>
            <w:vAlign w:val="center"/>
          </w:tcPr>
          <w:p w14:paraId="7DDFB37D">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0.58</w:t>
            </w:r>
          </w:p>
        </w:tc>
        <w:tc>
          <w:tcPr>
            <w:tcW w:w="1142" w:type="dxa"/>
            <w:noWrap w:val="0"/>
            <w:vAlign w:val="center"/>
          </w:tcPr>
          <w:p w14:paraId="3657EBF1">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0253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3191F0B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212" w:type="dxa"/>
            <w:noWrap w:val="0"/>
            <w:vAlign w:val="center"/>
          </w:tcPr>
          <w:p w14:paraId="789DE8D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电动工具箱</w:t>
            </w:r>
          </w:p>
        </w:tc>
        <w:tc>
          <w:tcPr>
            <w:tcW w:w="496" w:type="dxa"/>
            <w:noWrap w:val="0"/>
            <w:vAlign w:val="center"/>
          </w:tcPr>
          <w:p w14:paraId="2250877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8</w:t>
            </w:r>
          </w:p>
        </w:tc>
        <w:tc>
          <w:tcPr>
            <w:tcW w:w="459" w:type="dxa"/>
            <w:noWrap w:val="0"/>
            <w:vAlign w:val="center"/>
          </w:tcPr>
          <w:p w14:paraId="2FC38104">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72D998B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1.电动充电式约 600转/分钟；</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2.配锂电池，支持，智能电路保护，高低双档双轴联动，开孔固定螺丝；</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3.附带充电器。</w:t>
            </w:r>
          </w:p>
        </w:tc>
        <w:tc>
          <w:tcPr>
            <w:tcW w:w="1142" w:type="dxa"/>
            <w:noWrap w:val="0"/>
            <w:vAlign w:val="center"/>
          </w:tcPr>
          <w:p w14:paraId="698EDD09">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0.56</w:t>
            </w:r>
          </w:p>
        </w:tc>
        <w:tc>
          <w:tcPr>
            <w:tcW w:w="1142" w:type="dxa"/>
            <w:noWrap w:val="0"/>
            <w:vAlign w:val="center"/>
          </w:tcPr>
          <w:p w14:paraId="508D16A0">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3926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4186EFB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212" w:type="dxa"/>
            <w:noWrap w:val="0"/>
            <w:vAlign w:val="center"/>
          </w:tcPr>
          <w:p w14:paraId="3E4F409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铝合金人字梯</w:t>
            </w:r>
          </w:p>
        </w:tc>
        <w:tc>
          <w:tcPr>
            <w:tcW w:w="496" w:type="dxa"/>
            <w:noWrap w:val="0"/>
            <w:vAlign w:val="center"/>
          </w:tcPr>
          <w:p w14:paraId="31AAF37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4</w:t>
            </w:r>
          </w:p>
        </w:tc>
        <w:tc>
          <w:tcPr>
            <w:tcW w:w="459" w:type="dxa"/>
            <w:noWrap w:val="0"/>
            <w:vAlign w:val="center"/>
          </w:tcPr>
          <w:p w14:paraId="2795FBE8">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个</w:t>
            </w:r>
          </w:p>
        </w:tc>
        <w:tc>
          <w:tcPr>
            <w:tcW w:w="5495" w:type="dxa"/>
            <w:noWrap w:val="0"/>
            <w:vAlign w:val="center"/>
          </w:tcPr>
          <w:p w14:paraId="7DEE062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加厚四步铝合金人字梯</w:t>
            </w:r>
          </w:p>
        </w:tc>
        <w:tc>
          <w:tcPr>
            <w:tcW w:w="1142" w:type="dxa"/>
            <w:noWrap w:val="0"/>
            <w:vAlign w:val="center"/>
          </w:tcPr>
          <w:p w14:paraId="05F70662">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0.12</w:t>
            </w:r>
          </w:p>
        </w:tc>
        <w:tc>
          <w:tcPr>
            <w:tcW w:w="1142" w:type="dxa"/>
            <w:noWrap w:val="0"/>
            <w:vAlign w:val="center"/>
          </w:tcPr>
          <w:p w14:paraId="1614519A">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0319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07E6474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212" w:type="dxa"/>
            <w:noWrap w:val="0"/>
            <w:vAlign w:val="center"/>
          </w:tcPr>
          <w:p w14:paraId="35B30AF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网络机柜</w:t>
            </w:r>
          </w:p>
        </w:tc>
        <w:tc>
          <w:tcPr>
            <w:tcW w:w="496" w:type="dxa"/>
            <w:noWrap w:val="0"/>
            <w:vAlign w:val="center"/>
          </w:tcPr>
          <w:p w14:paraId="0F8E1B1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1</w:t>
            </w:r>
          </w:p>
        </w:tc>
        <w:tc>
          <w:tcPr>
            <w:tcW w:w="459" w:type="dxa"/>
            <w:noWrap w:val="0"/>
            <w:vAlign w:val="center"/>
          </w:tcPr>
          <w:p w14:paraId="163F2CF4">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个</w:t>
            </w:r>
          </w:p>
        </w:tc>
        <w:tc>
          <w:tcPr>
            <w:tcW w:w="5495" w:type="dxa"/>
            <w:noWrap w:val="0"/>
            <w:vAlign w:val="center"/>
          </w:tcPr>
          <w:p w14:paraId="472361E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 xml:space="preserve">1.约19寸22U机柜；约宽600*深600*高1200mm，容量22U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2.单开钢化玻璃前门（前门边带蓝色装饰条）；</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单开钣金后门；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前后门免焊加强筋结构；</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前后门配高级典雅锁；</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承载:静载约800KG(带支架)；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防护等级:IP20；</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3.主要材料:方孔条与安装梁：耐指纹敷铝锌板,镀铝锌板材质方孔条与安装梁,设备安装时自动等电位,无锐边方孔条,在安装维护中不割伤手；</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其余：SPCC优质冷轧板；</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表面处理:方孔条、安装横梁：镀铝锌板 ；其余：脱脂、硅烷化处理 、静电喷塑。</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4.机柜安装：19”安装，方孔条可调节深度，前后共4根。为便于安装，方孔条上有U制标识。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5.每台机柜配一条环保-10A输入输出PDU，含线八位万能插座PDU，功率2500W；</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6.配件：每柜一块固定层板（每块可承重60KG），每柜配一组散热风扇内嵌式（噪声小于60分贝，无安装板振动声）</w:t>
            </w:r>
          </w:p>
        </w:tc>
        <w:tc>
          <w:tcPr>
            <w:tcW w:w="1142" w:type="dxa"/>
            <w:noWrap w:val="0"/>
            <w:vAlign w:val="center"/>
          </w:tcPr>
          <w:p w14:paraId="77DCCE0E">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0.1</w:t>
            </w:r>
          </w:p>
        </w:tc>
        <w:tc>
          <w:tcPr>
            <w:tcW w:w="1142" w:type="dxa"/>
            <w:noWrap w:val="0"/>
            <w:vAlign w:val="center"/>
          </w:tcPr>
          <w:p w14:paraId="3C936E09">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7613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355D1AF8">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212" w:type="dxa"/>
            <w:noWrap w:val="0"/>
            <w:vAlign w:val="center"/>
          </w:tcPr>
          <w:p w14:paraId="1072B6D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数据交换机</w:t>
            </w:r>
          </w:p>
        </w:tc>
        <w:tc>
          <w:tcPr>
            <w:tcW w:w="496" w:type="dxa"/>
            <w:noWrap w:val="0"/>
            <w:vAlign w:val="center"/>
          </w:tcPr>
          <w:p w14:paraId="6D50C69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1</w:t>
            </w:r>
          </w:p>
        </w:tc>
        <w:tc>
          <w:tcPr>
            <w:tcW w:w="459" w:type="dxa"/>
            <w:noWrap w:val="0"/>
            <w:vAlign w:val="center"/>
          </w:tcPr>
          <w:p w14:paraId="600CDAAD">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台</w:t>
            </w:r>
          </w:p>
        </w:tc>
        <w:tc>
          <w:tcPr>
            <w:tcW w:w="5495" w:type="dxa"/>
            <w:noWrap w:val="0"/>
            <w:vAlign w:val="center"/>
          </w:tcPr>
          <w:p w14:paraId="3D339DB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1.千兆电口≥24个，千兆光口≥4个；</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2.交换机交换容量：≥670Gbps，包转发率：≥120Mpps；</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▲3.支持二层广播，配置静态IP地址，DHCP Option43方式，DNS域名上线；（竞标时需提供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测试报告或相关功能截图证明并加盖供应商公章）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4.支持STP、RSTP、MSTP协议；</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▲5.支持M-LAG技术，跨设备链路聚合， 并对于配对的设备有独立的控制平面 ；（竞标时需提供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测试报告或相关功能截图证明并加盖供应商公章）；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6.支持防网关ARP欺骗、管理员分级管理、支持端口保护、隔离；支持防止DOS、ARP攻击功能；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 xml:space="preserve">7.支持通过APP进行远程管理，并且可以修改交换机网络配置； </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▲8.支持终端类型库，基于指纹终端类型库自动识别PC、路由器、摄像头设备、无线AP等（竞标时需提供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测试报告或相关功能截图证明并加盖供应商公章）；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9.支持可视化查看网关IP、排除IP、预留IP等；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10.支持可视化查看IP冲突次数，终端获取IP地址失败次数，并统计最近发生时间；</w:t>
            </w:r>
          </w:p>
        </w:tc>
        <w:tc>
          <w:tcPr>
            <w:tcW w:w="1142" w:type="dxa"/>
            <w:noWrap w:val="0"/>
            <w:vAlign w:val="center"/>
          </w:tcPr>
          <w:p w14:paraId="0E607BE4">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0.16</w:t>
            </w:r>
          </w:p>
        </w:tc>
        <w:tc>
          <w:tcPr>
            <w:tcW w:w="1142" w:type="dxa"/>
            <w:noWrap w:val="0"/>
            <w:vAlign w:val="center"/>
          </w:tcPr>
          <w:p w14:paraId="4B265A6F">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72EC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266B2E5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212" w:type="dxa"/>
            <w:noWrap w:val="0"/>
            <w:vAlign w:val="center"/>
          </w:tcPr>
          <w:p w14:paraId="052C768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实训室电路安全系统</w:t>
            </w:r>
          </w:p>
        </w:tc>
        <w:tc>
          <w:tcPr>
            <w:tcW w:w="496" w:type="dxa"/>
            <w:noWrap w:val="0"/>
            <w:vAlign w:val="center"/>
          </w:tcPr>
          <w:p w14:paraId="7C81AC0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1</w:t>
            </w:r>
          </w:p>
        </w:tc>
        <w:tc>
          <w:tcPr>
            <w:tcW w:w="459" w:type="dxa"/>
            <w:noWrap w:val="0"/>
            <w:vAlign w:val="center"/>
          </w:tcPr>
          <w:p w14:paraId="0FE92540">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center"/>
          </w:tcPr>
          <w:p w14:paraId="328F18A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right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▲1.设备结构为多功能软硬件一体机，非多个设备组合，减少故障点，机架式≤1.5U；（</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▲2.设备标配通讯接口包含RJ45、</w:t>
            </w:r>
            <w:r>
              <w:rPr>
                <w:rFonts w:hint="eastAsia" w:ascii="宋体" w:hAnsi="宋体" w:cs="宋体"/>
                <w:color w:val="auto"/>
                <w:kern w:val="2"/>
                <w:sz w:val="21"/>
                <w:szCs w:val="21"/>
                <w:highlight w:val="none"/>
                <w:lang w:val="en-US" w:eastAsia="zh-CN" w:bidi="ar"/>
              </w:rPr>
              <w:t>Wi-Fi</w:t>
            </w:r>
            <w:r>
              <w:rPr>
                <w:rFonts w:hint="eastAsia" w:ascii="宋体" w:hAnsi="宋体" w:eastAsia="宋体" w:cs="宋体"/>
                <w:color w:val="auto"/>
                <w:kern w:val="2"/>
                <w:sz w:val="21"/>
                <w:szCs w:val="21"/>
                <w:highlight w:val="none"/>
                <w:lang w:val="en-US" w:eastAsia="zh-CN" w:bidi="ar"/>
              </w:rPr>
              <w:t>、4G，标配网络防雷接口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2路、接地通路接口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2路、RS485接口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4路、漏电监测接口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4路、开关量输入接口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2路、USB接口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2路、HDMI接口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1路、电源输出接口</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4路国标插座；（竞标时需提供产品完整实物的清晰照片并加盖供应商公章或</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▲3.支持防雷击防浪涌功能，最大放电电流Imax(8/20μs)</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40kA，电压保护水平Up≦1.7kV，支持监测功能至少包含：电流、电压、功率、断电、接地通断、漏电监测、雷击浪涌次数、防雷器状态、防雷器温度、防雷器寿命、环境温湿度、水浸、烟雾等监测；（</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▲4.设备标配</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2.8寸触摸显示屏，可显示监测指标信息，屏显内容包括：电压、电流、频率、功率、雷击浪涌次数、防雷器状态、防雷器温度、防雷器寿命、接地通断、漏电监测、温湿度、烟雾、水浸、安装单位、联系人、联系电话，可通过手机扫描屏显电子二维码进行关注、查询、故障报修；（</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▲5.支持供电BYPASS功能，即使本机系统出现问题或者系统重启也不影响正常输出供电，以保障用电设备稳定运行；（</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▲6.设备内置告警扬声器</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1个，具有系统、网络、入网、RS485状态指示灯，告警方式支持本机扬声器告警、手机微信告警、管理平台告警；（</w:t>
            </w:r>
            <w:r>
              <w:rPr>
                <w:rFonts w:hint="eastAsia" w:ascii="宋体" w:hAnsi="宋体" w:cs="宋体"/>
                <w:color w:val="auto"/>
                <w:kern w:val="2"/>
                <w:sz w:val="21"/>
                <w:szCs w:val="21"/>
                <w:highlight w:val="none"/>
                <w:lang w:val="en-US" w:eastAsia="zh-CN" w:bidi="ar"/>
              </w:rPr>
              <w:t>竞标时</w:t>
            </w:r>
            <w:r>
              <w:rPr>
                <w:rFonts w:hint="eastAsia" w:ascii="宋体" w:hAnsi="宋体" w:eastAsia="宋体" w:cs="宋体"/>
                <w:color w:val="auto"/>
                <w:kern w:val="2"/>
                <w:sz w:val="21"/>
                <w:szCs w:val="21"/>
                <w:highlight w:val="none"/>
                <w:lang w:val="en-US" w:eastAsia="zh-CN" w:bidi="ar"/>
              </w:rPr>
              <w:t>需提供</w:t>
            </w:r>
            <w:r>
              <w:rPr>
                <w:rFonts w:hint="eastAsia" w:ascii="宋体" w:hAnsi="宋体" w:cs="宋体"/>
                <w:color w:val="auto"/>
                <w:kern w:val="2"/>
                <w:sz w:val="21"/>
                <w:szCs w:val="21"/>
                <w:highlight w:val="none"/>
                <w:lang w:val="en-US" w:eastAsia="zh-CN" w:bidi="ar"/>
              </w:rPr>
              <w:t>具备有效CMA资质的第三方机构出具的</w:t>
            </w:r>
            <w:r>
              <w:rPr>
                <w:rFonts w:hint="eastAsia" w:ascii="宋体" w:hAnsi="宋体" w:eastAsia="宋体" w:cs="宋体"/>
                <w:color w:val="auto"/>
                <w:kern w:val="2"/>
                <w:sz w:val="21"/>
                <w:szCs w:val="21"/>
                <w:highlight w:val="none"/>
                <w:lang w:val="en-US" w:eastAsia="zh-CN" w:bidi="ar"/>
              </w:rPr>
              <w:t>检测报告并加盖供应商公章）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7.管理方式支持Web管理；</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8.设备包含云管理平台，平台支持远程监控、管理、运维，支持对监测指标实时查询、数据云存储、备份、数据分析、GIS地图展示、多级用户权限管理；</w:t>
            </w:r>
          </w:p>
        </w:tc>
        <w:tc>
          <w:tcPr>
            <w:tcW w:w="1142" w:type="dxa"/>
            <w:noWrap w:val="0"/>
            <w:vAlign w:val="center"/>
          </w:tcPr>
          <w:p w14:paraId="627EEFD7">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0.8</w:t>
            </w:r>
          </w:p>
        </w:tc>
        <w:tc>
          <w:tcPr>
            <w:tcW w:w="1142" w:type="dxa"/>
            <w:noWrap w:val="0"/>
            <w:vAlign w:val="center"/>
          </w:tcPr>
          <w:p w14:paraId="15873DF5">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5DC1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0291310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212" w:type="dxa"/>
            <w:noWrap w:val="0"/>
            <w:vAlign w:val="center"/>
          </w:tcPr>
          <w:p w14:paraId="645D4EF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实训辅材</w:t>
            </w:r>
          </w:p>
        </w:tc>
        <w:tc>
          <w:tcPr>
            <w:tcW w:w="496" w:type="dxa"/>
            <w:noWrap w:val="0"/>
            <w:vAlign w:val="center"/>
          </w:tcPr>
          <w:p w14:paraId="140EA61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1</w:t>
            </w:r>
          </w:p>
        </w:tc>
        <w:tc>
          <w:tcPr>
            <w:tcW w:w="459" w:type="dxa"/>
            <w:noWrap w:val="0"/>
            <w:vAlign w:val="center"/>
          </w:tcPr>
          <w:p w14:paraId="7B29D982">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批</w:t>
            </w:r>
          </w:p>
        </w:tc>
        <w:tc>
          <w:tcPr>
            <w:tcW w:w="5495" w:type="dxa"/>
            <w:noWrap w:val="0"/>
            <w:vAlign w:val="center"/>
          </w:tcPr>
          <w:p w14:paraId="19B300E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right="0" w:right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至少包含以下辅材：超五类非屏蔽双绞线300米*10；皮线光纤1芯3钢丝（500米）*5；室内光缆1芯2钢丝（500米）*5；RJ45水晶头超五类非屏蔽（100个）*150；RJ45水晶头六类非屏蔽（100个）*50；超五类网络模块*40；六类网络模块*40；语音模块*40；光纤快速连接器*8。</w:t>
            </w:r>
          </w:p>
        </w:tc>
        <w:tc>
          <w:tcPr>
            <w:tcW w:w="1142" w:type="dxa"/>
            <w:noWrap w:val="0"/>
            <w:vAlign w:val="center"/>
          </w:tcPr>
          <w:p w14:paraId="3485BD2A">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1142" w:type="dxa"/>
            <w:noWrap w:val="0"/>
            <w:vAlign w:val="center"/>
          </w:tcPr>
          <w:p w14:paraId="0147A7ED">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其他未列明行业</w:t>
            </w:r>
          </w:p>
        </w:tc>
      </w:tr>
      <w:tr w14:paraId="208C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2C6DFF1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212" w:type="dxa"/>
            <w:noWrap w:val="0"/>
            <w:vAlign w:val="center"/>
          </w:tcPr>
          <w:p w14:paraId="79D7D6C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bidi="ar"/>
              </w:rPr>
              <w:t>系统集成</w:t>
            </w:r>
          </w:p>
        </w:tc>
        <w:tc>
          <w:tcPr>
            <w:tcW w:w="496" w:type="dxa"/>
            <w:noWrap w:val="0"/>
            <w:vAlign w:val="center"/>
          </w:tcPr>
          <w:p w14:paraId="5D072E5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1</w:t>
            </w:r>
          </w:p>
        </w:tc>
        <w:tc>
          <w:tcPr>
            <w:tcW w:w="459" w:type="dxa"/>
            <w:noWrap w:val="0"/>
            <w:vAlign w:val="center"/>
          </w:tcPr>
          <w:p w14:paraId="78FE0918">
            <w:pPr>
              <w:keepNext w:val="0"/>
              <w:keepLines w:val="0"/>
              <w:pageBreakBefore w:val="0"/>
              <w:widowControl/>
              <w:suppressLineNumbers w:val="0"/>
              <w:kinsoku/>
              <w:wordWrap/>
              <w:overflowPunct/>
              <w:topLinePunct w:val="0"/>
              <w:bidi w:val="0"/>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w:t>
            </w:r>
          </w:p>
        </w:tc>
        <w:tc>
          <w:tcPr>
            <w:tcW w:w="5495" w:type="dxa"/>
            <w:noWrap w:val="0"/>
            <w:vAlign w:val="center"/>
          </w:tcPr>
          <w:p w14:paraId="07C629C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80" w:lineRule="exact"/>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1.系统集成所需材料要求符合</w:t>
            </w:r>
            <w:r>
              <w:rPr>
                <w:rFonts w:hint="eastAsia" w:ascii="宋体" w:hAnsi="宋体" w:cs="宋体"/>
                <w:color w:val="auto"/>
                <w:kern w:val="2"/>
                <w:sz w:val="21"/>
                <w:szCs w:val="21"/>
                <w:highlight w:val="none"/>
                <w:lang w:val="en-US" w:eastAsia="zh-CN" w:bidi="ar"/>
              </w:rPr>
              <w:t>国家标准</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2.包含项目组织专业技术场地勘察、专业技术测量及计算，方案设计的整体配合、修改；</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3.根据</w:t>
            </w:r>
            <w:r>
              <w:rPr>
                <w:rFonts w:hint="eastAsia" w:ascii="宋体" w:hAnsi="宋体" w:cs="宋体"/>
                <w:color w:val="auto"/>
                <w:kern w:val="2"/>
                <w:sz w:val="21"/>
                <w:szCs w:val="21"/>
                <w:highlight w:val="none"/>
                <w:lang w:val="en-US" w:eastAsia="zh-CN" w:bidi="ar"/>
              </w:rPr>
              <w:t>采购人</w:t>
            </w:r>
            <w:r>
              <w:rPr>
                <w:rFonts w:hint="eastAsia" w:ascii="宋体" w:hAnsi="宋体" w:eastAsia="宋体" w:cs="宋体"/>
                <w:color w:val="auto"/>
                <w:kern w:val="2"/>
                <w:sz w:val="21"/>
                <w:szCs w:val="21"/>
                <w:highlight w:val="none"/>
                <w:lang w:val="en-US" w:eastAsia="zh-CN" w:bidi="ar"/>
              </w:rPr>
              <w:t>要求提供专业的技术方案、专业的技术支持及各</w:t>
            </w:r>
            <w:r>
              <w:rPr>
                <w:rFonts w:hint="eastAsia" w:ascii="宋体" w:hAnsi="宋体" w:cs="宋体"/>
                <w:color w:val="auto"/>
                <w:kern w:val="2"/>
                <w:sz w:val="21"/>
                <w:szCs w:val="21"/>
                <w:highlight w:val="none"/>
                <w:lang w:val="en-US" w:eastAsia="zh-CN" w:bidi="ar"/>
              </w:rPr>
              <w:t>板块</w:t>
            </w:r>
            <w:r>
              <w:rPr>
                <w:rFonts w:hint="eastAsia" w:ascii="宋体" w:hAnsi="宋体" w:eastAsia="宋体" w:cs="宋体"/>
                <w:color w:val="auto"/>
                <w:kern w:val="2"/>
                <w:sz w:val="21"/>
                <w:szCs w:val="21"/>
                <w:highlight w:val="none"/>
                <w:lang w:val="en-US" w:eastAsia="zh-CN" w:bidi="ar"/>
              </w:rPr>
              <w:t>专业技术服务；</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4.项目所有货物的仓储、装卸、运输、搬运、上楼、安装、组装以及实施过程中的各项成品、半成品保护；</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5.项目实施过程当中开孔、开槽、恢复以及所需要的五金、配件、工具、测试仪器、测量器械以及大小型机器机械等；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6.强电布线及防雷改造；</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7.实施安装过程要求所有布线均入线盒，大方、美观、整洁，不能裸露在外；</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8.布线符合国家规范要求，横平竖直；</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9.货物到达项目的二次运输、二次搬运、安装、调试；</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10.对项目信息的全面保密管理，包括项目文件、项目交流以及项目进展等；</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11.搭建安全可靠的网络框架，确保项目信息的传输和交换过程中的安全性；</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12.实现对项目人员的身份认证和权限管理，确保只有获得授权的人员能够访问相应的信息；</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13.提供高效可靠的系统运维和技术支持，保障系统的稳定运行和及时处理问题；</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14.培训和技术支持:对系统管理人员进行培训，使其掌握系统的使用和维护技术，并提供系统运维和技术支持。</w:t>
            </w:r>
          </w:p>
        </w:tc>
        <w:tc>
          <w:tcPr>
            <w:tcW w:w="1142" w:type="dxa"/>
            <w:noWrap w:val="0"/>
            <w:vAlign w:val="center"/>
          </w:tcPr>
          <w:p w14:paraId="6392B9DD">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2.943</w:t>
            </w:r>
          </w:p>
        </w:tc>
        <w:tc>
          <w:tcPr>
            <w:tcW w:w="1142" w:type="dxa"/>
            <w:noWrap w:val="0"/>
            <w:vAlign w:val="center"/>
          </w:tcPr>
          <w:p w14:paraId="1D775B7E">
            <w:pPr>
              <w:keepNext w:val="0"/>
              <w:keepLines w:val="0"/>
              <w:pageBreakBefore w:val="0"/>
              <w:suppressLineNumbers w:val="0"/>
              <w:tabs>
                <w:tab w:val="left" w:pos="315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其他未列明行业</w:t>
            </w:r>
          </w:p>
        </w:tc>
      </w:tr>
      <w:tr w14:paraId="2BF2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8" w:type="dxa"/>
            <w:gridSpan w:val="7"/>
            <w:noWrap w:val="0"/>
            <w:vAlign w:val="center"/>
          </w:tcPr>
          <w:p w14:paraId="2464B651">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一、商务要求表：</w:t>
            </w:r>
            <w:r>
              <w:rPr>
                <w:rFonts w:hint="eastAsia" w:ascii="宋体" w:hAnsi="宋体" w:eastAsia="宋体" w:cs="宋体"/>
                <w:color w:val="auto"/>
                <w:sz w:val="21"/>
                <w:szCs w:val="21"/>
                <w:highlight w:val="none"/>
              </w:rPr>
              <w:t xml:space="preserve"> </w:t>
            </w:r>
          </w:p>
        </w:tc>
      </w:tr>
      <w:tr w14:paraId="2BCF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32CE0E8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w:t>
            </w:r>
          </w:p>
        </w:tc>
        <w:tc>
          <w:tcPr>
            <w:tcW w:w="8238" w:type="dxa"/>
            <w:gridSpan w:val="4"/>
            <w:noWrap w:val="0"/>
            <w:vAlign w:val="center"/>
          </w:tcPr>
          <w:p w14:paraId="5E2A75D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自成交通知书发出之日起</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日内。</w:t>
            </w:r>
          </w:p>
        </w:tc>
      </w:tr>
      <w:tr w14:paraId="7BC6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000BB53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交付使用时间及地点</w:t>
            </w:r>
          </w:p>
        </w:tc>
        <w:tc>
          <w:tcPr>
            <w:tcW w:w="8238" w:type="dxa"/>
            <w:gridSpan w:val="4"/>
            <w:noWrap w:val="0"/>
            <w:vAlign w:val="center"/>
          </w:tcPr>
          <w:p w14:paraId="026D604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1、交付使用时间：自签订合同之日起30日历日内全部交货安装完成并验收合格。</w:t>
            </w:r>
          </w:p>
          <w:p w14:paraId="26B08F1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2、交付使用地点：广西安全工程职业技术学院</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南宁市武鸣区上河路9号</w:t>
            </w:r>
            <w:r>
              <w:rPr>
                <w:rFonts w:hint="eastAsia" w:ascii="宋体" w:hAnsi="宋体" w:cs="宋体"/>
                <w:color w:val="auto"/>
                <w:sz w:val="21"/>
                <w:szCs w:val="21"/>
                <w:highlight w:val="none"/>
                <w:lang w:val="en-US" w:eastAsia="zh-CN"/>
              </w:rPr>
              <w:t>）</w:t>
            </w:r>
          </w:p>
        </w:tc>
      </w:tr>
      <w:tr w14:paraId="43A8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0B249F5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8238" w:type="dxa"/>
            <w:gridSpan w:val="4"/>
            <w:noWrap w:val="0"/>
            <w:vAlign w:val="center"/>
          </w:tcPr>
          <w:p w14:paraId="6A5ED791">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质量保证期内设备非因人为及不可抗拒因素的原因而引起损坏或质量问题，成交供应商予以技术服务、维修或设备更换，并承担相应费用和零部件的费用，因人为因素出现的故障不在保修范围内，成交供应商也要积极帮助采购人修理，并提供优惠价格的配件和服务。</w:t>
            </w:r>
          </w:p>
          <w:p w14:paraId="51B3D85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超过质量保证期的货物，成交供应商提供</w:t>
            </w:r>
            <w:r>
              <w:rPr>
                <w:rFonts w:hint="eastAsia" w:ascii="宋体" w:hAnsi="宋体" w:cs="宋体"/>
                <w:color w:val="auto"/>
                <w:sz w:val="21"/>
                <w:szCs w:val="21"/>
                <w:highlight w:val="none"/>
                <w:lang w:eastAsia="zh-CN"/>
              </w:rPr>
              <w:t>终身</w:t>
            </w:r>
            <w:r>
              <w:rPr>
                <w:rFonts w:hint="eastAsia" w:ascii="宋体" w:hAnsi="宋体" w:eastAsia="宋体" w:cs="宋体"/>
                <w:color w:val="auto"/>
                <w:sz w:val="21"/>
                <w:szCs w:val="21"/>
                <w:highlight w:val="none"/>
              </w:rPr>
              <w:t>维修、保养服务，维修时只收部件成本费。</w:t>
            </w:r>
          </w:p>
          <w:p w14:paraId="2460A14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成交供应商随时优惠提供备品备件，优惠提供产品更新、改造服务。</w:t>
            </w:r>
          </w:p>
          <w:p w14:paraId="789452B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故障响应时间：</w:t>
            </w:r>
            <w:r>
              <w:rPr>
                <w:rFonts w:hint="eastAsia" w:ascii="宋体" w:hAnsi="宋体" w:cs="宋体"/>
                <w:color w:val="auto"/>
                <w:sz w:val="21"/>
                <w:szCs w:val="21"/>
                <w:highlight w:val="none"/>
                <w:lang w:eastAsia="zh-CN"/>
              </w:rPr>
              <w:t>接到</w:t>
            </w:r>
            <w:r>
              <w:rPr>
                <w:rFonts w:hint="eastAsia" w:ascii="宋体" w:hAnsi="宋体" w:eastAsia="宋体" w:cs="宋体"/>
                <w:color w:val="auto"/>
                <w:sz w:val="21"/>
                <w:szCs w:val="21"/>
                <w:highlight w:val="none"/>
              </w:rPr>
              <w:t>故障通知在2小时内需要作出响应，24小时到达现场。</w:t>
            </w:r>
          </w:p>
          <w:p w14:paraId="04D238F1">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无偿送货上门，无偿安装调试和培训。</w:t>
            </w:r>
          </w:p>
        </w:tc>
      </w:tr>
      <w:tr w14:paraId="3205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46DD4801">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w:t>
            </w:r>
          </w:p>
        </w:tc>
        <w:tc>
          <w:tcPr>
            <w:tcW w:w="8238" w:type="dxa"/>
            <w:gridSpan w:val="4"/>
            <w:noWrap w:val="0"/>
            <w:vAlign w:val="center"/>
          </w:tcPr>
          <w:p w14:paraId="1742C0C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质量保证期（自交货安装完成并验收合格之日起</w:t>
            </w:r>
            <w:r>
              <w:rPr>
                <w:rFonts w:hint="eastAsia" w:ascii="宋体" w:hAnsi="宋体" w:cs="宋体"/>
                <w:color w:val="auto"/>
                <w:sz w:val="21"/>
                <w:szCs w:val="21"/>
                <w:highlight w:val="none"/>
                <w:lang w:eastAsia="zh-CN"/>
              </w:rPr>
              <w:t>计算</w:t>
            </w:r>
            <w:r>
              <w:rPr>
                <w:rFonts w:hint="eastAsia" w:ascii="宋体" w:hAnsi="宋体" w:eastAsia="宋体" w:cs="宋体"/>
                <w:color w:val="auto"/>
                <w:sz w:val="21"/>
                <w:szCs w:val="21"/>
                <w:highlight w:val="none"/>
              </w:rPr>
              <w:t>）：按国家有关产品“三包”规定执行“三包”，自货物验收合格之日起计算，产品质保期不少于1年（厂家质保期超过此年限的按厂家规定执行）。</w:t>
            </w:r>
          </w:p>
        </w:tc>
      </w:tr>
      <w:tr w14:paraId="0340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3035CE5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8238" w:type="dxa"/>
            <w:gridSpan w:val="4"/>
            <w:noWrap w:val="0"/>
            <w:vAlign w:val="center"/>
          </w:tcPr>
          <w:p w14:paraId="14F5684D">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1.本项目预付款为合同款的30%。</w:t>
            </w:r>
          </w:p>
          <w:p w14:paraId="124AE15B">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2.货物安装验收合格后，</w:t>
            </w:r>
            <w:r>
              <w:rPr>
                <w:rFonts w:hint="eastAsia" w:ascii="宋体" w:hAnsi="宋体" w:eastAsia="宋体" w:cs="宋体"/>
                <w:color w:val="auto"/>
                <w:sz w:val="21"/>
                <w:szCs w:val="21"/>
                <w:highlight w:val="none"/>
                <w:lang w:val="en-US" w:eastAsia="zh-CN"/>
              </w:rPr>
              <w:t>成交人</w:t>
            </w:r>
            <w:r>
              <w:rPr>
                <w:rFonts w:hint="eastAsia" w:ascii="宋体" w:hAnsi="宋体" w:eastAsia="宋体" w:cs="宋体"/>
                <w:color w:val="auto"/>
                <w:sz w:val="21"/>
                <w:szCs w:val="21"/>
                <w:highlight w:val="none"/>
              </w:rPr>
              <w:t>按照合同最终价款向采购人提交相应的正规发票，采购人收到发票后10个工作日内以</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方式，将全部合同价款70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支付</w:t>
            </w:r>
            <w:r>
              <w:rPr>
                <w:rFonts w:hint="eastAsia" w:ascii="宋体" w:hAnsi="宋体" w:cs="宋体"/>
                <w:color w:val="auto"/>
                <w:sz w:val="21"/>
                <w:szCs w:val="21"/>
                <w:highlight w:val="none"/>
                <w:lang w:eastAsia="zh-CN"/>
              </w:rPr>
              <w:t>至</w:t>
            </w:r>
            <w:r>
              <w:rPr>
                <w:rFonts w:hint="eastAsia" w:ascii="宋体" w:hAnsi="宋体" w:eastAsia="宋体" w:cs="宋体"/>
                <w:color w:val="auto"/>
                <w:sz w:val="21"/>
                <w:szCs w:val="21"/>
                <w:highlight w:val="none"/>
              </w:rPr>
              <w:t>供应商</w:t>
            </w:r>
            <w:r>
              <w:rPr>
                <w:rFonts w:hint="eastAsia" w:ascii="宋体" w:hAnsi="宋体" w:cs="宋体"/>
                <w:color w:val="auto"/>
                <w:sz w:val="21"/>
                <w:szCs w:val="21"/>
                <w:highlight w:val="none"/>
                <w:lang w:eastAsia="zh-CN"/>
              </w:rPr>
              <w:t>账户</w:t>
            </w:r>
            <w:r>
              <w:rPr>
                <w:rFonts w:hint="eastAsia" w:ascii="宋体" w:hAnsi="宋体" w:eastAsia="宋体" w:cs="宋体"/>
                <w:color w:val="auto"/>
                <w:sz w:val="21"/>
                <w:szCs w:val="21"/>
                <w:highlight w:val="none"/>
              </w:rPr>
              <w:t>。</w:t>
            </w:r>
          </w:p>
        </w:tc>
      </w:tr>
      <w:tr w14:paraId="3642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66C07A6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要求</w:t>
            </w:r>
          </w:p>
        </w:tc>
        <w:tc>
          <w:tcPr>
            <w:tcW w:w="8238" w:type="dxa"/>
            <w:gridSpan w:val="4"/>
            <w:noWrap w:val="0"/>
            <w:vAlign w:val="center"/>
          </w:tcPr>
          <w:p w14:paraId="211C9C7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竞标报价为采购人指定地点的现场交货价，包括但不限于：</w:t>
            </w:r>
          </w:p>
          <w:p w14:paraId="48392617">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w:t>
            </w:r>
          </w:p>
          <w:p w14:paraId="6129D9AD">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6C0B9F7A">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（3）运输、装卸、调试、培训、技术支持、售后服务、代理服务费等费用；</w:t>
            </w:r>
          </w:p>
          <w:p w14:paraId="77BEC5F2">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（4）必要的保险费用和各项税费；</w:t>
            </w:r>
          </w:p>
          <w:p w14:paraId="2928C48F">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（5）送货上门、安装、调试费用；</w:t>
            </w:r>
          </w:p>
          <w:p w14:paraId="003BF0C4">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（6）包括项目整体验收各项费用。</w:t>
            </w:r>
          </w:p>
          <w:p w14:paraId="5C862A43">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本项目报价为总价包干，即一次性报出本项目实施过程所需的全部费用。采购人不再针对本项目另行支付其他费用，所有设备即可投入使用。</w:t>
            </w:r>
          </w:p>
        </w:tc>
      </w:tr>
      <w:tr w14:paraId="411C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2C1BE26E">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8238" w:type="dxa"/>
            <w:gridSpan w:val="4"/>
            <w:noWrap w:val="0"/>
            <w:vAlign w:val="center"/>
          </w:tcPr>
          <w:p w14:paraId="7167051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b/>
                <w:color w:val="auto"/>
                <w:sz w:val="21"/>
                <w:szCs w:val="21"/>
                <w:highlight w:val="none"/>
              </w:rPr>
            </w:pPr>
            <w:r>
              <w:rPr>
                <w:rFonts w:hint="eastAsia" w:cs="Times New Roman"/>
                <w:color w:val="auto"/>
                <w:highlight w:val="none"/>
                <w:lang w:eastAsia="zh-CN"/>
              </w:rPr>
              <w:t>一</w:t>
            </w:r>
            <w:r>
              <w:rPr>
                <w:rFonts w:hint="eastAsia" w:ascii="宋体" w:hAnsi="宋体" w:eastAsia="宋体" w:cs="宋体"/>
                <w:b/>
                <w:color w:val="auto"/>
                <w:sz w:val="21"/>
                <w:szCs w:val="21"/>
                <w:highlight w:val="none"/>
              </w:rPr>
              <w:t>、采购标的验收标准</w:t>
            </w:r>
          </w:p>
          <w:p w14:paraId="4C2DD33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1、验收过程中所产生的一切费用均由成交人承担。报价时应考虑相关费用。</w:t>
            </w:r>
          </w:p>
          <w:p w14:paraId="23608D6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人在货物验收时由采购单位对照采购文件的功能目标及技术指标全面核对检验，对所有要求出具的证明文件的原件进行核查，如不符合采购文件的技术需求及要求以及提供虚假承诺的，按相关规定做退货处理及违约处理，成交人承担所有责任和费用，采购人保留进一步追究责任的权利。</w:t>
            </w:r>
          </w:p>
          <w:p w14:paraId="2C39831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为了使本次采购货物质量得到保障，货物进场前采购人有权要求成交供货商提供设备样品，对货物样品进行复检各项参数及性能测试，货物安装完成后，采购人可对货物进行复检与性能测试，成交供应商应派出有经验、高水平的技术人员协助此项工作。采购人对货物验收合格后，签署验收合格证书，验收标准应符合中国有关的国家、地方、行业标准；如验收不合格，成交供应商应在3个工作日内对不合格产品进行更换、调试，未按要求进行更换、调试或再次验收不合格的，采购人有权解除合同，由此造成的损失由供应商承担，采购人保留进一步追究责任的权利。</w:t>
            </w:r>
          </w:p>
          <w:p w14:paraId="2173E9C1">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在约定的期限内完成本项目采购人最终确认的需求，认为可以验收的，以书面方式通知采购人。交付验收前，成交供应商须对所交付的项目进行功能和运行检测，以确认交付项目符合本项目技术参数要求。</w:t>
            </w:r>
          </w:p>
          <w:p w14:paraId="04137770">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▲5、本项目未办理进口产品的相关审批手续，项目产品不接受进口产品（即通过中国海关报关验放进入中国境内且产自关境外的产品）参与竞标，如有此类产品参与竞标的作无效竞标处理。</w:t>
            </w:r>
          </w:p>
        </w:tc>
      </w:tr>
      <w:tr w14:paraId="0FCA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0250A006">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8238" w:type="dxa"/>
            <w:gridSpan w:val="4"/>
            <w:noWrap w:val="0"/>
            <w:vAlign w:val="center"/>
          </w:tcPr>
          <w:p w14:paraId="769F20BF">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履约保证金金额：本项目成交金额的</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709FE905">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履约保证金提交方式：支票、汇票、本票、银行转账或者金融机构、担保机构出具的保函等非现金形式。</w:t>
            </w:r>
          </w:p>
          <w:p w14:paraId="3BEB4357">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履约保证金指定账户：广西安全工程职业技术学院</w:t>
            </w:r>
          </w:p>
          <w:p w14:paraId="5E5ABFEE">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 广西安全工程职业技术学院</w:t>
            </w:r>
          </w:p>
          <w:p w14:paraId="0996F288">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开户行：南宁市武鸣区农村信用合作联社营业部 </w:t>
            </w:r>
          </w:p>
          <w:p w14:paraId="09BD9D21">
            <w:pPr>
              <w:keepNext w:val="0"/>
              <w:keepLines w:val="0"/>
              <w:pageBreakBefore w:val="0"/>
              <w:suppressLineNumbers w:val="0"/>
              <w:kinsoku/>
              <w:wordWrap/>
              <w:overflowPunct/>
              <w:topLinePunct w:val="0"/>
              <w:autoSpaceDE w:val="0"/>
              <w:autoSpaceDN w:val="0"/>
              <w:bidi w:val="0"/>
              <w:snapToGrid w:val="0"/>
              <w:spacing w:before="0" w:beforeAutospacing="0" w:after="0" w:afterAutospacing="0" w:line="380" w:lineRule="exact"/>
              <w:ind w:left="0" w:right="0"/>
              <w:jc w:val="lef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号：190612010173156516</w:t>
            </w:r>
          </w:p>
        </w:tc>
      </w:tr>
      <w:tr w14:paraId="2D6B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8" w:type="dxa"/>
            <w:gridSpan w:val="7"/>
            <w:noWrap w:val="0"/>
            <w:vAlign w:val="center"/>
          </w:tcPr>
          <w:p w14:paraId="450D4409">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color w:val="auto"/>
                <w:kern w:val="0"/>
                <w:sz w:val="21"/>
                <w:szCs w:val="21"/>
                <w:highlight w:val="none"/>
              </w:rPr>
              <w:t>谈判小组根据与供应商谈判情况可能实质性变动的内容</w:t>
            </w:r>
            <w:r>
              <w:rPr>
                <w:rFonts w:hint="eastAsia" w:ascii="宋体" w:hAnsi="宋体" w:eastAsia="宋体" w:cs="宋体"/>
                <w:b/>
                <w:color w:val="auto"/>
                <w:sz w:val="21"/>
                <w:szCs w:val="21"/>
                <w:highlight w:val="none"/>
              </w:rPr>
              <w:t xml:space="preserve">： </w:t>
            </w:r>
          </w:p>
          <w:p w14:paraId="41E0D22C">
            <w:pPr>
              <w:keepNext w:val="0"/>
              <w:keepLines w:val="0"/>
              <w:pageBreakBefore w:val="0"/>
              <w:suppressLineNumbers w:val="0"/>
              <w:tabs>
                <w:tab w:val="left" w:pos="180"/>
                <w:tab w:val="left" w:pos="1620"/>
              </w:tabs>
              <w:kinsoku/>
              <w:wordWrap/>
              <w:overflowPunct/>
              <w:topLinePunct w:val="0"/>
              <w:bidi w:val="0"/>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1.未标注“▲”的内容。</w:t>
            </w:r>
          </w:p>
        </w:tc>
      </w:tr>
    </w:tbl>
    <w:p w14:paraId="009143A1">
      <w:pPr>
        <w:spacing w:line="400" w:lineRule="exact"/>
        <w:jc w:val="both"/>
        <w:rPr>
          <w:rFonts w:ascii="仿宋_GB2312" w:hAnsi="宋体" w:eastAsia="仿宋_GB2312"/>
          <w:b/>
          <w:color w:val="auto"/>
          <w:sz w:val="32"/>
          <w:szCs w:val="32"/>
          <w:highlight w:val="none"/>
        </w:rPr>
      </w:pPr>
    </w:p>
    <w:p w14:paraId="270E717E">
      <w:pPr>
        <w:spacing w:line="240" w:lineRule="auto"/>
        <w:outlineLvl w:val="9"/>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br w:type="page"/>
      </w:r>
    </w:p>
    <w:p w14:paraId="6096724A">
      <w:pPr>
        <w:spacing w:line="500" w:lineRule="exact"/>
        <w:outlineLvl w:val="1"/>
        <w:rPr>
          <w:rFonts w:hint="eastAsia" w:ascii="Times New Roman" w:hAnsi="Times New Roman" w:eastAsia="宋体" w:cs="Times New Roman"/>
          <w:b/>
          <w:color w:val="auto"/>
          <w:highlight w:val="none"/>
        </w:rPr>
      </w:pPr>
      <w:r>
        <w:rPr>
          <w:rFonts w:hint="eastAsia" w:ascii="宋体" w:hAnsi="宋体" w:eastAsia="宋体" w:cs="Times New Roman"/>
          <w:b/>
          <w:color w:val="auto"/>
          <w:szCs w:val="21"/>
          <w:highlight w:val="none"/>
          <w:lang w:val="en-US" w:eastAsia="zh-CN"/>
        </w:rPr>
        <w:t>标项三</w:t>
      </w:r>
      <w:r>
        <w:rPr>
          <w:rFonts w:hint="eastAsia" w:ascii="宋体" w:hAnsi="宋体" w:eastAsia="宋体" w:cs="Times New Roman"/>
          <w:b/>
          <w:color w:val="auto"/>
          <w:szCs w:val="21"/>
          <w:highlight w:val="none"/>
        </w:rPr>
        <w:t>采购预算</w:t>
      </w:r>
      <w:r>
        <w:rPr>
          <w:rFonts w:hint="eastAsia" w:ascii="宋体" w:hAnsi="宋体" w:eastAsia="宋体" w:cs="Times New Roman"/>
          <w:b/>
          <w:color w:val="auto"/>
          <w:szCs w:val="21"/>
          <w:highlight w:val="none"/>
          <w:lang w:val="en-US" w:eastAsia="zh-CN"/>
        </w:rPr>
        <w:t>24.00</w:t>
      </w:r>
      <w:r>
        <w:rPr>
          <w:rFonts w:hint="eastAsia" w:ascii="Times New Roman" w:hAnsi="Times New Roman" w:eastAsia="宋体" w:cs="Times New Roman"/>
          <w:b/>
          <w:color w:val="auto"/>
          <w:highlight w:val="none"/>
        </w:rPr>
        <w:t>万元</w:t>
      </w:r>
    </w:p>
    <w:tbl>
      <w:tblPr>
        <w:tblStyle w:val="37"/>
        <w:tblW w:w="10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212"/>
        <w:gridCol w:w="496"/>
        <w:gridCol w:w="459"/>
        <w:gridCol w:w="5495"/>
        <w:gridCol w:w="1142"/>
        <w:gridCol w:w="1142"/>
      </w:tblGrid>
      <w:tr w14:paraId="1CBD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369E0D31">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12" w:type="dxa"/>
            <w:noWrap w:val="0"/>
            <w:vAlign w:val="center"/>
          </w:tcPr>
          <w:p w14:paraId="61D38341">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496" w:type="dxa"/>
            <w:noWrap w:val="0"/>
            <w:vAlign w:val="center"/>
          </w:tcPr>
          <w:p w14:paraId="5B5091DD">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59" w:type="dxa"/>
            <w:noWrap w:val="0"/>
            <w:vAlign w:val="center"/>
          </w:tcPr>
          <w:p w14:paraId="21A08430">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495" w:type="dxa"/>
            <w:noWrap w:val="0"/>
            <w:vAlign w:val="center"/>
          </w:tcPr>
          <w:p w14:paraId="57A79ACA">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技术参数及性能配置要求</w:t>
            </w:r>
          </w:p>
        </w:tc>
        <w:tc>
          <w:tcPr>
            <w:tcW w:w="1142" w:type="dxa"/>
            <w:noWrap w:val="0"/>
            <w:vAlign w:val="center"/>
          </w:tcPr>
          <w:p w14:paraId="233CE28D">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分项预算金额（万元）</w:t>
            </w:r>
          </w:p>
        </w:tc>
        <w:tc>
          <w:tcPr>
            <w:tcW w:w="1142" w:type="dxa"/>
            <w:noWrap w:val="0"/>
            <w:vAlign w:val="center"/>
          </w:tcPr>
          <w:p w14:paraId="14FAEFF1">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采购标的对应的中小企业划分标准所属行业</w:t>
            </w:r>
          </w:p>
        </w:tc>
      </w:tr>
      <w:tr w14:paraId="294F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38F07013">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12" w:type="dxa"/>
            <w:noWrap w:val="0"/>
            <w:vAlign w:val="center"/>
          </w:tcPr>
          <w:p w14:paraId="64224989">
            <w:pPr>
              <w:keepNext w:val="0"/>
              <w:keepLines w:val="0"/>
              <w:pageBreakBefore w:val="0"/>
              <w:widowControl/>
              <w:suppressLineNumbers w:val="0"/>
              <w:tabs>
                <w:tab w:val="left" w:pos="3150"/>
              </w:tabs>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氯碱生产工艺仿真装置</w:t>
            </w:r>
          </w:p>
        </w:tc>
        <w:tc>
          <w:tcPr>
            <w:tcW w:w="496" w:type="dxa"/>
            <w:noWrap w:val="0"/>
            <w:vAlign w:val="center"/>
          </w:tcPr>
          <w:p w14:paraId="008FD9F7">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4A528C25">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top"/>
          </w:tcPr>
          <w:p w14:paraId="7AB33231">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一、核心要求</w:t>
            </w:r>
          </w:p>
          <w:p w14:paraId="1DE665E8">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1.整体兼容性：所有设备、软件及平台须实现无缝对接，满足“氯碱生产工艺仿真-数智化监控-应急处置协同”全流程闭环需求，适配原方案“人-机-环-生态”四重防护体系建设目标。</w:t>
            </w:r>
          </w:p>
          <w:p w14:paraId="1617CDAE">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2.技术合规性：所有产品须符合国家危化品生产安全相关标准、应急救援设备技术规范，涉及计量仪表、防护用品等</w:t>
            </w:r>
            <w:r>
              <w:rPr>
                <w:rFonts w:hint="eastAsia" w:ascii="宋体" w:hAnsi="宋体" w:cs="宋体"/>
                <w:color w:val="auto"/>
                <w:kern w:val="2"/>
                <w:sz w:val="21"/>
                <w:szCs w:val="21"/>
                <w:highlight w:val="none"/>
                <w:lang w:val="en-US" w:eastAsia="zh-CN" w:bidi="ar"/>
              </w:rPr>
              <w:t>，供货时</w:t>
            </w:r>
            <w:r>
              <w:rPr>
                <w:rFonts w:hint="eastAsia" w:ascii="宋体" w:hAnsi="宋体" w:eastAsia="宋体" w:cs="宋体"/>
                <w:color w:val="auto"/>
                <w:kern w:val="2"/>
                <w:sz w:val="21"/>
                <w:szCs w:val="21"/>
                <w:highlight w:val="none"/>
                <w:lang w:val="en-US" w:eastAsia="zh-CN" w:bidi="ar"/>
              </w:rPr>
              <w:t>需提供对应合格证书及检测报告。</w:t>
            </w:r>
          </w:p>
          <w:p w14:paraId="03651A2D">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3.服务保障：提供至少1年质保（含上门维修、软件升级）提供专业技术培训服务，确保使用方熟练掌握设备操作、平台运维及应急处置流程。</w:t>
            </w:r>
          </w:p>
          <w:p w14:paraId="2AAE5D44">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二、详细技术要求</w:t>
            </w:r>
          </w:p>
          <w:p w14:paraId="461AE58B">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（一）氯碱生产工艺仿真装置建设要求</w:t>
            </w:r>
          </w:p>
          <w:p w14:paraId="187C799B">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1.氯碱生产工艺仿真装置框架要求：</w:t>
            </w:r>
          </w:p>
          <w:p w14:paraId="779C4215">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（1）尺寸规格</w:t>
            </w:r>
            <w:r>
              <w:rPr>
                <w:rFonts w:hint="eastAsia" w:ascii="宋体" w:hAnsi="宋体" w:cs="宋体"/>
                <w:color w:val="auto"/>
                <w:kern w:val="2"/>
                <w:sz w:val="21"/>
                <w:szCs w:val="21"/>
                <w:highlight w:val="none"/>
                <w:lang w:val="en-US" w:eastAsia="zh-CN" w:bidi="ar"/>
              </w:rPr>
              <w:t>（</w:t>
            </w:r>
            <w:r>
              <w:rPr>
                <w:rFonts w:hint="default" w:ascii="微软雅黑" w:hAnsi="微软雅黑" w:eastAsia="微软雅黑" w:cs="微软雅黑"/>
                <w:i w:val="0"/>
                <w:iCs w:val="0"/>
                <w:caps w:val="0"/>
                <w:color w:val="auto"/>
                <w:spacing w:val="0"/>
                <w:sz w:val="21"/>
                <w:szCs w:val="21"/>
                <w:highlight w:val="none"/>
                <w:shd w:val="clear" w:fill="FFFFFF"/>
              </w:rPr>
              <w:t>±5%</w:t>
            </w:r>
            <w:r>
              <w:rPr>
                <w:rFonts w:hint="eastAsia" w:ascii="宋体" w:hAnsi="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：整体尺寸≤1.6m×1.2m×1.8m（长×宽×高）</w:t>
            </w:r>
            <w:r>
              <w:rPr>
                <w:rFonts w:hint="eastAsia" w:ascii="宋体" w:hAnsi="宋体" w:cs="宋体"/>
                <w:color w:val="auto"/>
                <w:kern w:val="2"/>
                <w:sz w:val="21"/>
                <w:szCs w:val="21"/>
                <w:highlight w:val="none"/>
                <w:lang w:val="en-US" w:eastAsia="zh-CN" w:bidi="ar"/>
              </w:rPr>
              <w:t>（</w:t>
            </w:r>
            <w:r>
              <w:rPr>
                <w:rFonts w:hint="eastAsia"/>
                <w:color w:val="auto"/>
                <w:highlight w:val="none"/>
                <w:lang w:val="en-US" w:eastAsia="zh-CN"/>
              </w:rPr>
              <w:t>根据学校场地和使用情况确定）</w:t>
            </w:r>
            <w:r>
              <w:rPr>
                <w:rFonts w:hint="eastAsia" w:ascii="宋体" w:hAnsi="宋体" w:eastAsia="宋体" w:cs="宋体"/>
                <w:color w:val="auto"/>
                <w:kern w:val="2"/>
                <w:sz w:val="21"/>
                <w:szCs w:val="21"/>
                <w:highlight w:val="none"/>
                <w:lang w:val="en-US" w:eastAsia="zh-CN" w:bidi="ar"/>
              </w:rPr>
              <w:t>，结构紧凑，便于安装调试及场地布置；</w:t>
            </w:r>
          </w:p>
          <w:p w14:paraId="063BDF64">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（2）材质要求：框架采用铝合金标准型材，强度达标且耐腐蚀；主体设备及管线采用不锈钢材质。1套</w:t>
            </w:r>
          </w:p>
          <w:p w14:paraId="210786D2">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2.淡盐水贮槽：不锈钢材质，不大于φ325×400mm，1台；</w:t>
            </w:r>
          </w:p>
          <w:p w14:paraId="01C5048B">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3.精制盐水槽：不锈钢材质，不大于φ325×400mm，1台；</w:t>
            </w:r>
          </w:p>
          <w:p w14:paraId="513F58D0">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4.循环碱液槽：不锈钢材质，不大于φ325×400mm，1台；</w:t>
            </w:r>
          </w:p>
          <w:p w14:paraId="6A4BBF1D">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5.螯合树脂塔：不锈钢材质，不大于φ159×490mm，1台；</w:t>
            </w:r>
          </w:p>
          <w:p w14:paraId="4E1C9144">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6.阳极液出料小罐：不锈钢材质，不大于φ76×180mm，1台；</w:t>
            </w:r>
          </w:p>
          <w:p w14:paraId="7EC015AC">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7.阳极液进料小罐：不锈钢材质，不大于φ76×180mm，1台；</w:t>
            </w:r>
          </w:p>
          <w:p w14:paraId="3637E623">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8.阴极液进料小罐：不锈钢材质，不大于φ76×180mm，1台；</w:t>
            </w:r>
          </w:p>
          <w:p w14:paraId="20C532C5">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9.阴极液出料小罐：不锈钢材质，不大于φ76×180mm，1台；</w:t>
            </w:r>
          </w:p>
          <w:p w14:paraId="3916CE49">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10.电解槽：碳钢材质：不大于390×230×290mm，1台；</w:t>
            </w:r>
          </w:p>
          <w:p w14:paraId="234E3AED">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leftChars="0" w:right="0" w:righ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11.不锈钢微型离心泵：功率0.25kW，流量1.2-4.8m³/h,重量5.1kg，3台。</w:t>
            </w:r>
          </w:p>
        </w:tc>
        <w:tc>
          <w:tcPr>
            <w:tcW w:w="1142" w:type="dxa"/>
            <w:noWrap w:val="0"/>
            <w:vAlign w:val="center"/>
          </w:tcPr>
          <w:p w14:paraId="12D207C0">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7.4</w:t>
            </w:r>
          </w:p>
        </w:tc>
        <w:tc>
          <w:tcPr>
            <w:tcW w:w="1142" w:type="dxa"/>
            <w:noWrap w:val="0"/>
            <w:vAlign w:val="center"/>
          </w:tcPr>
          <w:p w14:paraId="097A31B9">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541D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74934BA1">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12" w:type="dxa"/>
            <w:noWrap w:val="0"/>
            <w:vAlign w:val="center"/>
          </w:tcPr>
          <w:p w14:paraId="7F800E16">
            <w:pPr>
              <w:keepNext w:val="0"/>
              <w:keepLines w:val="0"/>
              <w:pageBreakBefore w:val="0"/>
              <w:widowControl/>
              <w:suppressLineNumbers w:val="0"/>
              <w:tabs>
                <w:tab w:val="left" w:pos="3150"/>
              </w:tabs>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氯碱生产工艺仿真软件</w:t>
            </w:r>
          </w:p>
        </w:tc>
        <w:tc>
          <w:tcPr>
            <w:tcW w:w="496" w:type="dxa"/>
            <w:noWrap w:val="0"/>
            <w:vAlign w:val="center"/>
          </w:tcPr>
          <w:p w14:paraId="788FEAA5">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02B64ACC">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top"/>
          </w:tcPr>
          <w:p w14:paraId="3A845FB6">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1.氯碱生产工艺仿真DCS软件</w:t>
            </w:r>
          </w:p>
          <w:p w14:paraId="2F6036C6">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加热到60℃的最终过滤盐水通过过滤盐水泵送到螯合树脂塔，盐水经过树脂层，其中的钙、镁、锶离子被树脂吸附使Ca2++Mg2+≤20PPb、Sr2+≤50 PPb以满足离子膜电解槽的需要。</w:t>
            </w:r>
            <w:r>
              <w:rPr>
                <w:rFonts w:hint="eastAsia" w:ascii="宋体" w:hAnsi="宋体" w:cs="宋体"/>
                <w:color w:val="auto"/>
                <w:kern w:val="2"/>
                <w:sz w:val="21"/>
                <w:szCs w:val="21"/>
                <w:highlight w:val="none"/>
                <w:lang w:val="en-US" w:eastAsia="zh-CN" w:bidi="ar"/>
              </w:rPr>
              <w:t>从</w:t>
            </w:r>
            <w:r>
              <w:rPr>
                <w:rFonts w:hint="eastAsia" w:ascii="宋体" w:hAnsi="宋体" w:eastAsia="宋体" w:cs="宋体"/>
                <w:color w:val="auto"/>
                <w:kern w:val="2"/>
                <w:sz w:val="21"/>
                <w:szCs w:val="21"/>
                <w:highlight w:val="none"/>
                <w:lang w:val="en-US" w:eastAsia="zh-CN" w:bidi="ar"/>
              </w:rPr>
              <w:t>树脂塔底部出来的超精盐水通过树脂捕集器收集重复操作产生的螯合树脂碎粒，然后精盐水送往超精盐水罐。并用精盐水泵送到离子膜电解槽。</w:t>
            </w:r>
          </w:p>
          <w:p w14:paraId="67E4A29E">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电解的工艺流程分为阳极液系统和阴极液系统：</w:t>
            </w:r>
          </w:p>
          <w:p w14:paraId="13B987A3">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阳极液系统：从超精盐水泵来的超精盐水与淡盐水混合后进入盐水分配集管，然后分配到电解槽阳极室。在阳极室氯化钠被电解成氯离子和钠离子，淡盐水与湿氯气从每个阳极室出口溢流，在出口集管处分离为淡盐水和产品氯气</w:t>
            </w:r>
            <w:r>
              <w:rPr>
                <w:rFonts w:hint="eastAsia" w:ascii="宋体" w:hAnsi="宋体" w:cs="宋体"/>
                <w:color w:val="auto"/>
                <w:kern w:val="2"/>
                <w:sz w:val="21"/>
                <w:szCs w:val="21"/>
                <w:highlight w:val="none"/>
                <w:lang w:val="en-US" w:eastAsia="zh-CN" w:bidi="ar"/>
              </w:rPr>
              <w:t>；</w:t>
            </w:r>
          </w:p>
          <w:p w14:paraId="251F969C">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阴极液系统：循环碱液经过加入纯水调节浓度在28%-30%后，分配到电解槽阴极室。在阴极室水被电解成氢离子和氢氧根离子，烧碱与湿氢气在每个阴极室出口溢流，在出口集管处分离为烧碱和氢气。</w:t>
            </w:r>
          </w:p>
          <w:p w14:paraId="37E42DF7">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（1）适配性：与氯碱生产工艺仿真装置实现无缝交互，数据同步延迟≤1秒；</w:t>
            </w:r>
          </w:p>
          <w:p w14:paraId="5CF49D4B">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核心功能：具备完整的氯碱生产开车仿真流程，还原真实生产工艺逻辑；内置至少3种工况场景（如氯碱电解开车、螯合树脂塔进料温度参数调节、电解槽阳极液泄漏等），可模拟事故发生、发展及处置全流程；</w:t>
            </w:r>
          </w:p>
          <w:p w14:paraId="1D700AB8">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（3）操作特性：界面简洁直观，支持工艺参数实时监控；可满足培训及演练需求；</w:t>
            </w:r>
          </w:p>
          <w:p w14:paraId="49AB3B06">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（4）工艺连锁DCS界面，连锁逻辑关系不少于8个。</w:t>
            </w:r>
          </w:p>
          <w:p w14:paraId="77345192">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2.SIS仿真系统：功能要求：能够解除和投入单项逻辑关系，当触发SIS系统参数时，能自动执行安全仪表逻辑关系。逻辑关系不少于6个；</w:t>
            </w:r>
          </w:p>
          <w:p w14:paraId="38210EFB">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3.APC仿真系统：功能要求：能够解除和投入先进控制系统，能够改变APC设定值。逻辑关系不少于3个；</w:t>
            </w:r>
          </w:p>
          <w:p w14:paraId="4EC318D9">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right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4.GDS仿真系统：功能要求：按照国家要求，系统内置一级、二级报警，并与现场仿真装置交互，具有声光报警功能。逻辑关系不少于2个。</w:t>
            </w:r>
          </w:p>
        </w:tc>
        <w:tc>
          <w:tcPr>
            <w:tcW w:w="1142" w:type="dxa"/>
            <w:noWrap w:val="0"/>
            <w:vAlign w:val="center"/>
          </w:tcPr>
          <w:p w14:paraId="62563FDA">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142" w:type="dxa"/>
            <w:noWrap w:val="0"/>
            <w:vAlign w:val="center"/>
          </w:tcPr>
          <w:p w14:paraId="59342F96">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5A17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7841F5FE">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12" w:type="dxa"/>
            <w:noWrap w:val="0"/>
            <w:vAlign w:val="center"/>
          </w:tcPr>
          <w:p w14:paraId="6EBE0AC3">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个人防护用品</w:t>
            </w:r>
          </w:p>
        </w:tc>
        <w:tc>
          <w:tcPr>
            <w:tcW w:w="496" w:type="dxa"/>
            <w:noWrap w:val="0"/>
            <w:vAlign w:val="center"/>
          </w:tcPr>
          <w:p w14:paraId="4164333B">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459" w:type="dxa"/>
            <w:noWrap w:val="0"/>
            <w:vAlign w:val="center"/>
          </w:tcPr>
          <w:p w14:paraId="2CF5E4CC">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批</w:t>
            </w:r>
          </w:p>
        </w:tc>
        <w:tc>
          <w:tcPr>
            <w:tcW w:w="5495" w:type="dxa"/>
            <w:noWrap w:val="0"/>
            <w:vAlign w:val="top"/>
          </w:tcPr>
          <w:p w14:paraId="25BE3363">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1.二级化学防护服，轻型，防酸碱，橘色，氨纶材质，连体带腰带脖带胸襟。不少于4套；</w:t>
            </w:r>
          </w:p>
          <w:p w14:paraId="4F8742C1">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2.正压式空气呼吸器，RHZKF6.8/30 6.8L消防碳纤维气瓶，不少于4套；</w:t>
            </w:r>
          </w:p>
          <w:p w14:paraId="2BC7B715">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3.工作服，棉质，防静电，分体式，不少于8套；</w:t>
            </w:r>
          </w:p>
          <w:p w14:paraId="79F3E372">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4.防砸鞋，钢包头低帮，黑色，防砸防滑绝缘，不少于8套；</w:t>
            </w:r>
          </w:p>
          <w:p w14:paraId="59FB3F47">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5.安全帽，透气型，玻璃钢加厚，不少于4个；</w:t>
            </w:r>
          </w:p>
          <w:p w14:paraId="4FF149B8">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6.耐酸碱手套，耐酸碱手套，蓝色，25cm短款，橡胶材质，不少于4双；</w:t>
            </w:r>
          </w:p>
          <w:p w14:paraId="735738BD">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rightChars="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7.防毒面具，半面罩，2个滤毒盒，不少于3个。</w:t>
            </w:r>
          </w:p>
        </w:tc>
        <w:tc>
          <w:tcPr>
            <w:tcW w:w="1142" w:type="dxa"/>
            <w:noWrap w:val="0"/>
            <w:vAlign w:val="center"/>
          </w:tcPr>
          <w:p w14:paraId="19F09766">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0.6</w:t>
            </w:r>
          </w:p>
        </w:tc>
        <w:tc>
          <w:tcPr>
            <w:tcW w:w="1142" w:type="dxa"/>
            <w:noWrap w:val="0"/>
            <w:vAlign w:val="center"/>
          </w:tcPr>
          <w:p w14:paraId="403E3FEE">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7360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noWrap w:val="0"/>
            <w:vAlign w:val="center"/>
          </w:tcPr>
          <w:p w14:paraId="04B590EF">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12" w:type="dxa"/>
            <w:noWrap w:val="0"/>
            <w:vAlign w:val="center"/>
          </w:tcPr>
          <w:p w14:paraId="6F450780">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数智化平台</w:t>
            </w:r>
          </w:p>
        </w:tc>
        <w:tc>
          <w:tcPr>
            <w:tcW w:w="496" w:type="dxa"/>
            <w:noWrap w:val="0"/>
            <w:vAlign w:val="center"/>
          </w:tcPr>
          <w:p w14:paraId="5565FACF">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59" w:type="dxa"/>
            <w:noWrap w:val="0"/>
            <w:vAlign w:val="center"/>
          </w:tcPr>
          <w:p w14:paraId="5EF98A21">
            <w:pPr>
              <w:keepNext w:val="0"/>
              <w:keepLines w:val="0"/>
              <w:pageBreakBefore w:val="0"/>
              <w:widowControl/>
              <w:suppressLineNumbers w:val="0"/>
              <w:kinsoku/>
              <w:wordWrap/>
              <w:overflowPunct/>
              <w:topLinePunct w:val="0"/>
              <w:bidi w:val="0"/>
              <w:adjustRightInd/>
              <w:spacing w:before="0" w:beforeAutospacing="0" w:after="0" w:afterAutospacing="0" w:line="380" w:lineRule="exact"/>
              <w:ind w:left="0" w:right="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5495" w:type="dxa"/>
            <w:noWrap w:val="0"/>
            <w:vAlign w:val="top"/>
          </w:tcPr>
          <w:p w14:paraId="3200296E">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1.核心架构要求</w:t>
            </w:r>
          </w:p>
          <w:p w14:paraId="5488139B">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基于数字孪生、大数据、AI及5G技术构建，实现“安全防护-现场巡检-危险源控制-应急处置”全流程闭环管理；</w:t>
            </w:r>
          </w:p>
          <w:p w14:paraId="07C172BF">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2.子系统功能要求：</w:t>
            </w:r>
          </w:p>
          <w:p w14:paraId="253DCF53">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（1）AI工艺优化功能要求：内置氯碱生产AI优化仿真系统，可基于实时数据</w:t>
            </w:r>
            <w:r>
              <w:rPr>
                <w:rFonts w:hint="eastAsia" w:ascii="宋体" w:hAnsi="宋体" w:cs="宋体"/>
                <w:color w:val="auto"/>
                <w:kern w:val="2"/>
                <w:sz w:val="21"/>
                <w:szCs w:val="21"/>
                <w:highlight w:val="none"/>
                <w:lang w:val="en-US" w:eastAsia="zh-CN" w:bidi="ar"/>
              </w:rPr>
              <w:t>自动</w:t>
            </w:r>
            <w:r>
              <w:rPr>
                <w:rFonts w:hint="eastAsia" w:ascii="宋体" w:hAnsi="宋体" w:eastAsia="宋体" w:cs="宋体"/>
                <w:color w:val="auto"/>
                <w:kern w:val="2"/>
                <w:sz w:val="21"/>
                <w:szCs w:val="21"/>
                <w:highlight w:val="none"/>
                <w:lang w:val="en-US" w:eastAsia="zh-CN" w:bidi="ar"/>
              </w:rPr>
              <w:t>优化参数并给出优化建议；包含但不限于电解槽电流密度、螯合树脂塔进料温度优化。</w:t>
            </w:r>
          </w:p>
          <w:p w14:paraId="63DE7CCC">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5G应急指挥平台要求：支持实时传输、可视化指令下发，实现“手指口述”及“双向确认制”操作管控，无信号延迟及卡顿；包含但不限于实时智能巡检车视频画面、DCS重点参数不少于4个、现场环境数据等模块。</w:t>
            </w:r>
          </w:p>
          <w:p w14:paraId="2032B156">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（3）MR数字孪生系统要求：构建与氯碱生产工艺仿真装置数字孪生模型，支持实时数据映射、虚拟仿真操作，模型精度误差≤2%。</w:t>
            </w:r>
          </w:p>
          <w:p w14:paraId="441361CE">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（4）设备预防性维护仿真系统要求：构建与氯碱生产工艺仿真装置适配的设备预防性维护仿真系统，其中包括但不限于电解槽、离心泵的参数。</w:t>
            </w:r>
          </w:p>
          <w:p w14:paraId="58369584">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3.配套设备要求：</w:t>
            </w:r>
          </w:p>
          <w:p w14:paraId="0D0755B9">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（1）MR眼镜</w:t>
            </w:r>
          </w:p>
          <w:p w14:paraId="4B3A84C3">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MR硬件设备，</w:t>
            </w:r>
            <w:r>
              <w:rPr>
                <w:rFonts w:hint="eastAsia"/>
                <w:color w:val="auto"/>
                <w:highlight w:val="none"/>
                <w:lang w:val="en-US" w:eastAsia="zh-CN"/>
              </w:rPr>
              <w:t>搭载高性能高通处理器</w:t>
            </w:r>
            <w:r>
              <w:rPr>
                <w:rFonts w:hint="eastAsia" w:ascii="宋体" w:hAnsi="宋体" w:eastAsia="宋体" w:cs="宋体"/>
                <w:color w:val="auto"/>
                <w:kern w:val="2"/>
                <w:sz w:val="21"/>
                <w:szCs w:val="21"/>
                <w:highlight w:val="none"/>
                <w:lang w:val="en-US" w:eastAsia="zh-CN" w:bidi="ar"/>
              </w:rPr>
              <w:t>，并配备12 GB运行内存及256 GB存储空间，提供强劲的运算性能与充足的本地存储能力。在连接方面，设备应支持最新的Wi-Fi7与蓝牙5.3协议，保障高速、稳定的无线连接体验。</w:t>
            </w:r>
          </w:p>
          <w:p w14:paraId="6B05ACD1">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包含两颗3200万像素RGB摄像头、四颗环境追踪摄像头及一颗iToF景深摄像头，共同实现高精度空间定位与环境理解。显示方面采用双2.56英寸屏幕，单眼分辨率达2160×2160，像素密度高达1200 PPI，渲染分辨率为1920×1920，配合90Hz刷新率与Pancake光学方案，带来105°视场角和最高22.5的中心PPD，显示细腻清晰。设备还支持58mm-72mm无级电动瞳距调节，适配不同用户需求。</w:t>
            </w:r>
          </w:p>
          <w:p w14:paraId="1FEF6DC7">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音频系统方面，配备双立体声扬声器与四麦克风阵列，不仅提供沉浸式空间听觉体验，还支持高质量空间音频录制。</w:t>
            </w:r>
          </w:p>
          <w:p w14:paraId="2142AD7B">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（2）智能侦检车：</w:t>
            </w:r>
          </w:p>
          <w:p w14:paraId="5CD15802">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1）物理特性外形尺寸：253×231×289(mm)整机重量：2755.5g/2580.5g（视具体配置而定）最小离地间隙：25</w:t>
            </w:r>
            <w:r>
              <w:rPr>
                <w:rFonts w:hint="eastAsia" w:ascii="宋体" w:hAnsi="宋体" w:cs="宋体"/>
                <w:color w:val="auto"/>
                <w:kern w:val="2"/>
                <w:sz w:val="21"/>
                <w:szCs w:val="21"/>
                <w:highlight w:val="none"/>
                <w:lang w:val="en-US" w:eastAsia="zh-CN" w:bidi="ar"/>
              </w:rPr>
              <w:t>（mm）</w:t>
            </w:r>
            <w:r>
              <w:rPr>
                <w:rFonts w:hint="eastAsia" w:ascii="宋体" w:hAnsi="宋体" w:eastAsia="宋体" w:cs="宋体"/>
                <w:color w:val="auto"/>
                <w:kern w:val="2"/>
                <w:sz w:val="21"/>
                <w:szCs w:val="21"/>
                <w:highlight w:val="none"/>
                <w:lang w:val="en-US" w:eastAsia="zh-CN" w:bidi="ar"/>
              </w:rPr>
              <w:t>；</w:t>
            </w:r>
          </w:p>
          <w:p w14:paraId="0621F50E">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2）底盘与运动驱动形式：4轮独立驱动轮胎规格：直径80mm，宽度42.5mm最大运行速度：默认1.3m/s转弯半径：0M（支持原地零半径自旋）；</w:t>
            </w:r>
          </w:p>
          <w:p w14:paraId="2CBF32E1">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3）云台系统自由度(DOF)：2轴堵转扭矩：≥30KG.CM</w:t>
            </w:r>
          </w:p>
          <w:p w14:paraId="0B40FF62">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4）计算与感知上位机(IPC)：</w:t>
            </w:r>
            <w:r>
              <w:rPr>
                <w:rFonts w:hint="eastAsia" w:ascii="宋体" w:hAnsi="宋体" w:cs="宋体"/>
                <w:color w:val="auto"/>
                <w:kern w:val="2"/>
                <w:sz w:val="21"/>
                <w:szCs w:val="21"/>
                <w:highlight w:val="none"/>
                <w:lang w:val="en-US" w:eastAsia="zh-CN" w:bidi="ar"/>
              </w:rPr>
              <w:t>不小于</w:t>
            </w:r>
            <w:r>
              <w:rPr>
                <w:rFonts w:hint="eastAsia" w:ascii="宋体" w:hAnsi="宋体" w:eastAsia="宋体" w:cs="宋体"/>
                <w:color w:val="auto"/>
                <w:kern w:val="2"/>
                <w:sz w:val="21"/>
                <w:szCs w:val="21"/>
                <w:highlight w:val="none"/>
                <w:lang w:val="en-US" w:eastAsia="zh-CN" w:bidi="ar"/>
              </w:rPr>
              <w:t>4GB操作系统：Ubuntu 22.04ROS版本：ROS2-HUMBLE-LTS视觉传感器：广角摄像头，FOV 160°；</w:t>
            </w:r>
          </w:p>
          <w:p w14:paraId="27400FE4">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leftChars="0" w:right="0" w:righ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5）电源与续航供电模块：3S UPS Module电池规格：3000mAh 6C 18650锂电池×3全功率运行时间：≥1小时一般使用时间：≥2小时待机时间：≥3小时。</w:t>
            </w:r>
          </w:p>
        </w:tc>
        <w:tc>
          <w:tcPr>
            <w:tcW w:w="1142" w:type="dxa"/>
            <w:noWrap w:val="0"/>
            <w:vAlign w:val="center"/>
          </w:tcPr>
          <w:p w14:paraId="3005C50D">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142" w:type="dxa"/>
            <w:noWrap w:val="0"/>
            <w:vAlign w:val="center"/>
          </w:tcPr>
          <w:p w14:paraId="636DDDA7">
            <w:pPr>
              <w:keepNext w:val="0"/>
              <w:keepLines w:val="0"/>
              <w:pageBreakBefore w:val="0"/>
              <w:suppressLineNumbers w:val="0"/>
              <w:tabs>
                <w:tab w:val="left" w:pos="315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软件和信息技术服务业</w:t>
            </w:r>
          </w:p>
        </w:tc>
      </w:tr>
      <w:tr w14:paraId="6954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8" w:type="dxa"/>
            <w:gridSpan w:val="7"/>
            <w:noWrap w:val="0"/>
            <w:vAlign w:val="center"/>
          </w:tcPr>
          <w:p w14:paraId="4880EF43">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一、商务要求表：</w:t>
            </w:r>
          </w:p>
        </w:tc>
      </w:tr>
      <w:tr w14:paraId="638E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1DB94C66">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交付使用时间及地点</w:t>
            </w:r>
          </w:p>
        </w:tc>
        <w:tc>
          <w:tcPr>
            <w:tcW w:w="8238" w:type="dxa"/>
            <w:gridSpan w:val="4"/>
            <w:noWrap w:val="0"/>
            <w:vAlign w:val="center"/>
          </w:tcPr>
          <w:p w14:paraId="7DF3CFA7">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1、交付使用时间：自签订合同之日起30日历日内全部交货安装完成并验收合格</w:t>
            </w:r>
            <w:r>
              <w:rPr>
                <w:rFonts w:hint="eastAsia" w:ascii="宋体" w:hAnsi="宋体" w:eastAsia="宋体" w:cs="宋体"/>
                <w:color w:val="auto"/>
                <w:sz w:val="21"/>
                <w:szCs w:val="21"/>
                <w:highlight w:val="none"/>
                <w:lang w:eastAsia="zh-CN"/>
              </w:rPr>
              <w:t>。</w:t>
            </w:r>
          </w:p>
          <w:p w14:paraId="1AA4C173">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2、交付使用地点：广西安全工程职业技术学院</w:t>
            </w:r>
            <w:r>
              <w:rPr>
                <w:rFonts w:hint="eastAsia" w:ascii="宋体" w:hAnsi="宋体" w:cs="宋体"/>
                <w:color w:val="auto"/>
                <w:sz w:val="21"/>
                <w:szCs w:val="21"/>
                <w:highlight w:val="none"/>
                <w:lang w:eastAsia="zh-CN"/>
              </w:rPr>
              <w:t>（武鸣校区）</w:t>
            </w:r>
            <w:r>
              <w:rPr>
                <w:rFonts w:hint="eastAsia" w:ascii="宋体" w:hAnsi="宋体" w:eastAsia="宋体" w:cs="宋体"/>
                <w:color w:val="auto"/>
                <w:sz w:val="21"/>
                <w:szCs w:val="21"/>
                <w:highlight w:val="none"/>
              </w:rPr>
              <w:t>。</w:t>
            </w:r>
          </w:p>
        </w:tc>
      </w:tr>
      <w:tr w14:paraId="561D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0A9AD3B9">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8238" w:type="dxa"/>
            <w:gridSpan w:val="4"/>
            <w:noWrap w:val="0"/>
            <w:vAlign w:val="center"/>
          </w:tcPr>
          <w:p w14:paraId="5B0B2ADE">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1、成交人提供的所有产品（含部件）必须是全新的原厂原装正品，负责门、安装调试至合格。</w:t>
            </w:r>
          </w:p>
          <w:p w14:paraId="7E43BA41">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2、故障响应时间：成交人接到故障通知后需在1小时内做出响应（电话），同时在12小时内派工程师到现场进行故障解除。</w:t>
            </w:r>
          </w:p>
          <w:p w14:paraId="132FE571">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3、在保修期内提供人员和技术支持配合</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单位进行技术改进，竞标人应提供保修期内日常维护和保养计划。保修期后优惠提供产品更新、改造服务。</w:t>
            </w:r>
          </w:p>
        </w:tc>
      </w:tr>
      <w:tr w14:paraId="04B8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192BDF53">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w:t>
            </w:r>
          </w:p>
        </w:tc>
        <w:tc>
          <w:tcPr>
            <w:tcW w:w="8238" w:type="dxa"/>
            <w:gridSpan w:val="4"/>
            <w:noWrap w:val="0"/>
            <w:vAlign w:val="center"/>
          </w:tcPr>
          <w:p w14:paraId="6AB8D71C">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按国家有关产品“三包”规定执行“三包”，自货物验收合格之日起计算，产品质保期最短不少于1年。若厂家质保期超过此年限的，合同履行过程中按厂家规定执行。</w:t>
            </w:r>
          </w:p>
        </w:tc>
      </w:tr>
      <w:tr w14:paraId="6BC4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7F4C7E1A">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8238" w:type="dxa"/>
            <w:gridSpan w:val="4"/>
            <w:noWrap w:val="0"/>
            <w:vAlign w:val="center"/>
          </w:tcPr>
          <w:p w14:paraId="3DCD28AB">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1、本项目预付款为合同款的30%。</w:t>
            </w:r>
          </w:p>
          <w:p w14:paraId="52ACE574">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2、货物安装验收合格后，</w:t>
            </w:r>
            <w:r>
              <w:rPr>
                <w:rFonts w:hint="eastAsia" w:ascii="宋体" w:hAnsi="宋体" w:eastAsia="宋体" w:cs="宋体"/>
                <w:color w:val="auto"/>
                <w:sz w:val="21"/>
                <w:szCs w:val="21"/>
                <w:highlight w:val="none"/>
                <w:lang w:val="en-US" w:eastAsia="zh-CN"/>
              </w:rPr>
              <w:t>成交人</w:t>
            </w:r>
            <w:r>
              <w:rPr>
                <w:rFonts w:hint="eastAsia" w:ascii="宋体" w:hAnsi="宋体" w:eastAsia="宋体" w:cs="宋体"/>
                <w:color w:val="auto"/>
                <w:sz w:val="21"/>
                <w:szCs w:val="21"/>
                <w:highlight w:val="none"/>
              </w:rPr>
              <w:t>按照合同最终价款向采购人提交相应的正规发票，采购人收到发票后10个工作日内以转</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方式，将全部合同价款70%支付</w:t>
            </w:r>
            <w:r>
              <w:rPr>
                <w:rFonts w:hint="eastAsia" w:ascii="宋体" w:hAnsi="宋体" w:cs="宋体"/>
                <w:color w:val="auto"/>
                <w:sz w:val="21"/>
                <w:szCs w:val="21"/>
                <w:highlight w:val="none"/>
                <w:lang w:eastAsia="zh-CN"/>
              </w:rPr>
              <w:t>至</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户。</w:t>
            </w:r>
          </w:p>
        </w:tc>
      </w:tr>
      <w:tr w14:paraId="4BCD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23E26DA6">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要求</w:t>
            </w:r>
          </w:p>
        </w:tc>
        <w:tc>
          <w:tcPr>
            <w:tcW w:w="8238" w:type="dxa"/>
            <w:gridSpan w:val="4"/>
            <w:noWrap w:val="0"/>
            <w:vAlign w:val="center"/>
          </w:tcPr>
          <w:p w14:paraId="11EB209F">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竞标报价为采购人指定地点的现场交货价，包括但不限于：</w:t>
            </w:r>
          </w:p>
          <w:p w14:paraId="64DADA64">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w:t>
            </w:r>
          </w:p>
          <w:p w14:paraId="0617D73E">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799A4D1D">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（3）运输、装卸、调试、培训、技术支持、售后服务、代理服务费等费用；</w:t>
            </w:r>
          </w:p>
          <w:p w14:paraId="482A25E3">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（4）必要的保险费用和各项税费；</w:t>
            </w:r>
          </w:p>
          <w:p w14:paraId="0157BE64">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（5）送货上门、安装、调试费用；</w:t>
            </w:r>
          </w:p>
          <w:p w14:paraId="1930EAAF">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（6）包括项目整体验收各项费用。</w:t>
            </w:r>
          </w:p>
          <w:p w14:paraId="02EC70A4">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本项目报价为总价包干，即一次性报出本项目实施过程所需的全部费用。采购人不再针对本项目另行支付其他费用，所有设备即可投入使用。</w:t>
            </w:r>
          </w:p>
        </w:tc>
      </w:tr>
      <w:tr w14:paraId="26B5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5545163E">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8238" w:type="dxa"/>
            <w:gridSpan w:val="4"/>
            <w:noWrap w:val="0"/>
            <w:vAlign w:val="center"/>
          </w:tcPr>
          <w:p w14:paraId="0AA52C2C">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1、验收过程中所产生的一切费用均由成交人承担。报价时应考虑相关费用。</w:t>
            </w:r>
          </w:p>
          <w:p w14:paraId="39F30E13">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人在货物验收时由采购单位对照采购文件的功能目标及技术指标全面核对检验，对所有要求出具的证明文件的原件进行核查，如不符合采购文件的技术需求及要求以及提供虚假承诺的，按相关规定做退货处理及违约处理，成交人承担所有责任和费用，采购人保留进一步追究责任的权利。</w:t>
            </w:r>
          </w:p>
          <w:p w14:paraId="4FA52E8C">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验收按《合同主要条款格式》执行，未尽事宜参照《关于印发广西壮族自治区政府采购项目履约验收管理办法的通知》[桂财采〔2015〕22号]以及《财政部关于进一步加强政府采购需求和履约验收管理的指导意见》[财库〔2016〕205号]规定执行。</w:t>
            </w:r>
          </w:p>
          <w:p w14:paraId="1F30E5F7">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、采购项目进行验收时，采购人可以邀请参加本项目的其他竞标人或者第三方机构参与验收。参与验收的竞标人或者第三方机构的意见作为验收书的参考资料一并存档。</w:t>
            </w:r>
          </w:p>
          <w:p w14:paraId="79FCD018">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在交货或验收时，采购人可要求成交人提供响应文件中相关材料的原件（如检测证书、计算机软件著作权证书及其他采购人认为需要查询的材料）进行真假核实，成交人必须按照采购人的要求提供，否则采购人有权按照合同条款追究成交人的违约责任，并上报财政部门进行处理。</w:t>
            </w:r>
          </w:p>
        </w:tc>
      </w:tr>
      <w:tr w14:paraId="570E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0" w:type="dxa"/>
            <w:gridSpan w:val="3"/>
            <w:noWrap w:val="0"/>
            <w:vAlign w:val="center"/>
          </w:tcPr>
          <w:p w14:paraId="0D1C4E08">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center"/>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8238" w:type="dxa"/>
            <w:gridSpan w:val="4"/>
            <w:noWrap w:val="0"/>
            <w:vAlign w:val="center"/>
          </w:tcPr>
          <w:p w14:paraId="18B6EAFC">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履约保证金金额：本项目成交金额的</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4BADA770">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履约保证金提交方式：支票、汇票、本票、银行转账或者金融机构、担保机构出具的保函等非现金形式。</w:t>
            </w:r>
          </w:p>
          <w:p w14:paraId="1E12399C">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履约保证金指定账户：广西安全工程职业技术学院</w:t>
            </w:r>
          </w:p>
          <w:p w14:paraId="14B8ED5E">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开户名：广西安全工程职业技术学院</w:t>
            </w:r>
          </w:p>
          <w:p w14:paraId="799E1D25">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80" w:lineRule="exact"/>
              <w:ind w:left="0" w:right="0"/>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开户行：南宁市武鸣区农村信用合作联社营业部</w:t>
            </w:r>
          </w:p>
          <w:p w14:paraId="5695D203">
            <w:pPr>
              <w:keepNext w:val="0"/>
              <w:keepLines w:val="0"/>
              <w:pageBreakBefore w:val="0"/>
              <w:suppressLineNumbers w:val="0"/>
              <w:kinsoku/>
              <w:wordWrap/>
              <w:overflowPunct/>
              <w:topLinePunct w:val="0"/>
              <w:autoSpaceDE w:val="0"/>
              <w:autoSpaceDN w:val="0"/>
              <w:bidi w:val="0"/>
              <w:adjustRightInd/>
              <w:snapToGrid w:val="0"/>
              <w:spacing w:before="0" w:beforeAutospacing="0" w:after="0" w:afterAutospacing="0" w:line="380" w:lineRule="exact"/>
              <w:ind w:left="0" w:right="0"/>
              <w:jc w:val="left"/>
              <w:textAlignment w:val="bottom"/>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账号：190612010173156516</w:t>
            </w:r>
          </w:p>
        </w:tc>
      </w:tr>
      <w:tr w14:paraId="0875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8" w:type="dxa"/>
            <w:gridSpan w:val="7"/>
            <w:noWrap w:val="0"/>
            <w:vAlign w:val="center"/>
          </w:tcPr>
          <w:p w14:paraId="15ED5762">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color w:val="auto"/>
                <w:kern w:val="0"/>
                <w:sz w:val="21"/>
                <w:szCs w:val="21"/>
                <w:highlight w:val="none"/>
              </w:rPr>
              <w:t>谈判小组根据与供应商谈判情况可能实质性变动的内容</w:t>
            </w:r>
            <w:r>
              <w:rPr>
                <w:rFonts w:hint="eastAsia" w:ascii="宋体" w:hAnsi="宋体" w:eastAsia="宋体" w:cs="宋体"/>
                <w:b/>
                <w:color w:val="auto"/>
                <w:sz w:val="21"/>
                <w:szCs w:val="21"/>
                <w:highlight w:val="none"/>
              </w:rPr>
              <w:t>：</w:t>
            </w:r>
          </w:p>
          <w:p w14:paraId="102EE8E8">
            <w:pPr>
              <w:keepNext w:val="0"/>
              <w:keepLines w:val="0"/>
              <w:pageBreakBefore w:val="0"/>
              <w:suppressLineNumbers w:val="0"/>
              <w:tabs>
                <w:tab w:val="left" w:pos="180"/>
                <w:tab w:val="left" w:pos="1620"/>
              </w:tabs>
              <w:kinsoku/>
              <w:wordWrap/>
              <w:overflowPunct/>
              <w:topLinePunct w:val="0"/>
              <w:bidi w:val="0"/>
              <w:adjustRightInd/>
              <w:spacing w:before="0" w:beforeAutospacing="0" w:after="0" w:afterAutospacing="0" w:line="38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1.未标注“▲”的内容。</w:t>
            </w:r>
          </w:p>
        </w:tc>
      </w:tr>
    </w:tbl>
    <w:p w14:paraId="3F3719B2">
      <w:pPr>
        <w:spacing w:line="400" w:lineRule="exact"/>
        <w:jc w:val="both"/>
        <w:rPr>
          <w:rFonts w:hint="eastAsia" w:ascii="宋体" w:hAnsi="宋体"/>
          <w:b/>
          <w:color w:val="auto"/>
          <w:sz w:val="32"/>
          <w:szCs w:val="32"/>
          <w:highlight w:val="none"/>
        </w:rPr>
      </w:pPr>
      <w:r>
        <w:rPr>
          <w:rFonts w:ascii="仿宋_GB2312" w:hAnsi="宋体" w:eastAsia="仿宋_GB2312"/>
          <w:b/>
          <w:color w:val="auto"/>
          <w:sz w:val="32"/>
          <w:szCs w:val="32"/>
          <w:highlight w:val="none"/>
        </w:rPr>
        <w:br w:type="page"/>
      </w:r>
    </w:p>
    <w:p w14:paraId="67482DD8">
      <w:pPr>
        <w:spacing w:line="400" w:lineRule="exact"/>
        <w:jc w:val="center"/>
        <w:rPr>
          <w:rFonts w:hint="eastAsia" w:ascii="宋体" w:hAnsi="宋体"/>
          <w:b/>
          <w:color w:val="auto"/>
          <w:sz w:val="32"/>
          <w:szCs w:val="32"/>
          <w:highlight w:val="none"/>
        </w:rPr>
      </w:pPr>
    </w:p>
    <w:p w14:paraId="481AF151">
      <w:pPr>
        <w:spacing w:line="400" w:lineRule="exact"/>
        <w:jc w:val="center"/>
        <w:rPr>
          <w:rFonts w:hint="eastAsia" w:ascii="宋体" w:hAnsi="宋体"/>
          <w:b/>
          <w:color w:val="auto"/>
          <w:sz w:val="32"/>
          <w:szCs w:val="32"/>
          <w:highlight w:val="none"/>
        </w:rPr>
      </w:pPr>
    </w:p>
    <w:p w14:paraId="7571B2FA">
      <w:pPr>
        <w:spacing w:line="400" w:lineRule="exact"/>
        <w:jc w:val="center"/>
        <w:rPr>
          <w:rFonts w:hint="eastAsia" w:ascii="宋体" w:hAnsi="宋体"/>
          <w:b/>
          <w:color w:val="auto"/>
          <w:sz w:val="32"/>
          <w:szCs w:val="32"/>
          <w:highlight w:val="none"/>
        </w:rPr>
      </w:pPr>
    </w:p>
    <w:p w14:paraId="12F10742">
      <w:pPr>
        <w:spacing w:line="400" w:lineRule="exact"/>
        <w:jc w:val="center"/>
        <w:rPr>
          <w:rFonts w:hint="eastAsia" w:ascii="宋体" w:hAnsi="宋体"/>
          <w:b/>
          <w:color w:val="auto"/>
          <w:sz w:val="32"/>
          <w:szCs w:val="32"/>
          <w:highlight w:val="none"/>
        </w:rPr>
      </w:pPr>
    </w:p>
    <w:p w14:paraId="1A5369D0">
      <w:pPr>
        <w:spacing w:line="400" w:lineRule="exact"/>
        <w:jc w:val="center"/>
        <w:rPr>
          <w:rFonts w:hint="eastAsia" w:ascii="宋体" w:hAnsi="宋体"/>
          <w:b/>
          <w:color w:val="auto"/>
          <w:sz w:val="32"/>
          <w:szCs w:val="32"/>
          <w:highlight w:val="none"/>
        </w:rPr>
      </w:pPr>
    </w:p>
    <w:p w14:paraId="5DD5A8CA">
      <w:pPr>
        <w:spacing w:line="400" w:lineRule="exact"/>
        <w:jc w:val="center"/>
        <w:rPr>
          <w:rFonts w:hint="eastAsia" w:ascii="宋体" w:hAnsi="宋体"/>
          <w:b/>
          <w:color w:val="auto"/>
          <w:sz w:val="32"/>
          <w:szCs w:val="32"/>
          <w:highlight w:val="none"/>
        </w:rPr>
      </w:pPr>
    </w:p>
    <w:p w14:paraId="3DE3B5F6">
      <w:pPr>
        <w:spacing w:line="400" w:lineRule="exact"/>
        <w:jc w:val="center"/>
        <w:rPr>
          <w:rFonts w:hint="eastAsia" w:ascii="宋体" w:hAnsi="宋体"/>
          <w:b/>
          <w:color w:val="auto"/>
          <w:sz w:val="32"/>
          <w:szCs w:val="32"/>
          <w:highlight w:val="none"/>
        </w:rPr>
      </w:pPr>
    </w:p>
    <w:p w14:paraId="05A52014">
      <w:pPr>
        <w:spacing w:line="400" w:lineRule="exact"/>
        <w:jc w:val="center"/>
        <w:rPr>
          <w:rFonts w:hint="eastAsia" w:ascii="宋体" w:hAnsi="宋体"/>
          <w:b/>
          <w:color w:val="auto"/>
          <w:sz w:val="32"/>
          <w:szCs w:val="32"/>
          <w:highlight w:val="none"/>
        </w:rPr>
      </w:pPr>
    </w:p>
    <w:p w14:paraId="096096DC">
      <w:pPr>
        <w:spacing w:line="400" w:lineRule="exact"/>
        <w:jc w:val="center"/>
        <w:rPr>
          <w:rFonts w:hint="eastAsia" w:ascii="宋体" w:hAnsi="宋体"/>
          <w:b/>
          <w:color w:val="auto"/>
          <w:sz w:val="32"/>
          <w:szCs w:val="32"/>
          <w:highlight w:val="none"/>
        </w:rPr>
      </w:pPr>
    </w:p>
    <w:p w14:paraId="274ECD5C">
      <w:pPr>
        <w:spacing w:line="400" w:lineRule="exact"/>
        <w:jc w:val="center"/>
        <w:rPr>
          <w:rFonts w:hint="eastAsia" w:ascii="宋体" w:hAnsi="宋体"/>
          <w:b/>
          <w:color w:val="auto"/>
          <w:sz w:val="32"/>
          <w:szCs w:val="32"/>
          <w:highlight w:val="none"/>
        </w:rPr>
      </w:pPr>
    </w:p>
    <w:p w14:paraId="41A25FBD">
      <w:pPr>
        <w:spacing w:line="400" w:lineRule="exact"/>
        <w:jc w:val="center"/>
        <w:rPr>
          <w:rFonts w:hint="eastAsia" w:ascii="宋体" w:hAnsi="宋体"/>
          <w:b/>
          <w:color w:val="auto"/>
          <w:sz w:val="32"/>
          <w:szCs w:val="32"/>
          <w:highlight w:val="none"/>
        </w:rPr>
      </w:pPr>
    </w:p>
    <w:p w14:paraId="23D60C8B">
      <w:pPr>
        <w:spacing w:line="400" w:lineRule="exact"/>
        <w:jc w:val="center"/>
        <w:rPr>
          <w:rFonts w:hint="eastAsia" w:ascii="宋体" w:hAnsi="宋体"/>
          <w:b/>
          <w:color w:val="auto"/>
          <w:sz w:val="32"/>
          <w:szCs w:val="32"/>
          <w:highlight w:val="none"/>
        </w:rPr>
      </w:pPr>
    </w:p>
    <w:p w14:paraId="644B0587">
      <w:pPr>
        <w:spacing w:line="400" w:lineRule="exact"/>
        <w:jc w:val="center"/>
        <w:rPr>
          <w:rFonts w:hint="eastAsia" w:ascii="宋体" w:hAnsi="宋体"/>
          <w:b/>
          <w:color w:val="auto"/>
          <w:sz w:val="32"/>
          <w:szCs w:val="32"/>
          <w:highlight w:val="none"/>
        </w:rPr>
      </w:pPr>
    </w:p>
    <w:p w14:paraId="53CC637E">
      <w:pPr>
        <w:spacing w:line="400" w:lineRule="exact"/>
        <w:jc w:val="center"/>
        <w:rPr>
          <w:rFonts w:hint="eastAsia" w:ascii="宋体" w:hAnsi="宋体"/>
          <w:b/>
          <w:color w:val="auto"/>
          <w:sz w:val="32"/>
          <w:szCs w:val="32"/>
          <w:highlight w:val="none"/>
        </w:rPr>
      </w:pPr>
    </w:p>
    <w:p w14:paraId="7D531FDC">
      <w:pPr>
        <w:pStyle w:val="34"/>
        <w:rPr>
          <w:rFonts w:hint="eastAsia"/>
          <w:color w:val="auto"/>
          <w:sz w:val="44"/>
          <w:szCs w:val="44"/>
          <w:highlight w:val="none"/>
        </w:rPr>
      </w:pPr>
      <w:bookmarkStart w:id="55" w:name="_Toc476258759"/>
      <w:bookmarkStart w:id="56" w:name="_Toc476258665"/>
      <w:r>
        <w:rPr>
          <w:rFonts w:hint="eastAsia"/>
          <w:color w:val="auto"/>
          <w:sz w:val="44"/>
          <w:szCs w:val="44"/>
          <w:highlight w:val="none"/>
        </w:rPr>
        <w:t>第四章  竞争性谈判响应文件格式</w:t>
      </w:r>
      <w:bookmarkEnd w:id="55"/>
      <w:bookmarkEnd w:id="56"/>
    </w:p>
    <w:p w14:paraId="5B56C53D">
      <w:pPr>
        <w:spacing w:line="500" w:lineRule="exact"/>
        <w:jc w:val="center"/>
        <w:rPr>
          <w:rFonts w:hint="eastAsia" w:ascii="仿宋_GB2312" w:hAnsi="宋体" w:eastAsia="仿宋_GB2312"/>
          <w:b/>
          <w:color w:val="auto"/>
          <w:sz w:val="32"/>
          <w:szCs w:val="32"/>
          <w:highlight w:val="none"/>
        </w:rPr>
      </w:pPr>
    </w:p>
    <w:p w14:paraId="64CA465F">
      <w:pPr>
        <w:spacing w:line="720" w:lineRule="auto"/>
        <w:jc w:val="center"/>
        <w:rPr>
          <w:rFonts w:hint="eastAsia" w:ascii="宋体" w:hAnsi="宋体"/>
          <w:b/>
          <w:bCs/>
          <w:color w:val="auto"/>
          <w:sz w:val="30"/>
          <w:szCs w:val="30"/>
          <w:highlight w:val="none"/>
        </w:rPr>
      </w:pPr>
      <w:r>
        <w:rPr>
          <w:rFonts w:ascii="仿宋_GB2312" w:hAnsi="宋体" w:eastAsia="仿宋_GB2312"/>
          <w:b/>
          <w:color w:val="auto"/>
          <w:sz w:val="32"/>
          <w:szCs w:val="32"/>
          <w:highlight w:val="none"/>
        </w:rPr>
        <w:br w:type="page"/>
      </w:r>
      <w:r>
        <w:rPr>
          <w:rFonts w:hint="eastAsia" w:ascii="宋体" w:hAnsi="宋体"/>
          <w:b/>
          <w:bCs/>
          <w:color w:val="auto"/>
          <w:sz w:val="30"/>
          <w:szCs w:val="30"/>
          <w:highlight w:val="none"/>
        </w:rPr>
        <w:t>一、</w:t>
      </w:r>
      <w:r>
        <w:rPr>
          <w:rFonts w:hint="eastAsia"/>
          <w:b/>
          <w:color w:val="auto"/>
          <w:sz w:val="30"/>
          <w:szCs w:val="30"/>
          <w:highlight w:val="none"/>
        </w:rPr>
        <w:t>竞争性谈判响应文件</w:t>
      </w:r>
      <w:r>
        <w:rPr>
          <w:rFonts w:hint="eastAsia" w:ascii="宋体" w:hAnsi="宋体"/>
          <w:b/>
          <w:bCs/>
          <w:color w:val="auto"/>
          <w:sz w:val="30"/>
          <w:szCs w:val="30"/>
          <w:highlight w:val="none"/>
        </w:rPr>
        <w:t>格式</w:t>
      </w:r>
    </w:p>
    <w:p w14:paraId="156D2419">
      <w:pPr>
        <w:spacing w:line="240" w:lineRule="atLeast"/>
        <w:rPr>
          <w:rFonts w:hint="eastAsia" w:ascii="仿宋_GB2312" w:hAnsi="宋体" w:eastAsia="仿宋_GB2312"/>
          <w:b/>
          <w:color w:val="auto"/>
          <w:sz w:val="32"/>
          <w:szCs w:val="32"/>
          <w:highlight w:val="none"/>
          <w:u w:val="single"/>
        </w:rPr>
      </w:pPr>
    </w:p>
    <w:p w14:paraId="02CD898D">
      <w:pPr>
        <w:spacing w:line="240" w:lineRule="atLeast"/>
        <w:rPr>
          <w:rFonts w:hint="eastAsia" w:ascii="仿宋_GB2312" w:hAnsi="宋体" w:eastAsia="仿宋_GB2312"/>
          <w:b/>
          <w:color w:val="auto"/>
          <w:sz w:val="32"/>
          <w:szCs w:val="32"/>
          <w:highlight w:val="none"/>
        </w:rPr>
      </w:pPr>
    </w:p>
    <w:p w14:paraId="73439800">
      <w:pPr>
        <w:snapToGrid w:val="0"/>
        <w:spacing w:before="156" w:beforeLines="50" w:after="50" w:line="360" w:lineRule="exact"/>
        <w:ind w:left="8400" w:hanging="8400" w:hangingChars="3000"/>
        <w:rPr>
          <w:rFonts w:hint="eastAsia" w:ascii="仿宋_GB2312" w:hAnsi="宋体" w:eastAsia="仿宋_GB2312"/>
          <w:bCs/>
          <w:color w:val="auto"/>
          <w:sz w:val="28"/>
          <w:szCs w:val="28"/>
          <w:highlight w:val="none"/>
        </w:rPr>
      </w:pPr>
    </w:p>
    <w:p w14:paraId="5995F62D">
      <w:pPr>
        <w:snapToGrid w:val="0"/>
        <w:spacing w:before="156" w:beforeLines="50" w:after="50" w:line="360" w:lineRule="exact"/>
        <w:jc w:val="center"/>
        <w:rPr>
          <w:rFonts w:hint="eastAsia" w:ascii="仿宋_GB2312" w:hAnsi="宋体" w:eastAsia="仿宋_GB2312"/>
          <w:bCs/>
          <w:color w:val="auto"/>
          <w:sz w:val="24"/>
          <w:highlight w:val="none"/>
        </w:rPr>
      </w:pPr>
      <w:r>
        <w:rPr>
          <w:rFonts w:hint="eastAsia" w:ascii="仿宋_GB2312" w:hAnsi="宋体" w:eastAsia="仿宋_GB2312"/>
          <w:b/>
          <w:color w:val="auto"/>
          <w:sz w:val="44"/>
          <w:szCs w:val="44"/>
          <w:highlight w:val="none"/>
        </w:rPr>
        <w:t>竞争性谈判响应文件</w:t>
      </w:r>
    </w:p>
    <w:p w14:paraId="09BD5233">
      <w:pPr>
        <w:spacing w:line="500" w:lineRule="exact"/>
        <w:ind w:firstLine="420" w:firstLineChars="200"/>
        <w:rPr>
          <w:rFonts w:hint="eastAsia" w:ascii="宋体" w:hAnsi="宋体"/>
          <w:color w:val="auto"/>
          <w:szCs w:val="21"/>
          <w:highlight w:val="none"/>
        </w:rPr>
      </w:pPr>
    </w:p>
    <w:p w14:paraId="65D8A518">
      <w:pPr>
        <w:spacing w:line="500" w:lineRule="exact"/>
        <w:ind w:firstLine="420" w:firstLineChars="200"/>
        <w:rPr>
          <w:rFonts w:hint="eastAsia" w:ascii="宋体" w:hAnsi="宋体"/>
          <w:color w:val="auto"/>
          <w:szCs w:val="21"/>
          <w:highlight w:val="none"/>
        </w:rPr>
      </w:pPr>
    </w:p>
    <w:p w14:paraId="3A0177B5">
      <w:pPr>
        <w:spacing w:line="500" w:lineRule="exact"/>
        <w:ind w:firstLine="420" w:firstLineChars="200"/>
        <w:rPr>
          <w:rFonts w:hint="eastAsia" w:ascii="宋体" w:hAnsi="宋体"/>
          <w:color w:val="auto"/>
          <w:szCs w:val="21"/>
          <w:highlight w:val="none"/>
        </w:rPr>
      </w:pPr>
    </w:p>
    <w:p w14:paraId="67D6C5DC">
      <w:pPr>
        <w:spacing w:line="600" w:lineRule="auto"/>
        <w:ind w:firstLine="420" w:firstLineChars="200"/>
        <w:jc w:val="left"/>
        <w:rPr>
          <w:rFonts w:hint="eastAsia" w:ascii="宋体" w:hAnsi="宋体"/>
          <w:color w:val="auto"/>
          <w:sz w:val="28"/>
          <w:szCs w:val="28"/>
          <w:highlight w:val="none"/>
          <w:u w:val="single"/>
        </w:rPr>
      </w:pPr>
      <w:r>
        <w:rPr>
          <w:rFonts w:hint="eastAsia" w:ascii="宋体" w:hAnsi="宋体"/>
          <w:color w:val="auto"/>
          <w:szCs w:val="21"/>
          <w:highlight w:val="none"/>
        </w:rPr>
        <w:t xml:space="preserve">        </w:t>
      </w:r>
      <w:r>
        <w:rPr>
          <w:rFonts w:hint="eastAsia" w:ascii="宋体" w:hAnsi="宋体"/>
          <w:color w:val="auto"/>
          <w:sz w:val="28"/>
          <w:szCs w:val="28"/>
          <w:highlight w:val="none"/>
        </w:rPr>
        <w:t xml:space="preserve"> 采购项目名称：</w:t>
      </w:r>
      <w:r>
        <w:rPr>
          <w:rFonts w:hint="eastAsia" w:ascii="宋体" w:hAnsi="宋体"/>
          <w:color w:val="auto"/>
          <w:sz w:val="28"/>
          <w:szCs w:val="28"/>
          <w:highlight w:val="none"/>
          <w:u w:val="single"/>
        </w:rPr>
        <w:t xml:space="preserve">                          </w:t>
      </w:r>
    </w:p>
    <w:p w14:paraId="55D36D18">
      <w:pPr>
        <w:spacing w:line="600" w:lineRule="auto"/>
        <w:rPr>
          <w:rFonts w:hint="eastAsia"/>
          <w:color w:val="auto"/>
          <w:highlight w:val="none"/>
        </w:rPr>
      </w:pPr>
      <w:r>
        <w:rPr>
          <w:rFonts w:hint="eastAsia"/>
          <w:color w:val="auto"/>
          <w:highlight w:val="none"/>
        </w:rPr>
        <w:t xml:space="preserve"> </w:t>
      </w:r>
      <w:r>
        <w:rPr>
          <w:rFonts w:hint="eastAsia" w:ascii="宋体" w:hAnsi="宋体"/>
          <w:color w:val="auto"/>
          <w:sz w:val="28"/>
          <w:szCs w:val="28"/>
          <w:highlight w:val="none"/>
        </w:rPr>
        <w:t xml:space="preserve">         采购项目编号：</w:t>
      </w:r>
      <w:r>
        <w:rPr>
          <w:rFonts w:hint="eastAsia" w:ascii="宋体" w:hAnsi="宋体"/>
          <w:color w:val="auto"/>
          <w:sz w:val="28"/>
          <w:szCs w:val="28"/>
          <w:highlight w:val="none"/>
          <w:u w:val="single"/>
        </w:rPr>
        <w:t xml:space="preserve">    </w:t>
      </w:r>
      <w:r>
        <w:rPr>
          <w:rFonts w:hint="eastAsia"/>
          <w:color w:val="auto"/>
          <w:highlight w:val="none"/>
          <w:u w:val="single"/>
        </w:rPr>
        <w:t xml:space="preserve">                             </w:t>
      </w:r>
    </w:p>
    <w:p w14:paraId="6A51610F">
      <w:pPr>
        <w:spacing w:line="600" w:lineRule="auto"/>
        <w:ind w:firstLine="560" w:firstLineChars="200"/>
        <w:rPr>
          <w:rFonts w:hint="eastAsia" w:ascii="宋体" w:hAnsi="宋体"/>
          <w:color w:val="auto"/>
          <w:sz w:val="28"/>
          <w:szCs w:val="28"/>
          <w:highlight w:val="none"/>
          <w:u w:val="single"/>
        </w:rPr>
      </w:pPr>
      <w:r>
        <w:rPr>
          <w:rFonts w:hint="eastAsia"/>
          <w:bCs/>
          <w:color w:val="auto"/>
          <w:sz w:val="28"/>
          <w:szCs w:val="28"/>
          <w:highlight w:val="none"/>
        </w:rPr>
        <w:t xml:space="preserve">      分标号（如有）</w:t>
      </w:r>
      <w:r>
        <w:rPr>
          <w:rFonts w:hint="eastAsia" w:ascii="宋体" w:hAnsi="宋体"/>
          <w:color w:val="auto"/>
          <w:sz w:val="28"/>
          <w:szCs w:val="28"/>
          <w:highlight w:val="none"/>
        </w:rPr>
        <w:t>：</w:t>
      </w:r>
      <w:r>
        <w:rPr>
          <w:rFonts w:hint="eastAsia" w:ascii="宋体" w:hAnsi="宋体"/>
          <w:color w:val="auto"/>
          <w:sz w:val="28"/>
          <w:szCs w:val="28"/>
          <w:highlight w:val="none"/>
          <w:u w:val="single"/>
        </w:rPr>
        <w:t xml:space="preserve">                         </w:t>
      </w:r>
    </w:p>
    <w:p w14:paraId="7CEDD524">
      <w:pPr>
        <w:snapToGrid w:val="0"/>
        <w:spacing w:before="156" w:beforeLines="50" w:after="50" w:line="600" w:lineRule="auto"/>
        <w:ind w:firstLine="560" w:firstLineChars="200"/>
        <w:rPr>
          <w:rFonts w:hint="eastAsia" w:ascii="宋体" w:hAnsi="宋体"/>
          <w:bCs/>
          <w:color w:val="auto"/>
          <w:sz w:val="28"/>
          <w:szCs w:val="28"/>
          <w:highlight w:val="none"/>
        </w:rPr>
      </w:pPr>
      <w:r>
        <w:rPr>
          <w:rFonts w:hint="eastAsia" w:ascii="宋体" w:hAnsi="宋体"/>
          <w:color w:val="auto"/>
          <w:sz w:val="28"/>
          <w:szCs w:val="28"/>
          <w:highlight w:val="none"/>
        </w:rPr>
        <w:t xml:space="preserve">      谈判供应商名称</w:t>
      </w:r>
      <w:r>
        <w:rPr>
          <w:rFonts w:hint="eastAsia" w:ascii="宋体" w:hAnsi="宋体"/>
          <w:bCs/>
          <w:color w:val="auto"/>
          <w:sz w:val="28"/>
          <w:szCs w:val="28"/>
          <w:highlight w:val="none"/>
        </w:rPr>
        <w:t>：</w:t>
      </w:r>
      <w:r>
        <w:rPr>
          <w:rFonts w:hint="eastAsia" w:ascii="宋体" w:hAnsi="宋体"/>
          <w:color w:val="auto"/>
          <w:sz w:val="28"/>
          <w:szCs w:val="28"/>
          <w:highlight w:val="none"/>
          <w:u w:val="single"/>
        </w:rPr>
        <w:t xml:space="preserve">                        </w:t>
      </w:r>
    </w:p>
    <w:p w14:paraId="2ABF07BE">
      <w:pPr>
        <w:spacing w:line="500" w:lineRule="exact"/>
        <w:jc w:val="center"/>
        <w:rPr>
          <w:rFonts w:hint="eastAsia" w:ascii="宋体" w:hAnsi="宋体"/>
          <w:color w:val="auto"/>
          <w:szCs w:val="21"/>
          <w:highlight w:val="none"/>
        </w:rPr>
      </w:pPr>
      <w:r>
        <w:rPr>
          <w:rFonts w:hint="eastAsia" w:ascii="仿宋_GB2312" w:hAnsi="宋体" w:eastAsia="仿宋_GB2312"/>
          <w:color w:val="auto"/>
          <w:sz w:val="24"/>
          <w:highlight w:val="none"/>
        </w:rPr>
        <w:t xml:space="preserve">                      </w:t>
      </w:r>
    </w:p>
    <w:p w14:paraId="39C0E47F">
      <w:pPr>
        <w:rPr>
          <w:rFonts w:hint="eastAsia"/>
          <w:color w:val="auto"/>
          <w:sz w:val="28"/>
          <w:szCs w:val="28"/>
          <w:highlight w:val="none"/>
        </w:rPr>
      </w:pPr>
      <w:r>
        <w:rPr>
          <w:rFonts w:hint="eastAsia"/>
          <w:color w:val="auto"/>
          <w:highlight w:val="none"/>
        </w:rPr>
        <w:t xml:space="preserve">                                   </w:t>
      </w:r>
      <w:r>
        <w:rPr>
          <w:rFonts w:hint="eastAsia"/>
          <w:color w:val="auto"/>
          <w:sz w:val="28"/>
          <w:szCs w:val="28"/>
          <w:highlight w:val="none"/>
        </w:rPr>
        <w:t xml:space="preserve">                     年</w:t>
      </w:r>
      <w:r>
        <w:rPr>
          <w:rFonts w:hint="eastAsia" w:cs="宋体"/>
          <w:color w:val="auto"/>
          <w:sz w:val="28"/>
          <w:szCs w:val="28"/>
          <w:highlight w:val="none"/>
        </w:rPr>
        <w:t xml:space="preserve">    </w:t>
      </w:r>
      <w:r>
        <w:rPr>
          <w:rFonts w:hint="eastAsia"/>
          <w:color w:val="auto"/>
          <w:sz w:val="28"/>
          <w:szCs w:val="28"/>
          <w:highlight w:val="none"/>
        </w:rPr>
        <w:t>月    日</w:t>
      </w:r>
    </w:p>
    <w:p w14:paraId="63D08758">
      <w:pPr>
        <w:spacing w:line="520" w:lineRule="exact"/>
        <w:rPr>
          <w:rFonts w:hint="eastAsia" w:ascii="宋体" w:hAnsi="宋体"/>
          <w:color w:val="auto"/>
          <w:szCs w:val="21"/>
          <w:highlight w:val="none"/>
        </w:rPr>
      </w:pPr>
    </w:p>
    <w:p w14:paraId="5A7AB456">
      <w:pPr>
        <w:spacing w:line="520" w:lineRule="exact"/>
        <w:ind w:firstLine="3767" w:firstLineChars="1340"/>
        <w:rPr>
          <w:rFonts w:hint="eastAsia" w:ascii="宋体" w:hAnsi="宋体"/>
          <w:b/>
          <w:color w:val="auto"/>
          <w:sz w:val="28"/>
          <w:szCs w:val="28"/>
          <w:highlight w:val="none"/>
        </w:rPr>
      </w:pPr>
    </w:p>
    <w:p w14:paraId="21539673">
      <w:pPr>
        <w:spacing w:line="520" w:lineRule="exact"/>
        <w:ind w:firstLine="3767" w:firstLineChars="1340"/>
        <w:rPr>
          <w:rFonts w:hint="eastAsia" w:ascii="宋体" w:hAnsi="宋体"/>
          <w:b/>
          <w:color w:val="auto"/>
          <w:sz w:val="28"/>
          <w:szCs w:val="28"/>
          <w:highlight w:val="none"/>
        </w:rPr>
      </w:pPr>
    </w:p>
    <w:p w14:paraId="1009B81B">
      <w:pPr>
        <w:spacing w:line="520" w:lineRule="exact"/>
        <w:ind w:firstLine="3767" w:firstLineChars="1340"/>
        <w:rPr>
          <w:rFonts w:hint="eastAsia" w:ascii="宋体" w:hAnsi="宋体"/>
          <w:b/>
          <w:color w:val="auto"/>
          <w:sz w:val="28"/>
          <w:szCs w:val="28"/>
          <w:highlight w:val="none"/>
        </w:rPr>
      </w:pPr>
    </w:p>
    <w:p w14:paraId="3C2DA0E9">
      <w:pPr>
        <w:spacing w:line="520" w:lineRule="exact"/>
        <w:ind w:firstLine="3767" w:firstLineChars="1340"/>
        <w:rPr>
          <w:rFonts w:hint="eastAsia" w:ascii="宋体" w:hAnsi="宋体"/>
          <w:b/>
          <w:color w:val="auto"/>
          <w:sz w:val="28"/>
          <w:szCs w:val="28"/>
          <w:highlight w:val="none"/>
        </w:rPr>
      </w:pPr>
    </w:p>
    <w:p w14:paraId="607CF592">
      <w:pPr>
        <w:spacing w:line="720" w:lineRule="auto"/>
        <w:jc w:val="center"/>
        <w:rPr>
          <w:rFonts w:hint="eastAsia"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二、附  件</w:t>
      </w:r>
    </w:p>
    <w:p w14:paraId="2C24CFA2">
      <w:pPr>
        <w:spacing w:line="500" w:lineRule="exact"/>
        <w:rPr>
          <w:rFonts w:hint="eastAsia" w:ascii="宋体" w:hAnsi="宋体"/>
          <w:b/>
          <w:color w:val="auto"/>
          <w:szCs w:val="21"/>
          <w:highlight w:val="none"/>
        </w:rPr>
      </w:pPr>
      <w:r>
        <w:rPr>
          <w:rFonts w:hint="eastAsia" w:ascii="宋体" w:hAnsi="宋体"/>
          <w:b/>
          <w:color w:val="auto"/>
          <w:szCs w:val="21"/>
          <w:highlight w:val="none"/>
        </w:rPr>
        <w:t xml:space="preserve">附件一 </w:t>
      </w:r>
    </w:p>
    <w:p w14:paraId="3EA5C665">
      <w:pPr>
        <w:spacing w:line="500" w:lineRule="exact"/>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报  价  表</w:t>
      </w:r>
    </w:p>
    <w:p w14:paraId="5712F8D9">
      <w:pPr>
        <w:spacing w:line="500" w:lineRule="exact"/>
        <w:rPr>
          <w:rFonts w:hint="eastAsia" w:ascii="宋体" w:hAnsi="宋体"/>
          <w:color w:val="auto"/>
          <w:szCs w:val="21"/>
          <w:highlight w:val="none"/>
          <w:u w:val="single"/>
        </w:rPr>
      </w:pPr>
      <w:r>
        <w:rPr>
          <w:rFonts w:hint="eastAsia" w:ascii="宋体" w:hAnsi="宋体"/>
          <w:color w:val="auto"/>
          <w:szCs w:val="21"/>
          <w:highlight w:val="none"/>
        </w:rPr>
        <w:t>采购项目名称:</w:t>
      </w:r>
      <w:r>
        <w:rPr>
          <w:rFonts w:hint="eastAsia" w:ascii="宋体" w:hAnsi="宋体"/>
          <w:color w:val="auto"/>
          <w:szCs w:val="21"/>
          <w:highlight w:val="none"/>
          <w:u w:val="single"/>
        </w:rPr>
        <w:t xml:space="preserve">                 </w:t>
      </w:r>
    </w:p>
    <w:p w14:paraId="310A594D">
      <w:pPr>
        <w:spacing w:line="500" w:lineRule="exact"/>
        <w:rPr>
          <w:rFonts w:hint="eastAsia" w:ascii="宋体" w:hAnsi="宋体"/>
          <w:color w:val="auto"/>
          <w:szCs w:val="21"/>
          <w:highlight w:val="none"/>
          <w:u w:val="single"/>
        </w:rPr>
      </w:pP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p>
    <w:p w14:paraId="7C6107DF">
      <w:pPr>
        <w:spacing w:line="500" w:lineRule="exact"/>
        <w:rPr>
          <w:rFonts w:hint="eastAsia" w:ascii="宋体" w:hAnsi="宋体"/>
          <w:color w:val="auto"/>
          <w:szCs w:val="21"/>
          <w:highlight w:val="none"/>
          <w:u w:val="single"/>
        </w:rPr>
      </w:pPr>
      <w:r>
        <w:rPr>
          <w:rFonts w:hint="eastAsia" w:ascii="宋体" w:hAnsi="宋体"/>
          <w:color w:val="auto"/>
          <w:szCs w:val="21"/>
          <w:highlight w:val="none"/>
        </w:rPr>
        <w:t>分标号:</w:t>
      </w:r>
      <w:r>
        <w:rPr>
          <w:rFonts w:hint="eastAsia" w:ascii="宋体" w:hAnsi="宋体"/>
          <w:color w:val="auto"/>
          <w:szCs w:val="21"/>
          <w:highlight w:val="none"/>
          <w:u w:val="single"/>
        </w:rPr>
        <w:t xml:space="preserve">                       </w:t>
      </w:r>
    </w:p>
    <w:tbl>
      <w:tblPr>
        <w:tblStyle w:val="37"/>
        <w:tblW w:w="10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011"/>
        <w:gridCol w:w="1267"/>
        <w:gridCol w:w="713"/>
        <w:gridCol w:w="845"/>
        <w:gridCol w:w="2645"/>
        <w:gridCol w:w="823"/>
        <w:gridCol w:w="1419"/>
        <w:gridCol w:w="996"/>
      </w:tblGrid>
      <w:tr w14:paraId="5AAC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445" w:type="dxa"/>
            <w:tcBorders>
              <w:bottom w:val="single" w:color="auto" w:sz="4" w:space="0"/>
            </w:tcBorders>
            <w:noWrap w:val="0"/>
            <w:vAlign w:val="center"/>
          </w:tcPr>
          <w:p w14:paraId="4413D3AC">
            <w:pPr>
              <w:pStyle w:val="20"/>
              <w:keepNext w:val="0"/>
              <w:keepLines w:val="0"/>
              <w:suppressLineNumbers w:val="0"/>
              <w:spacing w:before="0" w:beforeAutospacing="0" w:after="0" w:afterAutospacing="0" w:line="400" w:lineRule="exact"/>
              <w:ind w:left="0" w:right="0"/>
              <w:jc w:val="center"/>
              <w:rPr>
                <w:rFonts w:hint="eastAsia" w:hAnsi="宋体"/>
                <w:color w:val="auto"/>
                <w:spacing w:val="-20"/>
                <w:highlight w:val="none"/>
              </w:rPr>
            </w:pPr>
            <w:r>
              <w:rPr>
                <w:rFonts w:hint="eastAsia" w:hAnsi="宋体"/>
                <w:color w:val="auto"/>
                <w:spacing w:val="-20"/>
                <w:highlight w:val="none"/>
              </w:rPr>
              <w:t>序号</w:t>
            </w:r>
          </w:p>
        </w:tc>
        <w:tc>
          <w:tcPr>
            <w:tcW w:w="1011" w:type="dxa"/>
            <w:tcBorders>
              <w:bottom w:val="single" w:color="auto" w:sz="4" w:space="0"/>
            </w:tcBorders>
            <w:noWrap w:val="0"/>
            <w:vAlign w:val="center"/>
          </w:tcPr>
          <w:p w14:paraId="1977C2C7">
            <w:pPr>
              <w:keepNext w:val="0"/>
              <w:keepLines w:val="0"/>
              <w:suppressLineNumbers w:val="0"/>
              <w:tabs>
                <w:tab w:val="left" w:pos="180"/>
                <w:tab w:val="left" w:pos="1620"/>
              </w:tabs>
              <w:spacing w:before="0" w:beforeAutospacing="0" w:after="0" w:afterAutospacing="0" w:line="400"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货物名称</w:t>
            </w:r>
          </w:p>
        </w:tc>
        <w:tc>
          <w:tcPr>
            <w:tcW w:w="1267" w:type="dxa"/>
            <w:tcBorders>
              <w:bottom w:val="single" w:color="auto" w:sz="4" w:space="0"/>
            </w:tcBorders>
            <w:noWrap w:val="0"/>
            <w:vAlign w:val="center"/>
          </w:tcPr>
          <w:p w14:paraId="62CDC9E1">
            <w:pPr>
              <w:keepNext w:val="0"/>
              <w:keepLines w:val="0"/>
              <w:suppressLineNumbers w:val="0"/>
              <w:tabs>
                <w:tab w:val="left" w:pos="180"/>
                <w:tab w:val="left" w:pos="1620"/>
              </w:tabs>
              <w:spacing w:before="0" w:beforeAutospacing="0" w:after="0" w:afterAutospacing="0" w:line="400"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品牌、型号规格、生产厂家</w:t>
            </w:r>
          </w:p>
        </w:tc>
        <w:tc>
          <w:tcPr>
            <w:tcW w:w="713" w:type="dxa"/>
            <w:tcBorders>
              <w:bottom w:val="single" w:color="auto" w:sz="4" w:space="0"/>
            </w:tcBorders>
            <w:noWrap w:val="0"/>
            <w:vAlign w:val="center"/>
          </w:tcPr>
          <w:p w14:paraId="2883D545">
            <w:pPr>
              <w:keepNext w:val="0"/>
              <w:keepLines w:val="0"/>
              <w:suppressLineNumbers w:val="0"/>
              <w:tabs>
                <w:tab w:val="left" w:pos="180"/>
                <w:tab w:val="left" w:pos="1620"/>
              </w:tabs>
              <w:spacing w:before="0" w:beforeAutospacing="0" w:after="0" w:afterAutospacing="0" w:line="400"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数量</w:t>
            </w:r>
            <w:r>
              <w:rPr>
                <w:rFonts w:hint="eastAsia" w:ascii="Times New Roman" w:hAnsi="宋体" w:cs="Times New Roman"/>
                <w:color w:val="auto"/>
                <w:highlight w:val="none"/>
              </w:rPr>
              <w:t>①</w:t>
            </w:r>
          </w:p>
        </w:tc>
        <w:tc>
          <w:tcPr>
            <w:tcW w:w="845" w:type="dxa"/>
            <w:tcBorders>
              <w:bottom w:val="single" w:color="auto" w:sz="4" w:space="0"/>
            </w:tcBorders>
            <w:noWrap w:val="0"/>
            <w:vAlign w:val="center"/>
          </w:tcPr>
          <w:p w14:paraId="40209A24">
            <w:pPr>
              <w:keepNext w:val="0"/>
              <w:keepLines w:val="0"/>
              <w:suppressLineNumbers w:val="0"/>
              <w:tabs>
                <w:tab w:val="left" w:pos="180"/>
                <w:tab w:val="left" w:pos="1620"/>
              </w:tabs>
              <w:spacing w:before="0" w:beforeAutospacing="0" w:after="0" w:afterAutospacing="0" w:line="400"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单位</w:t>
            </w:r>
          </w:p>
        </w:tc>
        <w:tc>
          <w:tcPr>
            <w:tcW w:w="2645" w:type="dxa"/>
            <w:tcBorders>
              <w:bottom w:val="single" w:color="auto" w:sz="4" w:space="0"/>
            </w:tcBorders>
            <w:noWrap w:val="0"/>
            <w:vAlign w:val="center"/>
          </w:tcPr>
          <w:p w14:paraId="2D4DB917">
            <w:pPr>
              <w:keepNext w:val="0"/>
              <w:keepLines w:val="0"/>
              <w:suppressLineNumbers w:val="0"/>
              <w:tabs>
                <w:tab w:val="left" w:pos="180"/>
                <w:tab w:val="left" w:pos="1620"/>
              </w:tabs>
              <w:spacing w:before="0" w:beforeAutospacing="0" w:after="0" w:afterAutospacing="0" w:line="400"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技术参数及性能配置要求</w:t>
            </w:r>
          </w:p>
        </w:tc>
        <w:tc>
          <w:tcPr>
            <w:tcW w:w="823" w:type="dxa"/>
            <w:tcBorders>
              <w:bottom w:val="single" w:color="auto" w:sz="4" w:space="0"/>
            </w:tcBorders>
            <w:noWrap w:val="0"/>
            <w:vAlign w:val="center"/>
          </w:tcPr>
          <w:p w14:paraId="57232D40">
            <w:pPr>
              <w:keepNext w:val="0"/>
              <w:keepLines w:val="0"/>
              <w:suppressLineNumbers w:val="0"/>
              <w:tabs>
                <w:tab w:val="left" w:pos="180"/>
                <w:tab w:val="left" w:pos="1620"/>
              </w:tabs>
              <w:spacing w:before="0" w:beforeAutospacing="0" w:after="0" w:afterAutospacing="0" w:line="400"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单价</w:t>
            </w:r>
            <w:r>
              <w:rPr>
                <w:rFonts w:hint="eastAsia" w:ascii="Times New Roman" w:hAnsi="宋体" w:cs="Times New Roman"/>
                <w:color w:val="auto"/>
                <w:highlight w:val="none"/>
              </w:rPr>
              <w:t>②</w:t>
            </w:r>
          </w:p>
        </w:tc>
        <w:tc>
          <w:tcPr>
            <w:tcW w:w="1419" w:type="dxa"/>
            <w:tcBorders>
              <w:bottom w:val="single" w:color="auto" w:sz="4" w:space="0"/>
            </w:tcBorders>
            <w:noWrap w:val="0"/>
            <w:vAlign w:val="center"/>
          </w:tcPr>
          <w:p w14:paraId="16F87CE7">
            <w:pPr>
              <w:pStyle w:val="20"/>
              <w:keepNext w:val="0"/>
              <w:keepLines w:val="0"/>
              <w:suppressLineNumbers w:val="0"/>
              <w:spacing w:before="0" w:beforeAutospacing="0" w:after="0" w:afterAutospacing="0" w:line="400" w:lineRule="exact"/>
              <w:ind w:left="0" w:right="0"/>
              <w:jc w:val="center"/>
              <w:rPr>
                <w:rFonts w:hint="eastAsia" w:hAnsi="宋体"/>
                <w:color w:val="auto"/>
                <w:highlight w:val="none"/>
              </w:rPr>
            </w:pPr>
            <w:r>
              <w:rPr>
                <w:rFonts w:hint="eastAsia" w:hAnsi="宋体"/>
                <w:color w:val="auto"/>
                <w:highlight w:val="none"/>
              </w:rPr>
              <w:t>单项合价</w:t>
            </w:r>
          </w:p>
          <w:p w14:paraId="6E177817">
            <w:pPr>
              <w:pStyle w:val="20"/>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（元）</w:t>
            </w:r>
          </w:p>
          <w:p w14:paraId="4D54BC47">
            <w:pPr>
              <w:pStyle w:val="20"/>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③</w:t>
            </w:r>
            <w:r>
              <w:rPr>
                <w:rFonts w:hint="default" w:hAnsi="宋体"/>
                <w:color w:val="auto"/>
                <w:highlight w:val="none"/>
              </w:rPr>
              <w:t>=</w:t>
            </w:r>
            <w:r>
              <w:rPr>
                <w:rFonts w:hint="eastAsia" w:hAnsi="宋体"/>
                <w:color w:val="auto"/>
                <w:highlight w:val="none"/>
              </w:rPr>
              <w:t>①×②</w:t>
            </w:r>
          </w:p>
        </w:tc>
        <w:tc>
          <w:tcPr>
            <w:tcW w:w="996" w:type="dxa"/>
            <w:tcBorders>
              <w:bottom w:val="single" w:color="auto" w:sz="4" w:space="0"/>
            </w:tcBorders>
            <w:noWrap w:val="0"/>
            <w:vAlign w:val="center"/>
          </w:tcPr>
          <w:p w14:paraId="7CAE6E58">
            <w:pPr>
              <w:pStyle w:val="20"/>
              <w:keepNext w:val="0"/>
              <w:keepLines w:val="0"/>
              <w:suppressLineNumbers w:val="0"/>
              <w:spacing w:before="0" w:beforeAutospacing="0" w:after="0" w:afterAutospacing="0" w:line="400" w:lineRule="exact"/>
              <w:ind w:left="0" w:right="0"/>
              <w:jc w:val="center"/>
              <w:rPr>
                <w:rFonts w:hint="eastAsia" w:hAnsi="宋体"/>
                <w:color w:val="auto"/>
                <w:highlight w:val="none"/>
              </w:rPr>
            </w:pPr>
            <w:r>
              <w:rPr>
                <w:rFonts w:hint="eastAsia" w:hAnsi="宋体"/>
                <w:color w:val="auto"/>
                <w:highlight w:val="none"/>
              </w:rPr>
              <w:t>备注</w:t>
            </w:r>
          </w:p>
        </w:tc>
      </w:tr>
      <w:tr w14:paraId="2A04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noWrap w:val="0"/>
            <w:vAlign w:val="center"/>
          </w:tcPr>
          <w:p w14:paraId="292EC8D7">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1</w:t>
            </w:r>
          </w:p>
        </w:tc>
        <w:tc>
          <w:tcPr>
            <w:tcW w:w="1011" w:type="dxa"/>
            <w:noWrap w:val="0"/>
            <w:vAlign w:val="center"/>
          </w:tcPr>
          <w:p w14:paraId="5B669045">
            <w:pPr>
              <w:keepNext w:val="0"/>
              <w:keepLines w:val="0"/>
              <w:suppressLineNumbers w:val="0"/>
              <w:spacing w:before="0" w:beforeAutospacing="0" w:after="0" w:afterAutospacing="0"/>
              <w:ind w:left="0" w:right="0"/>
              <w:jc w:val="center"/>
              <w:rPr>
                <w:rFonts w:hint="eastAsia" w:ascii="宋体" w:hAnsi="宋体" w:cs="Times New Roman"/>
                <w:color w:val="auto"/>
                <w:highlight w:val="none"/>
              </w:rPr>
            </w:pPr>
          </w:p>
        </w:tc>
        <w:tc>
          <w:tcPr>
            <w:tcW w:w="1267" w:type="dxa"/>
            <w:noWrap w:val="0"/>
            <w:vAlign w:val="center"/>
          </w:tcPr>
          <w:p w14:paraId="6929AFD4">
            <w:pPr>
              <w:keepNext w:val="0"/>
              <w:keepLines w:val="0"/>
              <w:suppressLineNumbers w:val="0"/>
              <w:spacing w:before="0" w:beforeAutospacing="0" w:after="0" w:afterAutospacing="0"/>
              <w:ind w:left="0" w:right="0"/>
              <w:jc w:val="center"/>
              <w:rPr>
                <w:rFonts w:hint="eastAsia" w:ascii="宋体" w:hAnsi="宋体" w:cs="Times New Roman"/>
                <w:color w:val="auto"/>
                <w:highlight w:val="none"/>
              </w:rPr>
            </w:pPr>
          </w:p>
        </w:tc>
        <w:tc>
          <w:tcPr>
            <w:tcW w:w="713" w:type="dxa"/>
            <w:noWrap w:val="0"/>
            <w:vAlign w:val="center"/>
          </w:tcPr>
          <w:p w14:paraId="04637ABC">
            <w:pPr>
              <w:pStyle w:val="20"/>
              <w:keepNext w:val="0"/>
              <w:keepLines w:val="0"/>
              <w:suppressLineNumbers w:val="0"/>
              <w:spacing w:before="0" w:beforeAutospacing="0" w:after="0" w:afterAutospacing="0"/>
              <w:ind w:left="0" w:right="0"/>
              <w:rPr>
                <w:rFonts w:hint="eastAsia" w:hAnsi="宋体"/>
                <w:color w:val="auto"/>
                <w:highlight w:val="none"/>
              </w:rPr>
            </w:pPr>
          </w:p>
        </w:tc>
        <w:tc>
          <w:tcPr>
            <w:tcW w:w="845" w:type="dxa"/>
            <w:noWrap w:val="0"/>
            <w:vAlign w:val="center"/>
          </w:tcPr>
          <w:p w14:paraId="27122C7E">
            <w:pPr>
              <w:pStyle w:val="20"/>
              <w:keepNext w:val="0"/>
              <w:keepLines w:val="0"/>
              <w:suppressLineNumbers w:val="0"/>
              <w:spacing w:before="0" w:beforeAutospacing="0" w:after="0" w:afterAutospacing="0"/>
              <w:ind w:left="0" w:right="0"/>
              <w:rPr>
                <w:rFonts w:hint="eastAsia" w:hAnsi="宋体"/>
                <w:color w:val="auto"/>
                <w:highlight w:val="none"/>
              </w:rPr>
            </w:pPr>
          </w:p>
        </w:tc>
        <w:tc>
          <w:tcPr>
            <w:tcW w:w="2645" w:type="dxa"/>
            <w:noWrap w:val="0"/>
            <w:vAlign w:val="center"/>
          </w:tcPr>
          <w:p w14:paraId="0C73C63E">
            <w:pPr>
              <w:pStyle w:val="20"/>
              <w:keepNext w:val="0"/>
              <w:keepLines w:val="0"/>
              <w:suppressLineNumbers w:val="0"/>
              <w:spacing w:before="0" w:beforeAutospacing="0" w:after="0" w:afterAutospacing="0"/>
              <w:ind w:left="0" w:right="0"/>
              <w:rPr>
                <w:rFonts w:hint="eastAsia" w:hAnsi="宋体"/>
                <w:color w:val="auto"/>
                <w:highlight w:val="none"/>
              </w:rPr>
            </w:pPr>
          </w:p>
        </w:tc>
        <w:tc>
          <w:tcPr>
            <w:tcW w:w="823" w:type="dxa"/>
            <w:noWrap w:val="0"/>
            <w:vAlign w:val="center"/>
          </w:tcPr>
          <w:p w14:paraId="718FC785">
            <w:pPr>
              <w:pStyle w:val="20"/>
              <w:keepNext w:val="0"/>
              <w:keepLines w:val="0"/>
              <w:suppressLineNumbers w:val="0"/>
              <w:spacing w:before="0" w:beforeAutospacing="0" w:after="0" w:afterAutospacing="0"/>
              <w:ind w:left="0" w:right="0"/>
              <w:rPr>
                <w:rFonts w:hint="eastAsia" w:hAnsi="宋体"/>
                <w:color w:val="auto"/>
                <w:highlight w:val="none"/>
              </w:rPr>
            </w:pPr>
          </w:p>
        </w:tc>
        <w:tc>
          <w:tcPr>
            <w:tcW w:w="1419" w:type="dxa"/>
            <w:noWrap w:val="0"/>
            <w:vAlign w:val="center"/>
          </w:tcPr>
          <w:p w14:paraId="7505F499">
            <w:pPr>
              <w:pStyle w:val="20"/>
              <w:keepNext w:val="0"/>
              <w:keepLines w:val="0"/>
              <w:suppressLineNumbers w:val="0"/>
              <w:spacing w:before="0" w:beforeAutospacing="0" w:after="0" w:afterAutospacing="0"/>
              <w:ind w:left="0" w:right="0"/>
              <w:rPr>
                <w:rFonts w:hint="eastAsia" w:hAnsi="宋体"/>
                <w:color w:val="auto"/>
                <w:highlight w:val="none"/>
              </w:rPr>
            </w:pPr>
          </w:p>
        </w:tc>
        <w:tc>
          <w:tcPr>
            <w:tcW w:w="996" w:type="dxa"/>
            <w:noWrap w:val="0"/>
            <w:vAlign w:val="center"/>
          </w:tcPr>
          <w:p w14:paraId="22C1D0B1">
            <w:pPr>
              <w:pStyle w:val="20"/>
              <w:keepNext w:val="0"/>
              <w:keepLines w:val="0"/>
              <w:suppressLineNumbers w:val="0"/>
              <w:spacing w:before="0" w:beforeAutospacing="0" w:after="0" w:afterAutospacing="0"/>
              <w:ind w:left="0" w:right="0"/>
              <w:rPr>
                <w:rFonts w:hint="eastAsia" w:hAnsi="宋体"/>
                <w:color w:val="auto"/>
                <w:spacing w:val="-6"/>
                <w:highlight w:val="none"/>
              </w:rPr>
            </w:pPr>
          </w:p>
        </w:tc>
      </w:tr>
      <w:tr w14:paraId="07A9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noWrap w:val="0"/>
            <w:vAlign w:val="center"/>
          </w:tcPr>
          <w:p w14:paraId="22AFCC80">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w:t>
            </w:r>
          </w:p>
        </w:tc>
        <w:tc>
          <w:tcPr>
            <w:tcW w:w="1011" w:type="dxa"/>
            <w:noWrap w:val="0"/>
            <w:vAlign w:val="center"/>
          </w:tcPr>
          <w:p w14:paraId="73119638">
            <w:pPr>
              <w:keepNext w:val="0"/>
              <w:keepLines w:val="0"/>
              <w:suppressLineNumbers w:val="0"/>
              <w:spacing w:before="0" w:beforeAutospacing="0" w:after="0" w:afterAutospacing="0"/>
              <w:ind w:left="0" w:right="0"/>
              <w:jc w:val="center"/>
              <w:rPr>
                <w:rFonts w:hint="eastAsia" w:ascii="宋体" w:hAnsi="宋体" w:cs="Times New Roman"/>
                <w:color w:val="auto"/>
                <w:highlight w:val="none"/>
              </w:rPr>
            </w:pPr>
          </w:p>
        </w:tc>
        <w:tc>
          <w:tcPr>
            <w:tcW w:w="1267" w:type="dxa"/>
            <w:noWrap w:val="0"/>
            <w:vAlign w:val="center"/>
          </w:tcPr>
          <w:p w14:paraId="2CFD1F27">
            <w:pPr>
              <w:keepNext w:val="0"/>
              <w:keepLines w:val="0"/>
              <w:suppressLineNumbers w:val="0"/>
              <w:spacing w:before="0" w:beforeAutospacing="0" w:after="0" w:afterAutospacing="0"/>
              <w:ind w:left="0" w:right="0"/>
              <w:jc w:val="center"/>
              <w:rPr>
                <w:rFonts w:hint="eastAsia" w:ascii="宋体" w:hAnsi="宋体" w:cs="Times New Roman"/>
                <w:color w:val="auto"/>
                <w:highlight w:val="none"/>
              </w:rPr>
            </w:pPr>
          </w:p>
        </w:tc>
        <w:tc>
          <w:tcPr>
            <w:tcW w:w="713" w:type="dxa"/>
            <w:noWrap w:val="0"/>
            <w:vAlign w:val="center"/>
          </w:tcPr>
          <w:p w14:paraId="6F288669">
            <w:pPr>
              <w:pStyle w:val="20"/>
              <w:keepNext w:val="0"/>
              <w:keepLines w:val="0"/>
              <w:suppressLineNumbers w:val="0"/>
              <w:spacing w:before="0" w:beforeAutospacing="0" w:after="0" w:afterAutospacing="0"/>
              <w:ind w:left="0" w:right="0"/>
              <w:rPr>
                <w:rFonts w:hint="eastAsia" w:hAnsi="宋体"/>
                <w:color w:val="auto"/>
                <w:highlight w:val="none"/>
              </w:rPr>
            </w:pPr>
          </w:p>
        </w:tc>
        <w:tc>
          <w:tcPr>
            <w:tcW w:w="845" w:type="dxa"/>
            <w:noWrap w:val="0"/>
            <w:vAlign w:val="center"/>
          </w:tcPr>
          <w:p w14:paraId="43EEEC3A">
            <w:pPr>
              <w:pStyle w:val="20"/>
              <w:keepNext w:val="0"/>
              <w:keepLines w:val="0"/>
              <w:suppressLineNumbers w:val="0"/>
              <w:spacing w:before="0" w:beforeAutospacing="0" w:after="0" w:afterAutospacing="0"/>
              <w:ind w:left="0" w:right="0"/>
              <w:rPr>
                <w:rFonts w:hint="eastAsia" w:hAnsi="宋体"/>
                <w:color w:val="auto"/>
                <w:highlight w:val="none"/>
              </w:rPr>
            </w:pPr>
          </w:p>
        </w:tc>
        <w:tc>
          <w:tcPr>
            <w:tcW w:w="2645" w:type="dxa"/>
            <w:noWrap w:val="0"/>
            <w:vAlign w:val="center"/>
          </w:tcPr>
          <w:p w14:paraId="13B143AD">
            <w:pPr>
              <w:pStyle w:val="20"/>
              <w:keepNext w:val="0"/>
              <w:keepLines w:val="0"/>
              <w:suppressLineNumbers w:val="0"/>
              <w:spacing w:before="0" w:beforeAutospacing="0" w:after="0" w:afterAutospacing="0"/>
              <w:ind w:left="0" w:right="0"/>
              <w:rPr>
                <w:rFonts w:hint="eastAsia" w:hAnsi="宋体"/>
                <w:color w:val="auto"/>
                <w:highlight w:val="none"/>
              </w:rPr>
            </w:pPr>
          </w:p>
        </w:tc>
        <w:tc>
          <w:tcPr>
            <w:tcW w:w="823" w:type="dxa"/>
            <w:noWrap w:val="0"/>
            <w:vAlign w:val="center"/>
          </w:tcPr>
          <w:p w14:paraId="3DB1333F">
            <w:pPr>
              <w:pStyle w:val="20"/>
              <w:keepNext w:val="0"/>
              <w:keepLines w:val="0"/>
              <w:suppressLineNumbers w:val="0"/>
              <w:spacing w:before="0" w:beforeAutospacing="0" w:after="0" w:afterAutospacing="0"/>
              <w:ind w:left="0" w:right="0"/>
              <w:rPr>
                <w:rFonts w:hint="eastAsia" w:hAnsi="宋体"/>
                <w:color w:val="auto"/>
                <w:highlight w:val="none"/>
              </w:rPr>
            </w:pPr>
          </w:p>
        </w:tc>
        <w:tc>
          <w:tcPr>
            <w:tcW w:w="1419" w:type="dxa"/>
            <w:noWrap w:val="0"/>
            <w:vAlign w:val="center"/>
          </w:tcPr>
          <w:p w14:paraId="18C18E76">
            <w:pPr>
              <w:pStyle w:val="20"/>
              <w:keepNext w:val="0"/>
              <w:keepLines w:val="0"/>
              <w:suppressLineNumbers w:val="0"/>
              <w:spacing w:before="0" w:beforeAutospacing="0" w:after="0" w:afterAutospacing="0"/>
              <w:ind w:left="0" w:right="0"/>
              <w:rPr>
                <w:rFonts w:hint="eastAsia" w:hAnsi="宋体"/>
                <w:color w:val="auto"/>
                <w:highlight w:val="none"/>
              </w:rPr>
            </w:pPr>
          </w:p>
        </w:tc>
        <w:tc>
          <w:tcPr>
            <w:tcW w:w="996" w:type="dxa"/>
            <w:noWrap w:val="0"/>
            <w:vAlign w:val="center"/>
          </w:tcPr>
          <w:p w14:paraId="373C95E5">
            <w:pPr>
              <w:pStyle w:val="20"/>
              <w:keepNext w:val="0"/>
              <w:keepLines w:val="0"/>
              <w:suppressLineNumbers w:val="0"/>
              <w:spacing w:before="0" w:beforeAutospacing="0" w:after="0" w:afterAutospacing="0"/>
              <w:ind w:left="0" w:right="0"/>
              <w:rPr>
                <w:rFonts w:hint="eastAsia" w:hAnsi="宋体"/>
                <w:color w:val="auto"/>
                <w:spacing w:val="-6"/>
                <w:highlight w:val="none"/>
              </w:rPr>
            </w:pPr>
          </w:p>
        </w:tc>
      </w:tr>
      <w:tr w14:paraId="4EE4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45" w:type="dxa"/>
            <w:noWrap w:val="0"/>
            <w:vAlign w:val="center"/>
          </w:tcPr>
          <w:p w14:paraId="1F5A7256">
            <w:pPr>
              <w:keepNext w:val="0"/>
              <w:keepLines w:val="0"/>
              <w:suppressLineNumbers w:val="0"/>
              <w:spacing w:before="0" w:beforeAutospacing="0" w:after="0" w:afterAutospacing="0"/>
              <w:ind w:left="0" w:right="0"/>
              <w:jc w:val="center"/>
              <w:rPr>
                <w:rFonts w:hint="default" w:ascii="宋体" w:hAnsi="宋体" w:cs="Times New Roman"/>
                <w:color w:val="auto"/>
                <w:sz w:val="24"/>
                <w:highlight w:val="none"/>
              </w:rPr>
            </w:pPr>
            <w:r>
              <w:rPr>
                <w:rFonts w:hint="default" w:ascii="宋体" w:hAnsi="宋体" w:cs="Times New Roman"/>
                <w:color w:val="auto"/>
                <w:sz w:val="24"/>
                <w:highlight w:val="none"/>
              </w:rPr>
              <w:t>N</w:t>
            </w:r>
          </w:p>
        </w:tc>
        <w:tc>
          <w:tcPr>
            <w:tcW w:w="1011" w:type="dxa"/>
            <w:noWrap w:val="0"/>
            <w:vAlign w:val="center"/>
          </w:tcPr>
          <w:p w14:paraId="2D153F8A">
            <w:pPr>
              <w:keepNext w:val="0"/>
              <w:keepLines w:val="0"/>
              <w:suppressLineNumbers w:val="0"/>
              <w:spacing w:before="0" w:beforeAutospacing="0" w:after="0" w:afterAutospacing="0"/>
              <w:ind w:left="0" w:right="0"/>
              <w:jc w:val="center"/>
              <w:rPr>
                <w:rFonts w:hint="eastAsia" w:ascii="宋体" w:hAnsi="宋体" w:cs="Times New Roman"/>
                <w:color w:val="auto"/>
                <w:highlight w:val="none"/>
              </w:rPr>
            </w:pPr>
          </w:p>
        </w:tc>
        <w:tc>
          <w:tcPr>
            <w:tcW w:w="1267" w:type="dxa"/>
            <w:noWrap w:val="0"/>
            <w:vAlign w:val="center"/>
          </w:tcPr>
          <w:p w14:paraId="0073D147">
            <w:pPr>
              <w:keepNext w:val="0"/>
              <w:keepLines w:val="0"/>
              <w:suppressLineNumbers w:val="0"/>
              <w:spacing w:before="0" w:beforeAutospacing="0" w:after="0" w:afterAutospacing="0"/>
              <w:ind w:left="0" w:right="0"/>
              <w:jc w:val="center"/>
              <w:rPr>
                <w:rFonts w:hint="eastAsia" w:ascii="宋体" w:hAnsi="宋体" w:cs="Times New Roman"/>
                <w:color w:val="auto"/>
                <w:highlight w:val="none"/>
              </w:rPr>
            </w:pPr>
          </w:p>
        </w:tc>
        <w:tc>
          <w:tcPr>
            <w:tcW w:w="713" w:type="dxa"/>
            <w:noWrap w:val="0"/>
            <w:vAlign w:val="center"/>
          </w:tcPr>
          <w:p w14:paraId="7D5B8682">
            <w:pPr>
              <w:pStyle w:val="20"/>
              <w:keepNext w:val="0"/>
              <w:keepLines w:val="0"/>
              <w:suppressLineNumbers w:val="0"/>
              <w:spacing w:before="0" w:beforeAutospacing="0" w:after="0" w:afterAutospacing="0"/>
              <w:ind w:left="0" w:right="0"/>
              <w:rPr>
                <w:rFonts w:hint="eastAsia" w:hAnsi="宋体"/>
                <w:color w:val="auto"/>
                <w:highlight w:val="none"/>
              </w:rPr>
            </w:pPr>
          </w:p>
        </w:tc>
        <w:tc>
          <w:tcPr>
            <w:tcW w:w="845" w:type="dxa"/>
            <w:noWrap w:val="0"/>
            <w:vAlign w:val="center"/>
          </w:tcPr>
          <w:p w14:paraId="4CC76CEE">
            <w:pPr>
              <w:pStyle w:val="20"/>
              <w:keepNext w:val="0"/>
              <w:keepLines w:val="0"/>
              <w:suppressLineNumbers w:val="0"/>
              <w:spacing w:before="0" w:beforeAutospacing="0" w:after="0" w:afterAutospacing="0"/>
              <w:ind w:left="0" w:right="0"/>
              <w:rPr>
                <w:rFonts w:hint="eastAsia" w:hAnsi="宋体"/>
                <w:color w:val="auto"/>
                <w:highlight w:val="none"/>
              </w:rPr>
            </w:pPr>
          </w:p>
        </w:tc>
        <w:tc>
          <w:tcPr>
            <w:tcW w:w="2645" w:type="dxa"/>
            <w:noWrap w:val="0"/>
            <w:vAlign w:val="center"/>
          </w:tcPr>
          <w:p w14:paraId="488A1FBB">
            <w:pPr>
              <w:pStyle w:val="20"/>
              <w:keepNext w:val="0"/>
              <w:keepLines w:val="0"/>
              <w:suppressLineNumbers w:val="0"/>
              <w:spacing w:before="0" w:beforeAutospacing="0" w:after="0" w:afterAutospacing="0"/>
              <w:ind w:left="0" w:right="0"/>
              <w:rPr>
                <w:rFonts w:hint="eastAsia" w:hAnsi="宋体"/>
                <w:color w:val="auto"/>
                <w:highlight w:val="none"/>
              </w:rPr>
            </w:pPr>
          </w:p>
        </w:tc>
        <w:tc>
          <w:tcPr>
            <w:tcW w:w="823" w:type="dxa"/>
            <w:noWrap w:val="0"/>
            <w:vAlign w:val="center"/>
          </w:tcPr>
          <w:p w14:paraId="206A2050">
            <w:pPr>
              <w:pStyle w:val="20"/>
              <w:keepNext w:val="0"/>
              <w:keepLines w:val="0"/>
              <w:suppressLineNumbers w:val="0"/>
              <w:spacing w:before="0" w:beforeAutospacing="0" w:after="0" w:afterAutospacing="0"/>
              <w:ind w:left="0" w:right="0"/>
              <w:rPr>
                <w:rFonts w:hint="eastAsia" w:hAnsi="宋体"/>
                <w:color w:val="auto"/>
                <w:highlight w:val="none"/>
              </w:rPr>
            </w:pPr>
          </w:p>
        </w:tc>
        <w:tc>
          <w:tcPr>
            <w:tcW w:w="1419" w:type="dxa"/>
            <w:noWrap w:val="0"/>
            <w:vAlign w:val="center"/>
          </w:tcPr>
          <w:p w14:paraId="44F4F49A">
            <w:pPr>
              <w:pStyle w:val="20"/>
              <w:keepNext w:val="0"/>
              <w:keepLines w:val="0"/>
              <w:suppressLineNumbers w:val="0"/>
              <w:spacing w:before="0" w:beforeAutospacing="0" w:after="0" w:afterAutospacing="0"/>
              <w:ind w:left="0" w:right="0"/>
              <w:rPr>
                <w:rFonts w:hint="eastAsia" w:hAnsi="宋体"/>
                <w:color w:val="auto"/>
                <w:highlight w:val="none"/>
              </w:rPr>
            </w:pPr>
          </w:p>
        </w:tc>
        <w:tc>
          <w:tcPr>
            <w:tcW w:w="996" w:type="dxa"/>
            <w:noWrap w:val="0"/>
            <w:vAlign w:val="center"/>
          </w:tcPr>
          <w:p w14:paraId="49447F22">
            <w:pPr>
              <w:pStyle w:val="20"/>
              <w:keepNext w:val="0"/>
              <w:keepLines w:val="0"/>
              <w:suppressLineNumbers w:val="0"/>
              <w:spacing w:before="0" w:beforeAutospacing="0" w:after="0" w:afterAutospacing="0"/>
              <w:ind w:left="0" w:right="0"/>
              <w:rPr>
                <w:rFonts w:hint="eastAsia" w:hAnsi="宋体"/>
                <w:color w:val="auto"/>
                <w:spacing w:val="-6"/>
                <w:highlight w:val="none"/>
              </w:rPr>
            </w:pPr>
          </w:p>
        </w:tc>
      </w:tr>
      <w:tr w14:paraId="095B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0164" w:type="dxa"/>
            <w:gridSpan w:val="9"/>
            <w:noWrap w:val="0"/>
            <w:vAlign w:val="center"/>
          </w:tcPr>
          <w:p w14:paraId="5C761553">
            <w:pPr>
              <w:pStyle w:val="20"/>
              <w:keepNext w:val="0"/>
              <w:keepLines w:val="0"/>
              <w:suppressLineNumbers w:val="0"/>
              <w:spacing w:before="0" w:beforeAutospacing="0" w:after="0" w:afterAutospacing="0"/>
              <w:ind w:left="0" w:right="0"/>
              <w:rPr>
                <w:rFonts w:hint="eastAsia" w:hAnsi="宋体"/>
                <w:color w:val="auto"/>
                <w:spacing w:val="-6"/>
                <w:highlight w:val="none"/>
              </w:rPr>
            </w:pPr>
            <w:r>
              <w:rPr>
                <w:rFonts w:hint="eastAsia" w:hAnsi="宋体"/>
                <w:color w:val="auto"/>
                <w:spacing w:val="-6"/>
                <w:highlight w:val="none"/>
              </w:rPr>
              <w:t>总报价（人民币大写）：</w:t>
            </w:r>
            <w:r>
              <w:rPr>
                <w:rFonts w:hint="eastAsia" w:hAnsi="宋体"/>
                <w:color w:val="auto"/>
                <w:spacing w:val="-6"/>
                <w:highlight w:val="none"/>
                <w:u w:val="single"/>
              </w:rPr>
              <w:t xml:space="preserve">                                       </w:t>
            </w:r>
            <w:r>
              <w:rPr>
                <w:rFonts w:hint="eastAsia" w:hAnsi="宋体"/>
                <w:color w:val="auto"/>
                <w:spacing w:val="-6"/>
                <w:highlight w:val="none"/>
              </w:rPr>
              <w:t>（¥</w:t>
            </w:r>
            <w:r>
              <w:rPr>
                <w:rFonts w:hint="eastAsia" w:hAnsi="宋体"/>
                <w:color w:val="auto"/>
                <w:spacing w:val="-6"/>
                <w:highlight w:val="none"/>
                <w:u w:val="single"/>
              </w:rPr>
              <w:t xml:space="preserve">                </w:t>
            </w:r>
            <w:r>
              <w:rPr>
                <w:rFonts w:hint="eastAsia" w:hAnsi="宋体"/>
                <w:color w:val="auto"/>
                <w:spacing w:val="-6"/>
                <w:highlight w:val="none"/>
              </w:rPr>
              <w:t>元）</w:t>
            </w:r>
          </w:p>
        </w:tc>
      </w:tr>
    </w:tbl>
    <w:p w14:paraId="5B57D2DA">
      <w:pPr>
        <w:spacing w:line="400" w:lineRule="exact"/>
        <w:rPr>
          <w:rFonts w:hint="eastAsia" w:ascii="宋体" w:hAnsi="宋体"/>
          <w:color w:val="auto"/>
          <w:szCs w:val="21"/>
          <w:highlight w:val="none"/>
        </w:rPr>
      </w:pPr>
    </w:p>
    <w:p w14:paraId="385C375E">
      <w:pPr>
        <w:spacing w:line="400" w:lineRule="exact"/>
        <w:rPr>
          <w:rFonts w:hint="eastAsia" w:ascii="宋体" w:hAnsi="宋体"/>
          <w:color w:val="auto"/>
          <w:szCs w:val="21"/>
          <w:highlight w:val="none"/>
        </w:rPr>
      </w:pPr>
      <w:r>
        <w:rPr>
          <w:rFonts w:hint="eastAsia" w:ascii="宋体" w:hAnsi="宋体"/>
          <w:color w:val="auto"/>
          <w:szCs w:val="21"/>
          <w:highlight w:val="none"/>
        </w:rPr>
        <w:t>注：1、所有价格均用人民币表示，单位为元，精确到小数点后两位数。</w:t>
      </w:r>
    </w:p>
    <w:p w14:paraId="7A6BD1A7">
      <w:pPr>
        <w:spacing w:line="400" w:lineRule="exact"/>
        <w:ind w:firstLine="411" w:firstLineChars="196"/>
        <w:rPr>
          <w:rFonts w:hint="eastAsia" w:ascii="宋体" w:hAnsi="宋体"/>
          <w:color w:val="auto"/>
          <w:szCs w:val="21"/>
          <w:highlight w:val="none"/>
        </w:rPr>
      </w:pPr>
      <w:r>
        <w:rPr>
          <w:rFonts w:hint="eastAsia" w:hAnsi="宋体"/>
          <w:bCs/>
          <w:color w:val="auto"/>
          <w:highlight w:val="none"/>
        </w:rPr>
        <w:t>2、报价指货物、服务、随配附件、备品备件、工具、货物运抵指定交货地点、安装、调试的各种费用和售后服务、税金及其它所有成本、费用的总和</w:t>
      </w:r>
      <w:r>
        <w:rPr>
          <w:rFonts w:hint="eastAsia" w:ascii="宋体" w:hAnsi="宋体"/>
          <w:color w:val="auto"/>
          <w:szCs w:val="21"/>
          <w:highlight w:val="none"/>
        </w:rPr>
        <w:t>。</w:t>
      </w:r>
    </w:p>
    <w:p w14:paraId="5446435B">
      <w:pPr>
        <w:snapToGrid w:val="0"/>
        <w:spacing w:before="50" w:after="5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3、凡需用专用辅材、耗材的专用设备类采购项目，应按采购文件规定的辅材、耗材量或按耗材的常规试用量提供报价。</w:t>
      </w:r>
    </w:p>
    <w:p w14:paraId="2DCA49F6">
      <w:pPr>
        <w:snapToGrid w:val="0"/>
        <w:spacing w:before="50" w:after="5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4、报价表中的“货物名称”、“数量”、“单位”、“单价”、“单项合价”列必须填写；设备类项目“品牌、型号规格、生产厂家”列必须填写（定制产品和服务除外）。</w:t>
      </w:r>
    </w:p>
    <w:p w14:paraId="1C87F7EB">
      <w:pPr>
        <w:pStyle w:val="20"/>
        <w:spacing w:line="500" w:lineRule="exact"/>
        <w:ind w:firstLine="420" w:firstLineChars="200"/>
        <w:rPr>
          <w:rFonts w:hint="eastAsia" w:hAnsi="宋体"/>
          <w:color w:val="auto"/>
          <w:highlight w:val="none"/>
        </w:rPr>
      </w:pPr>
    </w:p>
    <w:p w14:paraId="27A58D59">
      <w:pPr>
        <w:pStyle w:val="20"/>
        <w:spacing w:line="500" w:lineRule="exact"/>
        <w:ind w:firstLine="420" w:firstLineChars="200"/>
        <w:rPr>
          <w:rFonts w:hint="eastAsia" w:hAnsi="宋体"/>
          <w:color w:val="auto"/>
          <w:highlight w:val="none"/>
          <w:u w:val="single"/>
        </w:rPr>
      </w:pPr>
      <w:r>
        <w:rPr>
          <w:rFonts w:hint="eastAsia" w:hAnsi="宋体"/>
          <w:color w:val="auto"/>
          <w:highlight w:val="none"/>
        </w:rPr>
        <w:t>法定代表人或委托代理人（签字或盖章）：</w:t>
      </w:r>
      <w:r>
        <w:rPr>
          <w:rFonts w:hint="eastAsia" w:hAnsi="宋体"/>
          <w:color w:val="auto"/>
          <w:highlight w:val="none"/>
          <w:u w:val="single"/>
        </w:rPr>
        <w:t xml:space="preserve">              </w:t>
      </w:r>
    </w:p>
    <w:p w14:paraId="0DC599E7">
      <w:pPr>
        <w:pStyle w:val="20"/>
        <w:spacing w:line="500" w:lineRule="exact"/>
        <w:ind w:firstLine="420" w:firstLineChars="200"/>
        <w:rPr>
          <w:rFonts w:hint="eastAsia" w:hAnsi="宋体"/>
          <w:color w:val="auto"/>
          <w:highlight w:val="none"/>
          <w:u w:val="single"/>
        </w:rPr>
      </w:pPr>
      <w:r>
        <w:rPr>
          <w:rFonts w:hint="eastAsia" w:hAnsi="宋体"/>
          <w:color w:val="auto"/>
          <w:highlight w:val="none"/>
        </w:rPr>
        <w:t>谈判供应商名称（盖章）：</w:t>
      </w:r>
      <w:r>
        <w:rPr>
          <w:rFonts w:hint="eastAsia" w:hAnsi="宋体"/>
          <w:color w:val="auto"/>
          <w:highlight w:val="none"/>
          <w:u w:val="single"/>
        </w:rPr>
        <w:t xml:space="preserve">                             </w:t>
      </w:r>
    </w:p>
    <w:p w14:paraId="0FED4956">
      <w:pPr>
        <w:spacing w:line="500" w:lineRule="exact"/>
        <w:ind w:firstLine="420" w:firstLineChars="200"/>
        <w:rPr>
          <w:rFonts w:hint="eastAsia" w:hAnsi="宋体"/>
          <w:color w:val="auto"/>
          <w:highlight w:val="none"/>
        </w:rPr>
      </w:pPr>
      <w:r>
        <w:rPr>
          <w:rFonts w:hint="eastAsia" w:hAnsi="宋体"/>
          <w:color w:val="auto"/>
          <w:highlight w:val="none"/>
        </w:rPr>
        <w:t>报价时间：</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int="eastAsia" w:hAnsi="宋体"/>
          <w:color w:val="auto"/>
          <w:highlight w:val="none"/>
        </w:rPr>
        <w:t>日</w:t>
      </w:r>
    </w:p>
    <w:p w14:paraId="2799F9DF">
      <w:pPr>
        <w:adjustRightInd w:val="0"/>
        <w:snapToGrid w:val="0"/>
        <w:spacing w:line="500" w:lineRule="exact"/>
        <w:ind w:left="-88" w:leftChars="-42"/>
        <w:rPr>
          <w:rFonts w:hint="eastAsia" w:ascii="宋体" w:hAnsi="宋体"/>
          <w:color w:val="auto"/>
          <w:szCs w:val="21"/>
          <w:highlight w:val="none"/>
        </w:rPr>
      </w:pPr>
      <w:r>
        <w:rPr>
          <w:rFonts w:hAnsi="宋体"/>
          <w:color w:val="auto"/>
          <w:highlight w:val="none"/>
        </w:rPr>
        <w:br w:type="page"/>
      </w:r>
      <w:r>
        <w:rPr>
          <w:rFonts w:hint="eastAsia" w:ascii="宋体" w:hAnsi="宋体"/>
          <w:b/>
          <w:color w:val="auto"/>
          <w:szCs w:val="21"/>
          <w:highlight w:val="none"/>
        </w:rPr>
        <w:t>附件二</w:t>
      </w:r>
    </w:p>
    <w:p w14:paraId="2382995D">
      <w:pPr>
        <w:spacing w:line="520" w:lineRule="exact"/>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谈  判  书</w:t>
      </w:r>
    </w:p>
    <w:p w14:paraId="3F95501D">
      <w:pPr>
        <w:spacing w:line="520" w:lineRule="exact"/>
        <w:jc w:val="center"/>
        <w:rPr>
          <w:rFonts w:hint="eastAsia" w:ascii="宋体" w:hAnsi="宋体"/>
          <w:b/>
          <w:color w:val="auto"/>
          <w:szCs w:val="21"/>
          <w:highlight w:val="none"/>
        </w:rPr>
      </w:pPr>
    </w:p>
    <w:p w14:paraId="30FA2FFD">
      <w:pPr>
        <w:pStyle w:val="20"/>
        <w:spacing w:line="520" w:lineRule="exact"/>
        <w:rPr>
          <w:rFonts w:hint="eastAsia" w:hAnsi="宋体"/>
          <w:color w:val="auto"/>
          <w:highlight w:val="none"/>
        </w:rPr>
      </w:pPr>
      <w:r>
        <w:rPr>
          <w:rFonts w:hint="eastAsia" w:hAnsi="宋体"/>
          <w:color w:val="auto"/>
          <w:highlight w:val="none"/>
          <w:u w:val="single"/>
        </w:rPr>
        <w:t>广西国力招标有限公司</w:t>
      </w:r>
      <w:r>
        <w:rPr>
          <w:rFonts w:hint="eastAsia" w:hAnsi="宋体"/>
          <w:color w:val="auto"/>
          <w:highlight w:val="none"/>
        </w:rPr>
        <w:t>：</w:t>
      </w:r>
    </w:p>
    <w:p w14:paraId="4BB13C61">
      <w:pPr>
        <w:pStyle w:val="20"/>
        <w:spacing w:line="520" w:lineRule="exact"/>
        <w:ind w:firstLine="480"/>
        <w:rPr>
          <w:rFonts w:hint="eastAsia" w:hAnsi="宋体"/>
          <w:color w:val="auto"/>
          <w:highlight w:val="none"/>
        </w:rPr>
      </w:pPr>
      <w:r>
        <w:rPr>
          <w:rFonts w:hint="eastAsia" w:hAnsi="宋体"/>
          <w:color w:val="auto"/>
          <w:highlight w:val="none"/>
        </w:rPr>
        <w:t>依据贵方</w:t>
      </w:r>
      <w:r>
        <w:rPr>
          <w:rFonts w:hint="eastAsia" w:hAnsi="宋体"/>
          <w:color w:val="auto"/>
          <w:highlight w:val="none"/>
          <w:u w:val="single"/>
        </w:rPr>
        <w:t>（采购项目名称/采购项目编号）</w:t>
      </w:r>
      <w:r>
        <w:rPr>
          <w:rFonts w:hint="eastAsia" w:hAnsi="宋体"/>
          <w:color w:val="auto"/>
          <w:highlight w:val="none"/>
        </w:rPr>
        <w:t>项目政府采购的谈判邀请，我方</w:t>
      </w:r>
      <w:r>
        <w:rPr>
          <w:rFonts w:hint="eastAsia" w:hAnsi="宋体"/>
          <w:color w:val="auto"/>
          <w:highlight w:val="none"/>
          <w:u w:val="single"/>
        </w:rPr>
        <w:t>（姓名和职务）</w:t>
      </w:r>
      <w:r>
        <w:rPr>
          <w:rFonts w:hint="eastAsia" w:hAnsi="宋体"/>
          <w:color w:val="auto"/>
          <w:highlight w:val="none"/>
        </w:rPr>
        <w:t>经正式授权并代表本单位</w:t>
      </w:r>
      <w:r>
        <w:rPr>
          <w:rFonts w:hint="eastAsia" w:hAnsi="宋体"/>
          <w:color w:val="auto"/>
          <w:highlight w:val="none"/>
          <w:u w:val="single"/>
        </w:rPr>
        <w:t>（谈判供应商名称、地址）</w:t>
      </w:r>
      <w:r>
        <w:rPr>
          <w:rFonts w:hint="eastAsia" w:hAnsi="宋体"/>
          <w:color w:val="auto"/>
          <w:highlight w:val="none"/>
        </w:rPr>
        <w:t>提交下述竞争性谈判响应文件</w:t>
      </w:r>
      <w:r>
        <w:rPr>
          <w:rFonts w:hint="eastAsia" w:hAnsi="宋体"/>
          <w:b/>
          <w:color w:val="auto"/>
          <w:highlight w:val="none"/>
        </w:rPr>
        <w:t>（资格文件、商务技术文件）。</w:t>
      </w:r>
    </w:p>
    <w:p w14:paraId="4EB74C10">
      <w:pPr>
        <w:pStyle w:val="20"/>
        <w:spacing w:line="520" w:lineRule="exact"/>
        <w:ind w:firstLine="480"/>
        <w:rPr>
          <w:rFonts w:hint="eastAsia" w:hAnsi="宋体"/>
          <w:color w:val="auto"/>
          <w:highlight w:val="none"/>
        </w:rPr>
      </w:pPr>
      <w:r>
        <w:rPr>
          <w:rFonts w:hint="eastAsia" w:hAnsi="宋体"/>
          <w:color w:val="auto"/>
          <w:highlight w:val="none"/>
        </w:rPr>
        <w:t>1. 资格文件；</w:t>
      </w:r>
    </w:p>
    <w:p w14:paraId="38CBE245">
      <w:pPr>
        <w:pStyle w:val="20"/>
        <w:spacing w:line="520" w:lineRule="exact"/>
        <w:ind w:firstLine="480"/>
        <w:rPr>
          <w:rFonts w:hint="eastAsia" w:hAnsi="宋体"/>
          <w:color w:val="auto"/>
          <w:highlight w:val="none"/>
        </w:rPr>
      </w:pPr>
      <w:r>
        <w:rPr>
          <w:rFonts w:hint="eastAsia" w:hAnsi="宋体"/>
          <w:color w:val="auto"/>
          <w:highlight w:val="none"/>
        </w:rPr>
        <w:t>2. 商务技术文件；</w:t>
      </w:r>
    </w:p>
    <w:p w14:paraId="73EE2410">
      <w:pPr>
        <w:pStyle w:val="20"/>
        <w:spacing w:line="520" w:lineRule="exact"/>
        <w:ind w:firstLine="480"/>
        <w:rPr>
          <w:rFonts w:hint="eastAsia" w:hAnsi="宋体"/>
          <w:color w:val="auto"/>
          <w:highlight w:val="none"/>
        </w:rPr>
      </w:pPr>
      <w:r>
        <w:rPr>
          <w:rFonts w:hint="eastAsia" w:hAnsi="宋体"/>
          <w:color w:val="auto"/>
          <w:highlight w:val="none"/>
        </w:rPr>
        <w:t>3. 按竞争性谈判文件谈判供应商须知和采购需求提供的有关文件；</w:t>
      </w:r>
    </w:p>
    <w:p w14:paraId="55EB3251">
      <w:pPr>
        <w:pStyle w:val="20"/>
        <w:spacing w:line="520" w:lineRule="exact"/>
        <w:ind w:firstLine="480"/>
        <w:rPr>
          <w:rFonts w:hint="eastAsia" w:hAnsi="宋体"/>
          <w:color w:val="auto"/>
          <w:highlight w:val="none"/>
        </w:rPr>
      </w:pPr>
      <w:r>
        <w:rPr>
          <w:rFonts w:hint="eastAsia" w:hAnsi="宋体"/>
          <w:color w:val="auto"/>
          <w:highlight w:val="none"/>
        </w:rPr>
        <w:t>在此，授权代表宣布同意如下：</w:t>
      </w:r>
    </w:p>
    <w:p w14:paraId="3804F698">
      <w:pPr>
        <w:pStyle w:val="20"/>
        <w:spacing w:line="520" w:lineRule="exact"/>
        <w:ind w:firstLine="480"/>
        <w:rPr>
          <w:rFonts w:hint="eastAsia" w:hAnsi="宋体"/>
          <w:color w:val="auto"/>
          <w:highlight w:val="none"/>
        </w:rPr>
      </w:pPr>
      <w:r>
        <w:rPr>
          <w:rFonts w:hint="eastAsia" w:hAnsi="宋体"/>
          <w:color w:val="auto"/>
          <w:highlight w:val="none"/>
        </w:rPr>
        <w:t>1. 将按竞争性谈判文件的约定履行合同责任和义务；</w:t>
      </w:r>
    </w:p>
    <w:p w14:paraId="16E500E6">
      <w:pPr>
        <w:pStyle w:val="20"/>
        <w:spacing w:line="520" w:lineRule="exact"/>
        <w:ind w:firstLine="480"/>
        <w:rPr>
          <w:rFonts w:hint="eastAsia" w:hAnsi="宋体"/>
          <w:color w:val="auto"/>
          <w:highlight w:val="none"/>
        </w:rPr>
      </w:pPr>
      <w:r>
        <w:rPr>
          <w:rFonts w:hint="eastAsia" w:hAnsi="宋体"/>
          <w:color w:val="auto"/>
          <w:highlight w:val="none"/>
        </w:rPr>
        <w:t>2. 已详细审查全部竞争性谈判文件，包括</w:t>
      </w:r>
      <w:r>
        <w:rPr>
          <w:rFonts w:hint="eastAsia" w:hAnsi="宋体"/>
          <w:color w:val="auto"/>
          <w:highlight w:val="none"/>
          <w:u w:val="single"/>
        </w:rPr>
        <w:t>（补遗文件）（如果有的话）</w:t>
      </w:r>
      <w:r>
        <w:rPr>
          <w:rFonts w:hint="eastAsia" w:hAnsi="宋体"/>
          <w:color w:val="auto"/>
          <w:highlight w:val="none"/>
        </w:rPr>
        <w:t>；</w:t>
      </w:r>
    </w:p>
    <w:p w14:paraId="7FA268C0">
      <w:pPr>
        <w:pStyle w:val="20"/>
        <w:spacing w:line="520" w:lineRule="exact"/>
        <w:ind w:firstLine="480"/>
        <w:rPr>
          <w:rFonts w:hint="eastAsia" w:hAnsi="宋体"/>
          <w:color w:val="auto"/>
          <w:highlight w:val="none"/>
        </w:rPr>
      </w:pPr>
      <w:r>
        <w:rPr>
          <w:rFonts w:hint="eastAsia" w:hAnsi="宋体"/>
          <w:color w:val="auto"/>
          <w:highlight w:val="none"/>
        </w:rPr>
        <w:t>3. 同意提供按照贵方可能要求的与其谈判有关的一切数据或资料；</w:t>
      </w:r>
    </w:p>
    <w:p w14:paraId="47CC5DFA">
      <w:pPr>
        <w:pStyle w:val="20"/>
        <w:spacing w:line="520" w:lineRule="exact"/>
        <w:ind w:firstLine="480"/>
        <w:rPr>
          <w:rFonts w:hint="default" w:hAnsi="宋体" w:eastAsia="宋体"/>
          <w:color w:val="auto"/>
          <w:highlight w:val="none"/>
          <w:lang w:val="en-US" w:eastAsia="zh-CN"/>
        </w:rPr>
      </w:pPr>
      <w:r>
        <w:rPr>
          <w:rFonts w:hint="eastAsia" w:hAnsi="宋体"/>
          <w:color w:val="auto"/>
          <w:highlight w:val="none"/>
          <w:lang w:val="en-US" w:eastAsia="zh-CN"/>
        </w:rPr>
        <w:t>4.竞争性谈判响应文件有效期：</w:t>
      </w:r>
      <w:r>
        <w:rPr>
          <w:rFonts w:hint="eastAsia" w:hAnsi="宋体"/>
          <w:color w:val="auto"/>
          <w:highlight w:val="none"/>
          <w:u w:val="single"/>
        </w:rPr>
        <w:t xml:space="preserve">                         </w:t>
      </w:r>
    </w:p>
    <w:p w14:paraId="3E75CB03">
      <w:pPr>
        <w:pStyle w:val="20"/>
        <w:spacing w:line="520" w:lineRule="exact"/>
        <w:ind w:firstLine="480"/>
        <w:rPr>
          <w:rFonts w:hint="eastAsia" w:hAnsi="宋体"/>
          <w:color w:val="auto"/>
          <w:highlight w:val="none"/>
          <w:u w:val="single"/>
        </w:rPr>
      </w:pPr>
      <w:r>
        <w:rPr>
          <w:rFonts w:hint="eastAsia" w:hAnsi="宋体"/>
          <w:color w:val="auto"/>
          <w:highlight w:val="none"/>
          <w:lang w:val="en-US" w:eastAsia="zh-CN"/>
        </w:rPr>
        <w:t>5</w:t>
      </w:r>
      <w:r>
        <w:rPr>
          <w:rFonts w:hint="eastAsia" w:hAnsi="宋体"/>
          <w:color w:val="auto"/>
          <w:highlight w:val="none"/>
        </w:rPr>
        <w:t>. 与本谈判有关的一切正式往来信函请寄：</w:t>
      </w:r>
      <w:r>
        <w:rPr>
          <w:rFonts w:hint="eastAsia" w:hAnsi="宋体"/>
          <w:color w:val="auto"/>
          <w:highlight w:val="none"/>
          <w:u w:val="single"/>
        </w:rPr>
        <w:t xml:space="preserve">                                    </w:t>
      </w:r>
    </w:p>
    <w:p w14:paraId="3F038610">
      <w:pPr>
        <w:pStyle w:val="20"/>
        <w:spacing w:line="520" w:lineRule="exact"/>
        <w:ind w:firstLine="840"/>
        <w:rPr>
          <w:rFonts w:hint="eastAsia" w:hAnsi="宋体"/>
          <w:color w:val="auto"/>
          <w:highlight w:val="none"/>
          <w:u w:val="single"/>
        </w:rPr>
      </w:pPr>
      <w:r>
        <w:rPr>
          <w:rFonts w:hint="eastAsia" w:hAnsi="宋体"/>
          <w:color w:val="auto"/>
          <w:highlight w:val="none"/>
        </w:rPr>
        <w:t>开户银行：</w:t>
      </w:r>
      <w:r>
        <w:rPr>
          <w:rFonts w:hint="eastAsia" w:hAnsi="宋体"/>
          <w:color w:val="auto"/>
          <w:highlight w:val="none"/>
          <w:u w:val="single"/>
        </w:rPr>
        <w:t xml:space="preserve">                         </w:t>
      </w:r>
      <w:r>
        <w:rPr>
          <w:rFonts w:hint="eastAsia" w:hAnsi="宋体"/>
          <w:color w:val="auto"/>
          <w:highlight w:val="none"/>
        </w:rPr>
        <w:t xml:space="preserve">  账号/行号：</w:t>
      </w:r>
      <w:r>
        <w:rPr>
          <w:rFonts w:hint="eastAsia" w:hAnsi="宋体"/>
          <w:color w:val="auto"/>
          <w:highlight w:val="none"/>
          <w:u w:val="single"/>
        </w:rPr>
        <w:t xml:space="preserve">                       </w:t>
      </w:r>
    </w:p>
    <w:p w14:paraId="1E77C925">
      <w:pPr>
        <w:pStyle w:val="20"/>
        <w:spacing w:line="520" w:lineRule="exact"/>
        <w:ind w:firstLine="840"/>
        <w:rPr>
          <w:rFonts w:hint="eastAsia" w:hAnsi="宋体"/>
          <w:color w:val="auto"/>
          <w:highlight w:val="none"/>
        </w:rPr>
      </w:pPr>
      <w:r>
        <w:rPr>
          <w:rFonts w:hint="eastAsia" w:hAnsi="宋体"/>
          <w:color w:val="auto"/>
          <w:highlight w:val="none"/>
        </w:rPr>
        <w:t>电话/传真：</w:t>
      </w:r>
      <w:r>
        <w:rPr>
          <w:rFonts w:hint="eastAsia" w:hAnsi="宋体"/>
          <w:color w:val="auto"/>
          <w:highlight w:val="none"/>
          <w:u w:val="single"/>
        </w:rPr>
        <w:t xml:space="preserve">                        </w:t>
      </w:r>
      <w:r>
        <w:rPr>
          <w:rFonts w:hint="eastAsia" w:hAnsi="宋体"/>
          <w:color w:val="auto"/>
          <w:highlight w:val="none"/>
        </w:rPr>
        <w:t xml:space="preserve"> 电子函件：</w:t>
      </w:r>
      <w:r>
        <w:rPr>
          <w:rFonts w:hint="eastAsia" w:hAnsi="宋体"/>
          <w:color w:val="auto"/>
          <w:highlight w:val="none"/>
          <w:u w:val="single"/>
        </w:rPr>
        <w:t xml:space="preserve">                         </w:t>
      </w:r>
    </w:p>
    <w:p w14:paraId="4C370CAE">
      <w:pPr>
        <w:pStyle w:val="20"/>
        <w:spacing w:line="520" w:lineRule="exact"/>
        <w:ind w:firstLine="840"/>
        <w:rPr>
          <w:rFonts w:hint="eastAsia" w:hAnsi="宋体"/>
          <w:color w:val="auto"/>
          <w:highlight w:val="none"/>
          <w:u w:val="single"/>
        </w:rPr>
      </w:pPr>
      <w:r>
        <w:rPr>
          <w:rFonts w:hint="eastAsia" w:hAnsi="宋体"/>
          <w:color w:val="auto"/>
          <w:highlight w:val="none"/>
        </w:rPr>
        <w:t>日期：</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int="eastAsia" w:hAnsi="宋体"/>
          <w:color w:val="auto"/>
          <w:highlight w:val="none"/>
        </w:rPr>
        <w:t>日</w:t>
      </w:r>
    </w:p>
    <w:p w14:paraId="16DE5663">
      <w:pPr>
        <w:pStyle w:val="20"/>
        <w:spacing w:line="520" w:lineRule="exact"/>
        <w:ind w:firstLine="840"/>
        <w:rPr>
          <w:rFonts w:hint="eastAsia" w:hAnsi="宋体"/>
          <w:color w:val="auto"/>
          <w:highlight w:val="none"/>
          <w:u w:val="single"/>
        </w:rPr>
      </w:pPr>
      <w:r>
        <w:rPr>
          <w:rFonts w:hint="eastAsia" w:hAnsi="宋体"/>
          <w:color w:val="auto"/>
          <w:highlight w:val="none"/>
        </w:rPr>
        <w:t>法定代表人或</w:t>
      </w:r>
      <w:r>
        <w:rPr>
          <w:rFonts w:hint="eastAsia"/>
          <w:color w:val="auto"/>
          <w:highlight w:val="none"/>
        </w:rPr>
        <w:t>委托代理人（被授权人）</w:t>
      </w:r>
      <w:r>
        <w:rPr>
          <w:rFonts w:hint="eastAsia" w:hAnsi="宋体"/>
          <w:color w:val="auto"/>
          <w:highlight w:val="none"/>
        </w:rPr>
        <w:t>签字或盖章：</w:t>
      </w:r>
      <w:r>
        <w:rPr>
          <w:rFonts w:hint="eastAsia" w:hAnsi="宋体"/>
          <w:color w:val="auto"/>
          <w:highlight w:val="none"/>
          <w:u w:val="single"/>
        </w:rPr>
        <w:t xml:space="preserve">                       </w:t>
      </w:r>
    </w:p>
    <w:p w14:paraId="1695EBB9">
      <w:pPr>
        <w:pStyle w:val="20"/>
        <w:spacing w:line="520" w:lineRule="exact"/>
        <w:ind w:firstLine="840"/>
        <w:rPr>
          <w:rFonts w:hint="eastAsia" w:hAnsi="宋体"/>
          <w:color w:val="auto"/>
          <w:highlight w:val="none"/>
        </w:rPr>
      </w:pPr>
      <w:r>
        <w:rPr>
          <w:rFonts w:hint="eastAsia" w:hAnsi="宋体"/>
          <w:color w:val="auto"/>
          <w:highlight w:val="none"/>
        </w:rPr>
        <w:t>谈判供应商名称（盖章）：</w:t>
      </w:r>
      <w:r>
        <w:rPr>
          <w:rFonts w:hint="eastAsia" w:hAnsi="宋体"/>
          <w:color w:val="auto"/>
          <w:highlight w:val="none"/>
          <w:u w:val="single"/>
        </w:rPr>
        <w:t xml:space="preserve">                                                </w:t>
      </w:r>
    </w:p>
    <w:p w14:paraId="0E6F8C30">
      <w:pPr>
        <w:pStyle w:val="20"/>
        <w:spacing w:line="520" w:lineRule="exact"/>
        <w:ind w:firstLine="840"/>
        <w:rPr>
          <w:rFonts w:hint="eastAsia" w:hAnsi="宋体"/>
          <w:color w:val="auto"/>
          <w:highlight w:val="none"/>
        </w:rPr>
      </w:pPr>
      <w:r>
        <w:rPr>
          <w:rFonts w:hint="eastAsia" w:hAnsi="宋体"/>
          <w:color w:val="auto"/>
          <w:highlight w:val="none"/>
        </w:rPr>
        <w:t xml:space="preserve">                     </w:t>
      </w:r>
    </w:p>
    <w:p w14:paraId="75D58824">
      <w:pPr>
        <w:adjustRightInd w:val="0"/>
        <w:snapToGrid w:val="0"/>
        <w:spacing w:line="300" w:lineRule="auto"/>
        <w:ind w:left="-88" w:leftChars="-42"/>
        <w:rPr>
          <w:rFonts w:hint="eastAsia" w:ascii="宋体" w:hAnsi="宋体"/>
          <w:color w:val="auto"/>
          <w:szCs w:val="21"/>
          <w:highlight w:val="none"/>
        </w:rPr>
      </w:pPr>
    </w:p>
    <w:p w14:paraId="2E2F3ED3">
      <w:pPr>
        <w:adjustRightInd w:val="0"/>
        <w:snapToGrid w:val="0"/>
        <w:spacing w:line="300" w:lineRule="auto"/>
        <w:ind w:left="-88" w:leftChars="-42"/>
        <w:rPr>
          <w:rFonts w:hint="eastAsia" w:ascii="宋体" w:hAnsi="宋体"/>
          <w:color w:val="auto"/>
          <w:szCs w:val="21"/>
          <w:highlight w:val="none"/>
        </w:rPr>
      </w:pPr>
    </w:p>
    <w:p w14:paraId="13D2A862">
      <w:pPr>
        <w:adjustRightInd w:val="0"/>
        <w:snapToGrid w:val="0"/>
        <w:spacing w:line="300" w:lineRule="auto"/>
        <w:ind w:left="-88" w:leftChars="-42"/>
        <w:rPr>
          <w:rFonts w:hint="eastAsia" w:ascii="宋体" w:hAnsi="宋体"/>
          <w:color w:val="auto"/>
          <w:szCs w:val="21"/>
          <w:highlight w:val="none"/>
        </w:rPr>
      </w:pPr>
    </w:p>
    <w:p w14:paraId="29C7CE7B">
      <w:pPr>
        <w:adjustRightInd w:val="0"/>
        <w:snapToGrid w:val="0"/>
        <w:spacing w:line="300" w:lineRule="auto"/>
        <w:ind w:left="-88" w:leftChars="-42"/>
        <w:rPr>
          <w:rFonts w:hint="eastAsia" w:ascii="宋体" w:hAnsi="宋体"/>
          <w:color w:val="auto"/>
          <w:szCs w:val="21"/>
          <w:highlight w:val="none"/>
        </w:rPr>
      </w:pPr>
    </w:p>
    <w:p w14:paraId="5D842DB8">
      <w:pPr>
        <w:adjustRightInd w:val="0"/>
        <w:snapToGrid w:val="0"/>
        <w:spacing w:line="300" w:lineRule="auto"/>
        <w:ind w:left="-88" w:leftChars="-42"/>
        <w:rPr>
          <w:rFonts w:hint="eastAsia" w:ascii="宋体" w:hAnsi="宋体"/>
          <w:color w:val="auto"/>
          <w:szCs w:val="21"/>
          <w:highlight w:val="none"/>
        </w:rPr>
      </w:pPr>
    </w:p>
    <w:p w14:paraId="7FE35609">
      <w:pPr>
        <w:adjustRightInd w:val="0"/>
        <w:snapToGrid w:val="0"/>
        <w:spacing w:line="300" w:lineRule="auto"/>
        <w:ind w:left="-88" w:leftChars="-42"/>
        <w:rPr>
          <w:rFonts w:hint="eastAsia" w:ascii="宋体" w:hAnsi="宋体"/>
          <w:color w:val="auto"/>
          <w:szCs w:val="21"/>
          <w:highlight w:val="none"/>
        </w:rPr>
      </w:pPr>
    </w:p>
    <w:p w14:paraId="2FA6A2D0">
      <w:pPr>
        <w:spacing w:line="520" w:lineRule="exact"/>
        <w:jc w:val="center"/>
        <w:rPr>
          <w:rFonts w:hint="eastAsia" w:ascii="宋体" w:hAnsi="宋体"/>
          <w:b/>
          <w:color w:val="auto"/>
          <w:sz w:val="32"/>
          <w:szCs w:val="32"/>
          <w:highlight w:val="none"/>
        </w:rPr>
      </w:pPr>
      <w:r>
        <w:rPr>
          <w:rFonts w:ascii="宋体" w:hAnsi="宋体"/>
          <w:color w:val="auto"/>
          <w:sz w:val="32"/>
          <w:szCs w:val="32"/>
          <w:highlight w:val="none"/>
        </w:rPr>
        <w:br w:type="page"/>
      </w:r>
      <w:r>
        <w:rPr>
          <w:rFonts w:hint="eastAsia" w:ascii="仿宋_GB2312" w:hAnsi="宋体" w:eastAsia="仿宋_GB2312"/>
          <w:b/>
          <w:color w:val="auto"/>
          <w:sz w:val="32"/>
          <w:szCs w:val="32"/>
          <w:highlight w:val="none"/>
        </w:rPr>
        <w:t>竞标声明书</w:t>
      </w:r>
    </w:p>
    <w:p w14:paraId="7EE19D2C">
      <w:pPr>
        <w:spacing w:line="320" w:lineRule="exact"/>
        <w:jc w:val="center"/>
        <w:rPr>
          <w:rFonts w:hint="eastAsia" w:ascii="宋体" w:hAnsi="宋体"/>
          <w:color w:val="auto"/>
          <w:sz w:val="24"/>
          <w:szCs w:val="20"/>
          <w:highlight w:val="none"/>
        </w:rPr>
      </w:pPr>
    </w:p>
    <w:p w14:paraId="0643DA66">
      <w:pPr>
        <w:snapToGrid w:val="0"/>
        <w:spacing w:before="156" w:beforeLines="50" w:after="50" w:line="38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广西国力招标有限公司</w:t>
      </w:r>
      <w:r>
        <w:rPr>
          <w:rFonts w:hint="eastAsia" w:ascii="宋体" w:hAnsi="宋体"/>
          <w:color w:val="auto"/>
          <w:szCs w:val="21"/>
          <w:highlight w:val="none"/>
        </w:rPr>
        <w:t>：</w:t>
      </w:r>
    </w:p>
    <w:p w14:paraId="49657565">
      <w:pPr>
        <w:snapToGrid w:val="0"/>
        <w:spacing w:before="156" w:beforeLines="50" w:after="50" w:line="380" w:lineRule="exac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（供应商名称）系中华人民共和国合法企业，经营地址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FFB741B">
      <w:pPr>
        <w:snapToGrid w:val="0"/>
        <w:spacing w:before="156" w:beforeLines="50"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（供应商名称）的法定代表人，我方愿意参加贵方组织的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项目的竞标，为便于贵方公正、择优地确定成交供应商及其竞标产品和服务，我方就本次竞标有关事项郑重声明如下：</w:t>
      </w:r>
    </w:p>
    <w:p w14:paraId="5B2F8D10">
      <w:pPr>
        <w:snapToGrid w:val="0"/>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14:paraId="1D29BFE5">
      <w:pPr>
        <w:snapToGrid w:val="0"/>
        <w:spacing w:before="156" w:beforeLines="50"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2.我方在获知本项目采购信息后，与采购人聘请的为此项目提供咨询服务的公司及其附属机构没有任何联系。</w:t>
      </w:r>
    </w:p>
    <w:p w14:paraId="6C6C0E74">
      <w:pPr>
        <w:snapToGrid w:val="0"/>
        <w:spacing w:before="156" w:beforeLines="50"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3.我方此次向贵方提供的产品名称为：</w:t>
      </w:r>
      <w:r>
        <w:rPr>
          <w:rFonts w:hint="eastAsia" w:ascii="宋体" w:hAnsi="宋体"/>
          <w:color w:val="auto"/>
          <w:szCs w:val="21"/>
          <w:highlight w:val="none"/>
          <w:u w:val="single"/>
        </w:rPr>
        <w:t xml:space="preserve">                              </w:t>
      </w:r>
      <w:r>
        <w:rPr>
          <w:rFonts w:hint="eastAsia" w:ascii="宋体" w:hAnsi="宋体"/>
          <w:color w:val="auto"/>
          <w:szCs w:val="21"/>
          <w:highlight w:val="none"/>
        </w:rPr>
        <w:t>；规格型号：</w:t>
      </w:r>
      <w:r>
        <w:rPr>
          <w:rFonts w:hint="eastAsia" w:ascii="宋体" w:hAnsi="宋体"/>
          <w:color w:val="auto"/>
          <w:szCs w:val="21"/>
          <w:highlight w:val="none"/>
          <w:u w:val="single"/>
        </w:rPr>
        <w:t xml:space="preserve">                           </w:t>
      </w:r>
      <w:r>
        <w:rPr>
          <w:rFonts w:hint="eastAsia" w:ascii="宋体" w:hAnsi="宋体"/>
          <w:color w:val="auto"/>
          <w:szCs w:val="21"/>
          <w:highlight w:val="none"/>
        </w:rPr>
        <w:t>；该型号产品我方有现货可供，并已于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月生产完工或向</w:t>
      </w:r>
      <w:r>
        <w:rPr>
          <w:rFonts w:hint="eastAsia" w:ascii="宋体" w:hAnsi="宋体"/>
          <w:color w:val="auto"/>
          <w:szCs w:val="21"/>
          <w:highlight w:val="none"/>
          <w:u w:val="single"/>
        </w:rPr>
        <w:t xml:space="preserve">　　              </w:t>
      </w:r>
      <w:r>
        <w:rPr>
          <w:rFonts w:hint="eastAsia" w:ascii="宋体" w:hAnsi="宋体"/>
          <w:color w:val="auto"/>
          <w:szCs w:val="21"/>
          <w:highlight w:val="none"/>
        </w:rPr>
        <w:t>（原厂商名称）购进［</w:t>
      </w:r>
      <w:r>
        <w:rPr>
          <w:rFonts w:hint="eastAsia" w:ascii="宋体" w:hAnsi="宋体"/>
          <w:bCs/>
          <w:color w:val="auto"/>
          <w:szCs w:val="21"/>
          <w:highlight w:val="none"/>
        </w:rPr>
        <w:t>或</w:t>
      </w:r>
      <w:r>
        <w:rPr>
          <w:rFonts w:hint="eastAsia" w:ascii="宋体" w:hAnsi="宋体"/>
          <w:color w:val="auto"/>
          <w:szCs w:val="21"/>
          <w:highlight w:val="none"/>
        </w:rPr>
        <w:t>需在中标后向</w:t>
      </w:r>
      <w:r>
        <w:rPr>
          <w:rFonts w:hint="eastAsia" w:ascii="宋体" w:hAnsi="宋体"/>
          <w:color w:val="auto"/>
          <w:szCs w:val="21"/>
          <w:highlight w:val="none"/>
          <w:u w:val="single"/>
        </w:rPr>
        <w:t xml:space="preserve">               </w:t>
      </w:r>
      <w:r>
        <w:rPr>
          <w:rFonts w:hint="eastAsia" w:ascii="宋体" w:hAnsi="宋体"/>
          <w:color w:val="auto"/>
          <w:szCs w:val="21"/>
          <w:highlight w:val="none"/>
        </w:rPr>
        <w:t>订购］。</w:t>
      </w:r>
    </w:p>
    <w:p w14:paraId="0D50E551">
      <w:pPr>
        <w:snapToGrid w:val="0"/>
        <w:spacing w:before="156" w:beforeLines="50"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4.我方诚意提请贵方关注：近期有关该型号产品的生产、供货、售后服务以及性能等方面的重大决策和事项有：</w:t>
      </w:r>
    </w:p>
    <w:p w14:paraId="311AE859">
      <w:pPr>
        <w:snapToGrid w:val="0"/>
        <w:spacing w:before="156" w:beforeLines="50" w:line="38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　　　　　　　　　　　　　　　　　　　　　　　　　　　</w:t>
      </w:r>
    </w:p>
    <w:p w14:paraId="559008B3">
      <w:pPr>
        <w:snapToGrid w:val="0"/>
        <w:spacing w:before="156" w:beforeLines="50"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u w:val="single"/>
        </w:rPr>
        <w:t>　　　　　　　　　　　　　　　　　　　　　　　　　　　</w:t>
      </w:r>
    </w:p>
    <w:p w14:paraId="7652DB4F">
      <w:pPr>
        <w:pStyle w:val="17"/>
        <w:snapToGrid w:val="0"/>
        <w:spacing w:line="380" w:lineRule="exact"/>
        <w:ind w:firstLine="420" w:firstLineChars="200"/>
        <w:rPr>
          <w:rFonts w:hint="eastAsia" w:ascii="宋体" w:hAnsi="宋体"/>
          <w:color w:val="auto"/>
          <w:sz w:val="21"/>
          <w:szCs w:val="21"/>
          <w:highlight w:val="none"/>
          <w:u w:val="single"/>
        </w:rPr>
      </w:pPr>
      <w:r>
        <w:rPr>
          <w:rFonts w:hint="eastAsia" w:ascii="宋体" w:hAnsi="宋体" w:eastAsia="宋体"/>
          <w:color w:val="auto"/>
          <w:sz w:val="21"/>
          <w:szCs w:val="21"/>
          <w:highlight w:val="none"/>
        </w:rPr>
        <w:t>5. 以上事项如有虚假或隐瞒，我方愿意承担一切后果，并不再寻求任何旨在减轻或免除法律责任的辩解。</w:t>
      </w:r>
    </w:p>
    <w:p w14:paraId="7267037E">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 根据</w:t>
      </w:r>
      <w:r>
        <w:rPr>
          <w:rFonts w:ascii="宋体" w:hAnsi="宋体"/>
          <w:color w:val="auto"/>
          <w:szCs w:val="21"/>
          <w:highlight w:val="none"/>
        </w:rPr>
        <w:t>《中华人民共和国政府采购法实施条例》第五十条要求对政府采购合同进行公告</w:t>
      </w:r>
      <w:r>
        <w:rPr>
          <w:rFonts w:hint="eastAsia" w:ascii="宋体" w:hAnsi="宋体"/>
          <w:color w:val="auto"/>
          <w:szCs w:val="21"/>
          <w:highlight w:val="none"/>
        </w:rPr>
        <w:t>，</w:t>
      </w:r>
      <w:r>
        <w:rPr>
          <w:rFonts w:ascii="宋体" w:hAnsi="宋体"/>
          <w:color w:val="auto"/>
          <w:szCs w:val="21"/>
          <w:highlight w:val="none"/>
        </w:rPr>
        <w:t>但政府采购合同中涉及国家秘密、商业秘密的内容除外。</w:t>
      </w:r>
      <w:r>
        <w:rPr>
          <w:rFonts w:hint="eastAsia" w:ascii="宋体" w:hAnsi="宋体"/>
          <w:color w:val="auto"/>
          <w:szCs w:val="21"/>
          <w:highlight w:val="none"/>
        </w:rPr>
        <w:t>我方就对本次响应文件进行注明如下：（两项内容中必须选择一项）</w:t>
      </w:r>
    </w:p>
    <w:p w14:paraId="54426455">
      <w:pPr>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□我方本次响应文件</w:t>
      </w:r>
      <w:r>
        <w:rPr>
          <w:rFonts w:ascii="宋体" w:hAnsi="宋体" w:cs="宋体"/>
          <w:color w:val="auto"/>
          <w:kern w:val="0"/>
          <w:szCs w:val="21"/>
          <w:highlight w:val="none"/>
        </w:rPr>
        <w:t>内容中</w:t>
      </w:r>
      <w:r>
        <w:rPr>
          <w:rFonts w:hint="eastAsia" w:ascii="宋体" w:hAnsi="宋体"/>
          <w:color w:val="auto"/>
          <w:szCs w:val="21"/>
          <w:highlight w:val="none"/>
        </w:rPr>
        <w:t>未</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w:t>
      </w:r>
    </w:p>
    <w:p w14:paraId="09DAD9B2">
      <w:pPr>
        <w:spacing w:line="38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□我方本次响应文件</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的</w:t>
      </w:r>
      <w:r>
        <w:rPr>
          <w:rFonts w:ascii="宋体" w:hAnsi="宋体" w:cs="宋体"/>
          <w:color w:val="auto"/>
          <w:kern w:val="0"/>
          <w:szCs w:val="21"/>
          <w:highlight w:val="none"/>
        </w:rPr>
        <w:t>内容</w:t>
      </w:r>
      <w:r>
        <w:rPr>
          <w:rFonts w:hint="eastAsia" w:ascii="宋体" w:hAnsi="宋体" w:cs="宋体"/>
          <w:color w:val="auto"/>
          <w:kern w:val="0"/>
          <w:szCs w:val="21"/>
          <w:highlight w:val="none"/>
        </w:rPr>
        <w:t>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FA6B34C">
      <w:pPr>
        <w:snapToGrid w:val="0"/>
        <w:spacing w:line="38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 我方在此声明，我方及由本人担任法定代表人的其他机构在参加本项目的政府采购活动前三年内，在经营活动中没有重大违法记录，符合《中华人民共和国政府采购法》及《</w:t>
      </w:r>
      <w:r>
        <w:rPr>
          <w:rFonts w:hint="eastAsia" w:ascii="宋体" w:hAnsi="宋体"/>
          <w:color w:val="auto"/>
          <w:szCs w:val="21"/>
          <w:highlight w:val="none"/>
          <w:lang w:eastAsia="zh-CN"/>
        </w:rPr>
        <w:t>中华人民共和国政府采购法实施条例</w:t>
      </w:r>
      <w:r>
        <w:rPr>
          <w:rFonts w:hint="eastAsia" w:ascii="宋体" w:hAnsi="宋体"/>
          <w:color w:val="auto"/>
          <w:szCs w:val="21"/>
          <w:highlight w:val="none"/>
        </w:rPr>
        <w:t>》规定的供应商条件，我方对此声明负全部法律责任。</w:t>
      </w:r>
    </w:p>
    <w:p w14:paraId="1FDDEA99">
      <w:pPr>
        <w:pStyle w:val="19"/>
        <w:tabs>
          <w:tab w:val="left" w:pos="939"/>
        </w:tabs>
        <w:snapToGrid w:val="0"/>
        <w:spacing w:line="380" w:lineRule="exact"/>
        <w:ind w:left="849" w:leftChars="150" w:hanging="534" w:hangingChars="191"/>
        <w:rPr>
          <w:rFonts w:hint="eastAsia" w:ascii="宋体" w:hAnsi="宋体"/>
          <w:color w:val="auto"/>
          <w:szCs w:val="21"/>
          <w:highlight w:val="none"/>
        </w:rPr>
      </w:pPr>
    </w:p>
    <w:p w14:paraId="5CEF3892">
      <w:pPr>
        <w:pStyle w:val="64"/>
        <w:snapToGrid w:val="0"/>
        <w:spacing w:before="156" w:beforeLines="50" w:line="380" w:lineRule="exact"/>
        <w:ind w:firstLine="200"/>
        <w:rPr>
          <w:rFonts w:hint="eastAsia" w:ascii="宋体" w:hAnsi="宋体"/>
          <w:color w:val="auto"/>
          <w:sz w:val="21"/>
          <w:szCs w:val="21"/>
          <w:highlight w:val="none"/>
        </w:rPr>
      </w:pPr>
    </w:p>
    <w:p w14:paraId="6C22E0DB">
      <w:pPr>
        <w:snapToGrid w:val="0"/>
        <w:spacing w:before="156" w:beforeLines="50" w:line="380" w:lineRule="exact"/>
        <w:ind w:right="480" w:firstLine="4792" w:firstLineChars="2282"/>
        <w:rPr>
          <w:rFonts w:hint="eastAsia" w:ascii="宋体" w:hAnsi="宋体"/>
          <w:color w:val="auto"/>
          <w:szCs w:val="21"/>
          <w:highlight w:val="none"/>
          <w:u w:val="single"/>
        </w:rPr>
      </w:pPr>
      <w:r>
        <w:rPr>
          <w:rFonts w:hint="eastAsia" w:ascii="宋体" w:hAnsi="宋体"/>
          <w:color w:val="auto"/>
          <w:szCs w:val="21"/>
          <w:highlight w:val="none"/>
        </w:rPr>
        <w:t>法定代表人签字或盖章：</w:t>
      </w:r>
      <w:r>
        <w:rPr>
          <w:rFonts w:hint="eastAsia" w:ascii="宋体" w:hAnsi="宋体"/>
          <w:color w:val="auto"/>
          <w:szCs w:val="21"/>
          <w:highlight w:val="none"/>
          <w:u w:val="single"/>
        </w:rPr>
        <w:t xml:space="preserve">             </w:t>
      </w:r>
    </w:p>
    <w:p w14:paraId="4CD619E2">
      <w:pPr>
        <w:snapToGrid w:val="0"/>
        <w:spacing w:before="156" w:beforeLines="50" w:after="50" w:line="380" w:lineRule="exact"/>
        <w:ind w:right="480" w:firstLine="4830" w:firstLineChars="2300"/>
        <w:rPr>
          <w:rFonts w:hint="eastAsia" w:ascii="宋体" w:hAnsi="宋体"/>
          <w:color w:val="auto"/>
          <w:szCs w:val="21"/>
          <w:highlight w:val="none"/>
        </w:rPr>
      </w:pPr>
      <w:r>
        <w:rPr>
          <w:rFonts w:hint="eastAsia" w:ascii="宋体" w:hAnsi="宋体"/>
          <w:color w:val="auto"/>
          <w:szCs w:val="21"/>
          <w:highlight w:val="none"/>
        </w:rPr>
        <w:t>供应商公章：</w:t>
      </w:r>
      <w:r>
        <w:rPr>
          <w:rFonts w:hint="eastAsia" w:ascii="宋体" w:hAnsi="宋体"/>
          <w:color w:val="auto"/>
          <w:szCs w:val="21"/>
          <w:highlight w:val="none"/>
          <w:u w:val="single"/>
        </w:rPr>
        <w:t xml:space="preserve">                 </w:t>
      </w:r>
    </w:p>
    <w:p w14:paraId="7D330D4C">
      <w:pPr>
        <w:snapToGrid w:val="0"/>
        <w:spacing w:before="156" w:beforeLines="50" w:after="50" w:line="380" w:lineRule="exact"/>
        <w:ind w:right="480" w:firstLine="210" w:firstLineChars="100"/>
        <w:jc w:val="right"/>
        <w:rPr>
          <w:rFonts w:hint="eastAsia" w:ascii="宋体" w:hAnsi="宋体"/>
          <w:color w:val="auto"/>
          <w:szCs w:val="21"/>
          <w:highlight w:val="none"/>
        </w:rPr>
      </w:pPr>
      <w:r>
        <w:rPr>
          <w:rFonts w:hint="eastAsia" w:ascii="宋体" w:hAnsi="宋体"/>
          <w:color w:val="auto"/>
          <w:szCs w:val="21"/>
          <w:highlight w:val="none"/>
        </w:rPr>
        <w:t xml:space="preserve"> 年    月    日</w:t>
      </w:r>
    </w:p>
    <w:p w14:paraId="1E693D68">
      <w:pPr>
        <w:adjustRightInd w:val="0"/>
        <w:snapToGrid w:val="0"/>
        <w:spacing w:line="300" w:lineRule="auto"/>
        <w:ind w:left="-88" w:leftChars="-42"/>
        <w:rPr>
          <w:rFonts w:hint="eastAsia" w:ascii="宋体" w:hAnsi="宋体"/>
          <w:color w:val="auto"/>
          <w:szCs w:val="21"/>
          <w:highlight w:val="none"/>
        </w:rPr>
      </w:pPr>
    </w:p>
    <w:p w14:paraId="2EA333C0">
      <w:pPr>
        <w:pStyle w:val="20"/>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left"/>
        <w:textAlignment w:val="auto"/>
        <w:rPr>
          <w:rFonts w:hint="eastAsia" w:hAnsi="宋体"/>
          <w:color w:val="auto"/>
          <w:szCs w:val="21"/>
          <w:highlight w:val="none"/>
          <w:lang w:val="en-US" w:eastAsia="zh-CN"/>
        </w:rPr>
      </w:pPr>
      <w:r>
        <w:rPr>
          <w:rFonts w:ascii="宋体" w:hAnsi="宋体"/>
          <w:color w:val="auto"/>
          <w:szCs w:val="21"/>
          <w:highlight w:val="none"/>
        </w:rPr>
        <w:br w:type="page"/>
      </w:r>
      <w:r>
        <w:rPr>
          <w:rFonts w:hint="eastAsia" w:hAnsi="宋体"/>
          <w:b/>
          <w:bCs/>
          <w:color w:val="auto"/>
          <w:szCs w:val="21"/>
          <w:highlight w:val="none"/>
          <w:lang w:val="en-US" w:eastAsia="zh-CN"/>
        </w:rPr>
        <w:t xml:space="preserve">附件二 </w:t>
      </w:r>
    </w:p>
    <w:p w14:paraId="3524D0B7">
      <w:pPr>
        <w:pStyle w:val="20"/>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供应商直接控股、管理关系信息表</w:t>
      </w:r>
    </w:p>
    <w:p w14:paraId="41F070A0">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Cs w:val="21"/>
          <w:highlight w:val="none"/>
          <w:lang w:eastAsia="zh-CN"/>
        </w:rPr>
      </w:pPr>
    </w:p>
    <w:p w14:paraId="08794E43">
      <w:pPr>
        <w:snapToGrid w:val="0"/>
        <w:spacing w:before="50" w:afterLines="50" w:line="360" w:lineRule="auto"/>
        <w:jc w:val="center"/>
        <w:rPr>
          <w:rFonts w:ascii="宋体" w:hAnsi="宋体" w:cs="宋体"/>
          <w:b/>
          <w:color w:val="auto"/>
          <w:kern w:val="0"/>
          <w:sz w:val="28"/>
          <w:szCs w:val="28"/>
          <w:highlight w:val="none"/>
        </w:rPr>
      </w:pPr>
      <w:r>
        <w:rPr>
          <w:rFonts w:hint="eastAsia" w:ascii="宋体" w:hAnsi="宋体" w:eastAsia="宋体" w:cs="宋体"/>
          <w:b/>
          <w:color w:val="auto"/>
          <w:kern w:val="0"/>
          <w:sz w:val="28"/>
          <w:szCs w:val="28"/>
          <w:highlight w:val="none"/>
          <w:lang w:val="en-US" w:eastAsia="zh-CN" w:bidi="ar-SA"/>
        </w:rPr>
        <w:t>供应商</w:t>
      </w:r>
      <w:r>
        <w:rPr>
          <w:rFonts w:hint="eastAsia" w:ascii="宋体" w:hAnsi="宋体" w:cs="宋体"/>
          <w:b/>
          <w:color w:val="auto"/>
          <w:kern w:val="0"/>
          <w:sz w:val="28"/>
          <w:szCs w:val="28"/>
          <w:highlight w:val="none"/>
        </w:rPr>
        <w:t>直接控股股东信息表</w:t>
      </w:r>
    </w:p>
    <w:tbl>
      <w:tblPr>
        <w:tblStyle w:val="37"/>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B0076E9">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27EF3C5">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7F80EA0">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0CFBD81">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ABFAB02">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13B918">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0C66FED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4D6897">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ED4CEC">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3CC8E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E73EAD">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EFED6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r w14:paraId="39E0FD2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81AB33">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7283E4">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4B37CF">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824C0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DD35B3">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r w14:paraId="3203080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22ACC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F740F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8E649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90A6FD">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72885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r w14:paraId="568937F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FF05D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32956E">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696C5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1EDF4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9EFC97">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bl>
    <w:p w14:paraId="454D9C6D">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注：</w:t>
      </w:r>
    </w:p>
    <w:p w14:paraId="56A2DCE7">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w:t>
      </w:r>
      <w:r>
        <w:rPr>
          <w:rFonts w:hint="eastAsia" w:ascii="宋体" w:hAnsi="宋体" w:cs="宋体"/>
          <w:color w:val="auto"/>
          <w:sz w:val="21"/>
          <w:szCs w:val="21"/>
          <w:highlight w:val="none"/>
          <w:lang w:eastAsia="zh-CN"/>
        </w:rPr>
        <w:t>股东会</w:t>
      </w:r>
      <w:r>
        <w:rPr>
          <w:rFonts w:hint="eastAsia" w:ascii="宋体" w:hAnsi="宋体" w:cs="宋体"/>
          <w:color w:val="auto"/>
          <w:sz w:val="21"/>
          <w:szCs w:val="21"/>
          <w:highlight w:val="none"/>
        </w:rPr>
        <w:t>的决议产生重大影响的股东。</w:t>
      </w:r>
    </w:p>
    <w:p w14:paraId="38E2D35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3B481E6B">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3.供应商不存在直接控股股东的，则填“无”。</w:t>
      </w:r>
    </w:p>
    <w:p w14:paraId="65F82BD5">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p>
    <w:p w14:paraId="5C46022A">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ascii="宋体" w:hAnsi="宋体" w:cs="宋体"/>
          <w:color w:val="auto"/>
          <w:sz w:val="21"/>
          <w:szCs w:val="21"/>
          <w:highlight w:val="none"/>
        </w:rPr>
      </w:pPr>
    </w:p>
    <w:p w14:paraId="6D0AD2E9">
      <w:pPr>
        <w:keepNext w:val="0"/>
        <w:keepLines w:val="0"/>
        <w:pageBreakBefore w:val="0"/>
        <w:widowControl w:val="0"/>
        <w:kinsoku/>
        <w:wordWrap/>
        <w:overflowPunct/>
        <w:topLinePunct w:val="0"/>
        <w:autoSpaceDE/>
        <w:autoSpaceDN/>
        <w:bidi w:val="0"/>
        <w:adjustRightInd/>
        <w:snapToGrid w:val="0"/>
        <w:spacing w:line="500" w:lineRule="exact"/>
        <w:ind w:firstLine="4410" w:firstLineChars="21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zh-CN"/>
        </w:rPr>
        <w:t>供应商名称(电子签章)：</w:t>
      </w:r>
    </w:p>
    <w:p w14:paraId="6C8898FC">
      <w:pPr>
        <w:keepNext w:val="0"/>
        <w:keepLines w:val="0"/>
        <w:pageBreakBefore w:val="0"/>
        <w:widowControl w:val="0"/>
        <w:kinsoku/>
        <w:wordWrap/>
        <w:overflowPunct/>
        <w:topLinePunct w:val="0"/>
        <w:autoSpaceDE/>
        <w:autoSpaceDN/>
        <w:bidi w:val="0"/>
        <w:adjustRightInd/>
        <w:snapToGrid w:val="0"/>
        <w:spacing w:line="500" w:lineRule="exact"/>
        <w:ind w:firstLine="4515" w:firstLineChars="2150"/>
        <w:textAlignment w:val="auto"/>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日期</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rPr>
        <w:t xml:space="preserve"> 年  </w:t>
      </w:r>
      <w:r>
        <w:rPr>
          <w:rFonts w:hint="eastAsia" w:ascii="宋体" w:hAnsi="宋体" w:cs="宋体"/>
          <w:color w:val="auto"/>
          <w:kern w:val="0"/>
          <w:sz w:val="21"/>
          <w:szCs w:val="21"/>
          <w:highlight w:val="none"/>
          <w:lang w:val="zh-CN"/>
        </w:rPr>
        <w:t>月</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日</w:t>
      </w:r>
    </w:p>
    <w:p w14:paraId="7FA687F6">
      <w:pPr>
        <w:snapToGrid w:val="0"/>
        <w:jc w:val="center"/>
        <w:rPr>
          <w:rFonts w:ascii="宋体" w:hAnsi="宋体" w:cs="宋体"/>
          <w:b/>
          <w:color w:val="auto"/>
          <w:sz w:val="21"/>
          <w:szCs w:val="21"/>
          <w:highlight w:val="none"/>
        </w:rPr>
      </w:pPr>
      <w:r>
        <w:rPr>
          <w:rFonts w:hint="eastAsia" w:ascii="宋体" w:hAnsi="宋体" w:cs="宋体"/>
          <w:b/>
          <w:color w:val="auto"/>
          <w:sz w:val="21"/>
          <w:szCs w:val="21"/>
          <w:highlight w:val="none"/>
        </w:rPr>
        <w:br w:type="page"/>
      </w:r>
    </w:p>
    <w:p w14:paraId="4DC0B833">
      <w:pPr>
        <w:snapToGrid w:val="0"/>
        <w:spacing w:line="360" w:lineRule="auto"/>
        <w:jc w:val="center"/>
        <w:rPr>
          <w:rFonts w:ascii="宋体" w:hAnsi="宋体" w:cs="宋体"/>
          <w:color w:val="auto"/>
          <w:sz w:val="28"/>
          <w:szCs w:val="28"/>
          <w:highlight w:val="none"/>
        </w:rPr>
      </w:pPr>
      <w:r>
        <w:rPr>
          <w:rFonts w:hint="eastAsia" w:ascii="宋体" w:hAnsi="宋体" w:cs="宋体"/>
          <w:b/>
          <w:color w:val="auto"/>
          <w:sz w:val="28"/>
          <w:szCs w:val="28"/>
          <w:highlight w:val="none"/>
        </w:rPr>
        <w:t>供应商直接管理关系信息表</w:t>
      </w:r>
    </w:p>
    <w:tbl>
      <w:tblPr>
        <w:tblStyle w:val="37"/>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A389C7A">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7E4DF67">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2B9D79">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B1E5419">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8730846">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152A4AA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23677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B0057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71D0C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8A5D8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r w14:paraId="6414AE8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AAE0F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E39972">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A85EB3">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63407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r w14:paraId="6096AC5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3F7BC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EB9DD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356AA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95E9EC">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r w14:paraId="61A80B5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A8B92F">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C44DEF">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4241FD">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B6AEDC">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1"/>
                <w:szCs w:val="21"/>
                <w:highlight w:val="none"/>
              </w:rPr>
            </w:pPr>
          </w:p>
        </w:tc>
      </w:tr>
    </w:tbl>
    <w:p w14:paraId="0B25458B">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F14BA77">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4493A431">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2.本表所指的管理关系仅限于直接管理关系，不包括间接的管理关系。</w:t>
      </w:r>
    </w:p>
    <w:p w14:paraId="25A487EB">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15732EE8">
      <w:pPr>
        <w:snapToGrid w:val="0"/>
        <w:spacing w:line="360" w:lineRule="auto"/>
        <w:jc w:val="left"/>
        <w:rPr>
          <w:rFonts w:ascii="宋体" w:hAnsi="宋体" w:cs="宋体"/>
          <w:color w:val="auto"/>
          <w:sz w:val="21"/>
          <w:szCs w:val="21"/>
          <w:highlight w:val="none"/>
        </w:rPr>
      </w:pPr>
    </w:p>
    <w:p w14:paraId="7914FE04">
      <w:pPr>
        <w:snapToGrid w:val="0"/>
        <w:spacing w:line="360" w:lineRule="auto"/>
        <w:jc w:val="left"/>
        <w:rPr>
          <w:rFonts w:ascii="宋体" w:hAnsi="宋体" w:cs="宋体"/>
          <w:color w:val="auto"/>
          <w:sz w:val="21"/>
          <w:szCs w:val="21"/>
          <w:highlight w:val="none"/>
        </w:rPr>
      </w:pPr>
    </w:p>
    <w:p w14:paraId="06EC2753">
      <w:pPr>
        <w:keepNext w:val="0"/>
        <w:keepLines w:val="0"/>
        <w:pageBreakBefore w:val="0"/>
        <w:widowControl w:val="0"/>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供应商名称(电子签章)：</w:t>
      </w:r>
    </w:p>
    <w:p w14:paraId="24867E74">
      <w:pPr>
        <w:keepNext w:val="0"/>
        <w:keepLines w:val="0"/>
        <w:pageBreakBefore w:val="0"/>
        <w:widowControl w:val="0"/>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  年  月   日</w:t>
      </w:r>
    </w:p>
    <w:p w14:paraId="0B0C498A">
      <w:pPr>
        <w:snapToGrid w:val="0"/>
        <w:spacing w:before="50" w:afterLines="50"/>
        <w:jc w:val="left"/>
        <w:rPr>
          <w:rFonts w:ascii="宋体" w:hAnsi="宋体" w:cs="宋体"/>
          <w:color w:val="auto"/>
          <w:sz w:val="21"/>
          <w:szCs w:val="21"/>
          <w:highlight w:val="none"/>
        </w:rPr>
      </w:pPr>
    </w:p>
    <w:p w14:paraId="053DFC7E">
      <w:pPr>
        <w:pStyle w:val="16"/>
        <w:ind w:firstLine="48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br w:type="page"/>
      </w:r>
      <w:r>
        <w:rPr>
          <w:rFonts w:hint="eastAsia" w:ascii="宋体" w:hAnsi="宋体" w:eastAsia="宋体" w:cs="宋体"/>
          <w:b/>
          <w:bCs/>
          <w:color w:val="auto"/>
          <w:szCs w:val="21"/>
          <w:highlight w:val="none"/>
          <w:lang w:val="en-US" w:eastAsia="zh-CN"/>
        </w:rPr>
        <w:t>附件三</w:t>
      </w:r>
    </w:p>
    <w:p w14:paraId="68F7973A">
      <w:pPr>
        <w:snapToGrid w:val="0"/>
        <w:spacing w:before="50" w:after="50"/>
        <w:jc w:val="center"/>
        <w:rPr>
          <w:rFonts w:hint="eastAsia" w:ascii="宋体" w:hAnsi="宋体" w:cs="宋体"/>
          <w:b/>
          <w:color w:val="auto"/>
          <w:sz w:val="32"/>
          <w:highlight w:val="none"/>
        </w:rPr>
      </w:pPr>
    </w:p>
    <w:p w14:paraId="37850BFC">
      <w:pPr>
        <w:snapToGrid w:val="0"/>
        <w:spacing w:before="50" w:after="50"/>
        <w:jc w:val="center"/>
        <w:rPr>
          <w:rFonts w:hint="eastAsia" w:ascii="宋体" w:hAnsi="宋体" w:cs="宋体"/>
          <w:b/>
          <w:color w:val="auto"/>
          <w:sz w:val="28"/>
          <w:szCs w:val="22"/>
          <w:highlight w:val="none"/>
        </w:rPr>
      </w:pPr>
      <w:r>
        <w:rPr>
          <w:rFonts w:hint="eastAsia" w:ascii="宋体" w:hAnsi="宋体" w:cs="宋体"/>
          <w:b/>
          <w:color w:val="auto"/>
          <w:sz w:val="28"/>
          <w:szCs w:val="22"/>
          <w:highlight w:val="none"/>
          <w:lang w:val="en-US" w:eastAsia="zh-CN"/>
        </w:rPr>
        <w:t>供应商</w:t>
      </w:r>
      <w:r>
        <w:rPr>
          <w:rFonts w:hint="eastAsia" w:ascii="宋体" w:hAnsi="宋体" w:cs="宋体"/>
          <w:b/>
          <w:color w:val="auto"/>
          <w:sz w:val="28"/>
          <w:szCs w:val="22"/>
          <w:highlight w:val="none"/>
        </w:rPr>
        <w:t>参加本项目无围标串标行为的承诺函</w:t>
      </w:r>
    </w:p>
    <w:p w14:paraId="6A0601C3">
      <w:pPr>
        <w:pStyle w:val="36"/>
        <w:rPr>
          <w:color w:val="auto"/>
          <w:sz w:val="21"/>
          <w:szCs w:val="21"/>
          <w:highlight w:val="none"/>
        </w:rPr>
      </w:pPr>
    </w:p>
    <w:p w14:paraId="25037F6F">
      <w:pPr>
        <w:spacing w:line="440" w:lineRule="exact"/>
        <w:contextualSpacing/>
        <w:jc w:val="left"/>
        <w:rPr>
          <w:rFonts w:ascii="宋体" w:hAnsi="宋体" w:cs="宋体"/>
          <w:b/>
          <w:color w:val="auto"/>
          <w:sz w:val="21"/>
          <w:szCs w:val="21"/>
          <w:highlight w:val="none"/>
        </w:rPr>
      </w:pPr>
      <w:bookmarkStart w:id="57" w:name="OLE_LINK45"/>
      <w:bookmarkStart w:id="58" w:name="OLE_LINK44"/>
      <w:r>
        <w:rPr>
          <w:rFonts w:hint="eastAsia" w:ascii="宋体" w:hAnsi="宋体" w:cs="宋体"/>
          <w:b/>
          <w:color w:val="auto"/>
          <w:sz w:val="21"/>
          <w:szCs w:val="21"/>
          <w:highlight w:val="none"/>
        </w:rPr>
        <w:t>一、我方承诺无下列相互串通投标的情形：</w:t>
      </w:r>
    </w:p>
    <w:p w14:paraId="2AE7CE22">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1.不同投标人的投标文件由同一单位或者个人编制；或者不同投标人报名的IP地址一致的；或者编制标书硬件设备CPU编号、硬盘编号、网卡地址一致的情况；</w:t>
      </w:r>
    </w:p>
    <w:p w14:paraId="61F5EF6E">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2.不同投标人委托同一单位或者个人办理投标事宜；</w:t>
      </w:r>
    </w:p>
    <w:p w14:paraId="46E51E1C">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3.不同的投标人的投标文件载明的项目管理员为同一个人；</w:t>
      </w:r>
    </w:p>
    <w:p w14:paraId="4FD14BD4">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4.不同投标人的投标文件异常一致或者投标报价呈规律性差异；</w:t>
      </w:r>
    </w:p>
    <w:p w14:paraId="3CC5783B">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5.不同投标人的投标文件相互混装；</w:t>
      </w:r>
    </w:p>
    <w:p w14:paraId="424041B5">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6.不同投标人的投标保证金从同一单位或者个人账户转出。</w:t>
      </w:r>
    </w:p>
    <w:p w14:paraId="4948F275">
      <w:pPr>
        <w:spacing w:line="440" w:lineRule="exact"/>
        <w:contextualSpacing/>
        <w:jc w:val="left"/>
        <w:rPr>
          <w:rFonts w:ascii="宋体" w:hAnsi="宋体" w:cs="宋体"/>
          <w:color w:val="auto"/>
          <w:sz w:val="21"/>
          <w:szCs w:val="21"/>
          <w:highlight w:val="none"/>
        </w:rPr>
      </w:pPr>
      <w:r>
        <w:rPr>
          <w:rFonts w:hint="eastAsia" w:ascii="宋体" w:hAnsi="宋体" w:cs="宋体"/>
          <w:b/>
          <w:color w:val="auto"/>
          <w:sz w:val="21"/>
          <w:szCs w:val="21"/>
          <w:highlight w:val="none"/>
        </w:rPr>
        <w:t>二、我方承诺无下列恶意串通的情形：</w:t>
      </w:r>
    </w:p>
    <w:p w14:paraId="0F4D66C0">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1.投标人直接或者间接从采购人或者采购代理机构处获得其他投标人的相关信息并修改其投标文件或者响应文件；</w:t>
      </w:r>
    </w:p>
    <w:p w14:paraId="2313E15A">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2.投标人按照采购人或者采购代理机构的授意撤换、修改投标文件或者响应文件；</w:t>
      </w:r>
    </w:p>
    <w:p w14:paraId="7F3A0D84">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3.投标人之间协商报价、技术方案等投标文件或者响应文件的实质性内容；</w:t>
      </w:r>
    </w:p>
    <w:p w14:paraId="17CA27C5">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4.属于同一集团、协会、商会等组织成员的投标人按照该组织要求协同参加政府采购活动；</w:t>
      </w:r>
    </w:p>
    <w:p w14:paraId="4D16489D">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6AF6DBFF">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6.投标人之间商定部分投标人放弃参加政府采购活动或者放弃中标；</w:t>
      </w:r>
    </w:p>
    <w:p w14:paraId="3C558376">
      <w:pPr>
        <w:spacing w:line="440" w:lineRule="exact"/>
        <w:ind w:firstLine="411" w:firstLineChars="196"/>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7.投标人与采购人或者采购代理机构之间、投标人相互之间，为谋求特定投标人中标或者排斥其他投标人的其他串通行为。</w:t>
      </w:r>
    </w:p>
    <w:p w14:paraId="70B1091E">
      <w:pPr>
        <w:spacing w:line="440" w:lineRule="exact"/>
        <w:ind w:firstLine="413" w:firstLineChars="196"/>
        <w:contextualSpacing/>
        <w:jc w:val="left"/>
        <w:rPr>
          <w:rFonts w:ascii="宋体" w:hAnsi="宋体" w:cs="宋体"/>
          <w:b/>
          <w:color w:val="auto"/>
          <w:sz w:val="21"/>
          <w:szCs w:val="21"/>
          <w:highlight w:val="none"/>
        </w:rPr>
      </w:pPr>
      <w:r>
        <w:rPr>
          <w:rFonts w:hint="eastAsia" w:ascii="宋体" w:hAnsi="宋体" w:cs="宋体"/>
          <w:b/>
          <w:color w:val="auto"/>
          <w:sz w:val="21"/>
          <w:szCs w:val="21"/>
          <w:highlight w:val="none"/>
        </w:rPr>
        <w:t>以上情形一经核查属实，接受政府采购监管部门对我方认定存在围标串标行为，我方愿意承担一切后果，并不再寻求任何旨在减轻或者免除法律责任的辩解。</w:t>
      </w:r>
      <w:bookmarkEnd w:id="57"/>
      <w:bookmarkEnd w:id="58"/>
    </w:p>
    <w:p w14:paraId="77C58B66">
      <w:pPr>
        <w:pStyle w:val="20"/>
        <w:spacing w:line="440" w:lineRule="exact"/>
        <w:ind w:firstLine="5985" w:firstLineChars="2850"/>
        <w:contextualSpacing/>
        <w:rPr>
          <w:rFonts w:hAnsi="宋体" w:cs="宋体"/>
          <w:color w:val="auto"/>
          <w:sz w:val="21"/>
          <w:szCs w:val="21"/>
          <w:highlight w:val="none"/>
        </w:rPr>
      </w:pPr>
    </w:p>
    <w:p w14:paraId="45268154">
      <w:pPr>
        <w:spacing w:line="360" w:lineRule="auto"/>
        <w:ind w:firstLine="420" w:firstLineChars="200"/>
        <w:contextualSpacing/>
        <w:rPr>
          <w:rFonts w:ascii="宋体" w:hAnsi="宋体" w:cs="宋体"/>
          <w:color w:val="auto"/>
          <w:sz w:val="21"/>
          <w:szCs w:val="21"/>
          <w:highlight w:val="none"/>
          <w:u w:val="single"/>
        </w:rPr>
      </w:pPr>
      <w:r>
        <w:rPr>
          <w:rFonts w:hint="eastAsia" w:hAnsi="宋体" w:cs="宋体"/>
          <w:color w:val="auto"/>
          <w:sz w:val="21"/>
          <w:szCs w:val="21"/>
          <w:highlight w:val="none"/>
        </w:rPr>
        <w:t>供应商名称（电子签章）：</w:t>
      </w:r>
    </w:p>
    <w:p w14:paraId="6894F324">
      <w:pPr>
        <w:spacing w:line="360" w:lineRule="auto"/>
        <w:ind w:firstLine="420" w:firstLineChars="200"/>
        <w:contextualSpacing/>
        <w:rPr>
          <w:rFonts w:hAnsi="宋体" w:cs="宋体"/>
          <w:color w:val="auto"/>
          <w:sz w:val="21"/>
          <w:szCs w:val="21"/>
          <w:highlight w:val="none"/>
        </w:rPr>
      </w:pPr>
      <w:r>
        <w:rPr>
          <w:rFonts w:hint="eastAsia" w:hAnsi="宋体" w:cs="宋体"/>
          <w:color w:val="auto"/>
          <w:sz w:val="21"/>
          <w:szCs w:val="21"/>
          <w:highlight w:val="none"/>
        </w:rPr>
        <w:t>日期：</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rPr>
        <w:t>年</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rPr>
        <w:t>月</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rPr>
        <w:t>日</w:t>
      </w:r>
    </w:p>
    <w:p w14:paraId="2E5A0F5E">
      <w:pPr>
        <w:adjustRightInd w:val="0"/>
        <w:snapToGrid w:val="0"/>
        <w:spacing w:line="500" w:lineRule="exact"/>
        <w:ind w:left="-88" w:leftChars="-42"/>
        <w:rPr>
          <w:rFonts w:hint="eastAsia" w:ascii="宋体" w:hAnsi="宋体"/>
          <w:b/>
          <w:color w:val="auto"/>
          <w:szCs w:val="21"/>
          <w:highlight w:val="none"/>
        </w:rPr>
      </w:pPr>
      <w:r>
        <w:rPr>
          <w:rFonts w:hint="eastAsia" w:ascii="宋体" w:hAnsi="宋体"/>
          <w:b/>
          <w:color w:val="auto"/>
          <w:szCs w:val="21"/>
          <w:highlight w:val="none"/>
        </w:rPr>
        <w:br w:type="page"/>
      </w:r>
      <w:r>
        <w:rPr>
          <w:rFonts w:hint="eastAsia" w:ascii="宋体" w:hAnsi="宋体"/>
          <w:b/>
          <w:color w:val="auto"/>
          <w:szCs w:val="21"/>
          <w:highlight w:val="none"/>
        </w:rPr>
        <w:t>附件</w:t>
      </w:r>
      <w:r>
        <w:rPr>
          <w:rFonts w:hint="eastAsia" w:ascii="宋体" w:hAnsi="宋体"/>
          <w:b/>
          <w:color w:val="auto"/>
          <w:szCs w:val="21"/>
          <w:highlight w:val="none"/>
          <w:lang w:val="en-US" w:eastAsia="zh-CN"/>
        </w:rPr>
        <w:t>四</w:t>
      </w:r>
      <w:r>
        <w:rPr>
          <w:rFonts w:hint="eastAsia" w:ascii="宋体" w:hAnsi="宋体"/>
          <w:b/>
          <w:color w:val="auto"/>
          <w:szCs w:val="21"/>
          <w:highlight w:val="none"/>
        </w:rPr>
        <w:t xml:space="preserve"> </w:t>
      </w:r>
    </w:p>
    <w:p w14:paraId="5FC9D71E">
      <w:pPr>
        <w:spacing w:line="300" w:lineRule="auto"/>
        <w:rPr>
          <w:rFonts w:hint="eastAsia" w:ascii="宋体" w:hAnsi="宋体"/>
          <w:b/>
          <w:color w:val="auto"/>
          <w:szCs w:val="21"/>
          <w:highlight w:val="none"/>
        </w:rPr>
      </w:pPr>
    </w:p>
    <w:p w14:paraId="44F3A6FF">
      <w:pPr>
        <w:spacing w:line="300" w:lineRule="auto"/>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商务、技术响应、偏离情况说明表</w:t>
      </w:r>
    </w:p>
    <w:p w14:paraId="02F928D2">
      <w:pPr>
        <w:spacing w:line="300" w:lineRule="auto"/>
        <w:rPr>
          <w:rFonts w:hint="eastAsia" w:ascii="宋体" w:hAnsi="宋体"/>
          <w:color w:val="auto"/>
          <w:szCs w:val="21"/>
          <w:highlight w:val="none"/>
        </w:rPr>
      </w:pPr>
    </w:p>
    <w:p w14:paraId="2A5D87EB">
      <w:pPr>
        <w:spacing w:line="500" w:lineRule="exact"/>
        <w:rPr>
          <w:rFonts w:hint="eastAsia" w:ascii="宋体" w:hAnsi="宋体"/>
          <w:color w:val="auto"/>
          <w:szCs w:val="21"/>
          <w:highlight w:val="none"/>
          <w:u w:val="single"/>
        </w:rPr>
      </w:pPr>
      <w:r>
        <w:rPr>
          <w:rFonts w:hint="eastAsia" w:ascii="宋体" w:hAnsi="宋体"/>
          <w:color w:val="auto"/>
          <w:szCs w:val="21"/>
          <w:highlight w:val="none"/>
        </w:rPr>
        <w:t>采购项目名称:</w:t>
      </w:r>
      <w:r>
        <w:rPr>
          <w:rFonts w:hint="eastAsia" w:ascii="宋体" w:hAnsi="宋体"/>
          <w:color w:val="auto"/>
          <w:szCs w:val="21"/>
          <w:highlight w:val="none"/>
          <w:u w:val="single"/>
        </w:rPr>
        <w:t xml:space="preserve">                 </w:t>
      </w:r>
    </w:p>
    <w:p w14:paraId="00F0DB63">
      <w:pPr>
        <w:spacing w:line="500" w:lineRule="exact"/>
        <w:rPr>
          <w:rFonts w:hint="eastAsia" w:ascii="宋体" w:hAnsi="宋体"/>
          <w:color w:val="auto"/>
          <w:szCs w:val="21"/>
          <w:highlight w:val="none"/>
          <w:u w:val="single"/>
        </w:rPr>
      </w:pP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p>
    <w:p w14:paraId="36D349FE">
      <w:pPr>
        <w:spacing w:line="500" w:lineRule="exact"/>
        <w:rPr>
          <w:rFonts w:hint="eastAsia" w:ascii="宋体" w:hAnsi="宋体"/>
          <w:color w:val="auto"/>
          <w:szCs w:val="21"/>
          <w:highlight w:val="none"/>
          <w:u w:val="single"/>
        </w:rPr>
      </w:pPr>
      <w:r>
        <w:rPr>
          <w:rFonts w:hint="eastAsia" w:ascii="宋体" w:hAnsi="宋体"/>
          <w:color w:val="auto"/>
          <w:szCs w:val="21"/>
          <w:highlight w:val="none"/>
        </w:rPr>
        <w:t>分标号:</w:t>
      </w:r>
      <w:r>
        <w:rPr>
          <w:rFonts w:hint="eastAsia" w:ascii="宋体" w:hAnsi="宋体"/>
          <w:color w:val="auto"/>
          <w:szCs w:val="21"/>
          <w:highlight w:val="none"/>
          <w:u w:val="single"/>
        </w:rPr>
        <w:t xml:space="preserve">                       </w:t>
      </w:r>
    </w:p>
    <w:p w14:paraId="295069C2">
      <w:pPr>
        <w:spacing w:line="500" w:lineRule="exact"/>
        <w:rPr>
          <w:rFonts w:hint="eastAsia" w:ascii="宋体" w:hAnsi="宋体"/>
          <w:color w:val="auto"/>
          <w:szCs w:val="21"/>
          <w:highlight w:val="none"/>
          <w:u w:val="singl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14:paraId="29061D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noWrap w:val="0"/>
            <w:vAlign w:val="center"/>
          </w:tcPr>
          <w:p w14:paraId="3EAE908E">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59" w:name="_Toc254970729"/>
            <w:bookmarkStart w:id="60" w:name="_Toc173066401"/>
            <w:bookmarkStart w:id="61" w:name="_Toc254970588"/>
            <w:bookmarkStart w:id="62" w:name="_Toc173211900"/>
            <w:r>
              <w:rPr>
                <w:rFonts w:hint="eastAsia" w:ascii="Times New Roman" w:hAnsi="Times New Roman" w:cs="Times New Roman"/>
                <w:color w:val="auto"/>
                <w:highlight w:val="none"/>
              </w:rPr>
              <w:t>序号</w:t>
            </w:r>
            <w:bookmarkEnd w:id="59"/>
            <w:bookmarkEnd w:id="60"/>
            <w:bookmarkEnd w:id="61"/>
            <w:bookmarkEnd w:id="62"/>
          </w:p>
        </w:tc>
        <w:tc>
          <w:tcPr>
            <w:tcW w:w="3013" w:type="dxa"/>
            <w:noWrap w:val="0"/>
            <w:vAlign w:val="center"/>
          </w:tcPr>
          <w:p w14:paraId="69E41BDB">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63" w:name="_Toc173066402"/>
            <w:bookmarkStart w:id="64" w:name="_Toc254970589"/>
            <w:bookmarkStart w:id="65" w:name="_Toc173211901"/>
            <w:bookmarkStart w:id="66" w:name="_Toc254970730"/>
            <w:r>
              <w:rPr>
                <w:rFonts w:hint="eastAsia" w:ascii="Times New Roman" w:hAnsi="Times New Roman" w:cs="Times New Roman"/>
                <w:color w:val="auto"/>
                <w:highlight w:val="none"/>
              </w:rPr>
              <w:t>竞争性谈判文件要求</w:t>
            </w:r>
            <w:bookmarkEnd w:id="63"/>
            <w:bookmarkEnd w:id="64"/>
            <w:bookmarkEnd w:id="65"/>
            <w:bookmarkEnd w:id="66"/>
          </w:p>
        </w:tc>
        <w:tc>
          <w:tcPr>
            <w:tcW w:w="3159" w:type="dxa"/>
            <w:noWrap w:val="0"/>
            <w:vAlign w:val="center"/>
          </w:tcPr>
          <w:p w14:paraId="1A42FFDE">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67" w:name="_Toc173211902"/>
            <w:bookmarkStart w:id="68" w:name="_Toc173066403"/>
            <w:bookmarkStart w:id="69" w:name="_Toc254970590"/>
            <w:bookmarkStart w:id="70" w:name="_Toc254970731"/>
            <w:r>
              <w:rPr>
                <w:rFonts w:hint="eastAsia" w:ascii="Times New Roman" w:hAnsi="Times New Roman" w:cs="Times New Roman"/>
                <w:color w:val="auto"/>
                <w:highlight w:val="none"/>
              </w:rPr>
              <w:t>竞争性谈判响应文件具体响应</w:t>
            </w:r>
            <w:bookmarkEnd w:id="67"/>
            <w:bookmarkEnd w:id="68"/>
            <w:bookmarkEnd w:id="69"/>
            <w:bookmarkEnd w:id="70"/>
          </w:p>
        </w:tc>
        <w:tc>
          <w:tcPr>
            <w:tcW w:w="1571" w:type="dxa"/>
            <w:noWrap w:val="0"/>
            <w:vAlign w:val="center"/>
          </w:tcPr>
          <w:p w14:paraId="74FF7D64">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偏离说明</w:t>
            </w:r>
          </w:p>
        </w:tc>
        <w:tc>
          <w:tcPr>
            <w:tcW w:w="1460" w:type="dxa"/>
            <w:noWrap w:val="0"/>
            <w:vAlign w:val="center"/>
          </w:tcPr>
          <w:p w14:paraId="5B2DCB1F">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备注</w:t>
            </w:r>
          </w:p>
        </w:tc>
      </w:tr>
      <w:tr w14:paraId="1F1E43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noWrap w:val="0"/>
            <w:vAlign w:val="center"/>
          </w:tcPr>
          <w:p w14:paraId="3F2FAD40">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71" w:name="_Toc476258666"/>
            <w:r>
              <w:rPr>
                <w:rFonts w:hint="eastAsia" w:ascii="Times New Roman" w:hAnsi="Times New Roman" w:cs="Times New Roman"/>
                <w:color w:val="auto"/>
                <w:highlight w:val="none"/>
              </w:rPr>
              <w:t>商务部分</w:t>
            </w:r>
            <w:bookmarkEnd w:id="71"/>
            <w:r>
              <w:rPr>
                <w:rFonts w:hint="eastAsia" w:ascii="Times New Roman" w:hAnsi="Times New Roman" w:cs="Times New Roman"/>
                <w:color w:val="auto"/>
                <w:highlight w:val="none"/>
              </w:rPr>
              <w:t>（商务要求表）</w:t>
            </w:r>
          </w:p>
        </w:tc>
      </w:tr>
      <w:tr w14:paraId="7FC238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51" w:type="dxa"/>
            <w:noWrap w:val="0"/>
            <w:vAlign w:val="center"/>
          </w:tcPr>
          <w:p w14:paraId="0BEA6E8C">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72" w:name="_Toc173066406"/>
            <w:bookmarkStart w:id="73" w:name="_Toc254970734"/>
            <w:bookmarkStart w:id="74" w:name="_Toc173211905"/>
            <w:bookmarkStart w:id="75" w:name="_Toc254970593"/>
            <w:r>
              <w:rPr>
                <w:rFonts w:hint="eastAsia" w:ascii="Times New Roman" w:hAnsi="Times New Roman" w:cs="Times New Roman"/>
                <w:color w:val="auto"/>
                <w:highlight w:val="none"/>
              </w:rPr>
              <w:t>1</w:t>
            </w:r>
            <w:bookmarkEnd w:id="72"/>
            <w:bookmarkEnd w:id="73"/>
            <w:bookmarkEnd w:id="74"/>
            <w:bookmarkEnd w:id="75"/>
          </w:p>
        </w:tc>
        <w:tc>
          <w:tcPr>
            <w:tcW w:w="3013" w:type="dxa"/>
            <w:noWrap w:val="0"/>
            <w:vAlign w:val="center"/>
          </w:tcPr>
          <w:p w14:paraId="77999859">
            <w:pPr>
              <w:keepNext w:val="0"/>
              <w:keepLines w:val="0"/>
              <w:suppressLineNumbers w:val="0"/>
              <w:tabs>
                <w:tab w:val="left" w:pos="180"/>
                <w:tab w:val="left" w:pos="1620"/>
              </w:tabs>
              <w:spacing w:before="0" w:beforeAutospacing="0" w:after="0" w:afterAutospacing="0" w:line="400" w:lineRule="exact"/>
              <w:ind w:left="0" w:right="0"/>
              <w:jc w:val="center"/>
              <w:rPr>
                <w:rFonts w:hint="default" w:ascii="宋体" w:hAnsi="宋体" w:cs="Times New Roman"/>
                <w:color w:val="auto"/>
                <w:szCs w:val="21"/>
                <w:highlight w:val="none"/>
              </w:rPr>
            </w:pPr>
          </w:p>
        </w:tc>
        <w:tc>
          <w:tcPr>
            <w:tcW w:w="3159" w:type="dxa"/>
            <w:noWrap w:val="0"/>
            <w:vAlign w:val="top"/>
          </w:tcPr>
          <w:p w14:paraId="2745D340">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29ED02E0">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1460" w:type="dxa"/>
            <w:noWrap w:val="0"/>
            <w:vAlign w:val="center"/>
          </w:tcPr>
          <w:p w14:paraId="4E6BE6A7">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r>
      <w:tr w14:paraId="0E7B14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7ACF2158">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76" w:name="_Toc254970594"/>
            <w:bookmarkStart w:id="77" w:name="_Toc173066407"/>
            <w:bookmarkStart w:id="78" w:name="_Toc254970735"/>
            <w:bookmarkStart w:id="79" w:name="_Toc173211906"/>
            <w:r>
              <w:rPr>
                <w:rFonts w:hint="eastAsia" w:ascii="Times New Roman" w:hAnsi="Times New Roman" w:cs="Times New Roman"/>
                <w:color w:val="auto"/>
                <w:highlight w:val="none"/>
              </w:rPr>
              <w:t>2</w:t>
            </w:r>
            <w:bookmarkEnd w:id="76"/>
            <w:bookmarkEnd w:id="77"/>
            <w:bookmarkEnd w:id="78"/>
            <w:bookmarkEnd w:id="79"/>
          </w:p>
        </w:tc>
        <w:tc>
          <w:tcPr>
            <w:tcW w:w="3013" w:type="dxa"/>
            <w:noWrap w:val="0"/>
            <w:vAlign w:val="center"/>
          </w:tcPr>
          <w:p w14:paraId="48843C31">
            <w:pPr>
              <w:keepNext w:val="0"/>
              <w:keepLines w:val="0"/>
              <w:suppressLineNumbers w:val="0"/>
              <w:tabs>
                <w:tab w:val="left" w:pos="180"/>
                <w:tab w:val="left" w:pos="1620"/>
              </w:tabs>
              <w:spacing w:before="0" w:beforeAutospacing="0" w:after="0" w:afterAutospacing="0" w:line="400" w:lineRule="exact"/>
              <w:ind w:left="0" w:right="0"/>
              <w:jc w:val="center"/>
              <w:rPr>
                <w:rFonts w:hint="default" w:ascii="宋体" w:hAnsi="宋体" w:cs="Times New Roman"/>
                <w:color w:val="auto"/>
                <w:szCs w:val="21"/>
                <w:highlight w:val="none"/>
              </w:rPr>
            </w:pPr>
          </w:p>
        </w:tc>
        <w:tc>
          <w:tcPr>
            <w:tcW w:w="3159" w:type="dxa"/>
            <w:noWrap w:val="0"/>
            <w:vAlign w:val="top"/>
          </w:tcPr>
          <w:p w14:paraId="3FBF6A36">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0C61E004">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1460" w:type="dxa"/>
            <w:noWrap w:val="0"/>
            <w:vAlign w:val="center"/>
          </w:tcPr>
          <w:p w14:paraId="4DCA5415">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r>
      <w:tr w14:paraId="62BF83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75596FA9">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80" w:name="_Toc254970595"/>
            <w:bookmarkStart w:id="81" w:name="_Toc173066408"/>
            <w:bookmarkStart w:id="82" w:name="_Toc173211907"/>
            <w:bookmarkStart w:id="83" w:name="_Toc254970736"/>
            <w:r>
              <w:rPr>
                <w:rFonts w:hint="eastAsia" w:ascii="Times New Roman" w:hAnsi="Times New Roman" w:cs="Times New Roman"/>
                <w:color w:val="auto"/>
                <w:highlight w:val="none"/>
              </w:rPr>
              <w:t>3</w:t>
            </w:r>
            <w:bookmarkEnd w:id="80"/>
            <w:bookmarkEnd w:id="81"/>
            <w:bookmarkEnd w:id="82"/>
            <w:bookmarkEnd w:id="83"/>
          </w:p>
        </w:tc>
        <w:tc>
          <w:tcPr>
            <w:tcW w:w="3013" w:type="dxa"/>
            <w:noWrap w:val="0"/>
            <w:vAlign w:val="center"/>
          </w:tcPr>
          <w:p w14:paraId="2F75A404">
            <w:pPr>
              <w:keepNext w:val="0"/>
              <w:keepLines w:val="0"/>
              <w:suppressLineNumbers w:val="0"/>
              <w:tabs>
                <w:tab w:val="left" w:pos="180"/>
                <w:tab w:val="left" w:pos="1620"/>
              </w:tabs>
              <w:spacing w:before="0" w:beforeAutospacing="0" w:after="0" w:afterAutospacing="0" w:line="400" w:lineRule="exact"/>
              <w:ind w:left="0" w:right="0"/>
              <w:jc w:val="center"/>
              <w:rPr>
                <w:rFonts w:hint="default" w:ascii="宋体" w:hAnsi="宋体" w:cs="Times New Roman"/>
                <w:color w:val="auto"/>
                <w:szCs w:val="21"/>
                <w:highlight w:val="none"/>
              </w:rPr>
            </w:pPr>
          </w:p>
        </w:tc>
        <w:tc>
          <w:tcPr>
            <w:tcW w:w="3159" w:type="dxa"/>
            <w:noWrap w:val="0"/>
            <w:vAlign w:val="top"/>
          </w:tcPr>
          <w:p w14:paraId="45D96FB0">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34DA0170">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1460" w:type="dxa"/>
            <w:noWrap w:val="0"/>
            <w:vAlign w:val="center"/>
          </w:tcPr>
          <w:p w14:paraId="7EF84CA2">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r>
      <w:tr w14:paraId="4B4C52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594EBD96">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4</w:t>
            </w:r>
          </w:p>
        </w:tc>
        <w:tc>
          <w:tcPr>
            <w:tcW w:w="3013" w:type="dxa"/>
            <w:noWrap w:val="0"/>
            <w:vAlign w:val="center"/>
          </w:tcPr>
          <w:p w14:paraId="5856F3BB">
            <w:pPr>
              <w:keepNext w:val="0"/>
              <w:keepLines w:val="0"/>
              <w:suppressLineNumbers w:val="0"/>
              <w:tabs>
                <w:tab w:val="left" w:pos="180"/>
                <w:tab w:val="left" w:pos="1620"/>
              </w:tabs>
              <w:spacing w:before="0" w:beforeAutospacing="0" w:after="0" w:afterAutospacing="0" w:line="400" w:lineRule="exact"/>
              <w:ind w:left="0" w:right="0"/>
              <w:jc w:val="center"/>
              <w:rPr>
                <w:rFonts w:hint="default" w:ascii="宋体" w:hAnsi="宋体" w:cs="Times New Roman"/>
                <w:color w:val="auto"/>
                <w:szCs w:val="21"/>
                <w:highlight w:val="none"/>
              </w:rPr>
            </w:pPr>
          </w:p>
        </w:tc>
        <w:tc>
          <w:tcPr>
            <w:tcW w:w="3159" w:type="dxa"/>
            <w:noWrap w:val="0"/>
            <w:vAlign w:val="top"/>
          </w:tcPr>
          <w:p w14:paraId="68FB8EEC">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30279053">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1460" w:type="dxa"/>
            <w:noWrap w:val="0"/>
            <w:vAlign w:val="center"/>
          </w:tcPr>
          <w:p w14:paraId="130B5DF9">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r>
      <w:tr w14:paraId="413391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53700F61">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5</w:t>
            </w:r>
          </w:p>
        </w:tc>
        <w:tc>
          <w:tcPr>
            <w:tcW w:w="3013" w:type="dxa"/>
            <w:noWrap w:val="0"/>
            <w:vAlign w:val="center"/>
          </w:tcPr>
          <w:p w14:paraId="2209E973">
            <w:pPr>
              <w:keepNext w:val="0"/>
              <w:keepLines w:val="0"/>
              <w:suppressLineNumbers w:val="0"/>
              <w:tabs>
                <w:tab w:val="left" w:pos="180"/>
                <w:tab w:val="left" w:pos="1620"/>
              </w:tabs>
              <w:spacing w:before="0" w:beforeAutospacing="0" w:after="0" w:afterAutospacing="0" w:line="400" w:lineRule="exact"/>
              <w:ind w:left="0" w:right="0"/>
              <w:jc w:val="center"/>
              <w:rPr>
                <w:rFonts w:hint="default" w:ascii="宋体" w:hAnsi="宋体" w:cs="Times New Roman"/>
                <w:color w:val="auto"/>
                <w:szCs w:val="21"/>
                <w:highlight w:val="none"/>
              </w:rPr>
            </w:pPr>
          </w:p>
        </w:tc>
        <w:tc>
          <w:tcPr>
            <w:tcW w:w="3159" w:type="dxa"/>
            <w:noWrap w:val="0"/>
            <w:vAlign w:val="top"/>
          </w:tcPr>
          <w:p w14:paraId="65A1FB89">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75524C5B">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1460" w:type="dxa"/>
            <w:noWrap w:val="0"/>
            <w:vAlign w:val="center"/>
          </w:tcPr>
          <w:p w14:paraId="3B23DA30">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r>
      <w:tr w14:paraId="127A8B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02B839D1">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6</w:t>
            </w:r>
          </w:p>
        </w:tc>
        <w:tc>
          <w:tcPr>
            <w:tcW w:w="3013" w:type="dxa"/>
            <w:noWrap w:val="0"/>
            <w:vAlign w:val="center"/>
          </w:tcPr>
          <w:p w14:paraId="362433DE">
            <w:pPr>
              <w:keepNext w:val="0"/>
              <w:keepLines w:val="0"/>
              <w:suppressLineNumbers w:val="0"/>
              <w:tabs>
                <w:tab w:val="left" w:pos="180"/>
                <w:tab w:val="left" w:pos="1620"/>
              </w:tabs>
              <w:spacing w:before="0" w:beforeAutospacing="0" w:after="0" w:afterAutospacing="0" w:line="400" w:lineRule="exact"/>
              <w:ind w:left="0" w:right="0"/>
              <w:jc w:val="center"/>
              <w:rPr>
                <w:rFonts w:hint="eastAsia" w:ascii="宋体" w:hAnsi="宋体" w:cs="Times New Roman"/>
                <w:color w:val="auto"/>
                <w:szCs w:val="21"/>
                <w:highlight w:val="none"/>
              </w:rPr>
            </w:pPr>
          </w:p>
        </w:tc>
        <w:tc>
          <w:tcPr>
            <w:tcW w:w="3159" w:type="dxa"/>
            <w:noWrap w:val="0"/>
            <w:vAlign w:val="top"/>
          </w:tcPr>
          <w:p w14:paraId="3ACF7856">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1F4FA9F7">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1460" w:type="dxa"/>
            <w:noWrap w:val="0"/>
            <w:vAlign w:val="center"/>
          </w:tcPr>
          <w:p w14:paraId="2AAD625C">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r>
      <w:tr w14:paraId="55D493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55794810">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w:t>
            </w:r>
          </w:p>
        </w:tc>
        <w:tc>
          <w:tcPr>
            <w:tcW w:w="3013" w:type="dxa"/>
            <w:noWrap w:val="0"/>
            <w:vAlign w:val="center"/>
          </w:tcPr>
          <w:p w14:paraId="617FAA50">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3159" w:type="dxa"/>
            <w:noWrap w:val="0"/>
            <w:vAlign w:val="top"/>
          </w:tcPr>
          <w:p w14:paraId="3DF3001A">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15FB26B4">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c>
          <w:tcPr>
            <w:tcW w:w="1460" w:type="dxa"/>
            <w:noWrap w:val="0"/>
            <w:vAlign w:val="center"/>
          </w:tcPr>
          <w:p w14:paraId="4A3A1C02">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p>
        </w:tc>
      </w:tr>
      <w:tr w14:paraId="63840C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noWrap w:val="0"/>
            <w:vAlign w:val="center"/>
          </w:tcPr>
          <w:p w14:paraId="6BC8AFEE">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84" w:name="_Toc476258667"/>
            <w:r>
              <w:rPr>
                <w:rFonts w:hint="eastAsia" w:ascii="Times New Roman" w:hAnsi="Times New Roman" w:cs="Times New Roman"/>
                <w:color w:val="auto"/>
                <w:highlight w:val="none"/>
              </w:rPr>
              <w:t>技术部分</w:t>
            </w:r>
            <w:bookmarkEnd w:id="84"/>
            <w:r>
              <w:rPr>
                <w:rFonts w:hint="eastAsia" w:ascii="Times New Roman" w:hAnsi="Times New Roman" w:cs="Times New Roman"/>
                <w:color w:val="auto"/>
                <w:highlight w:val="none"/>
              </w:rPr>
              <w:t>（</w:t>
            </w:r>
            <w:r>
              <w:rPr>
                <w:rFonts w:hint="eastAsia" w:ascii="宋体" w:hAnsi="宋体" w:cs="Times New Roman"/>
                <w:color w:val="auto"/>
                <w:szCs w:val="21"/>
                <w:highlight w:val="none"/>
              </w:rPr>
              <w:t>技术参数及性能配置要求</w:t>
            </w:r>
            <w:r>
              <w:rPr>
                <w:rFonts w:hint="eastAsia" w:ascii="Times New Roman" w:hAnsi="Times New Roman" w:cs="Times New Roman"/>
                <w:color w:val="auto"/>
                <w:highlight w:val="none"/>
              </w:rPr>
              <w:t>）</w:t>
            </w:r>
          </w:p>
        </w:tc>
      </w:tr>
      <w:tr w14:paraId="0D43F2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3938DF65">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85" w:name="_Toc476258668"/>
            <w:r>
              <w:rPr>
                <w:rFonts w:hint="eastAsia" w:ascii="Times New Roman" w:hAnsi="Times New Roman" w:cs="Times New Roman"/>
                <w:color w:val="auto"/>
                <w:highlight w:val="none"/>
              </w:rPr>
              <w:t>1</w:t>
            </w:r>
            <w:bookmarkEnd w:id="85"/>
          </w:p>
        </w:tc>
        <w:tc>
          <w:tcPr>
            <w:tcW w:w="3013" w:type="dxa"/>
            <w:noWrap w:val="0"/>
            <w:vAlign w:val="center"/>
          </w:tcPr>
          <w:p w14:paraId="0AB09BCA">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3159" w:type="dxa"/>
            <w:noWrap w:val="0"/>
            <w:vAlign w:val="center"/>
          </w:tcPr>
          <w:p w14:paraId="16FFA110">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5474D856">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460" w:type="dxa"/>
            <w:noWrap w:val="0"/>
            <w:vAlign w:val="center"/>
          </w:tcPr>
          <w:p w14:paraId="7A8C9D40">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r>
      <w:tr w14:paraId="1EE81E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6167B3EE">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86" w:name="_Toc476258669"/>
            <w:r>
              <w:rPr>
                <w:rFonts w:hint="eastAsia" w:ascii="Times New Roman" w:hAnsi="Times New Roman" w:cs="Times New Roman"/>
                <w:color w:val="auto"/>
                <w:highlight w:val="none"/>
              </w:rPr>
              <w:t>2</w:t>
            </w:r>
            <w:bookmarkEnd w:id="86"/>
          </w:p>
        </w:tc>
        <w:tc>
          <w:tcPr>
            <w:tcW w:w="3013" w:type="dxa"/>
            <w:noWrap w:val="0"/>
            <w:vAlign w:val="center"/>
          </w:tcPr>
          <w:p w14:paraId="6E832127">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3159" w:type="dxa"/>
            <w:noWrap w:val="0"/>
            <w:vAlign w:val="center"/>
          </w:tcPr>
          <w:p w14:paraId="74CB2522">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5322D394">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460" w:type="dxa"/>
            <w:noWrap w:val="0"/>
            <w:vAlign w:val="center"/>
          </w:tcPr>
          <w:p w14:paraId="24075981">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r>
      <w:tr w14:paraId="743981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03F0FA98">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87" w:name="_Toc476258670"/>
            <w:r>
              <w:rPr>
                <w:rFonts w:hint="eastAsia" w:ascii="Times New Roman" w:hAnsi="Times New Roman" w:cs="Times New Roman"/>
                <w:color w:val="auto"/>
                <w:highlight w:val="none"/>
              </w:rPr>
              <w:t>3</w:t>
            </w:r>
            <w:bookmarkEnd w:id="87"/>
          </w:p>
        </w:tc>
        <w:tc>
          <w:tcPr>
            <w:tcW w:w="3013" w:type="dxa"/>
            <w:noWrap w:val="0"/>
            <w:vAlign w:val="center"/>
          </w:tcPr>
          <w:p w14:paraId="444607B6">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3159" w:type="dxa"/>
            <w:noWrap w:val="0"/>
            <w:vAlign w:val="center"/>
          </w:tcPr>
          <w:p w14:paraId="17833199">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noWrap w:val="0"/>
            <w:vAlign w:val="center"/>
          </w:tcPr>
          <w:p w14:paraId="24F12754">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460" w:type="dxa"/>
            <w:noWrap w:val="0"/>
            <w:vAlign w:val="center"/>
          </w:tcPr>
          <w:p w14:paraId="13058129">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r>
      <w:tr w14:paraId="52E80B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noWrap w:val="0"/>
            <w:vAlign w:val="center"/>
          </w:tcPr>
          <w:p w14:paraId="6CC3FB67">
            <w:pPr>
              <w:keepNext w:val="0"/>
              <w:keepLines w:val="0"/>
              <w:suppressLineNumbers w:val="0"/>
              <w:spacing w:before="0" w:beforeAutospacing="0" w:after="0" w:afterAutospacing="0"/>
              <w:ind w:left="0" w:right="0"/>
              <w:jc w:val="center"/>
              <w:rPr>
                <w:rFonts w:hint="eastAsia" w:ascii="Times New Roman" w:hAnsi="Times New Roman" w:cs="Times New Roman"/>
                <w:color w:val="auto"/>
                <w:highlight w:val="none"/>
              </w:rPr>
            </w:pPr>
            <w:bookmarkStart w:id="88" w:name="_Toc476258671"/>
            <w:r>
              <w:rPr>
                <w:rFonts w:hint="eastAsia" w:ascii="Times New Roman" w:hAnsi="Times New Roman" w:cs="Times New Roman"/>
                <w:color w:val="auto"/>
                <w:highlight w:val="none"/>
              </w:rPr>
              <w:t>…</w:t>
            </w:r>
            <w:bookmarkEnd w:id="88"/>
          </w:p>
        </w:tc>
        <w:tc>
          <w:tcPr>
            <w:tcW w:w="3013" w:type="dxa"/>
            <w:noWrap w:val="0"/>
            <w:vAlign w:val="center"/>
          </w:tcPr>
          <w:p w14:paraId="50BC9745">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3159" w:type="dxa"/>
            <w:noWrap w:val="0"/>
            <w:vAlign w:val="center"/>
          </w:tcPr>
          <w:p w14:paraId="644474C8">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571" w:type="dxa"/>
            <w:tcBorders>
              <w:right w:val="single" w:color="auto" w:sz="4" w:space="0"/>
            </w:tcBorders>
            <w:noWrap w:val="0"/>
            <w:vAlign w:val="center"/>
          </w:tcPr>
          <w:p w14:paraId="6BB0A891">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c>
          <w:tcPr>
            <w:tcW w:w="1460" w:type="dxa"/>
            <w:tcBorders>
              <w:left w:val="single" w:color="auto" w:sz="4" w:space="0"/>
            </w:tcBorders>
            <w:noWrap w:val="0"/>
            <w:vAlign w:val="center"/>
          </w:tcPr>
          <w:p w14:paraId="538C3C6B">
            <w:pPr>
              <w:keepNext w:val="0"/>
              <w:keepLines w:val="0"/>
              <w:suppressLineNumbers w:val="0"/>
              <w:spacing w:before="0" w:beforeAutospacing="0" w:after="0" w:afterAutospacing="0"/>
              <w:ind w:left="0" w:right="0"/>
              <w:rPr>
                <w:rFonts w:hint="eastAsia" w:ascii="Times New Roman" w:hAnsi="Times New Roman" w:cs="Times New Roman"/>
                <w:color w:val="auto"/>
                <w:highlight w:val="none"/>
              </w:rPr>
            </w:pPr>
          </w:p>
        </w:tc>
      </w:tr>
    </w:tbl>
    <w:p w14:paraId="1D513D2C">
      <w:pPr>
        <w:adjustRightInd w:val="0"/>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说明：谈判供应商应对照竞争性谈判文件“第三章 采购项目技术规格、参数及要求”，逐条说明所提供货物和服务已对竞争性谈判文件的商务、服务的响应情况，并填写“偏离说明”。“偏离说明”栏注明“正偏离”、“负偏离”或“无偏离”。谈判供应商所提供的服务与竞争性谈判文件要求相同的为无偏离，谈判供应商所提供的服务高于竞争性谈判文件要求的为正偏离，低于竞争性谈判文件要求的为负偏离。</w:t>
      </w:r>
    </w:p>
    <w:p w14:paraId="708C9CDB">
      <w:pPr>
        <w:pStyle w:val="20"/>
        <w:spacing w:line="360" w:lineRule="exact"/>
        <w:rPr>
          <w:rFonts w:hint="eastAsia" w:hAnsi="宋体"/>
          <w:color w:val="auto"/>
          <w:highlight w:val="none"/>
        </w:rPr>
      </w:pPr>
    </w:p>
    <w:p w14:paraId="5AA32EAC">
      <w:pPr>
        <w:pStyle w:val="20"/>
        <w:spacing w:line="500" w:lineRule="exact"/>
        <w:ind w:firstLine="4515" w:firstLineChars="2150"/>
        <w:rPr>
          <w:rFonts w:hint="eastAsia" w:hAnsi="宋体"/>
          <w:color w:val="auto"/>
          <w:highlight w:val="none"/>
          <w:u w:val="single"/>
        </w:rPr>
      </w:pPr>
      <w:r>
        <w:rPr>
          <w:rFonts w:hint="eastAsia" w:hAnsi="宋体"/>
          <w:color w:val="auto"/>
          <w:highlight w:val="none"/>
        </w:rPr>
        <w:t>法定代表人或委托代理人（签字或盖章）:</w:t>
      </w:r>
      <w:r>
        <w:rPr>
          <w:rFonts w:hint="eastAsia" w:hAnsi="宋体"/>
          <w:color w:val="auto"/>
          <w:highlight w:val="none"/>
          <w:u w:val="single"/>
        </w:rPr>
        <w:t xml:space="preserve">              </w:t>
      </w:r>
    </w:p>
    <w:p w14:paraId="667A3A85">
      <w:pPr>
        <w:pStyle w:val="20"/>
        <w:spacing w:line="500" w:lineRule="exact"/>
        <w:ind w:firstLine="4515" w:firstLineChars="2150"/>
        <w:rPr>
          <w:rFonts w:hint="eastAsia" w:hAnsi="宋体"/>
          <w:color w:val="auto"/>
          <w:highlight w:val="none"/>
          <w:u w:val="single"/>
        </w:rPr>
      </w:pPr>
      <w:r>
        <w:rPr>
          <w:rFonts w:hint="eastAsia" w:hAnsi="宋体"/>
          <w:color w:val="auto"/>
          <w:highlight w:val="none"/>
        </w:rPr>
        <w:t>谈判供应商名称（盖章）：</w:t>
      </w:r>
      <w:r>
        <w:rPr>
          <w:rFonts w:hint="eastAsia" w:hAnsi="宋体"/>
          <w:color w:val="auto"/>
          <w:highlight w:val="none"/>
          <w:u w:val="single"/>
        </w:rPr>
        <w:t xml:space="preserve">                     </w:t>
      </w:r>
    </w:p>
    <w:p w14:paraId="17E0817C">
      <w:pPr>
        <w:spacing w:line="500" w:lineRule="exact"/>
        <w:ind w:firstLine="4515" w:firstLineChars="2150"/>
        <w:rPr>
          <w:rFonts w:hint="eastAsia" w:hAnsi="宋体"/>
          <w:color w:val="auto"/>
          <w:highlight w:val="none"/>
        </w:rPr>
      </w:pPr>
      <w:r>
        <w:rPr>
          <w:rFonts w:hint="eastAsia" w:hAnsi="宋体"/>
          <w:color w:val="auto"/>
          <w:highlight w:val="none"/>
        </w:rPr>
        <w:t>日期：</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int="eastAsia" w:hAnsi="宋体"/>
          <w:color w:val="auto"/>
          <w:highlight w:val="none"/>
        </w:rPr>
        <w:t>日</w:t>
      </w:r>
    </w:p>
    <w:p w14:paraId="7ABC27E1">
      <w:pPr>
        <w:pStyle w:val="20"/>
        <w:spacing w:line="480" w:lineRule="auto"/>
        <w:ind w:firstLine="1470" w:firstLineChars="700"/>
        <w:rPr>
          <w:rFonts w:hint="eastAsia" w:hAnsi="宋体"/>
          <w:color w:val="auto"/>
          <w:highlight w:val="none"/>
        </w:rPr>
      </w:pPr>
    </w:p>
    <w:p w14:paraId="01E88A59">
      <w:pPr>
        <w:spacing w:line="500" w:lineRule="exact"/>
        <w:rPr>
          <w:rFonts w:hint="eastAsia" w:ascii="宋体" w:hAnsi="宋体" w:eastAsia="宋体"/>
          <w:b/>
          <w:color w:val="auto"/>
          <w:szCs w:val="21"/>
          <w:highlight w:val="none"/>
          <w:lang w:eastAsia="zh-CN"/>
        </w:rPr>
      </w:pPr>
      <w:r>
        <w:rPr>
          <w:rFonts w:hint="eastAsia" w:ascii="宋体" w:hAnsi="宋体"/>
          <w:b/>
          <w:color w:val="auto"/>
          <w:szCs w:val="21"/>
          <w:highlight w:val="none"/>
        </w:rPr>
        <w:t>附件</w:t>
      </w:r>
      <w:r>
        <w:rPr>
          <w:rFonts w:hint="eastAsia" w:ascii="宋体" w:hAnsi="宋体"/>
          <w:b/>
          <w:color w:val="auto"/>
          <w:szCs w:val="21"/>
          <w:highlight w:val="none"/>
          <w:lang w:val="en-US" w:eastAsia="zh-CN"/>
        </w:rPr>
        <w:t>五</w:t>
      </w:r>
    </w:p>
    <w:p w14:paraId="4103B88A">
      <w:pPr>
        <w:adjustRightInd w:val="0"/>
        <w:snapToGrid w:val="0"/>
        <w:spacing w:line="300" w:lineRule="auto"/>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法定代表人授权委托书</w:t>
      </w:r>
    </w:p>
    <w:p w14:paraId="7EEB67A8">
      <w:pPr>
        <w:adjustRightInd w:val="0"/>
        <w:snapToGrid w:val="0"/>
        <w:spacing w:line="520" w:lineRule="exact"/>
        <w:rPr>
          <w:rFonts w:hint="eastAsia" w:ascii="宋体" w:hAnsi="宋体"/>
          <w:color w:val="auto"/>
          <w:szCs w:val="21"/>
          <w:highlight w:val="none"/>
        </w:rPr>
      </w:pPr>
    </w:p>
    <w:p w14:paraId="46947BC9">
      <w:pPr>
        <w:spacing w:line="520" w:lineRule="exact"/>
        <w:rPr>
          <w:rFonts w:hint="eastAsia" w:ascii="宋体" w:hAnsi="宋体"/>
          <w:color w:val="auto"/>
          <w:szCs w:val="21"/>
          <w:highlight w:val="none"/>
        </w:rPr>
      </w:pPr>
      <w:r>
        <w:rPr>
          <w:rFonts w:hint="eastAsia" w:ascii="宋体" w:hAnsi="宋体"/>
          <w:color w:val="auto"/>
          <w:szCs w:val="21"/>
          <w:highlight w:val="none"/>
          <w:u w:val="single"/>
        </w:rPr>
        <w:t>广西国力招标有限公司</w:t>
      </w:r>
      <w:r>
        <w:rPr>
          <w:rFonts w:hint="eastAsia" w:ascii="宋体" w:hAnsi="宋体"/>
          <w:color w:val="auto"/>
          <w:szCs w:val="21"/>
          <w:highlight w:val="none"/>
        </w:rPr>
        <w:t>：</w:t>
      </w:r>
    </w:p>
    <w:p w14:paraId="60B265C9">
      <w:pPr>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兹授权</w:t>
      </w:r>
      <w:r>
        <w:rPr>
          <w:rFonts w:hint="eastAsia" w:ascii="宋体" w:hAnsi="宋体"/>
          <w:color w:val="auto"/>
          <w:szCs w:val="21"/>
          <w:highlight w:val="none"/>
          <w:u w:val="single"/>
        </w:rPr>
        <w:t xml:space="preserve">         </w:t>
      </w:r>
      <w:r>
        <w:rPr>
          <w:rFonts w:hint="eastAsia" w:ascii="宋体" w:hAnsi="宋体"/>
          <w:color w:val="auto"/>
          <w:szCs w:val="21"/>
          <w:highlight w:val="none"/>
        </w:rPr>
        <w:t>同志为我公司参加贵单位组织的</w:t>
      </w:r>
      <w:r>
        <w:rPr>
          <w:rFonts w:hint="eastAsia" w:ascii="宋体" w:hAnsi="宋体"/>
          <w:color w:val="auto"/>
          <w:szCs w:val="21"/>
          <w:highlight w:val="none"/>
          <w:u w:val="single"/>
        </w:rPr>
        <w:t>（采购项目名称、采购项目编号）竞争性谈判</w:t>
      </w:r>
      <w:r>
        <w:rPr>
          <w:rFonts w:hint="eastAsia" w:ascii="宋体" w:hAnsi="宋体"/>
          <w:color w:val="auto"/>
          <w:szCs w:val="21"/>
          <w:highlight w:val="none"/>
        </w:rPr>
        <w:t>采购活动的委托代理人，全权代表我公司处理在该项目活动中的一切事宜。代理期限从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日起至</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日止。 </w:t>
      </w:r>
    </w:p>
    <w:p w14:paraId="3EAE4FED">
      <w:pPr>
        <w:spacing w:line="520" w:lineRule="exact"/>
        <w:rPr>
          <w:rFonts w:hint="eastAsia" w:ascii="宋体" w:hAnsi="宋体"/>
          <w:color w:val="auto"/>
          <w:szCs w:val="21"/>
          <w:highlight w:val="none"/>
        </w:rPr>
      </w:pPr>
    </w:p>
    <w:p w14:paraId="55383829">
      <w:pPr>
        <w:spacing w:line="520" w:lineRule="exact"/>
        <w:rPr>
          <w:rFonts w:hint="eastAsia" w:ascii="宋体" w:hAnsi="宋体"/>
          <w:color w:val="auto"/>
          <w:szCs w:val="21"/>
          <w:highlight w:val="none"/>
        </w:rPr>
      </w:pPr>
      <w:r>
        <w:rPr>
          <w:rFonts w:hint="eastAsia" w:ascii="宋体" w:hAnsi="宋体"/>
          <w:color w:val="auto"/>
          <w:szCs w:val="21"/>
          <w:highlight w:val="none"/>
        </w:rPr>
        <w:t>谈判供应商（盖章）：</w:t>
      </w:r>
      <w:r>
        <w:rPr>
          <w:rFonts w:hint="eastAsia" w:ascii="宋体" w:hAnsi="宋体"/>
          <w:color w:val="auto"/>
          <w:szCs w:val="21"/>
          <w:highlight w:val="none"/>
          <w:u w:val="single"/>
        </w:rPr>
        <w:t xml:space="preserve">                   </w:t>
      </w:r>
    </w:p>
    <w:p w14:paraId="786C0656">
      <w:pPr>
        <w:spacing w:line="520" w:lineRule="exact"/>
        <w:rPr>
          <w:rFonts w:hint="eastAsia" w:ascii="宋体" w:hAnsi="宋体"/>
          <w:color w:val="auto"/>
          <w:szCs w:val="21"/>
          <w:highlight w:val="none"/>
        </w:rPr>
      </w:pPr>
      <w:r>
        <w:rPr>
          <w:rFonts w:hint="eastAsia" w:ascii="宋体" w:hAnsi="宋体"/>
          <w:color w:val="auto"/>
          <w:szCs w:val="21"/>
          <w:highlight w:val="none"/>
        </w:rPr>
        <w:t>法定代表人（签字或盖章）：</w:t>
      </w:r>
      <w:r>
        <w:rPr>
          <w:rFonts w:hint="eastAsia" w:ascii="宋体" w:hAnsi="宋体"/>
          <w:color w:val="auto"/>
          <w:szCs w:val="21"/>
          <w:highlight w:val="none"/>
          <w:u w:val="single"/>
        </w:rPr>
        <w:t xml:space="preserve">             </w:t>
      </w:r>
    </w:p>
    <w:p w14:paraId="7CE9ABB5">
      <w:pPr>
        <w:spacing w:line="520" w:lineRule="exact"/>
        <w:rPr>
          <w:rFonts w:hint="eastAsia" w:ascii="宋体" w:hAnsi="宋体"/>
          <w:color w:val="auto"/>
          <w:szCs w:val="21"/>
          <w:highlight w:val="none"/>
        </w:rPr>
      </w:pPr>
      <w:r>
        <w:rPr>
          <w:rFonts w:hint="eastAsia" w:ascii="宋体" w:hAnsi="宋体"/>
          <w:color w:val="auto"/>
          <w:szCs w:val="21"/>
          <w:highlight w:val="none"/>
        </w:rPr>
        <w:t>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4813350">
      <w:pPr>
        <w:spacing w:line="520" w:lineRule="exact"/>
        <w:rPr>
          <w:rFonts w:hint="eastAsia" w:ascii="宋体" w:hAnsi="宋体"/>
          <w:color w:val="auto"/>
          <w:szCs w:val="21"/>
          <w:highlight w:val="none"/>
        </w:rPr>
      </w:pPr>
    </w:p>
    <w:p w14:paraId="2E87B93F">
      <w:pPr>
        <w:spacing w:line="520" w:lineRule="exact"/>
        <w:rPr>
          <w:rFonts w:hint="eastAsia" w:ascii="宋体" w:hAnsi="宋体"/>
          <w:color w:val="auto"/>
          <w:szCs w:val="21"/>
          <w:highlight w:val="none"/>
        </w:rPr>
      </w:pPr>
      <w:r>
        <w:rPr>
          <w:rFonts w:hint="eastAsia" w:ascii="宋体" w:hAnsi="宋体"/>
          <w:color w:val="auto"/>
          <w:szCs w:val="21"/>
          <w:highlight w:val="none"/>
        </w:rPr>
        <w:t>附：委托代理人工作单位：</w:t>
      </w:r>
      <w:r>
        <w:rPr>
          <w:rFonts w:hint="eastAsia" w:ascii="宋体" w:hAnsi="宋体"/>
          <w:color w:val="auto"/>
          <w:szCs w:val="21"/>
          <w:highlight w:val="none"/>
          <w:u w:val="single"/>
        </w:rPr>
        <w:t xml:space="preserve">                      </w:t>
      </w:r>
    </w:p>
    <w:p w14:paraId="493F034E">
      <w:pPr>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性别：</w:t>
      </w:r>
      <w:r>
        <w:rPr>
          <w:rFonts w:hint="eastAsia" w:ascii="宋体" w:hAnsi="宋体"/>
          <w:color w:val="auto"/>
          <w:szCs w:val="21"/>
          <w:highlight w:val="none"/>
          <w:u w:val="single"/>
        </w:rPr>
        <w:t xml:space="preserve">    </w:t>
      </w:r>
    </w:p>
    <w:p w14:paraId="7959990A">
      <w:pPr>
        <w:adjustRightInd w:val="0"/>
        <w:snapToGrid w:val="0"/>
        <w:spacing w:line="52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身份证号码：</w:t>
      </w:r>
      <w:r>
        <w:rPr>
          <w:rFonts w:hint="eastAsia" w:ascii="宋体" w:hAnsi="宋体"/>
          <w:color w:val="auto"/>
          <w:szCs w:val="21"/>
          <w:highlight w:val="none"/>
          <w:u w:val="single"/>
        </w:rPr>
        <w:t xml:space="preserve">                              </w:t>
      </w:r>
    </w:p>
    <w:p w14:paraId="7929EC5D">
      <w:pPr>
        <w:adjustRightInd w:val="0"/>
        <w:snapToGrid w:val="0"/>
        <w:spacing w:line="520" w:lineRule="exact"/>
        <w:ind w:firstLine="420" w:firstLineChars="200"/>
        <w:rPr>
          <w:rFonts w:hint="eastAsia" w:ascii="宋体" w:hAnsi="宋体"/>
          <w:color w:val="auto"/>
          <w:szCs w:val="21"/>
          <w:highlight w:val="none"/>
          <w:u w:val="single"/>
        </w:rPr>
      </w:pP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14:paraId="5B68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861" w:type="dxa"/>
            <w:noWrap w:val="0"/>
            <w:vAlign w:val="top"/>
          </w:tcPr>
          <w:p w14:paraId="58CA4535">
            <w:pPr>
              <w:keepNext w:val="0"/>
              <w:keepLines w:val="0"/>
              <w:suppressLineNumbers w:val="0"/>
              <w:spacing w:before="0" w:beforeAutospacing="0" w:after="0" w:afterAutospacing="0" w:line="300" w:lineRule="auto"/>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粘贴委托代理人的有效身份证正面及反面复印件</w:t>
            </w:r>
          </w:p>
        </w:tc>
      </w:tr>
    </w:tbl>
    <w:p w14:paraId="6FAD0E44">
      <w:pPr>
        <w:autoSpaceDE w:val="0"/>
        <w:autoSpaceDN w:val="0"/>
        <w:spacing w:line="300" w:lineRule="auto"/>
        <w:ind w:left="480" w:hanging="480"/>
        <w:rPr>
          <w:rFonts w:hint="eastAsia" w:ascii="宋体" w:hAnsi="宋体"/>
          <w:color w:val="auto"/>
          <w:szCs w:val="21"/>
          <w:highlight w:val="none"/>
        </w:rPr>
      </w:pPr>
    </w:p>
    <w:p w14:paraId="54B95DD8">
      <w:pPr>
        <w:autoSpaceDE w:val="0"/>
        <w:autoSpaceDN w:val="0"/>
        <w:spacing w:line="300" w:lineRule="auto"/>
        <w:ind w:left="480" w:hanging="480"/>
        <w:rPr>
          <w:rFonts w:hint="eastAsia" w:ascii="宋体" w:hAnsi="宋体"/>
          <w:color w:val="auto"/>
          <w:szCs w:val="21"/>
          <w:highlight w:val="none"/>
        </w:rPr>
      </w:pPr>
    </w:p>
    <w:p w14:paraId="64562ED3">
      <w:pPr>
        <w:pStyle w:val="20"/>
        <w:spacing w:line="300" w:lineRule="auto"/>
        <w:rPr>
          <w:rFonts w:hint="eastAsia" w:hAnsi="宋体"/>
          <w:color w:val="auto"/>
          <w:highlight w:val="none"/>
        </w:rPr>
      </w:pPr>
    </w:p>
    <w:p w14:paraId="24374020">
      <w:pPr>
        <w:pStyle w:val="20"/>
        <w:spacing w:line="300" w:lineRule="auto"/>
        <w:rPr>
          <w:rFonts w:hint="eastAsia" w:hAnsi="宋体"/>
          <w:color w:val="auto"/>
          <w:highlight w:val="none"/>
        </w:rPr>
      </w:pPr>
    </w:p>
    <w:p w14:paraId="01EA8E15">
      <w:pPr>
        <w:pStyle w:val="20"/>
        <w:spacing w:line="300" w:lineRule="auto"/>
        <w:rPr>
          <w:rFonts w:hint="eastAsia" w:hAnsi="宋体"/>
          <w:color w:val="auto"/>
          <w:highlight w:val="none"/>
        </w:rPr>
      </w:pPr>
    </w:p>
    <w:p w14:paraId="3C24EA42">
      <w:pPr>
        <w:pStyle w:val="20"/>
        <w:spacing w:line="300" w:lineRule="auto"/>
        <w:rPr>
          <w:rFonts w:hint="eastAsia" w:hAnsi="宋体"/>
          <w:color w:val="auto"/>
          <w:highlight w:val="none"/>
        </w:rPr>
      </w:pPr>
    </w:p>
    <w:p w14:paraId="08856AE4">
      <w:pPr>
        <w:pStyle w:val="20"/>
        <w:spacing w:line="300" w:lineRule="auto"/>
        <w:rPr>
          <w:rFonts w:hint="eastAsia" w:hAnsi="宋体"/>
          <w:color w:val="auto"/>
          <w:highlight w:val="none"/>
        </w:rPr>
      </w:pPr>
    </w:p>
    <w:p w14:paraId="7EABDABA">
      <w:pPr>
        <w:pStyle w:val="20"/>
        <w:spacing w:line="300" w:lineRule="auto"/>
        <w:rPr>
          <w:rFonts w:hint="eastAsia" w:hAnsi="宋体"/>
          <w:color w:val="auto"/>
          <w:highlight w:val="none"/>
        </w:rPr>
      </w:pPr>
    </w:p>
    <w:p w14:paraId="7EB8D6A1">
      <w:pPr>
        <w:spacing w:line="500" w:lineRule="exact"/>
        <w:rPr>
          <w:color w:val="auto"/>
          <w:kern w:val="0"/>
          <w:highlight w:val="none"/>
        </w:rPr>
      </w:pPr>
      <w:r>
        <w:rPr>
          <w:color w:val="auto"/>
          <w:kern w:val="0"/>
          <w:highlight w:val="none"/>
        </w:rPr>
        <w:t xml:space="preserve"> </w:t>
      </w:r>
    </w:p>
    <w:p w14:paraId="70014F9B">
      <w:pPr>
        <w:spacing w:line="500" w:lineRule="exact"/>
        <w:rPr>
          <w:rFonts w:hint="eastAsia" w:ascii="宋体" w:hAnsi="宋体" w:eastAsia="宋体"/>
          <w:b/>
          <w:color w:val="auto"/>
          <w:szCs w:val="21"/>
          <w:highlight w:val="none"/>
          <w:lang w:eastAsia="zh-CN"/>
        </w:rPr>
      </w:pPr>
      <w:r>
        <w:rPr>
          <w:color w:val="auto"/>
          <w:kern w:val="0"/>
          <w:highlight w:val="none"/>
        </w:rPr>
        <w:br w:type="page"/>
      </w:r>
      <w:r>
        <w:rPr>
          <w:rFonts w:hint="eastAsia" w:ascii="宋体" w:hAnsi="宋体"/>
          <w:b/>
          <w:color w:val="auto"/>
          <w:szCs w:val="21"/>
          <w:highlight w:val="none"/>
        </w:rPr>
        <w:t>附件</w:t>
      </w:r>
      <w:r>
        <w:rPr>
          <w:rFonts w:hint="eastAsia" w:ascii="宋体" w:hAnsi="宋体"/>
          <w:b/>
          <w:color w:val="auto"/>
          <w:szCs w:val="21"/>
          <w:highlight w:val="none"/>
          <w:lang w:val="en-US" w:eastAsia="zh-CN"/>
        </w:rPr>
        <w:t>六</w:t>
      </w:r>
    </w:p>
    <w:p w14:paraId="1A022425">
      <w:pPr>
        <w:pStyle w:val="20"/>
        <w:spacing w:line="500" w:lineRule="exact"/>
        <w:jc w:val="center"/>
        <w:rPr>
          <w:rFonts w:hint="eastAsia" w:hAnsi="宋体"/>
          <w:b/>
          <w:bCs/>
          <w:color w:val="auto"/>
          <w:sz w:val="30"/>
          <w:szCs w:val="30"/>
          <w:highlight w:val="none"/>
        </w:rPr>
      </w:pPr>
      <w:r>
        <w:rPr>
          <w:rFonts w:hAnsi="宋体"/>
          <w:b/>
          <w:bCs/>
          <w:color w:val="auto"/>
          <w:sz w:val="30"/>
          <w:szCs w:val="30"/>
          <w:highlight w:val="none"/>
        </w:rPr>
        <w:t>中小企业声明函（</w:t>
      </w:r>
      <w:r>
        <w:rPr>
          <w:rFonts w:hint="eastAsia" w:hAnsi="宋体"/>
          <w:b/>
          <w:bCs/>
          <w:color w:val="auto"/>
          <w:sz w:val="30"/>
          <w:szCs w:val="30"/>
          <w:highlight w:val="none"/>
        </w:rPr>
        <w:t>货物</w:t>
      </w:r>
      <w:r>
        <w:rPr>
          <w:rFonts w:hAnsi="宋体"/>
          <w:b/>
          <w:bCs/>
          <w:color w:val="auto"/>
          <w:sz w:val="30"/>
          <w:szCs w:val="30"/>
          <w:highlight w:val="none"/>
        </w:rPr>
        <w:t>）</w:t>
      </w:r>
    </w:p>
    <w:p w14:paraId="56751022">
      <w:pPr>
        <w:pStyle w:val="20"/>
        <w:spacing w:line="500" w:lineRule="exact"/>
        <w:jc w:val="center"/>
        <w:rPr>
          <w:rFonts w:hint="eastAsia" w:hAnsi="宋体"/>
          <w:b/>
          <w:bCs/>
          <w:color w:val="auto"/>
          <w:sz w:val="30"/>
          <w:szCs w:val="30"/>
          <w:highlight w:val="none"/>
        </w:rPr>
      </w:pPr>
    </w:p>
    <w:p w14:paraId="21FE2A5A">
      <w:pPr>
        <w:pStyle w:val="20"/>
        <w:spacing w:line="500" w:lineRule="exact"/>
        <w:ind w:firstLine="525" w:firstLineChars="250"/>
        <w:jc w:val="left"/>
        <w:rPr>
          <w:rFonts w:hint="eastAsia"/>
          <w:color w:val="auto"/>
          <w:highlight w:val="none"/>
        </w:rPr>
      </w:pPr>
      <w:r>
        <w:rPr>
          <w:rFonts w:hint="eastAsia"/>
          <w:color w:val="auto"/>
          <w:highlight w:val="none"/>
        </w:rPr>
        <w:t>本公司（联合体）郑重声明，根据《政府采购促进中小企业发展管理办法》（财库﹝2020﹞46 号）的规定，本公司（联合体）参加</w:t>
      </w:r>
      <w:r>
        <w:rPr>
          <w:rFonts w:hint="eastAsia"/>
          <w:color w:val="auto"/>
          <w:highlight w:val="none"/>
          <w:u w:val="single"/>
        </w:rPr>
        <w:t>（单位名称）</w:t>
      </w:r>
      <w:r>
        <w:rPr>
          <w:rFonts w:hint="eastAsia"/>
          <w:color w:val="auto"/>
          <w:highlight w:val="none"/>
        </w:rPr>
        <w:t>的</w:t>
      </w:r>
      <w:r>
        <w:rPr>
          <w:rFonts w:hint="eastAsia"/>
          <w:color w:val="auto"/>
          <w:highlight w:val="none"/>
          <w:u w:val="single"/>
        </w:rPr>
        <w:t>（项目名称）</w:t>
      </w:r>
      <w:r>
        <w:rPr>
          <w:rFonts w:hint="eastAsia"/>
          <w:color w:val="auto"/>
          <w:highlight w:val="none"/>
        </w:rPr>
        <w:t>采购活动，提供的货物全部由符合政策要求的中小企业制造。相关企业（含联合体中的中小企业、签订分包意向协议的中小企业）的具体情况如下：</w:t>
      </w:r>
    </w:p>
    <w:p w14:paraId="0DF6321C">
      <w:pPr>
        <w:pStyle w:val="20"/>
        <w:spacing w:line="500" w:lineRule="exact"/>
        <w:ind w:firstLine="420" w:firstLineChars="200"/>
        <w:jc w:val="left"/>
        <w:rPr>
          <w:rFonts w:hint="eastAsia"/>
          <w:color w:val="auto"/>
          <w:highlight w:val="none"/>
        </w:rPr>
      </w:pPr>
      <w:r>
        <w:rPr>
          <w:rFonts w:hint="eastAsia"/>
          <w:color w:val="auto"/>
          <w:highlight w:val="none"/>
        </w:rPr>
        <w:t>1.</w:t>
      </w:r>
      <w:r>
        <w:rPr>
          <w:rFonts w:hint="eastAsia"/>
          <w:color w:val="auto"/>
          <w:highlight w:val="none"/>
          <w:u w:val="single"/>
        </w:rPr>
        <w:t>（标的名称）</w:t>
      </w:r>
      <w:r>
        <w:rPr>
          <w:rFonts w:hint="eastAsia"/>
          <w:color w:val="auto"/>
          <w:highlight w:val="none"/>
        </w:rPr>
        <w:t>，属于</w:t>
      </w:r>
      <w:r>
        <w:rPr>
          <w:rFonts w:hint="eastAsia"/>
          <w:color w:val="auto"/>
          <w:highlight w:val="none"/>
          <w:u w:val="single"/>
        </w:rPr>
        <w:t>（采购文件中明确的所属行业）行业</w:t>
      </w:r>
      <w:r>
        <w:rPr>
          <w:rFonts w:hint="eastAsia"/>
          <w:color w:val="auto"/>
          <w:highlight w:val="none"/>
        </w:rPr>
        <w:t>；</w:t>
      </w:r>
      <w:r>
        <w:rPr>
          <w:rFonts w:hint="eastAsia"/>
          <w:b/>
          <w:bCs/>
          <w:color w:val="auto"/>
          <w:highlight w:val="none"/>
        </w:rPr>
        <w:t>制造商</w:t>
      </w:r>
      <w:r>
        <w:rPr>
          <w:rFonts w:hint="eastAsia"/>
          <w:color w:val="auto"/>
          <w:highlight w:val="none"/>
        </w:rPr>
        <w:t>为</w:t>
      </w:r>
      <w:r>
        <w:rPr>
          <w:rFonts w:hint="eastAsia"/>
          <w:color w:val="auto"/>
          <w:highlight w:val="none"/>
          <w:u w:val="single"/>
        </w:rPr>
        <w:t>（企业名称）</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万元，属于</w:t>
      </w:r>
      <w:r>
        <w:rPr>
          <w:rFonts w:hint="eastAsia"/>
          <w:color w:val="auto"/>
          <w:highlight w:val="none"/>
          <w:u w:val="single"/>
        </w:rPr>
        <w:t>（中型企业、小型企业、微型企业）</w:t>
      </w:r>
      <w:r>
        <w:rPr>
          <w:rFonts w:hint="eastAsia"/>
          <w:color w:val="auto"/>
          <w:highlight w:val="none"/>
        </w:rPr>
        <w:t>；</w:t>
      </w:r>
    </w:p>
    <w:p w14:paraId="7C16D2B4">
      <w:pPr>
        <w:pStyle w:val="20"/>
        <w:spacing w:line="500" w:lineRule="exact"/>
        <w:ind w:firstLine="420" w:firstLineChars="200"/>
        <w:jc w:val="left"/>
        <w:rPr>
          <w:rFonts w:hint="eastAsia"/>
          <w:color w:val="auto"/>
          <w:highlight w:val="none"/>
        </w:rPr>
      </w:pPr>
      <w:r>
        <w:rPr>
          <w:rFonts w:hint="eastAsia"/>
          <w:color w:val="auto"/>
          <w:highlight w:val="none"/>
        </w:rPr>
        <w:t>2.</w:t>
      </w:r>
      <w:r>
        <w:rPr>
          <w:rFonts w:hint="eastAsia"/>
          <w:color w:val="auto"/>
          <w:highlight w:val="none"/>
          <w:u w:val="single"/>
        </w:rPr>
        <w:t>（标的名称）</w:t>
      </w:r>
      <w:r>
        <w:rPr>
          <w:rFonts w:hint="eastAsia"/>
          <w:color w:val="auto"/>
          <w:highlight w:val="none"/>
        </w:rPr>
        <w:t>，属于</w:t>
      </w:r>
      <w:r>
        <w:rPr>
          <w:rFonts w:hint="eastAsia"/>
          <w:color w:val="auto"/>
          <w:highlight w:val="none"/>
          <w:u w:val="single"/>
        </w:rPr>
        <w:t>（采购文件中明确的所属行业）行业</w:t>
      </w:r>
      <w:r>
        <w:rPr>
          <w:rFonts w:hint="eastAsia"/>
          <w:color w:val="auto"/>
          <w:highlight w:val="none"/>
        </w:rPr>
        <w:t>；</w:t>
      </w:r>
      <w:r>
        <w:rPr>
          <w:rFonts w:hint="eastAsia"/>
          <w:b/>
          <w:bCs/>
          <w:color w:val="auto"/>
          <w:highlight w:val="none"/>
        </w:rPr>
        <w:t>制造商</w:t>
      </w:r>
      <w:r>
        <w:rPr>
          <w:rFonts w:hint="eastAsia"/>
          <w:color w:val="auto"/>
          <w:highlight w:val="none"/>
        </w:rPr>
        <w:t>为</w:t>
      </w:r>
      <w:r>
        <w:rPr>
          <w:rFonts w:hint="eastAsia"/>
          <w:color w:val="auto"/>
          <w:highlight w:val="none"/>
          <w:u w:val="single"/>
        </w:rPr>
        <w:t>（企业名称）</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万元，属于</w:t>
      </w:r>
      <w:r>
        <w:rPr>
          <w:rFonts w:hint="eastAsia"/>
          <w:color w:val="auto"/>
          <w:highlight w:val="none"/>
          <w:u w:val="single"/>
        </w:rPr>
        <w:t>（中型企业、小型企业、微型企业）</w:t>
      </w:r>
      <w:r>
        <w:rPr>
          <w:rFonts w:hint="eastAsia"/>
          <w:color w:val="auto"/>
          <w:highlight w:val="none"/>
        </w:rPr>
        <w:t>；</w:t>
      </w:r>
    </w:p>
    <w:p w14:paraId="3899B91A">
      <w:pPr>
        <w:pStyle w:val="20"/>
        <w:spacing w:line="500" w:lineRule="exact"/>
        <w:ind w:firstLine="420" w:firstLineChars="200"/>
        <w:jc w:val="left"/>
        <w:rPr>
          <w:rFonts w:hint="eastAsia"/>
          <w:color w:val="auto"/>
          <w:highlight w:val="none"/>
        </w:rPr>
      </w:pPr>
      <w:r>
        <w:rPr>
          <w:rFonts w:hint="eastAsia"/>
          <w:color w:val="auto"/>
          <w:highlight w:val="none"/>
        </w:rPr>
        <w:t>……</w:t>
      </w:r>
    </w:p>
    <w:p w14:paraId="3E377D87">
      <w:pPr>
        <w:pStyle w:val="20"/>
        <w:spacing w:line="500" w:lineRule="exact"/>
        <w:ind w:firstLine="420" w:firstLineChars="200"/>
        <w:jc w:val="left"/>
        <w:rPr>
          <w:rFonts w:hint="eastAsia"/>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56E189ED">
      <w:pPr>
        <w:pStyle w:val="20"/>
        <w:spacing w:line="500" w:lineRule="exact"/>
        <w:ind w:firstLine="420" w:firstLineChars="200"/>
        <w:jc w:val="left"/>
        <w:rPr>
          <w:rFonts w:hint="eastAsia"/>
          <w:color w:val="auto"/>
          <w:highlight w:val="none"/>
        </w:rPr>
      </w:pPr>
      <w:r>
        <w:rPr>
          <w:rFonts w:hint="eastAsia"/>
          <w:color w:val="auto"/>
          <w:highlight w:val="none"/>
        </w:rPr>
        <w:t>本企业对上述声明内容的真实性负责。如有虚假，将依法承担相应责任。</w:t>
      </w:r>
    </w:p>
    <w:p w14:paraId="0CA64B3F">
      <w:pPr>
        <w:pStyle w:val="20"/>
        <w:spacing w:line="500" w:lineRule="exact"/>
        <w:ind w:firstLine="420" w:firstLineChars="200"/>
        <w:jc w:val="left"/>
        <w:rPr>
          <w:rFonts w:hint="eastAsia"/>
          <w:color w:val="auto"/>
          <w:highlight w:val="none"/>
        </w:rPr>
      </w:pPr>
    </w:p>
    <w:p w14:paraId="220B64BA">
      <w:pPr>
        <w:pStyle w:val="20"/>
        <w:spacing w:line="500" w:lineRule="exact"/>
        <w:ind w:firstLine="4620" w:firstLineChars="2200"/>
        <w:jc w:val="left"/>
        <w:rPr>
          <w:rFonts w:hint="eastAsia"/>
          <w:color w:val="auto"/>
          <w:highlight w:val="none"/>
        </w:rPr>
      </w:pPr>
      <w:r>
        <w:rPr>
          <w:rFonts w:hint="eastAsia"/>
          <w:color w:val="auto"/>
          <w:highlight w:val="none"/>
        </w:rPr>
        <w:t>企业名称（盖章）：</w:t>
      </w:r>
    </w:p>
    <w:p w14:paraId="390B3163">
      <w:pPr>
        <w:pStyle w:val="20"/>
        <w:spacing w:line="500" w:lineRule="exact"/>
        <w:ind w:firstLine="4620" w:firstLineChars="2200"/>
        <w:jc w:val="left"/>
        <w:rPr>
          <w:rFonts w:hint="eastAsia"/>
          <w:color w:val="auto"/>
          <w:highlight w:val="none"/>
        </w:rPr>
      </w:pPr>
      <w:r>
        <w:rPr>
          <w:rFonts w:hint="eastAsia"/>
          <w:color w:val="auto"/>
          <w:highlight w:val="none"/>
        </w:rPr>
        <w:t>日 期：</w:t>
      </w:r>
    </w:p>
    <w:p w14:paraId="0127A4A1">
      <w:pPr>
        <w:pStyle w:val="20"/>
        <w:spacing w:line="500" w:lineRule="exact"/>
        <w:jc w:val="left"/>
        <w:rPr>
          <w:rFonts w:hint="eastAsia"/>
          <w:color w:val="auto"/>
          <w:sz w:val="24"/>
          <w:szCs w:val="24"/>
          <w:highlight w:val="none"/>
        </w:rPr>
      </w:pPr>
    </w:p>
    <w:p w14:paraId="34203679">
      <w:pPr>
        <w:pStyle w:val="20"/>
        <w:spacing w:line="500" w:lineRule="exact"/>
        <w:jc w:val="left"/>
        <w:rPr>
          <w:rFonts w:hint="eastAsia"/>
          <w:color w:val="auto"/>
          <w:sz w:val="18"/>
          <w:szCs w:val="18"/>
          <w:highlight w:val="none"/>
        </w:rPr>
      </w:pPr>
      <w:r>
        <w:rPr>
          <w:rFonts w:hint="eastAsia"/>
          <w:color w:val="auto"/>
          <w:sz w:val="18"/>
          <w:szCs w:val="18"/>
          <w:highlight w:val="none"/>
        </w:rPr>
        <w:t>注：1、从业人员、营业收入、资产总额填报上一年度数据，无上一年度数据的新成立企业可不填报。</w:t>
      </w:r>
    </w:p>
    <w:p w14:paraId="643AC955">
      <w:pPr>
        <w:pStyle w:val="20"/>
        <w:spacing w:line="500" w:lineRule="exact"/>
        <w:ind w:firstLine="360" w:firstLineChars="200"/>
        <w:jc w:val="left"/>
        <w:rPr>
          <w:rFonts w:hint="eastAsia"/>
          <w:color w:val="auto"/>
          <w:sz w:val="18"/>
          <w:szCs w:val="18"/>
          <w:highlight w:val="none"/>
        </w:rPr>
      </w:pPr>
      <w:r>
        <w:rPr>
          <w:rFonts w:hint="eastAsia"/>
          <w:color w:val="auto"/>
          <w:sz w:val="18"/>
          <w:szCs w:val="18"/>
          <w:highlight w:val="none"/>
        </w:rPr>
        <w:t>2、请根据自己的真实情况出具《中小企业声明函》。依法享受中小企业优惠政策的，采购人或者采购代理机构在公告中标结果时，同时公告其《中小企业声明函》，接受社会监督。</w:t>
      </w:r>
    </w:p>
    <w:p w14:paraId="1B44F0A6">
      <w:pPr>
        <w:pStyle w:val="20"/>
        <w:spacing w:line="500" w:lineRule="exact"/>
        <w:ind w:firstLine="360" w:firstLineChars="200"/>
        <w:jc w:val="left"/>
        <w:rPr>
          <w:color w:val="auto"/>
          <w:sz w:val="18"/>
          <w:szCs w:val="18"/>
          <w:highlight w:val="none"/>
        </w:rPr>
      </w:pPr>
      <w:r>
        <w:rPr>
          <w:rFonts w:hint="eastAsia"/>
          <w:color w:val="auto"/>
          <w:sz w:val="18"/>
          <w:szCs w:val="18"/>
          <w:highlight w:val="none"/>
        </w:rPr>
        <w:t>3、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p>
    <w:p w14:paraId="2BEB3A82">
      <w:pPr>
        <w:spacing w:line="240" w:lineRule="auto"/>
        <w:ind w:left="0" w:leftChars="0" w:firstLine="0" w:firstLineChars="0"/>
        <w:rPr>
          <w:color w:val="auto"/>
          <w:sz w:val="18"/>
          <w:szCs w:val="18"/>
          <w:highlight w:val="none"/>
        </w:rPr>
      </w:pPr>
      <w:r>
        <w:rPr>
          <w:color w:val="auto"/>
          <w:sz w:val="18"/>
          <w:szCs w:val="18"/>
          <w:highlight w:val="none"/>
        </w:rPr>
        <w:br w:type="page"/>
      </w:r>
    </w:p>
    <w:p w14:paraId="72605CA6">
      <w:pPr>
        <w:spacing w:line="300" w:lineRule="auto"/>
        <w:rPr>
          <w:rFonts w:hint="default" w:ascii="宋体" w:hAnsi="宋体" w:cs="Times New Roman"/>
          <w:b/>
          <w:bCs/>
          <w:color w:val="auto"/>
          <w:sz w:val="24"/>
          <w:highlight w:val="none"/>
          <w:lang w:val="en-US" w:eastAsia="zh-CN"/>
        </w:rPr>
      </w:pPr>
      <w:r>
        <w:rPr>
          <w:rFonts w:ascii="Segoe UI" w:hAnsi="Segoe UI" w:eastAsia="Segoe UI" w:cs="Segoe UI"/>
          <w:b/>
          <w:bCs/>
          <w:i w:val="0"/>
          <w:iCs w:val="0"/>
          <w:caps w:val="0"/>
          <w:color w:val="auto"/>
          <w:spacing w:val="0"/>
          <w:sz w:val="24"/>
          <w:szCs w:val="24"/>
          <w:highlight w:val="none"/>
          <w:shd w:val="clear" w:color="auto" w:fill="FFFFFF"/>
        </w:rPr>
        <w:t>拟采取分包形式的</w:t>
      </w:r>
      <w:r>
        <w:rPr>
          <w:rFonts w:hint="eastAsia" w:ascii="Segoe UI" w:hAnsi="Segoe UI" w:eastAsia="宋体" w:cs="Segoe UI"/>
          <w:b/>
          <w:bCs/>
          <w:i w:val="0"/>
          <w:iCs w:val="0"/>
          <w:caps w:val="0"/>
          <w:color w:val="auto"/>
          <w:spacing w:val="0"/>
          <w:sz w:val="24"/>
          <w:szCs w:val="24"/>
          <w:highlight w:val="none"/>
          <w:shd w:val="clear" w:color="auto" w:fill="FFFFFF"/>
          <w:lang w:eastAsia="zh-CN"/>
        </w:rPr>
        <w:t>供应商</w:t>
      </w:r>
      <w:r>
        <w:rPr>
          <w:rFonts w:ascii="Segoe UI" w:hAnsi="Segoe UI" w:eastAsia="Segoe UI" w:cs="Segoe UI"/>
          <w:b/>
          <w:bCs/>
          <w:i w:val="0"/>
          <w:iCs w:val="0"/>
          <w:caps w:val="0"/>
          <w:color w:val="auto"/>
          <w:spacing w:val="0"/>
          <w:sz w:val="24"/>
          <w:szCs w:val="24"/>
          <w:highlight w:val="none"/>
          <w:shd w:val="clear" w:color="auto" w:fill="FFFFFF"/>
        </w:rPr>
        <w:t>，须同时提供《中小企业声明函》及《分包意向协议书》。分包意向协议书格式如下：</w:t>
      </w:r>
    </w:p>
    <w:p w14:paraId="619082BF">
      <w:pPr>
        <w:spacing w:line="300" w:lineRule="auto"/>
        <w:rPr>
          <w:rFonts w:hint="default" w:ascii="宋体" w:hAnsi="宋体" w:cs="Times New Roman"/>
          <w:b/>
          <w:bCs/>
          <w:color w:val="auto"/>
          <w:sz w:val="24"/>
          <w:highlight w:val="none"/>
          <w:lang w:val="en-US" w:eastAsia="zh-CN"/>
        </w:rPr>
      </w:pPr>
    </w:p>
    <w:p w14:paraId="0DB22BC5">
      <w:pPr>
        <w:widowControl w:val="0"/>
        <w:overflowPunct w:val="0"/>
        <w:ind w:firstLine="0"/>
        <w:jc w:val="center"/>
        <w:rPr>
          <w:rFonts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分包意向协议书</w:t>
      </w:r>
    </w:p>
    <w:p w14:paraId="0F12C18D">
      <w:pPr>
        <w:widowControl w:val="0"/>
        <w:overflowPunct w:val="0"/>
        <w:ind w:firstLine="420"/>
        <w:jc w:val="left"/>
        <w:rPr>
          <w:rFonts w:ascii="Times New Roman" w:hAnsi="Times New Roman" w:eastAsia="宋体" w:cs="Times New Roman"/>
          <w:b/>
          <w:bCs/>
          <w:color w:val="auto"/>
          <w:kern w:val="2"/>
          <w:sz w:val="21"/>
          <w:szCs w:val="21"/>
          <w:highlight w:val="none"/>
          <w:lang w:val="en-US" w:eastAsia="zh-CN" w:bidi="ar-SA"/>
        </w:rPr>
      </w:pPr>
    </w:p>
    <w:p w14:paraId="1C72BAB7">
      <w:pPr>
        <w:widowControl w:val="0"/>
        <w:overflowPunct w:val="0"/>
        <w:ind w:firstLine="420"/>
        <w:jc w:val="left"/>
        <w:rPr>
          <w:rFonts w:ascii="Times New Roman" w:hAnsi="Times New Roman" w:eastAsia="宋体" w:cs="Times New Roman"/>
          <w:b/>
          <w:bCs/>
          <w:color w:val="auto"/>
          <w:kern w:val="2"/>
          <w:sz w:val="21"/>
          <w:szCs w:val="21"/>
          <w:highlight w:val="none"/>
          <w:lang w:val="en-US" w:eastAsia="zh-CN" w:bidi="ar-SA"/>
        </w:rPr>
      </w:pPr>
    </w:p>
    <w:p w14:paraId="1F566F71">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u w:val="single"/>
          <w:lang w:val="en-US" w:eastAsia="zh-CN" w:bidi="ar-SA"/>
        </w:rPr>
        <w:t>（甲公司全称）、（乙公司全称）、（……公司全称）</w:t>
      </w:r>
      <w:r>
        <w:rPr>
          <w:rFonts w:hint="eastAsia" w:ascii="Times New Roman" w:hAnsi="Times New Roman" w:eastAsia="宋体" w:cs="Times New Roman"/>
          <w:color w:val="auto"/>
          <w:kern w:val="2"/>
          <w:sz w:val="21"/>
          <w:szCs w:val="21"/>
          <w:highlight w:val="none"/>
          <w:lang w:val="en-US" w:eastAsia="zh-CN" w:bidi="ar-SA"/>
        </w:rPr>
        <w:t>自愿达成分包意向，参加</w:t>
      </w:r>
      <w:r>
        <w:rPr>
          <w:rFonts w:hint="eastAsia" w:ascii="Times New Roman" w:hAnsi="Times New Roman" w:eastAsia="宋体" w:cs="Times New Roman"/>
          <w:color w:val="auto"/>
          <w:kern w:val="2"/>
          <w:sz w:val="21"/>
          <w:szCs w:val="21"/>
          <w:highlight w:val="none"/>
          <w:u w:val="single"/>
          <w:lang w:val="en-US" w:eastAsia="zh-CN" w:bidi="ar-SA"/>
        </w:rPr>
        <w:t>（项目名称）</w:t>
      </w:r>
      <w:r>
        <w:rPr>
          <w:rFonts w:hint="eastAsia" w:ascii="Times New Roman" w:hAnsi="Times New Roman" w:eastAsia="宋体" w:cs="Times New Roman"/>
          <w:color w:val="auto"/>
          <w:kern w:val="2"/>
          <w:sz w:val="21"/>
          <w:szCs w:val="21"/>
          <w:highlight w:val="none"/>
          <w:lang w:val="en-US" w:eastAsia="zh-CN" w:bidi="ar-SA"/>
        </w:rPr>
        <w:t>的采购项目。经各方充分协商一致，就项目的响应和合同实施阶段的有关事务协商一致订立意向如下：</w:t>
      </w:r>
    </w:p>
    <w:p w14:paraId="144DDAE2">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一、分包意向各方关系</w:t>
      </w:r>
    </w:p>
    <w:p w14:paraId="034150EC">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u w:val="single"/>
          <w:lang w:val="en-US" w:eastAsia="zh-CN" w:bidi="ar-SA"/>
        </w:rPr>
        <w:t>（甲公司全称）</w:t>
      </w:r>
      <w:r>
        <w:rPr>
          <w:rFonts w:ascii="Times New Roman" w:hAnsi="Times New Roman" w:eastAsia="宋体" w:cs="Times New Roman"/>
          <w:color w:val="auto"/>
          <w:kern w:val="2"/>
          <w:sz w:val="21"/>
          <w:szCs w:val="21"/>
          <w:highlight w:val="none"/>
          <w:lang w:val="en-US" w:eastAsia="zh-CN" w:bidi="ar-SA"/>
        </w:rPr>
        <w:t>为</w:t>
      </w:r>
      <w:r>
        <w:rPr>
          <w:rFonts w:hint="eastAsia" w:ascii="Times New Roman" w:hAnsi="Times New Roman" w:eastAsia="宋体" w:cs="Times New Roman"/>
          <w:color w:val="auto"/>
          <w:kern w:val="2"/>
          <w:sz w:val="21"/>
          <w:szCs w:val="21"/>
          <w:highlight w:val="none"/>
          <w:lang w:val="en-US" w:eastAsia="zh-CN" w:bidi="ar-SA"/>
        </w:rPr>
        <w:t>竞标供应商</w:t>
      </w:r>
      <w:r>
        <w:rPr>
          <w:rFonts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（乙公司全称）</w:t>
      </w:r>
      <w:r>
        <w:rPr>
          <w:rFonts w:hint="eastAsia" w:ascii="Times New Roman" w:hAnsi="Times New Roman" w:eastAsia="宋体" w:cs="Times New Roman"/>
          <w:color w:val="auto"/>
          <w:kern w:val="2"/>
          <w:sz w:val="21"/>
          <w:szCs w:val="21"/>
          <w:highlight w:val="none"/>
          <w:u w:val="single"/>
          <w:lang w:val="en-US" w:eastAsia="zh-CN" w:bidi="ar-SA"/>
        </w:rPr>
        <w:t>、（……公司全称）</w:t>
      </w:r>
      <w:r>
        <w:rPr>
          <w:rFonts w:ascii="Times New Roman" w:hAnsi="Times New Roman" w:eastAsia="宋体" w:cs="Times New Roman"/>
          <w:color w:val="auto"/>
          <w:kern w:val="2"/>
          <w:sz w:val="21"/>
          <w:szCs w:val="21"/>
          <w:highlight w:val="none"/>
          <w:lang w:val="en-US" w:eastAsia="zh-CN" w:bidi="ar-SA"/>
        </w:rPr>
        <w:t>为分包意向供应商，</w:t>
      </w:r>
      <w:r>
        <w:rPr>
          <w:rFonts w:ascii="Times New Roman" w:hAnsi="Times New Roman" w:eastAsia="宋体" w:cs="Times New Roman"/>
          <w:color w:val="auto"/>
          <w:kern w:val="2"/>
          <w:sz w:val="21"/>
          <w:szCs w:val="21"/>
          <w:highlight w:val="none"/>
          <w:u w:val="single"/>
          <w:lang w:val="en-US" w:eastAsia="zh-CN" w:bidi="ar-SA"/>
        </w:rPr>
        <w:t>（甲公司全称）</w:t>
      </w:r>
      <w:r>
        <w:rPr>
          <w:rFonts w:ascii="Times New Roman" w:hAnsi="Times New Roman" w:eastAsia="宋体" w:cs="Times New Roman"/>
          <w:color w:val="auto"/>
          <w:kern w:val="2"/>
          <w:sz w:val="21"/>
          <w:szCs w:val="21"/>
          <w:highlight w:val="none"/>
          <w:lang w:val="en-US" w:eastAsia="zh-CN" w:bidi="ar-SA"/>
        </w:rPr>
        <w:t>以</w:t>
      </w:r>
      <w:r>
        <w:rPr>
          <w:rFonts w:hint="eastAsia" w:ascii="Times New Roman" w:hAnsi="Times New Roman" w:eastAsia="宋体" w:cs="Times New Roman"/>
          <w:color w:val="auto"/>
          <w:kern w:val="2"/>
          <w:sz w:val="21"/>
          <w:szCs w:val="21"/>
          <w:highlight w:val="none"/>
          <w:lang w:val="en-US" w:eastAsia="zh-CN" w:bidi="ar-SA"/>
        </w:rPr>
        <w:t>竞标</w:t>
      </w:r>
      <w:r>
        <w:rPr>
          <w:rFonts w:ascii="Times New Roman" w:hAnsi="Times New Roman" w:eastAsia="宋体" w:cs="Times New Roman"/>
          <w:color w:val="auto"/>
          <w:kern w:val="2"/>
          <w:sz w:val="21"/>
          <w:szCs w:val="21"/>
          <w:highlight w:val="none"/>
          <w:lang w:val="en-US" w:eastAsia="zh-CN" w:bidi="ar-SA"/>
        </w:rPr>
        <w:t>供应商的身份参加本项目的响应。若</w:t>
      </w:r>
      <w:r>
        <w:rPr>
          <w:rFonts w:hint="eastAsia" w:ascii="Times New Roman" w:hAnsi="Times New Roman" w:eastAsia="宋体" w:cs="Times New Roman"/>
          <w:color w:val="auto"/>
          <w:kern w:val="2"/>
          <w:sz w:val="21"/>
          <w:szCs w:val="21"/>
          <w:highlight w:val="none"/>
          <w:lang w:val="en-US" w:eastAsia="zh-CN" w:bidi="ar-SA"/>
        </w:rPr>
        <w:t>成交</w:t>
      </w:r>
      <w:r>
        <w:rPr>
          <w:rFonts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u w:val="single"/>
          <w:lang w:val="en-US" w:eastAsia="zh-CN" w:bidi="ar-SA"/>
        </w:rPr>
        <w:t>（甲公司全称）</w:t>
      </w:r>
      <w:r>
        <w:rPr>
          <w:rFonts w:ascii="Times New Roman" w:hAnsi="Times New Roman" w:eastAsia="宋体" w:cs="Times New Roman"/>
          <w:color w:val="auto"/>
          <w:kern w:val="2"/>
          <w:sz w:val="21"/>
          <w:szCs w:val="21"/>
          <w:highlight w:val="none"/>
          <w:lang w:val="en-US" w:eastAsia="zh-CN" w:bidi="ar-SA"/>
        </w:rPr>
        <w:t>与采购人签订政府采购合同。承接分包意向的各供应商与</w:t>
      </w:r>
      <w:r>
        <w:rPr>
          <w:rFonts w:ascii="Times New Roman" w:hAnsi="Times New Roman" w:eastAsia="宋体" w:cs="Times New Roman"/>
          <w:color w:val="auto"/>
          <w:kern w:val="2"/>
          <w:sz w:val="21"/>
          <w:szCs w:val="21"/>
          <w:highlight w:val="none"/>
          <w:u w:val="single"/>
          <w:lang w:val="en-US" w:eastAsia="zh-CN" w:bidi="ar-SA"/>
        </w:rPr>
        <w:t>（甲公司全称）</w:t>
      </w:r>
      <w:r>
        <w:rPr>
          <w:rFonts w:ascii="Times New Roman" w:hAnsi="Times New Roman" w:eastAsia="宋体" w:cs="Times New Roman"/>
          <w:color w:val="auto"/>
          <w:kern w:val="2"/>
          <w:sz w:val="21"/>
          <w:szCs w:val="21"/>
          <w:highlight w:val="none"/>
          <w:lang w:val="en-US" w:eastAsia="zh-CN" w:bidi="ar-SA"/>
        </w:rPr>
        <w:t>签订分包合同。</w:t>
      </w:r>
      <w:r>
        <w:rPr>
          <w:rFonts w:ascii="Times New Roman" w:hAnsi="Times New Roman" w:eastAsia="宋体" w:cs="Times New Roman"/>
          <w:color w:val="auto"/>
          <w:kern w:val="2"/>
          <w:sz w:val="21"/>
          <w:szCs w:val="21"/>
          <w:highlight w:val="none"/>
          <w:u w:val="single"/>
          <w:lang w:val="en-US" w:eastAsia="zh-CN" w:bidi="ar-SA"/>
        </w:rPr>
        <w:t>（甲公司全称）</w:t>
      </w:r>
      <w:r>
        <w:rPr>
          <w:rFonts w:ascii="Times New Roman" w:hAnsi="Times New Roman" w:eastAsia="宋体" w:cs="Times New Roman"/>
          <w:color w:val="auto"/>
          <w:kern w:val="2"/>
          <w:sz w:val="21"/>
          <w:szCs w:val="21"/>
          <w:highlight w:val="none"/>
          <w:lang w:val="en-US" w:eastAsia="zh-CN" w:bidi="ar-SA"/>
        </w:rPr>
        <w:t>就</w:t>
      </w:r>
      <w:r>
        <w:rPr>
          <w:rFonts w:ascii="Times New Roman" w:hAnsi="Times New Roman" w:eastAsia="宋体" w:cs="Times New Roman"/>
          <w:color w:val="auto"/>
          <w:kern w:val="2"/>
          <w:sz w:val="21"/>
          <w:szCs w:val="21"/>
          <w:highlight w:val="none"/>
          <w:u w:val="single"/>
          <w:lang w:val="en-US" w:eastAsia="zh-CN" w:bidi="ar-SA"/>
        </w:rPr>
        <w:t>采购项目</w:t>
      </w:r>
      <w:r>
        <w:rPr>
          <w:rFonts w:hint="eastAsia" w:ascii="Times New Roman" w:hAnsi="Times New Roman" w:eastAsia="宋体" w:cs="Times New Roman"/>
          <w:color w:val="auto"/>
          <w:kern w:val="2"/>
          <w:sz w:val="21"/>
          <w:szCs w:val="21"/>
          <w:highlight w:val="none"/>
          <w:lang w:val="en-US" w:eastAsia="zh-CN" w:bidi="ar-SA"/>
        </w:rPr>
        <w:t>中（</w:t>
      </w:r>
      <w:r>
        <w:rPr>
          <w:rFonts w:ascii="Times New Roman" w:hAnsi="Times New Roman" w:eastAsia="宋体" w:cs="Times New Roman"/>
          <w:color w:val="auto"/>
          <w:kern w:val="2"/>
          <w:sz w:val="21"/>
          <w:szCs w:val="21"/>
          <w:highlight w:val="none"/>
          <w:u w:val="single"/>
          <w:lang w:val="en-US" w:eastAsia="zh-CN" w:bidi="ar-SA"/>
        </w:rPr>
        <w:t>分包</w:t>
      </w:r>
      <w:r>
        <w:rPr>
          <w:rFonts w:hint="eastAsia" w:ascii="Times New Roman" w:hAnsi="Times New Roman" w:eastAsia="宋体" w:cs="Times New Roman"/>
          <w:color w:val="auto"/>
          <w:kern w:val="2"/>
          <w:sz w:val="21"/>
          <w:szCs w:val="21"/>
          <w:highlight w:val="none"/>
          <w:u w:val="single"/>
          <w:lang w:val="en-US" w:eastAsia="zh-CN" w:bidi="ar-SA"/>
        </w:rPr>
        <w:t>标的内容</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向采购人负责，分包供应商就分包</w:t>
      </w:r>
      <w:r>
        <w:rPr>
          <w:rFonts w:hint="eastAsia" w:ascii="Times New Roman" w:hAnsi="Times New Roman" w:eastAsia="宋体" w:cs="Times New Roman"/>
          <w:color w:val="auto"/>
          <w:kern w:val="2"/>
          <w:sz w:val="21"/>
          <w:szCs w:val="21"/>
          <w:highlight w:val="none"/>
          <w:lang w:val="en-US" w:eastAsia="zh-CN" w:bidi="ar-SA"/>
        </w:rPr>
        <w:t>部分</w:t>
      </w:r>
      <w:r>
        <w:rPr>
          <w:rFonts w:ascii="Times New Roman" w:hAnsi="Times New Roman" w:eastAsia="宋体" w:cs="Times New Roman"/>
          <w:color w:val="auto"/>
          <w:kern w:val="2"/>
          <w:sz w:val="21"/>
          <w:szCs w:val="21"/>
          <w:highlight w:val="none"/>
          <w:lang w:val="en-US" w:eastAsia="zh-CN" w:bidi="ar-SA"/>
        </w:rPr>
        <w:t>承担责任</w:t>
      </w:r>
      <w:r>
        <w:rPr>
          <w:rFonts w:hint="eastAsia" w:ascii="Times New Roman" w:hAnsi="Times New Roman" w:eastAsia="宋体" w:cs="Times New Roman"/>
          <w:color w:val="auto"/>
          <w:kern w:val="2"/>
          <w:sz w:val="21"/>
          <w:szCs w:val="21"/>
          <w:highlight w:val="none"/>
          <w:lang w:val="en-US" w:eastAsia="zh-CN" w:bidi="ar-SA"/>
        </w:rPr>
        <w:t>。</w:t>
      </w:r>
    </w:p>
    <w:p w14:paraId="650A0CBF">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二、有关事项约定如下：</w:t>
      </w:r>
    </w:p>
    <w:p w14:paraId="1BFB62F7">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1.如</w:t>
      </w:r>
      <w:r>
        <w:rPr>
          <w:rFonts w:hint="eastAsia" w:ascii="Times New Roman" w:hAnsi="Times New Roman" w:eastAsia="宋体" w:cs="Times New Roman"/>
          <w:color w:val="auto"/>
          <w:kern w:val="2"/>
          <w:sz w:val="21"/>
          <w:szCs w:val="21"/>
          <w:highlight w:val="none"/>
          <w:lang w:val="en-US" w:eastAsia="zh-CN" w:bidi="ar-SA"/>
        </w:rPr>
        <w:t>成交</w:t>
      </w:r>
      <w:r>
        <w:rPr>
          <w:rFonts w:ascii="Times New Roman" w:hAnsi="Times New Roman" w:eastAsia="宋体" w:cs="Times New Roman"/>
          <w:color w:val="auto"/>
          <w:kern w:val="2"/>
          <w:sz w:val="21"/>
          <w:szCs w:val="21"/>
          <w:highlight w:val="none"/>
          <w:lang w:val="en-US" w:eastAsia="zh-CN" w:bidi="ar-SA"/>
        </w:rPr>
        <w:t>，分包</w:t>
      </w:r>
      <w:r>
        <w:rPr>
          <w:rFonts w:hint="eastAsia" w:ascii="Times New Roman" w:hAnsi="Times New Roman" w:eastAsia="宋体" w:cs="Times New Roman"/>
          <w:color w:val="auto"/>
          <w:kern w:val="2"/>
          <w:sz w:val="21"/>
          <w:szCs w:val="21"/>
          <w:highlight w:val="none"/>
          <w:lang w:val="en-US" w:eastAsia="zh-CN" w:bidi="ar-SA"/>
        </w:rPr>
        <w:t>意向</w:t>
      </w:r>
      <w:r>
        <w:rPr>
          <w:rFonts w:ascii="Times New Roman" w:hAnsi="Times New Roman" w:eastAsia="宋体" w:cs="Times New Roman"/>
          <w:color w:val="auto"/>
          <w:kern w:val="2"/>
          <w:sz w:val="21"/>
          <w:szCs w:val="21"/>
          <w:highlight w:val="none"/>
          <w:lang w:val="en-US" w:eastAsia="zh-CN" w:bidi="ar-SA"/>
        </w:rPr>
        <w:t>供应商与</w:t>
      </w:r>
      <w:r>
        <w:rPr>
          <w:rFonts w:ascii="Times New Roman" w:hAnsi="Times New Roman" w:eastAsia="宋体" w:cs="Times New Roman"/>
          <w:color w:val="auto"/>
          <w:kern w:val="2"/>
          <w:sz w:val="21"/>
          <w:szCs w:val="21"/>
          <w:highlight w:val="none"/>
          <w:u w:val="single"/>
          <w:lang w:val="en-US" w:eastAsia="zh-CN" w:bidi="ar-SA"/>
        </w:rPr>
        <w:t>（甲公司全称）</w:t>
      </w:r>
      <w:r>
        <w:rPr>
          <w:rFonts w:ascii="Times New Roman" w:hAnsi="Times New Roman" w:eastAsia="宋体" w:cs="Times New Roman"/>
          <w:color w:val="auto"/>
          <w:kern w:val="2"/>
          <w:sz w:val="21"/>
          <w:szCs w:val="21"/>
          <w:highlight w:val="none"/>
          <w:lang w:val="en-US" w:eastAsia="zh-CN" w:bidi="ar-SA"/>
        </w:rPr>
        <w:t>签订合同，并就</w:t>
      </w:r>
      <w:r>
        <w:rPr>
          <w:rFonts w:hint="eastAsia" w:ascii="Times New Roman" w:hAnsi="Times New Roman" w:eastAsia="宋体" w:cs="Times New Roman"/>
          <w:color w:val="auto"/>
          <w:kern w:val="2"/>
          <w:sz w:val="21"/>
          <w:szCs w:val="21"/>
          <w:highlight w:val="none"/>
          <w:lang w:val="en-US" w:eastAsia="zh-CN" w:bidi="ar-SA"/>
        </w:rPr>
        <w:t>成交</w:t>
      </w:r>
      <w:r>
        <w:rPr>
          <w:rFonts w:ascii="Times New Roman" w:hAnsi="Times New Roman" w:eastAsia="宋体" w:cs="Times New Roman"/>
          <w:color w:val="auto"/>
          <w:kern w:val="2"/>
          <w:sz w:val="21"/>
          <w:szCs w:val="21"/>
          <w:highlight w:val="none"/>
          <w:lang w:val="en-US" w:eastAsia="zh-CN" w:bidi="ar-SA"/>
        </w:rPr>
        <w:t>项目分包部分向采购人负责连带的和各自的法律责任；</w:t>
      </w:r>
    </w:p>
    <w:p w14:paraId="29E26E68">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如因违约过失责任而导致采购人经济损失或被索赔时，（甲公司全称）同意无条件优先清偿采购人的一切债务和经济赔偿。</w:t>
      </w:r>
    </w:p>
    <w:p w14:paraId="2D7E49E3">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如成交，分包意向供应商不得以任何理由提出终止本意向协议。</w:t>
      </w:r>
    </w:p>
    <w:p w14:paraId="44A9952D">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三</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合同份额声明</w:t>
      </w:r>
      <w:r>
        <w:rPr>
          <w:rFonts w:ascii="Times New Roman" w:hAnsi="Times New Roman" w:eastAsia="宋体" w:cs="Times New Roman"/>
          <w:color w:val="auto"/>
          <w:kern w:val="2"/>
          <w:sz w:val="21"/>
          <w:szCs w:val="21"/>
          <w:highlight w:val="none"/>
          <w:lang w:val="en-US" w:eastAsia="zh-CN" w:bidi="ar-SA"/>
        </w:rPr>
        <w:t>：</w:t>
      </w:r>
    </w:p>
    <w:p w14:paraId="78A8D57B">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1.中型企业承接的金额占合同总金额的</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 xml:space="preserve"> </w:t>
      </w:r>
    </w:p>
    <w:p w14:paraId="379B94D9">
      <w:pPr>
        <w:widowControl w:val="0"/>
        <w:overflowPunct w:val="0"/>
        <w:spacing w:line="400" w:lineRule="exact"/>
        <w:ind w:firstLine="472" w:firstLineChars="225"/>
        <w:jc w:val="both"/>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小型企业或微型企业承接的金额占合同总金额的</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u w:val="single"/>
          <w:lang w:val="en-US" w:eastAsia="zh-CN" w:bidi="ar-SA"/>
        </w:rPr>
        <w:t xml:space="preserve">  </w:t>
      </w:r>
      <w:r>
        <w:rPr>
          <w:rFonts w:hint="eastAsia" w:ascii="Times New Roman" w:hAnsi="Times New Roman" w:eastAsia="宋体" w:cs="Times New Roman"/>
          <w:color w:val="auto"/>
          <w:kern w:val="2"/>
          <w:sz w:val="21"/>
          <w:szCs w:val="21"/>
          <w:highlight w:val="none"/>
          <w:u w:val="single"/>
          <w:lang w:val="en-US" w:eastAsia="zh-CN" w:bidi="ar-SA"/>
        </w:rPr>
        <w:t xml:space="preserve">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w:t>
      </w:r>
    </w:p>
    <w:p w14:paraId="689EA711">
      <w:pPr>
        <w:widowControl w:val="0"/>
        <w:overflowPunct w:val="0"/>
        <w:spacing w:line="400" w:lineRule="exact"/>
        <w:ind w:firstLine="367" w:firstLineChars="175"/>
        <w:jc w:val="both"/>
        <w:rPr>
          <w:rFonts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lang w:val="en-US" w:eastAsia="zh-CN" w:bidi="ar-SA"/>
        </w:rPr>
        <w:t>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若我方在本采购活动中已享受扶持中小企业发展的政策，我方承诺在合同履行阶段不改变小型企业和微型企业承担本合同的金额及比例。合同履行阶段的分包商与《中小企业声明函》中列明的分包商一致。</w:t>
      </w:r>
    </w:p>
    <w:p w14:paraId="77D43571">
      <w:pPr>
        <w:spacing w:line="400" w:lineRule="exact"/>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四、本意向协议自盖章之日起生效。</w:t>
      </w:r>
    </w:p>
    <w:p w14:paraId="5F87FF32">
      <w:pPr>
        <w:rPr>
          <w:rFonts w:hint="eastAsia" w:ascii="Times New Roman" w:hAnsi="Times New Roman" w:eastAsia="宋体" w:cs="Times New Roman"/>
          <w:color w:val="auto"/>
          <w:szCs w:val="21"/>
          <w:highlight w:val="none"/>
        </w:rPr>
      </w:pPr>
    </w:p>
    <w:p w14:paraId="17CE84A2">
      <w:pPr>
        <w:rPr>
          <w:rFonts w:hint="eastAsia" w:ascii="Times New Roman" w:hAnsi="Times New Roman" w:eastAsia="宋体" w:cs="Times New Roman"/>
          <w:color w:val="auto"/>
          <w:szCs w:val="21"/>
          <w:highlight w:val="none"/>
        </w:rPr>
      </w:pPr>
    </w:p>
    <w:p w14:paraId="7A2DB752">
      <w:pP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甲方单位名称（盖章）：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 xml:space="preserve">乙方单位名称（盖章）： </w:t>
      </w:r>
    </w:p>
    <w:p w14:paraId="12297E16">
      <w:pP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日  期：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日  期：</w:t>
      </w:r>
    </w:p>
    <w:p w14:paraId="3877836D">
      <w:pPr>
        <w:rPr>
          <w:rFonts w:hint="eastAsia" w:ascii="宋体" w:hAnsi="宋体" w:eastAsia="宋体" w:cs="宋体"/>
          <w:color w:val="auto"/>
          <w:szCs w:val="21"/>
          <w:highlight w:val="none"/>
        </w:rPr>
      </w:pPr>
    </w:p>
    <w:p w14:paraId="085D350B">
      <w:pPr>
        <w:autoSpaceDE w:val="0"/>
        <w:autoSpaceDN w:val="0"/>
        <w:spacing w:line="360" w:lineRule="auto"/>
        <w:ind w:left="4305" w:leftChars="1850" w:hanging="420" w:hangingChars="200"/>
        <w:rPr>
          <w:rFonts w:hint="eastAsia" w:ascii="宋体" w:hAnsi="宋体" w:eastAsia="宋体" w:cs="宋体"/>
          <w:color w:val="auto"/>
          <w:kern w:val="0"/>
          <w:szCs w:val="21"/>
          <w:highlight w:val="none"/>
        </w:rPr>
      </w:pPr>
    </w:p>
    <w:p w14:paraId="7ACBEFE9">
      <w:pPr>
        <w:spacing w:line="528" w:lineRule="exact"/>
        <w:ind w:left="1871" w:leftChars="891" w:firstLine="540" w:firstLineChars="300"/>
        <w:rPr>
          <w:rFonts w:ascii="宋体" w:hAnsi="宋体" w:cs="Arial Unicode MS"/>
          <w:color w:val="auto"/>
          <w:sz w:val="40"/>
          <w:szCs w:val="40"/>
          <w:highlight w:val="none"/>
        </w:rPr>
      </w:pPr>
      <w:r>
        <w:rPr>
          <w:color w:val="auto"/>
          <w:sz w:val="18"/>
          <w:szCs w:val="18"/>
          <w:highlight w:val="none"/>
        </w:rPr>
        <w:br w:type="page"/>
      </w:r>
      <w:r>
        <w:rPr>
          <w:rFonts w:hint="eastAsia" w:ascii="宋体" w:hAnsi="宋体" w:cs="微软雅黑"/>
          <w:color w:val="auto"/>
          <w:sz w:val="40"/>
          <w:szCs w:val="40"/>
          <w:highlight w:val="none"/>
        </w:rPr>
        <w:t>中小微企业划型标准</w:t>
      </w:r>
    </w:p>
    <w:tbl>
      <w:tblPr>
        <w:tblStyle w:val="37"/>
        <w:tblW w:w="8591" w:type="dxa"/>
        <w:tblInd w:w="250" w:type="dxa"/>
        <w:tblLayout w:type="fixed"/>
        <w:tblCellMar>
          <w:top w:w="0" w:type="dxa"/>
          <w:left w:w="108" w:type="dxa"/>
          <w:bottom w:w="0" w:type="dxa"/>
          <w:right w:w="108" w:type="dxa"/>
        </w:tblCellMar>
      </w:tblPr>
      <w:tblGrid>
        <w:gridCol w:w="1831"/>
        <w:gridCol w:w="1489"/>
        <w:gridCol w:w="983"/>
        <w:gridCol w:w="1743"/>
        <w:gridCol w:w="1549"/>
        <w:gridCol w:w="996"/>
      </w:tblGrid>
      <w:tr w14:paraId="7C02AA47">
        <w:tblPrEx>
          <w:tblCellMar>
            <w:top w:w="0" w:type="dxa"/>
            <w:left w:w="108" w:type="dxa"/>
            <w:bottom w:w="0" w:type="dxa"/>
            <w:right w:w="108" w:type="dxa"/>
          </w:tblCellMar>
        </w:tblPrEx>
        <w:trPr>
          <w:trHeight w:val="287" w:hRule="atLeast"/>
        </w:trPr>
        <w:tc>
          <w:tcPr>
            <w:tcW w:w="1831" w:type="dxa"/>
            <w:tcBorders>
              <w:top w:val="single" w:color="auto" w:sz="4" w:space="0"/>
              <w:left w:val="single" w:color="auto" w:sz="4" w:space="0"/>
              <w:bottom w:val="single" w:color="auto" w:sz="4" w:space="0"/>
              <w:right w:val="single" w:color="auto" w:sz="4" w:space="0"/>
            </w:tcBorders>
            <w:noWrap w:val="0"/>
            <w:vAlign w:val="center"/>
          </w:tcPr>
          <w:p w14:paraId="7DE9065E">
            <w:pPr>
              <w:keepNext w:val="0"/>
              <w:keepLines w:val="0"/>
              <w:widowControl/>
              <w:suppressLineNumbers w:val="0"/>
              <w:spacing w:before="0" w:beforeAutospacing="0" w:after="0" w:afterAutospacing="0"/>
              <w:ind w:left="0" w:right="0"/>
              <w:jc w:val="left"/>
              <w:rPr>
                <w:rFonts w:hint="default"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489" w:type="dxa"/>
            <w:tcBorders>
              <w:top w:val="single" w:color="auto" w:sz="4" w:space="0"/>
              <w:left w:val="nil"/>
              <w:bottom w:val="single" w:color="auto" w:sz="4" w:space="0"/>
              <w:right w:val="single" w:color="auto" w:sz="4" w:space="0"/>
            </w:tcBorders>
            <w:noWrap w:val="0"/>
            <w:vAlign w:val="center"/>
          </w:tcPr>
          <w:p w14:paraId="62A73CF9">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83" w:type="dxa"/>
            <w:tcBorders>
              <w:top w:val="single" w:color="auto" w:sz="4" w:space="0"/>
              <w:left w:val="nil"/>
              <w:bottom w:val="single" w:color="auto" w:sz="4" w:space="0"/>
              <w:right w:val="single" w:color="auto" w:sz="4" w:space="0"/>
            </w:tcBorders>
            <w:noWrap w:val="0"/>
            <w:vAlign w:val="center"/>
          </w:tcPr>
          <w:p w14:paraId="412F1665">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743" w:type="dxa"/>
            <w:tcBorders>
              <w:top w:val="single" w:color="auto" w:sz="4" w:space="0"/>
              <w:left w:val="nil"/>
              <w:bottom w:val="single" w:color="auto" w:sz="4" w:space="0"/>
              <w:right w:val="single" w:color="auto" w:sz="4" w:space="0"/>
            </w:tcBorders>
            <w:noWrap w:val="0"/>
            <w:vAlign w:val="center"/>
          </w:tcPr>
          <w:p w14:paraId="6AF92A64">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549" w:type="dxa"/>
            <w:tcBorders>
              <w:top w:val="single" w:color="auto" w:sz="4" w:space="0"/>
              <w:left w:val="nil"/>
              <w:bottom w:val="single" w:color="auto" w:sz="4" w:space="0"/>
              <w:right w:val="single" w:color="auto" w:sz="4" w:space="0"/>
            </w:tcBorders>
            <w:noWrap w:val="0"/>
            <w:vAlign w:val="center"/>
          </w:tcPr>
          <w:p w14:paraId="104C9E6A">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996" w:type="dxa"/>
            <w:tcBorders>
              <w:top w:val="single" w:color="auto" w:sz="4" w:space="0"/>
              <w:left w:val="nil"/>
              <w:bottom w:val="single" w:color="auto" w:sz="4" w:space="0"/>
              <w:right w:val="single" w:color="auto" w:sz="4" w:space="0"/>
            </w:tcBorders>
            <w:noWrap w:val="0"/>
            <w:vAlign w:val="center"/>
          </w:tcPr>
          <w:p w14:paraId="00D5BC51">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227C1002">
        <w:tblPrEx>
          <w:tblCellMar>
            <w:top w:w="0" w:type="dxa"/>
            <w:left w:w="108" w:type="dxa"/>
            <w:bottom w:w="0" w:type="dxa"/>
            <w:right w:w="108" w:type="dxa"/>
          </w:tblCellMar>
        </w:tblPrEx>
        <w:trPr>
          <w:trHeight w:val="226" w:hRule="atLeast"/>
        </w:trPr>
        <w:tc>
          <w:tcPr>
            <w:tcW w:w="1831" w:type="dxa"/>
            <w:tcBorders>
              <w:top w:val="nil"/>
              <w:left w:val="single" w:color="auto" w:sz="4" w:space="0"/>
              <w:bottom w:val="single" w:color="auto" w:sz="4" w:space="0"/>
              <w:right w:val="single" w:color="auto" w:sz="4" w:space="0"/>
            </w:tcBorders>
            <w:noWrap w:val="0"/>
            <w:vAlign w:val="bottom"/>
          </w:tcPr>
          <w:p w14:paraId="63CFF2A9">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489" w:type="dxa"/>
            <w:tcBorders>
              <w:top w:val="nil"/>
              <w:left w:val="nil"/>
              <w:bottom w:val="single" w:color="auto" w:sz="4" w:space="0"/>
              <w:right w:val="single" w:color="auto" w:sz="4" w:space="0"/>
            </w:tcBorders>
            <w:noWrap w:val="0"/>
            <w:vAlign w:val="center"/>
          </w:tcPr>
          <w:p w14:paraId="7505D6F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0AA5315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7104716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49" w:type="dxa"/>
            <w:tcBorders>
              <w:top w:val="nil"/>
              <w:left w:val="nil"/>
              <w:bottom w:val="single" w:color="auto" w:sz="4" w:space="0"/>
              <w:right w:val="single" w:color="auto" w:sz="4" w:space="0"/>
            </w:tcBorders>
            <w:noWrap w:val="0"/>
            <w:vAlign w:val="center"/>
          </w:tcPr>
          <w:p w14:paraId="4167F58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6" w:type="dxa"/>
            <w:tcBorders>
              <w:top w:val="nil"/>
              <w:left w:val="nil"/>
              <w:bottom w:val="single" w:color="auto" w:sz="4" w:space="0"/>
              <w:right w:val="single" w:color="auto" w:sz="4" w:space="0"/>
            </w:tcBorders>
            <w:noWrap w:val="0"/>
            <w:vAlign w:val="center"/>
          </w:tcPr>
          <w:p w14:paraId="601251F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E7E318A">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1CCD24F0">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489" w:type="dxa"/>
            <w:tcBorders>
              <w:top w:val="nil"/>
              <w:left w:val="nil"/>
              <w:bottom w:val="single" w:color="auto" w:sz="4" w:space="0"/>
              <w:right w:val="single" w:color="auto" w:sz="4" w:space="0"/>
            </w:tcBorders>
            <w:noWrap w:val="0"/>
            <w:vAlign w:val="center"/>
          </w:tcPr>
          <w:p w14:paraId="07596A3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11EFCFE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2C4659C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49" w:type="dxa"/>
            <w:tcBorders>
              <w:top w:val="nil"/>
              <w:left w:val="nil"/>
              <w:bottom w:val="single" w:color="auto" w:sz="4" w:space="0"/>
              <w:right w:val="single" w:color="auto" w:sz="4" w:space="0"/>
            </w:tcBorders>
            <w:noWrap w:val="0"/>
            <w:vAlign w:val="center"/>
          </w:tcPr>
          <w:p w14:paraId="27EE6B0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6" w:type="dxa"/>
            <w:tcBorders>
              <w:top w:val="nil"/>
              <w:left w:val="nil"/>
              <w:bottom w:val="single" w:color="auto" w:sz="4" w:space="0"/>
              <w:right w:val="single" w:color="auto" w:sz="4" w:space="0"/>
            </w:tcBorders>
            <w:noWrap w:val="0"/>
            <w:vAlign w:val="center"/>
          </w:tcPr>
          <w:p w14:paraId="015B060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5650EF5">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34DA66A5">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1144F17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3BFD5EF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2A54D0F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549" w:type="dxa"/>
            <w:tcBorders>
              <w:top w:val="nil"/>
              <w:left w:val="nil"/>
              <w:bottom w:val="single" w:color="auto" w:sz="4" w:space="0"/>
              <w:right w:val="single" w:color="auto" w:sz="4" w:space="0"/>
            </w:tcBorders>
            <w:noWrap w:val="0"/>
            <w:vAlign w:val="center"/>
          </w:tcPr>
          <w:p w14:paraId="76CC732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6" w:type="dxa"/>
            <w:tcBorders>
              <w:top w:val="nil"/>
              <w:left w:val="nil"/>
              <w:bottom w:val="single" w:color="auto" w:sz="4" w:space="0"/>
              <w:right w:val="single" w:color="auto" w:sz="4" w:space="0"/>
            </w:tcBorders>
            <w:noWrap w:val="0"/>
            <w:vAlign w:val="center"/>
          </w:tcPr>
          <w:p w14:paraId="7259968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C639987">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08BD1B2A">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489" w:type="dxa"/>
            <w:tcBorders>
              <w:top w:val="nil"/>
              <w:left w:val="nil"/>
              <w:bottom w:val="single" w:color="auto" w:sz="4" w:space="0"/>
              <w:right w:val="single" w:color="auto" w:sz="4" w:space="0"/>
            </w:tcBorders>
            <w:noWrap w:val="0"/>
            <w:vAlign w:val="center"/>
          </w:tcPr>
          <w:p w14:paraId="7A4A4A7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3EC1867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009B00A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549" w:type="dxa"/>
            <w:tcBorders>
              <w:top w:val="nil"/>
              <w:left w:val="nil"/>
              <w:bottom w:val="single" w:color="auto" w:sz="4" w:space="0"/>
              <w:right w:val="single" w:color="auto" w:sz="4" w:space="0"/>
            </w:tcBorders>
            <w:noWrap w:val="0"/>
            <w:vAlign w:val="center"/>
          </w:tcPr>
          <w:p w14:paraId="4138592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6" w:type="dxa"/>
            <w:tcBorders>
              <w:top w:val="nil"/>
              <w:left w:val="nil"/>
              <w:bottom w:val="single" w:color="auto" w:sz="4" w:space="0"/>
              <w:right w:val="single" w:color="auto" w:sz="4" w:space="0"/>
            </w:tcBorders>
            <w:noWrap w:val="0"/>
            <w:vAlign w:val="center"/>
          </w:tcPr>
          <w:p w14:paraId="3A48194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7957860C">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1088E116">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06EC8E3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3" w:type="dxa"/>
            <w:tcBorders>
              <w:top w:val="nil"/>
              <w:left w:val="nil"/>
              <w:bottom w:val="single" w:color="auto" w:sz="4" w:space="0"/>
              <w:right w:val="single" w:color="auto" w:sz="4" w:space="0"/>
            </w:tcBorders>
            <w:noWrap w:val="0"/>
            <w:vAlign w:val="center"/>
          </w:tcPr>
          <w:p w14:paraId="5D278EB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0A4BE65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549" w:type="dxa"/>
            <w:tcBorders>
              <w:top w:val="nil"/>
              <w:left w:val="nil"/>
              <w:bottom w:val="single" w:color="auto" w:sz="4" w:space="0"/>
              <w:right w:val="single" w:color="auto" w:sz="4" w:space="0"/>
            </w:tcBorders>
            <w:noWrap w:val="0"/>
            <w:vAlign w:val="center"/>
          </w:tcPr>
          <w:p w14:paraId="0E6BBF0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6" w:type="dxa"/>
            <w:tcBorders>
              <w:top w:val="nil"/>
              <w:left w:val="nil"/>
              <w:bottom w:val="single" w:color="auto" w:sz="4" w:space="0"/>
              <w:right w:val="single" w:color="auto" w:sz="4" w:space="0"/>
            </w:tcBorders>
            <w:noWrap w:val="0"/>
            <w:vAlign w:val="center"/>
          </w:tcPr>
          <w:p w14:paraId="572EA53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731514F0">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6D97F946">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489" w:type="dxa"/>
            <w:tcBorders>
              <w:top w:val="nil"/>
              <w:left w:val="nil"/>
              <w:bottom w:val="single" w:color="auto" w:sz="4" w:space="0"/>
              <w:right w:val="single" w:color="auto" w:sz="4" w:space="0"/>
            </w:tcBorders>
            <w:noWrap w:val="0"/>
            <w:vAlign w:val="center"/>
          </w:tcPr>
          <w:p w14:paraId="486409D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1431E0D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5D7A4D2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549" w:type="dxa"/>
            <w:tcBorders>
              <w:top w:val="nil"/>
              <w:left w:val="nil"/>
              <w:bottom w:val="single" w:color="auto" w:sz="4" w:space="0"/>
              <w:right w:val="single" w:color="auto" w:sz="4" w:space="0"/>
            </w:tcBorders>
            <w:noWrap w:val="0"/>
            <w:vAlign w:val="center"/>
          </w:tcPr>
          <w:p w14:paraId="27BF746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6" w:type="dxa"/>
            <w:tcBorders>
              <w:top w:val="nil"/>
              <w:left w:val="nil"/>
              <w:bottom w:val="single" w:color="auto" w:sz="4" w:space="0"/>
              <w:right w:val="single" w:color="auto" w:sz="4" w:space="0"/>
            </w:tcBorders>
            <w:noWrap w:val="0"/>
            <w:vAlign w:val="center"/>
          </w:tcPr>
          <w:p w14:paraId="40DCF31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EA02413">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38EB6383">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120DA7E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4E218AA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7AAC1F5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549" w:type="dxa"/>
            <w:tcBorders>
              <w:top w:val="nil"/>
              <w:left w:val="nil"/>
              <w:bottom w:val="single" w:color="auto" w:sz="4" w:space="0"/>
              <w:right w:val="single" w:color="auto" w:sz="4" w:space="0"/>
            </w:tcBorders>
            <w:noWrap w:val="0"/>
            <w:vAlign w:val="center"/>
          </w:tcPr>
          <w:p w14:paraId="70A4AAC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6" w:type="dxa"/>
            <w:tcBorders>
              <w:top w:val="nil"/>
              <w:left w:val="nil"/>
              <w:bottom w:val="single" w:color="auto" w:sz="4" w:space="0"/>
              <w:right w:val="single" w:color="auto" w:sz="4" w:space="0"/>
            </w:tcBorders>
            <w:noWrap w:val="0"/>
            <w:vAlign w:val="center"/>
          </w:tcPr>
          <w:p w14:paraId="5BEC8E1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1CD89F5E">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5AD505BD">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489" w:type="dxa"/>
            <w:tcBorders>
              <w:top w:val="nil"/>
              <w:left w:val="nil"/>
              <w:bottom w:val="single" w:color="auto" w:sz="4" w:space="0"/>
              <w:right w:val="single" w:color="auto" w:sz="4" w:space="0"/>
            </w:tcBorders>
            <w:noWrap w:val="0"/>
            <w:vAlign w:val="center"/>
          </w:tcPr>
          <w:p w14:paraId="40AD806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1467386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6AFB116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549" w:type="dxa"/>
            <w:tcBorders>
              <w:top w:val="nil"/>
              <w:left w:val="nil"/>
              <w:bottom w:val="single" w:color="auto" w:sz="4" w:space="0"/>
              <w:right w:val="single" w:color="auto" w:sz="4" w:space="0"/>
            </w:tcBorders>
            <w:noWrap w:val="0"/>
            <w:vAlign w:val="center"/>
          </w:tcPr>
          <w:p w14:paraId="1056891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996" w:type="dxa"/>
            <w:tcBorders>
              <w:top w:val="nil"/>
              <w:left w:val="nil"/>
              <w:bottom w:val="single" w:color="auto" w:sz="4" w:space="0"/>
              <w:right w:val="single" w:color="auto" w:sz="4" w:space="0"/>
            </w:tcBorders>
            <w:noWrap w:val="0"/>
            <w:vAlign w:val="center"/>
          </w:tcPr>
          <w:p w14:paraId="050FA0D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26195E7">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1D1B9FAD">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3EB8C86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5E44366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680EB23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49" w:type="dxa"/>
            <w:tcBorders>
              <w:top w:val="nil"/>
              <w:left w:val="nil"/>
              <w:bottom w:val="single" w:color="auto" w:sz="4" w:space="0"/>
              <w:right w:val="single" w:color="auto" w:sz="4" w:space="0"/>
            </w:tcBorders>
            <w:noWrap w:val="0"/>
            <w:vAlign w:val="center"/>
          </w:tcPr>
          <w:p w14:paraId="0DF018E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6" w:type="dxa"/>
            <w:tcBorders>
              <w:top w:val="nil"/>
              <w:left w:val="nil"/>
              <w:bottom w:val="single" w:color="auto" w:sz="4" w:space="0"/>
              <w:right w:val="single" w:color="auto" w:sz="4" w:space="0"/>
            </w:tcBorders>
            <w:noWrap w:val="0"/>
            <w:vAlign w:val="center"/>
          </w:tcPr>
          <w:p w14:paraId="1C63DD1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B280280">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3BA07E6B">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489" w:type="dxa"/>
            <w:tcBorders>
              <w:top w:val="nil"/>
              <w:left w:val="nil"/>
              <w:bottom w:val="single" w:color="auto" w:sz="4" w:space="0"/>
              <w:right w:val="single" w:color="auto" w:sz="4" w:space="0"/>
            </w:tcBorders>
            <w:noWrap w:val="0"/>
            <w:vAlign w:val="center"/>
          </w:tcPr>
          <w:p w14:paraId="4F39DBE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5669F72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264EEB8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49" w:type="dxa"/>
            <w:tcBorders>
              <w:top w:val="nil"/>
              <w:left w:val="nil"/>
              <w:bottom w:val="single" w:color="auto" w:sz="4" w:space="0"/>
              <w:right w:val="single" w:color="auto" w:sz="4" w:space="0"/>
            </w:tcBorders>
            <w:noWrap w:val="0"/>
            <w:vAlign w:val="center"/>
          </w:tcPr>
          <w:p w14:paraId="56637AB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6" w:type="dxa"/>
            <w:tcBorders>
              <w:top w:val="nil"/>
              <w:left w:val="nil"/>
              <w:bottom w:val="single" w:color="auto" w:sz="4" w:space="0"/>
              <w:right w:val="single" w:color="auto" w:sz="4" w:space="0"/>
            </w:tcBorders>
            <w:noWrap w:val="0"/>
            <w:vAlign w:val="center"/>
          </w:tcPr>
          <w:p w14:paraId="76CC98A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DAF5F6A">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057892B5">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370B6F4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4AA0760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0374510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549" w:type="dxa"/>
            <w:tcBorders>
              <w:top w:val="nil"/>
              <w:left w:val="nil"/>
              <w:bottom w:val="single" w:color="auto" w:sz="4" w:space="0"/>
              <w:right w:val="single" w:color="auto" w:sz="4" w:space="0"/>
            </w:tcBorders>
            <w:noWrap w:val="0"/>
            <w:vAlign w:val="center"/>
          </w:tcPr>
          <w:p w14:paraId="736BC23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6" w:type="dxa"/>
            <w:tcBorders>
              <w:top w:val="nil"/>
              <w:left w:val="nil"/>
              <w:bottom w:val="single" w:color="auto" w:sz="4" w:space="0"/>
              <w:right w:val="single" w:color="auto" w:sz="4" w:space="0"/>
            </w:tcBorders>
            <w:noWrap w:val="0"/>
            <w:vAlign w:val="center"/>
          </w:tcPr>
          <w:p w14:paraId="1E5BFF1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55439AE5">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44B5FAAA">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489" w:type="dxa"/>
            <w:tcBorders>
              <w:top w:val="nil"/>
              <w:left w:val="nil"/>
              <w:bottom w:val="single" w:color="auto" w:sz="4" w:space="0"/>
              <w:right w:val="single" w:color="auto" w:sz="4" w:space="0"/>
            </w:tcBorders>
            <w:noWrap w:val="0"/>
            <w:vAlign w:val="center"/>
          </w:tcPr>
          <w:p w14:paraId="7A0E656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73A7740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2E1B7E8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549" w:type="dxa"/>
            <w:tcBorders>
              <w:top w:val="nil"/>
              <w:left w:val="nil"/>
              <w:bottom w:val="single" w:color="auto" w:sz="4" w:space="0"/>
              <w:right w:val="single" w:color="auto" w:sz="4" w:space="0"/>
            </w:tcBorders>
            <w:noWrap w:val="0"/>
            <w:vAlign w:val="center"/>
          </w:tcPr>
          <w:p w14:paraId="00E5964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6" w:type="dxa"/>
            <w:tcBorders>
              <w:top w:val="nil"/>
              <w:left w:val="nil"/>
              <w:bottom w:val="single" w:color="auto" w:sz="4" w:space="0"/>
              <w:right w:val="single" w:color="auto" w:sz="4" w:space="0"/>
            </w:tcBorders>
            <w:noWrap w:val="0"/>
            <w:vAlign w:val="center"/>
          </w:tcPr>
          <w:p w14:paraId="2C318E4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3BCB935">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2D20D4BB">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38EAD1E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1173FFA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0A2D308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549" w:type="dxa"/>
            <w:tcBorders>
              <w:top w:val="nil"/>
              <w:left w:val="nil"/>
              <w:bottom w:val="single" w:color="auto" w:sz="4" w:space="0"/>
              <w:right w:val="single" w:color="auto" w:sz="4" w:space="0"/>
            </w:tcBorders>
            <w:noWrap w:val="0"/>
            <w:vAlign w:val="center"/>
          </w:tcPr>
          <w:p w14:paraId="5BBBD14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6" w:type="dxa"/>
            <w:tcBorders>
              <w:top w:val="nil"/>
              <w:left w:val="nil"/>
              <w:bottom w:val="single" w:color="auto" w:sz="4" w:space="0"/>
              <w:right w:val="single" w:color="auto" w:sz="4" w:space="0"/>
            </w:tcBorders>
            <w:noWrap w:val="0"/>
            <w:vAlign w:val="center"/>
          </w:tcPr>
          <w:p w14:paraId="38E2453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EE1DA45">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22B389F2">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489" w:type="dxa"/>
            <w:tcBorders>
              <w:top w:val="nil"/>
              <w:left w:val="nil"/>
              <w:bottom w:val="single" w:color="auto" w:sz="4" w:space="0"/>
              <w:right w:val="single" w:color="auto" w:sz="4" w:space="0"/>
            </w:tcBorders>
            <w:noWrap w:val="0"/>
            <w:vAlign w:val="center"/>
          </w:tcPr>
          <w:p w14:paraId="505F8E3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6FC6673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18C583C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49" w:type="dxa"/>
            <w:tcBorders>
              <w:top w:val="nil"/>
              <w:left w:val="nil"/>
              <w:bottom w:val="single" w:color="auto" w:sz="4" w:space="0"/>
              <w:right w:val="single" w:color="auto" w:sz="4" w:space="0"/>
            </w:tcBorders>
            <w:noWrap w:val="0"/>
            <w:vAlign w:val="center"/>
          </w:tcPr>
          <w:p w14:paraId="7763166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6" w:type="dxa"/>
            <w:tcBorders>
              <w:top w:val="nil"/>
              <w:left w:val="nil"/>
              <w:bottom w:val="single" w:color="auto" w:sz="4" w:space="0"/>
              <w:right w:val="single" w:color="auto" w:sz="4" w:space="0"/>
            </w:tcBorders>
            <w:noWrap w:val="0"/>
            <w:vAlign w:val="center"/>
          </w:tcPr>
          <w:p w14:paraId="26EA171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407C5B4">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2721A691">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38712CA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6D3CD0E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0DC86DB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549" w:type="dxa"/>
            <w:tcBorders>
              <w:top w:val="nil"/>
              <w:left w:val="nil"/>
              <w:bottom w:val="single" w:color="auto" w:sz="4" w:space="0"/>
              <w:right w:val="single" w:color="auto" w:sz="4" w:space="0"/>
            </w:tcBorders>
            <w:noWrap w:val="0"/>
            <w:vAlign w:val="center"/>
          </w:tcPr>
          <w:p w14:paraId="7FAB467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6" w:type="dxa"/>
            <w:tcBorders>
              <w:top w:val="nil"/>
              <w:left w:val="nil"/>
              <w:bottom w:val="single" w:color="auto" w:sz="4" w:space="0"/>
              <w:right w:val="single" w:color="auto" w:sz="4" w:space="0"/>
            </w:tcBorders>
            <w:noWrap w:val="0"/>
            <w:vAlign w:val="center"/>
          </w:tcPr>
          <w:p w14:paraId="16318D8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7EF217E">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44DE635B">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489" w:type="dxa"/>
            <w:tcBorders>
              <w:top w:val="nil"/>
              <w:left w:val="nil"/>
              <w:bottom w:val="single" w:color="auto" w:sz="4" w:space="0"/>
              <w:right w:val="single" w:color="auto" w:sz="4" w:space="0"/>
            </w:tcBorders>
            <w:noWrap w:val="0"/>
            <w:vAlign w:val="center"/>
          </w:tcPr>
          <w:p w14:paraId="63B9237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4F4897D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018499B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49" w:type="dxa"/>
            <w:tcBorders>
              <w:top w:val="nil"/>
              <w:left w:val="nil"/>
              <w:bottom w:val="single" w:color="auto" w:sz="4" w:space="0"/>
              <w:right w:val="single" w:color="auto" w:sz="4" w:space="0"/>
            </w:tcBorders>
            <w:noWrap w:val="0"/>
            <w:vAlign w:val="center"/>
          </w:tcPr>
          <w:p w14:paraId="3FE5F51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6" w:type="dxa"/>
            <w:tcBorders>
              <w:top w:val="nil"/>
              <w:left w:val="nil"/>
              <w:bottom w:val="single" w:color="auto" w:sz="4" w:space="0"/>
              <w:right w:val="single" w:color="auto" w:sz="4" w:space="0"/>
            </w:tcBorders>
            <w:noWrap w:val="0"/>
            <w:vAlign w:val="center"/>
          </w:tcPr>
          <w:p w14:paraId="28A40CE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5EA2BA7">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000D8398">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37089E7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57E5142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363D5E0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49" w:type="dxa"/>
            <w:tcBorders>
              <w:top w:val="nil"/>
              <w:left w:val="nil"/>
              <w:bottom w:val="single" w:color="auto" w:sz="4" w:space="0"/>
              <w:right w:val="single" w:color="auto" w:sz="4" w:space="0"/>
            </w:tcBorders>
            <w:noWrap w:val="0"/>
            <w:vAlign w:val="center"/>
          </w:tcPr>
          <w:p w14:paraId="2BAAC80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6" w:type="dxa"/>
            <w:tcBorders>
              <w:top w:val="nil"/>
              <w:left w:val="nil"/>
              <w:bottom w:val="single" w:color="auto" w:sz="4" w:space="0"/>
              <w:right w:val="single" w:color="auto" w:sz="4" w:space="0"/>
            </w:tcBorders>
            <w:noWrap w:val="0"/>
            <w:vAlign w:val="center"/>
          </w:tcPr>
          <w:p w14:paraId="7F5F492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0E9F3C5">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446F081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489" w:type="dxa"/>
            <w:tcBorders>
              <w:top w:val="nil"/>
              <w:left w:val="nil"/>
              <w:bottom w:val="single" w:color="auto" w:sz="4" w:space="0"/>
              <w:right w:val="single" w:color="auto" w:sz="4" w:space="0"/>
            </w:tcBorders>
            <w:noWrap w:val="0"/>
            <w:vAlign w:val="center"/>
          </w:tcPr>
          <w:p w14:paraId="6437B2F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625E3E7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52A3CF2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49" w:type="dxa"/>
            <w:tcBorders>
              <w:top w:val="nil"/>
              <w:left w:val="nil"/>
              <w:bottom w:val="single" w:color="auto" w:sz="4" w:space="0"/>
              <w:right w:val="single" w:color="auto" w:sz="4" w:space="0"/>
            </w:tcBorders>
            <w:noWrap w:val="0"/>
            <w:vAlign w:val="center"/>
          </w:tcPr>
          <w:p w14:paraId="0201575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6" w:type="dxa"/>
            <w:tcBorders>
              <w:top w:val="nil"/>
              <w:left w:val="nil"/>
              <w:bottom w:val="single" w:color="auto" w:sz="4" w:space="0"/>
              <w:right w:val="single" w:color="auto" w:sz="4" w:space="0"/>
            </w:tcBorders>
            <w:noWrap w:val="0"/>
            <w:vAlign w:val="center"/>
          </w:tcPr>
          <w:p w14:paraId="6AC5EF6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1992B29">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567B18A8">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374E2C1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4870527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410F096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49" w:type="dxa"/>
            <w:tcBorders>
              <w:top w:val="nil"/>
              <w:left w:val="nil"/>
              <w:bottom w:val="single" w:color="auto" w:sz="4" w:space="0"/>
              <w:right w:val="single" w:color="auto" w:sz="4" w:space="0"/>
            </w:tcBorders>
            <w:noWrap w:val="0"/>
            <w:vAlign w:val="center"/>
          </w:tcPr>
          <w:p w14:paraId="525894D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6" w:type="dxa"/>
            <w:tcBorders>
              <w:top w:val="nil"/>
              <w:left w:val="nil"/>
              <w:bottom w:val="single" w:color="auto" w:sz="4" w:space="0"/>
              <w:right w:val="single" w:color="auto" w:sz="4" w:space="0"/>
            </w:tcBorders>
            <w:noWrap w:val="0"/>
            <w:vAlign w:val="center"/>
          </w:tcPr>
          <w:p w14:paraId="4CDED2D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FDC6AF9">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6641950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489" w:type="dxa"/>
            <w:tcBorders>
              <w:top w:val="nil"/>
              <w:left w:val="nil"/>
              <w:bottom w:val="single" w:color="auto" w:sz="4" w:space="0"/>
              <w:right w:val="single" w:color="auto" w:sz="4" w:space="0"/>
            </w:tcBorders>
            <w:noWrap w:val="0"/>
            <w:vAlign w:val="center"/>
          </w:tcPr>
          <w:p w14:paraId="1235F82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2BBBA84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569D7CC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549" w:type="dxa"/>
            <w:tcBorders>
              <w:top w:val="nil"/>
              <w:left w:val="nil"/>
              <w:bottom w:val="single" w:color="auto" w:sz="4" w:space="0"/>
              <w:right w:val="single" w:color="auto" w:sz="4" w:space="0"/>
            </w:tcBorders>
            <w:noWrap w:val="0"/>
            <w:vAlign w:val="center"/>
          </w:tcPr>
          <w:p w14:paraId="705091D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6" w:type="dxa"/>
            <w:tcBorders>
              <w:top w:val="nil"/>
              <w:left w:val="nil"/>
              <w:bottom w:val="single" w:color="auto" w:sz="4" w:space="0"/>
              <w:right w:val="single" w:color="auto" w:sz="4" w:space="0"/>
            </w:tcBorders>
            <w:noWrap w:val="0"/>
            <w:vAlign w:val="center"/>
          </w:tcPr>
          <w:p w14:paraId="0AA0E9E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E1DC9E7">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4ECD7BEB">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1DA8A7B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5D09E15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7416A8E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549" w:type="dxa"/>
            <w:tcBorders>
              <w:top w:val="nil"/>
              <w:left w:val="nil"/>
              <w:bottom w:val="single" w:color="auto" w:sz="4" w:space="0"/>
              <w:right w:val="single" w:color="auto" w:sz="4" w:space="0"/>
            </w:tcBorders>
            <w:noWrap w:val="0"/>
            <w:vAlign w:val="center"/>
          </w:tcPr>
          <w:p w14:paraId="5710FC1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6" w:type="dxa"/>
            <w:tcBorders>
              <w:top w:val="nil"/>
              <w:left w:val="nil"/>
              <w:bottom w:val="single" w:color="auto" w:sz="4" w:space="0"/>
              <w:right w:val="single" w:color="auto" w:sz="4" w:space="0"/>
            </w:tcBorders>
            <w:noWrap w:val="0"/>
            <w:vAlign w:val="center"/>
          </w:tcPr>
          <w:p w14:paraId="2FF6507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D984F2E">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05839E82">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489" w:type="dxa"/>
            <w:tcBorders>
              <w:top w:val="nil"/>
              <w:left w:val="nil"/>
              <w:bottom w:val="single" w:color="auto" w:sz="4" w:space="0"/>
              <w:right w:val="single" w:color="auto" w:sz="4" w:space="0"/>
            </w:tcBorders>
            <w:noWrap w:val="0"/>
            <w:vAlign w:val="center"/>
          </w:tcPr>
          <w:p w14:paraId="4F96251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7835FF0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5A2ACB6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49" w:type="dxa"/>
            <w:tcBorders>
              <w:top w:val="nil"/>
              <w:left w:val="nil"/>
              <w:bottom w:val="single" w:color="auto" w:sz="4" w:space="0"/>
              <w:right w:val="single" w:color="auto" w:sz="4" w:space="0"/>
            </w:tcBorders>
            <w:noWrap w:val="0"/>
            <w:vAlign w:val="center"/>
          </w:tcPr>
          <w:p w14:paraId="690074F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6" w:type="dxa"/>
            <w:tcBorders>
              <w:top w:val="nil"/>
              <w:left w:val="nil"/>
              <w:bottom w:val="single" w:color="auto" w:sz="4" w:space="0"/>
              <w:right w:val="single" w:color="auto" w:sz="4" w:space="0"/>
            </w:tcBorders>
            <w:noWrap w:val="0"/>
            <w:vAlign w:val="center"/>
          </w:tcPr>
          <w:p w14:paraId="5862992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C745A3C">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3A162810">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04BD582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4B369D8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323AFE8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549" w:type="dxa"/>
            <w:tcBorders>
              <w:top w:val="nil"/>
              <w:left w:val="nil"/>
              <w:bottom w:val="single" w:color="auto" w:sz="4" w:space="0"/>
              <w:right w:val="single" w:color="auto" w:sz="4" w:space="0"/>
            </w:tcBorders>
            <w:noWrap w:val="0"/>
            <w:vAlign w:val="center"/>
          </w:tcPr>
          <w:p w14:paraId="05E1ABD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6" w:type="dxa"/>
            <w:tcBorders>
              <w:top w:val="nil"/>
              <w:left w:val="nil"/>
              <w:bottom w:val="single" w:color="auto" w:sz="4" w:space="0"/>
              <w:right w:val="single" w:color="auto" w:sz="4" w:space="0"/>
            </w:tcBorders>
            <w:noWrap w:val="0"/>
            <w:vAlign w:val="center"/>
          </w:tcPr>
          <w:p w14:paraId="29BB6B9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768F194B">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1247284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489" w:type="dxa"/>
            <w:tcBorders>
              <w:top w:val="nil"/>
              <w:left w:val="nil"/>
              <w:bottom w:val="single" w:color="auto" w:sz="4" w:space="0"/>
              <w:right w:val="single" w:color="auto" w:sz="4" w:space="0"/>
            </w:tcBorders>
            <w:noWrap w:val="0"/>
            <w:vAlign w:val="center"/>
          </w:tcPr>
          <w:p w14:paraId="2EA0C39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3E6B177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78BCF98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549" w:type="dxa"/>
            <w:tcBorders>
              <w:top w:val="nil"/>
              <w:left w:val="nil"/>
              <w:bottom w:val="single" w:color="auto" w:sz="4" w:space="0"/>
              <w:right w:val="single" w:color="auto" w:sz="4" w:space="0"/>
            </w:tcBorders>
            <w:noWrap w:val="0"/>
            <w:vAlign w:val="center"/>
          </w:tcPr>
          <w:p w14:paraId="5A8FE75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996" w:type="dxa"/>
            <w:tcBorders>
              <w:top w:val="nil"/>
              <w:left w:val="nil"/>
              <w:bottom w:val="single" w:color="auto" w:sz="4" w:space="0"/>
              <w:right w:val="single" w:color="auto" w:sz="4" w:space="0"/>
            </w:tcBorders>
            <w:noWrap w:val="0"/>
            <w:vAlign w:val="center"/>
          </w:tcPr>
          <w:p w14:paraId="06EE9DF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180009B5">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6AE54DA8">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4941745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3" w:type="dxa"/>
            <w:tcBorders>
              <w:top w:val="nil"/>
              <w:left w:val="nil"/>
              <w:bottom w:val="single" w:color="auto" w:sz="4" w:space="0"/>
              <w:right w:val="single" w:color="auto" w:sz="4" w:space="0"/>
            </w:tcBorders>
            <w:noWrap w:val="0"/>
            <w:vAlign w:val="center"/>
          </w:tcPr>
          <w:p w14:paraId="555AAE1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635D8BE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549" w:type="dxa"/>
            <w:tcBorders>
              <w:top w:val="nil"/>
              <w:left w:val="nil"/>
              <w:bottom w:val="single" w:color="auto" w:sz="4" w:space="0"/>
              <w:right w:val="single" w:color="auto" w:sz="4" w:space="0"/>
            </w:tcBorders>
            <w:noWrap w:val="0"/>
            <w:vAlign w:val="center"/>
          </w:tcPr>
          <w:p w14:paraId="3F2124A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996" w:type="dxa"/>
            <w:tcBorders>
              <w:top w:val="nil"/>
              <w:left w:val="nil"/>
              <w:bottom w:val="single" w:color="auto" w:sz="4" w:space="0"/>
              <w:right w:val="single" w:color="auto" w:sz="4" w:space="0"/>
            </w:tcBorders>
            <w:noWrap w:val="0"/>
            <w:vAlign w:val="center"/>
          </w:tcPr>
          <w:p w14:paraId="3D39935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6E4E6D2F">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419839A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489" w:type="dxa"/>
            <w:tcBorders>
              <w:top w:val="nil"/>
              <w:left w:val="nil"/>
              <w:bottom w:val="single" w:color="auto" w:sz="4" w:space="0"/>
              <w:right w:val="single" w:color="auto" w:sz="4" w:space="0"/>
            </w:tcBorders>
            <w:noWrap w:val="0"/>
            <w:vAlign w:val="center"/>
          </w:tcPr>
          <w:p w14:paraId="2C6001A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55D02E9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1BD7C3A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49" w:type="dxa"/>
            <w:tcBorders>
              <w:top w:val="nil"/>
              <w:left w:val="nil"/>
              <w:bottom w:val="single" w:color="auto" w:sz="4" w:space="0"/>
              <w:right w:val="single" w:color="auto" w:sz="4" w:space="0"/>
            </w:tcBorders>
            <w:noWrap w:val="0"/>
            <w:vAlign w:val="center"/>
          </w:tcPr>
          <w:p w14:paraId="5D7E23D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6" w:type="dxa"/>
            <w:tcBorders>
              <w:top w:val="nil"/>
              <w:left w:val="nil"/>
              <w:bottom w:val="single" w:color="auto" w:sz="4" w:space="0"/>
              <w:right w:val="single" w:color="auto" w:sz="4" w:space="0"/>
            </w:tcBorders>
            <w:noWrap w:val="0"/>
            <w:vAlign w:val="center"/>
          </w:tcPr>
          <w:p w14:paraId="075AF43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9122683">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6281A64A">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0B292D4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3" w:type="dxa"/>
            <w:tcBorders>
              <w:top w:val="nil"/>
              <w:left w:val="nil"/>
              <w:bottom w:val="single" w:color="auto" w:sz="4" w:space="0"/>
              <w:right w:val="single" w:color="auto" w:sz="4" w:space="0"/>
            </w:tcBorders>
            <w:noWrap w:val="0"/>
            <w:vAlign w:val="center"/>
          </w:tcPr>
          <w:p w14:paraId="126634F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72F490F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549" w:type="dxa"/>
            <w:tcBorders>
              <w:top w:val="nil"/>
              <w:left w:val="nil"/>
              <w:bottom w:val="single" w:color="auto" w:sz="4" w:space="0"/>
              <w:right w:val="single" w:color="auto" w:sz="4" w:space="0"/>
            </w:tcBorders>
            <w:noWrap w:val="0"/>
            <w:vAlign w:val="center"/>
          </w:tcPr>
          <w:p w14:paraId="6C79D8B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6" w:type="dxa"/>
            <w:tcBorders>
              <w:top w:val="nil"/>
              <w:left w:val="nil"/>
              <w:bottom w:val="single" w:color="auto" w:sz="4" w:space="0"/>
              <w:right w:val="single" w:color="auto" w:sz="4" w:space="0"/>
            </w:tcBorders>
            <w:noWrap w:val="0"/>
            <w:vAlign w:val="center"/>
          </w:tcPr>
          <w:p w14:paraId="027D2C7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6BF44788">
        <w:tblPrEx>
          <w:tblCellMar>
            <w:top w:w="0" w:type="dxa"/>
            <w:left w:w="108" w:type="dxa"/>
            <w:bottom w:w="0" w:type="dxa"/>
            <w:right w:w="108" w:type="dxa"/>
          </w:tblCellMar>
        </w:tblPrEx>
        <w:trPr>
          <w:trHeight w:val="226" w:hRule="atLeast"/>
        </w:trPr>
        <w:tc>
          <w:tcPr>
            <w:tcW w:w="1831" w:type="dxa"/>
            <w:vMerge w:val="restart"/>
            <w:tcBorders>
              <w:top w:val="nil"/>
              <w:left w:val="single" w:color="auto" w:sz="4" w:space="0"/>
              <w:bottom w:val="single" w:color="auto" w:sz="4" w:space="0"/>
              <w:right w:val="single" w:color="auto" w:sz="4" w:space="0"/>
            </w:tcBorders>
            <w:noWrap w:val="0"/>
            <w:vAlign w:val="bottom"/>
          </w:tcPr>
          <w:p w14:paraId="298EF959">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489" w:type="dxa"/>
            <w:tcBorders>
              <w:top w:val="nil"/>
              <w:left w:val="nil"/>
              <w:bottom w:val="single" w:color="auto" w:sz="4" w:space="0"/>
              <w:right w:val="single" w:color="auto" w:sz="4" w:space="0"/>
            </w:tcBorders>
            <w:noWrap w:val="0"/>
            <w:vAlign w:val="center"/>
          </w:tcPr>
          <w:p w14:paraId="50744CD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1C201F8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0649520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49" w:type="dxa"/>
            <w:tcBorders>
              <w:top w:val="nil"/>
              <w:left w:val="nil"/>
              <w:bottom w:val="single" w:color="auto" w:sz="4" w:space="0"/>
              <w:right w:val="single" w:color="auto" w:sz="4" w:space="0"/>
            </w:tcBorders>
            <w:noWrap w:val="0"/>
            <w:vAlign w:val="center"/>
          </w:tcPr>
          <w:p w14:paraId="3B0938B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6" w:type="dxa"/>
            <w:tcBorders>
              <w:top w:val="nil"/>
              <w:left w:val="nil"/>
              <w:bottom w:val="single" w:color="auto" w:sz="4" w:space="0"/>
              <w:right w:val="single" w:color="auto" w:sz="4" w:space="0"/>
            </w:tcBorders>
            <w:noWrap w:val="0"/>
            <w:vAlign w:val="center"/>
          </w:tcPr>
          <w:p w14:paraId="2EA0BEB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C8D7854">
        <w:tblPrEx>
          <w:tblCellMar>
            <w:top w:w="0" w:type="dxa"/>
            <w:left w:w="108" w:type="dxa"/>
            <w:bottom w:w="0" w:type="dxa"/>
            <w:right w:w="108" w:type="dxa"/>
          </w:tblCellMar>
        </w:tblPrEx>
        <w:trPr>
          <w:trHeight w:val="226" w:hRule="atLeast"/>
        </w:trPr>
        <w:tc>
          <w:tcPr>
            <w:tcW w:w="1831" w:type="dxa"/>
            <w:vMerge w:val="continue"/>
            <w:tcBorders>
              <w:top w:val="nil"/>
              <w:left w:val="single" w:color="auto" w:sz="4" w:space="0"/>
              <w:bottom w:val="single" w:color="auto" w:sz="4" w:space="0"/>
              <w:right w:val="single" w:color="auto" w:sz="4" w:space="0"/>
            </w:tcBorders>
            <w:noWrap w:val="0"/>
            <w:vAlign w:val="center"/>
          </w:tcPr>
          <w:p w14:paraId="34658446">
            <w:pPr>
              <w:keepNext w:val="0"/>
              <w:keepLines w:val="0"/>
              <w:widowControl/>
              <w:suppressLineNumbers w:val="0"/>
              <w:spacing w:before="0" w:beforeAutospacing="0" w:after="0" w:afterAutospacing="0"/>
              <w:ind w:left="0" w:right="0"/>
              <w:jc w:val="left"/>
              <w:rPr>
                <w:rFonts w:hint="default" w:ascii="宋体" w:hAnsi="宋体" w:cs="宋体"/>
                <w:b/>
                <w:bCs/>
                <w:color w:val="auto"/>
                <w:kern w:val="0"/>
                <w:sz w:val="18"/>
                <w:szCs w:val="18"/>
                <w:highlight w:val="none"/>
              </w:rPr>
            </w:pPr>
          </w:p>
        </w:tc>
        <w:tc>
          <w:tcPr>
            <w:tcW w:w="1489" w:type="dxa"/>
            <w:tcBorders>
              <w:top w:val="nil"/>
              <w:left w:val="nil"/>
              <w:bottom w:val="single" w:color="auto" w:sz="4" w:space="0"/>
              <w:right w:val="single" w:color="auto" w:sz="4" w:space="0"/>
            </w:tcBorders>
            <w:noWrap w:val="0"/>
            <w:vAlign w:val="center"/>
          </w:tcPr>
          <w:p w14:paraId="6A0D4D8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3" w:type="dxa"/>
            <w:tcBorders>
              <w:top w:val="nil"/>
              <w:left w:val="nil"/>
              <w:bottom w:val="single" w:color="auto" w:sz="4" w:space="0"/>
              <w:right w:val="single" w:color="auto" w:sz="4" w:space="0"/>
            </w:tcBorders>
            <w:noWrap w:val="0"/>
            <w:vAlign w:val="center"/>
          </w:tcPr>
          <w:p w14:paraId="0222323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43" w:type="dxa"/>
            <w:tcBorders>
              <w:top w:val="nil"/>
              <w:left w:val="nil"/>
              <w:bottom w:val="single" w:color="auto" w:sz="4" w:space="0"/>
              <w:right w:val="single" w:color="auto" w:sz="4" w:space="0"/>
            </w:tcBorders>
            <w:noWrap w:val="0"/>
            <w:vAlign w:val="center"/>
          </w:tcPr>
          <w:p w14:paraId="2F17095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549" w:type="dxa"/>
            <w:tcBorders>
              <w:top w:val="nil"/>
              <w:left w:val="nil"/>
              <w:bottom w:val="single" w:color="auto" w:sz="4" w:space="0"/>
              <w:right w:val="single" w:color="auto" w:sz="4" w:space="0"/>
            </w:tcBorders>
            <w:noWrap w:val="0"/>
            <w:vAlign w:val="center"/>
          </w:tcPr>
          <w:p w14:paraId="57DA021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6" w:type="dxa"/>
            <w:tcBorders>
              <w:top w:val="nil"/>
              <w:left w:val="nil"/>
              <w:bottom w:val="single" w:color="auto" w:sz="4" w:space="0"/>
              <w:right w:val="single" w:color="auto" w:sz="4" w:space="0"/>
            </w:tcBorders>
            <w:noWrap w:val="0"/>
            <w:vAlign w:val="center"/>
          </w:tcPr>
          <w:p w14:paraId="6E77FF0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C3C88B2">
        <w:tblPrEx>
          <w:tblCellMar>
            <w:top w:w="0" w:type="dxa"/>
            <w:left w:w="108" w:type="dxa"/>
            <w:bottom w:w="0" w:type="dxa"/>
            <w:right w:w="108" w:type="dxa"/>
          </w:tblCellMar>
        </w:tblPrEx>
        <w:trPr>
          <w:trHeight w:val="226" w:hRule="atLeast"/>
        </w:trPr>
        <w:tc>
          <w:tcPr>
            <w:tcW w:w="1831" w:type="dxa"/>
            <w:tcBorders>
              <w:top w:val="nil"/>
              <w:left w:val="single" w:color="auto" w:sz="4" w:space="0"/>
              <w:bottom w:val="single" w:color="auto" w:sz="4" w:space="0"/>
              <w:right w:val="single" w:color="auto" w:sz="4" w:space="0"/>
            </w:tcBorders>
            <w:noWrap w:val="0"/>
            <w:vAlign w:val="bottom"/>
          </w:tcPr>
          <w:p w14:paraId="196EF694">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489" w:type="dxa"/>
            <w:tcBorders>
              <w:top w:val="nil"/>
              <w:left w:val="nil"/>
              <w:bottom w:val="single" w:color="auto" w:sz="4" w:space="0"/>
              <w:right w:val="single" w:color="auto" w:sz="4" w:space="0"/>
            </w:tcBorders>
            <w:noWrap w:val="0"/>
            <w:vAlign w:val="center"/>
          </w:tcPr>
          <w:p w14:paraId="7757D44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3" w:type="dxa"/>
            <w:tcBorders>
              <w:top w:val="nil"/>
              <w:left w:val="nil"/>
              <w:bottom w:val="single" w:color="auto" w:sz="4" w:space="0"/>
              <w:right w:val="single" w:color="auto" w:sz="4" w:space="0"/>
            </w:tcBorders>
            <w:noWrap w:val="0"/>
            <w:vAlign w:val="center"/>
          </w:tcPr>
          <w:p w14:paraId="6D3A919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43" w:type="dxa"/>
            <w:tcBorders>
              <w:top w:val="nil"/>
              <w:left w:val="nil"/>
              <w:bottom w:val="single" w:color="auto" w:sz="4" w:space="0"/>
              <w:right w:val="single" w:color="auto" w:sz="4" w:space="0"/>
            </w:tcBorders>
            <w:noWrap w:val="0"/>
            <w:vAlign w:val="center"/>
          </w:tcPr>
          <w:p w14:paraId="10FDBA4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49" w:type="dxa"/>
            <w:tcBorders>
              <w:top w:val="nil"/>
              <w:left w:val="nil"/>
              <w:bottom w:val="single" w:color="auto" w:sz="4" w:space="0"/>
              <w:right w:val="single" w:color="auto" w:sz="4" w:space="0"/>
            </w:tcBorders>
            <w:noWrap w:val="0"/>
            <w:vAlign w:val="center"/>
          </w:tcPr>
          <w:p w14:paraId="038107B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6" w:type="dxa"/>
            <w:tcBorders>
              <w:top w:val="nil"/>
              <w:left w:val="nil"/>
              <w:bottom w:val="single" w:color="auto" w:sz="4" w:space="0"/>
              <w:right w:val="single" w:color="auto" w:sz="4" w:space="0"/>
            </w:tcBorders>
            <w:noWrap w:val="0"/>
            <w:vAlign w:val="center"/>
          </w:tcPr>
          <w:p w14:paraId="3E6FAF9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2F0AB9C6">
      <w:pPr>
        <w:pStyle w:val="20"/>
        <w:spacing w:line="500" w:lineRule="exact"/>
        <w:ind w:firstLine="420" w:firstLineChars="200"/>
        <w:jc w:val="left"/>
        <w:rPr>
          <w:rFonts w:hint="eastAsia"/>
          <w:color w:val="auto"/>
          <w:sz w:val="18"/>
          <w:szCs w:val="18"/>
          <w:highlight w:val="none"/>
        </w:rPr>
      </w:pPr>
      <w:r>
        <w:rPr>
          <w:rFonts w:hint="eastAsia" w:hAnsi="宋体" w:cs="Times New Roman"/>
          <w:color w:val="auto"/>
          <w:highlight w:val="none"/>
        </w:rPr>
        <w:t>说明：上述标准参照《关于印发中小企业划型标准规定的通知》（工信部联企业</w:t>
      </w:r>
      <w:r>
        <w:rPr>
          <w:rFonts w:hint="eastAsia" w:hAnsi="宋体" w:cs="Times New Roman"/>
          <w:color w:val="auto"/>
          <w:highlight w:val="none"/>
          <w:lang w:eastAsia="zh-CN"/>
        </w:rPr>
        <w:t>〔2011〕300号</w:t>
      </w:r>
      <w:r>
        <w:rPr>
          <w:rFonts w:hint="eastAsia" w:hAnsi="宋体" w:cs="Times New Roman"/>
          <w:color w:val="auto"/>
          <w:highlight w:val="none"/>
        </w:rPr>
        <w:t>），大型、中型和小型企业须同时满足所列指标的下限，否则下划一档；微型企业只</w:t>
      </w:r>
      <w:r>
        <w:rPr>
          <w:rFonts w:hint="eastAsia" w:hAnsi="宋体" w:cs="Times New Roman"/>
          <w:color w:val="auto"/>
          <w:highlight w:val="none"/>
          <w:lang w:eastAsia="zh-CN"/>
        </w:rPr>
        <w:t>需</w:t>
      </w:r>
      <w:r>
        <w:rPr>
          <w:rFonts w:hint="eastAsia" w:hAnsi="宋体" w:cs="Times New Roman"/>
          <w:color w:val="auto"/>
          <w:highlight w:val="none"/>
        </w:rPr>
        <w:t>满足所列指标中的一项即可。</w:t>
      </w:r>
    </w:p>
    <w:p w14:paraId="635C0DD6">
      <w:pPr>
        <w:spacing w:line="500" w:lineRule="exact"/>
        <w:rPr>
          <w:color w:val="auto"/>
          <w:kern w:val="0"/>
          <w:highlight w:val="none"/>
        </w:rPr>
      </w:pPr>
    </w:p>
    <w:p w14:paraId="10CB8E21">
      <w:pPr>
        <w:spacing w:line="360" w:lineRule="auto"/>
        <w:contextualSpacing/>
        <w:jc w:val="center"/>
        <w:rPr>
          <w:rFonts w:ascii="仿宋_GB2312" w:hAnsi="仿宋_GB2312" w:eastAsia="仿宋_GB2312" w:cs="仿宋_GB2312"/>
          <w:b/>
          <w:bCs/>
          <w:color w:val="auto"/>
          <w:sz w:val="28"/>
          <w:szCs w:val="28"/>
          <w:highlight w:val="none"/>
        </w:rPr>
      </w:pPr>
      <w:r>
        <w:rPr>
          <w:color w:val="auto"/>
          <w:kern w:val="0"/>
          <w:highlight w:val="none"/>
        </w:rPr>
        <w:br w:type="page"/>
      </w:r>
      <w:r>
        <w:rPr>
          <w:rFonts w:hint="eastAsia" w:ascii="宋体" w:hAnsi="宋体" w:eastAsia="宋体" w:cs="微软雅黑"/>
          <w:b/>
          <w:bCs/>
          <w:color w:val="auto"/>
          <w:sz w:val="28"/>
          <w:szCs w:val="28"/>
          <w:highlight w:val="none"/>
        </w:rPr>
        <w:t>残疾人福利性单位声明函</w:t>
      </w:r>
    </w:p>
    <w:p w14:paraId="72AB8C4F">
      <w:pPr>
        <w:spacing w:line="520" w:lineRule="exact"/>
        <w:rPr>
          <w:rFonts w:ascii="仿宋_GB2312" w:hAnsi="仿宋_GB2312" w:eastAsia="仿宋_GB2312" w:cs="仿宋_GB2312"/>
          <w:color w:val="auto"/>
          <w:sz w:val="32"/>
          <w:szCs w:val="32"/>
          <w:highlight w:val="none"/>
        </w:rPr>
      </w:pPr>
    </w:p>
    <w:p w14:paraId="51253768">
      <w:pPr>
        <w:spacing w:line="360" w:lineRule="auto"/>
        <w:ind w:firstLine="420" w:firstLineChars="2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单位的</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01DA7F30">
      <w:pPr>
        <w:spacing w:line="360" w:lineRule="auto"/>
        <w:ind w:firstLine="420" w:firstLineChars="2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本单位对上述声明的真实性负责。如有虚假，将依法承担相应责任。</w:t>
      </w:r>
    </w:p>
    <w:p w14:paraId="4774BE99">
      <w:pPr>
        <w:spacing w:line="360" w:lineRule="auto"/>
        <w:contextualSpacing/>
        <w:rPr>
          <w:rFonts w:ascii="宋体" w:hAnsi="宋体" w:cs="仿宋_GB2312"/>
          <w:color w:val="auto"/>
          <w:sz w:val="21"/>
          <w:szCs w:val="21"/>
          <w:highlight w:val="none"/>
        </w:rPr>
      </w:pPr>
    </w:p>
    <w:p w14:paraId="2638B887">
      <w:pPr>
        <w:spacing w:line="360" w:lineRule="auto"/>
        <w:ind w:firstLine="2100" w:firstLineChars="10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单位名称（盖电子章）：</w:t>
      </w:r>
    </w:p>
    <w:p w14:paraId="0504B347">
      <w:pPr>
        <w:spacing w:line="360" w:lineRule="auto"/>
        <w:ind w:firstLine="3150" w:firstLineChars="15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日  期：</w:t>
      </w:r>
    </w:p>
    <w:p w14:paraId="13DD3E09">
      <w:pPr>
        <w:spacing w:line="360" w:lineRule="auto"/>
        <w:contextualSpacing/>
        <w:rPr>
          <w:rFonts w:ascii="宋体" w:hAnsi="宋体" w:cs="仿宋_GB2312"/>
          <w:color w:val="auto"/>
          <w:sz w:val="21"/>
          <w:szCs w:val="21"/>
          <w:highlight w:val="none"/>
        </w:rPr>
      </w:pPr>
    </w:p>
    <w:p w14:paraId="4F87F1B9">
      <w:pPr>
        <w:spacing w:line="360" w:lineRule="auto"/>
        <w:contextualSpacing/>
        <w:rPr>
          <w:rFonts w:ascii="宋体" w:hAnsi="宋体" w:cs="仿宋_GB2312"/>
          <w:color w:val="auto"/>
          <w:sz w:val="21"/>
          <w:szCs w:val="21"/>
          <w:highlight w:val="none"/>
        </w:rPr>
      </w:pPr>
    </w:p>
    <w:p w14:paraId="0213B775">
      <w:pPr>
        <w:spacing w:line="360" w:lineRule="auto"/>
        <w:contextualSpacing/>
        <w:rPr>
          <w:rFonts w:ascii="宋体" w:hAnsi="宋体" w:cs="仿宋_GB2312"/>
          <w:color w:val="auto"/>
          <w:sz w:val="21"/>
          <w:szCs w:val="21"/>
          <w:highlight w:val="none"/>
        </w:rPr>
      </w:pPr>
    </w:p>
    <w:p w14:paraId="43A99AB5">
      <w:pPr>
        <w:spacing w:line="360" w:lineRule="auto"/>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2261F825">
      <w:pPr>
        <w:numPr>
          <w:ilvl w:val="0"/>
          <w:numId w:val="0"/>
        </w:numPr>
        <w:spacing w:line="720" w:lineRule="auto"/>
        <w:rPr>
          <w:rFonts w:hint="eastAsia"/>
          <w:color w:val="auto"/>
          <w:kern w:val="2"/>
          <w:sz w:val="21"/>
          <w:szCs w:val="24"/>
          <w:highlight w:val="none"/>
          <w:lang w:val="en-US" w:eastAsia="zh-CN" w:bidi="ar-SA"/>
        </w:rPr>
      </w:pPr>
      <w:r>
        <w:rPr>
          <w:color w:val="auto"/>
          <w:highlight w:val="none"/>
        </w:rPr>
        <w:br w:type="page"/>
      </w:r>
      <w:r>
        <w:rPr>
          <w:rFonts w:hint="eastAsia"/>
          <w:b/>
          <w:bCs/>
          <w:color w:val="auto"/>
          <w:kern w:val="2"/>
          <w:sz w:val="21"/>
          <w:szCs w:val="24"/>
          <w:highlight w:val="none"/>
          <w:lang w:val="en-US" w:eastAsia="zh-CN" w:bidi="ar-SA"/>
        </w:rPr>
        <w:t>附件七</w:t>
      </w:r>
    </w:p>
    <w:p w14:paraId="57622166">
      <w:pPr>
        <w:widowControl/>
        <w:shd w:val="clear" w:color="auto" w:fill="FFFFFF"/>
        <w:spacing w:after="240"/>
        <w:jc w:val="center"/>
        <w:textAlignment w:val="baseline"/>
        <w:rPr>
          <w:rFonts w:hint="eastAsia" w:ascii="Segoe UI" w:hAnsi="Segoe UI" w:eastAsia="宋体" w:cs="Segoe UI"/>
          <w:color w:val="auto"/>
          <w:sz w:val="24"/>
          <w:szCs w:val="24"/>
          <w:highlight w:val="none"/>
          <w:lang w:eastAsia="zh-CN"/>
        </w:rPr>
      </w:pPr>
      <w:r>
        <w:rPr>
          <w:rFonts w:ascii="Segoe UI" w:hAnsi="Segoe UI" w:eastAsia="Segoe UI" w:cs="Segoe UI"/>
          <w:b/>
          <w:bCs/>
          <w:color w:val="auto"/>
          <w:kern w:val="0"/>
          <w:sz w:val="24"/>
          <w:szCs w:val="24"/>
          <w:highlight w:val="none"/>
          <w:shd w:val="clear" w:color="auto" w:fill="FFFFFF"/>
          <w:lang w:bidi="ar"/>
        </w:rPr>
        <w:t>分包管理</w:t>
      </w:r>
      <w:r>
        <w:rPr>
          <w:rFonts w:hint="eastAsia" w:ascii="Segoe UI" w:hAnsi="Segoe UI" w:eastAsia="Segoe UI" w:cs="Segoe UI"/>
          <w:b/>
          <w:bCs/>
          <w:color w:val="auto"/>
          <w:kern w:val="0"/>
          <w:sz w:val="24"/>
          <w:szCs w:val="24"/>
          <w:highlight w:val="none"/>
          <w:shd w:val="clear" w:color="auto" w:fill="FFFFFF"/>
          <w:lang w:bidi="ar"/>
        </w:rPr>
        <w:t>承诺</w:t>
      </w:r>
    </w:p>
    <w:p w14:paraId="59264255">
      <w:pPr>
        <w:widowControl/>
        <w:spacing w:after="180"/>
        <w:textAlignment w:val="baseline"/>
        <w:rPr>
          <w:rFonts w:hint="eastAsia" w:ascii="Segoe UI" w:hAnsi="Segoe UI" w:eastAsia="Segoe UI" w:cs="Segoe UI"/>
          <w:color w:val="auto"/>
          <w:kern w:val="0"/>
          <w:szCs w:val="21"/>
          <w:highlight w:val="none"/>
          <w:shd w:val="clear" w:color="auto" w:fill="FFFFFF"/>
          <w:lang w:bidi="ar"/>
        </w:rPr>
      </w:pPr>
      <w:r>
        <w:rPr>
          <w:rFonts w:hint="eastAsia" w:ascii="Segoe UI" w:hAnsi="Segoe UI" w:eastAsia="Segoe UI" w:cs="Segoe UI"/>
          <w:color w:val="auto"/>
          <w:kern w:val="0"/>
          <w:szCs w:val="21"/>
          <w:highlight w:val="none"/>
          <w:shd w:val="clear" w:color="auto" w:fill="FFFFFF"/>
          <w:lang w:bidi="ar"/>
        </w:rPr>
        <w:t>1、我公司承诺</w:t>
      </w:r>
      <w:r>
        <w:rPr>
          <w:rFonts w:ascii="Segoe UI" w:hAnsi="Segoe UI" w:eastAsia="Segoe UI" w:cs="Segoe UI"/>
          <w:color w:val="auto"/>
          <w:kern w:val="0"/>
          <w:szCs w:val="21"/>
          <w:highlight w:val="none"/>
          <w:shd w:val="clear" w:color="auto" w:fill="FFFFFF"/>
          <w:lang w:bidi="ar"/>
        </w:rPr>
        <w:t>本分包计划已充分考虑项目的实际需求和投标人自身的管理能力，符合招标文件的要求</w:t>
      </w:r>
      <w:r>
        <w:rPr>
          <w:rFonts w:hint="eastAsia" w:ascii="Segoe UI" w:hAnsi="Segoe UI" w:eastAsia="Segoe UI" w:cs="Segoe UI"/>
          <w:color w:val="auto"/>
          <w:kern w:val="0"/>
          <w:szCs w:val="21"/>
          <w:highlight w:val="none"/>
          <w:shd w:val="clear" w:color="auto" w:fill="FFFFFF"/>
          <w:lang w:bidi="ar"/>
        </w:rPr>
        <w:t>。</w:t>
      </w:r>
    </w:p>
    <w:p w14:paraId="4C9C9029">
      <w:pPr>
        <w:widowControl/>
        <w:spacing w:after="180"/>
        <w:textAlignment w:val="baseline"/>
        <w:rPr>
          <w:rFonts w:ascii="Segoe UI" w:hAnsi="Segoe UI" w:eastAsia="Segoe UI" w:cs="Segoe UI"/>
          <w:color w:val="auto"/>
          <w:kern w:val="0"/>
          <w:szCs w:val="21"/>
          <w:highlight w:val="none"/>
          <w:shd w:val="clear" w:color="auto" w:fill="FFFFFF"/>
          <w:lang w:bidi="ar"/>
        </w:rPr>
      </w:pPr>
      <w:r>
        <w:rPr>
          <w:rFonts w:hint="eastAsia" w:ascii="Segoe UI" w:hAnsi="Segoe UI" w:eastAsia="Segoe UI" w:cs="Segoe UI"/>
          <w:color w:val="auto"/>
          <w:kern w:val="0"/>
          <w:szCs w:val="21"/>
          <w:highlight w:val="none"/>
          <w:shd w:val="clear" w:color="auto" w:fill="FFFFFF"/>
          <w:lang w:bidi="ar"/>
        </w:rPr>
        <w:t>2、我公司</w:t>
      </w:r>
      <w:r>
        <w:rPr>
          <w:rFonts w:ascii="Segoe UI" w:hAnsi="Segoe UI" w:eastAsia="Segoe UI" w:cs="Segoe UI"/>
          <w:color w:val="auto"/>
          <w:kern w:val="0"/>
          <w:szCs w:val="21"/>
          <w:highlight w:val="none"/>
          <w:shd w:val="clear" w:color="auto" w:fill="FFFFFF"/>
          <w:lang w:bidi="ar"/>
        </w:rPr>
        <w:t>承诺如果中标，将严格按照本分包计划执行，确保分包商具备相应资质和能力，且分包商不得再次分包。</w:t>
      </w:r>
    </w:p>
    <w:p w14:paraId="6B9763AB">
      <w:pPr>
        <w:widowControl/>
        <w:spacing w:after="180"/>
        <w:textAlignment w:val="baseline"/>
        <w:rPr>
          <w:rFonts w:hint="eastAsia" w:ascii="Segoe UI" w:hAnsi="Segoe UI" w:eastAsia="Segoe UI" w:cs="Segoe UI"/>
          <w:color w:val="auto"/>
          <w:kern w:val="0"/>
          <w:szCs w:val="21"/>
          <w:highlight w:val="none"/>
          <w:shd w:val="clear" w:color="auto" w:fill="FFFFFF"/>
          <w:lang w:bidi="ar"/>
        </w:rPr>
      </w:pPr>
      <w:r>
        <w:rPr>
          <w:rFonts w:hint="eastAsia" w:ascii="Segoe UI" w:hAnsi="Segoe UI" w:eastAsia="Segoe UI" w:cs="Segoe UI"/>
          <w:color w:val="auto"/>
          <w:kern w:val="0"/>
          <w:szCs w:val="21"/>
          <w:highlight w:val="none"/>
          <w:shd w:val="clear" w:color="auto" w:fill="FFFFFF"/>
          <w:lang w:bidi="ar"/>
        </w:rPr>
        <w:t>3、我公司承诺</w:t>
      </w:r>
      <w:r>
        <w:rPr>
          <w:rFonts w:ascii="Segoe UI" w:hAnsi="Segoe UI" w:eastAsia="Segoe UI" w:cs="Segoe UI"/>
          <w:color w:val="auto"/>
          <w:kern w:val="0"/>
          <w:szCs w:val="21"/>
          <w:highlight w:val="none"/>
          <w:shd w:val="clear" w:color="auto" w:fill="FFFFFF"/>
          <w:lang w:bidi="ar"/>
        </w:rPr>
        <w:t>将对分包商进行严格管理，确保分包商按照合同要求履行义务</w:t>
      </w:r>
      <w:r>
        <w:rPr>
          <w:rFonts w:hint="eastAsia" w:ascii="Segoe UI" w:hAnsi="Segoe UI" w:eastAsia="Segoe UI" w:cs="Segoe UI"/>
          <w:color w:val="auto"/>
          <w:kern w:val="0"/>
          <w:szCs w:val="21"/>
          <w:highlight w:val="none"/>
          <w:shd w:val="clear" w:color="auto" w:fill="FFFFFF"/>
          <w:lang w:bidi="ar"/>
        </w:rPr>
        <w:t>。</w:t>
      </w:r>
    </w:p>
    <w:p w14:paraId="124DAB17">
      <w:pPr>
        <w:widowControl/>
        <w:spacing w:after="180"/>
        <w:textAlignment w:val="baseline"/>
        <w:rPr>
          <w:rFonts w:ascii="Segoe UI" w:hAnsi="Segoe UI" w:eastAsia="Segoe UI" w:cs="Segoe UI"/>
          <w:color w:val="auto"/>
          <w:kern w:val="0"/>
          <w:szCs w:val="21"/>
          <w:highlight w:val="none"/>
          <w:shd w:val="clear" w:color="auto" w:fill="FFFFFF"/>
          <w:lang w:bidi="ar"/>
        </w:rPr>
      </w:pPr>
      <w:r>
        <w:rPr>
          <w:rFonts w:hint="eastAsia" w:ascii="Segoe UI" w:hAnsi="Segoe UI" w:eastAsia="Segoe UI" w:cs="Segoe UI"/>
          <w:color w:val="auto"/>
          <w:kern w:val="0"/>
          <w:szCs w:val="21"/>
          <w:highlight w:val="none"/>
          <w:shd w:val="clear" w:color="auto" w:fill="FFFFFF"/>
          <w:lang w:bidi="ar"/>
        </w:rPr>
        <w:t>4、我公司承诺</w:t>
      </w:r>
      <w:r>
        <w:rPr>
          <w:rFonts w:ascii="Segoe UI" w:hAnsi="Segoe UI" w:eastAsia="Segoe UI" w:cs="Segoe UI"/>
          <w:color w:val="auto"/>
          <w:kern w:val="0"/>
          <w:szCs w:val="21"/>
          <w:highlight w:val="none"/>
          <w:shd w:val="clear" w:color="auto" w:fill="FFFFFF"/>
          <w:lang w:bidi="ar"/>
        </w:rPr>
        <w:t>将定期对分包商的</w:t>
      </w:r>
      <w:r>
        <w:rPr>
          <w:rFonts w:hint="eastAsia" w:ascii="Segoe UI" w:hAnsi="Segoe UI" w:eastAsia="Segoe UI" w:cs="Segoe UI"/>
          <w:color w:val="auto"/>
          <w:kern w:val="0"/>
          <w:szCs w:val="21"/>
          <w:highlight w:val="none"/>
          <w:shd w:val="clear" w:color="auto" w:fill="FFFFFF"/>
          <w:lang w:bidi="ar"/>
        </w:rPr>
        <w:t>项目</w:t>
      </w:r>
      <w:r>
        <w:rPr>
          <w:rFonts w:ascii="Segoe UI" w:hAnsi="Segoe UI" w:eastAsia="Segoe UI" w:cs="Segoe UI"/>
          <w:color w:val="auto"/>
          <w:kern w:val="0"/>
          <w:szCs w:val="21"/>
          <w:highlight w:val="none"/>
          <w:shd w:val="clear" w:color="auto" w:fill="FFFFFF"/>
          <w:lang w:bidi="ar"/>
        </w:rPr>
        <w:t>进度、质量、安全等进行检查和监督</w:t>
      </w:r>
      <w:r>
        <w:rPr>
          <w:rFonts w:hint="eastAsia" w:ascii="Segoe UI" w:hAnsi="Segoe UI" w:eastAsia="Segoe UI" w:cs="Segoe UI"/>
          <w:color w:val="auto"/>
          <w:kern w:val="0"/>
          <w:szCs w:val="21"/>
          <w:highlight w:val="none"/>
          <w:shd w:val="clear" w:color="auto" w:fill="FFFFFF"/>
          <w:lang w:bidi="ar"/>
        </w:rPr>
        <w:t>。</w:t>
      </w:r>
    </w:p>
    <w:p w14:paraId="34409CAE">
      <w:pPr>
        <w:widowControl/>
        <w:spacing w:after="180"/>
        <w:textAlignment w:val="baseline"/>
        <w:rPr>
          <w:rFonts w:hint="eastAsia" w:ascii="Segoe UI" w:hAnsi="Segoe UI" w:eastAsia="Segoe UI" w:cs="Segoe UI"/>
          <w:color w:val="auto"/>
          <w:kern w:val="0"/>
          <w:szCs w:val="21"/>
          <w:highlight w:val="none"/>
          <w:shd w:val="clear" w:color="auto" w:fill="FFFFFF"/>
          <w:lang w:val="en-US" w:eastAsia="zh-CN" w:bidi="ar"/>
        </w:rPr>
      </w:pPr>
      <w:r>
        <w:rPr>
          <w:rFonts w:hint="eastAsia" w:ascii="Segoe UI" w:hAnsi="Segoe UI" w:eastAsia="Segoe UI" w:cs="Segoe UI"/>
          <w:color w:val="auto"/>
          <w:kern w:val="0"/>
          <w:szCs w:val="21"/>
          <w:highlight w:val="none"/>
          <w:shd w:val="clear" w:color="auto" w:fill="FFFFFF"/>
          <w:lang w:bidi="ar"/>
        </w:rPr>
        <w:t>5、我公司承诺</w:t>
      </w:r>
      <w:r>
        <w:rPr>
          <w:rFonts w:ascii="Segoe UI" w:hAnsi="Segoe UI" w:eastAsia="Segoe UI" w:cs="Segoe UI"/>
          <w:color w:val="auto"/>
          <w:kern w:val="0"/>
          <w:szCs w:val="21"/>
          <w:highlight w:val="none"/>
          <w:shd w:val="clear" w:color="auto" w:fill="FFFFFF"/>
          <w:lang w:bidi="ar"/>
        </w:rPr>
        <w:t>将建立有效</w:t>
      </w:r>
      <w:r>
        <w:rPr>
          <w:rFonts w:hint="eastAsia" w:ascii="Segoe UI" w:hAnsi="Segoe UI" w:eastAsia="Segoe UI" w:cs="Segoe UI"/>
          <w:color w:val="auto"/>
          <w:kern w:val="0"/>
          <w:szCs w:val="21"/>
          <w:highlight w:val="none"/>
          <w:shd w:val="clear" w:color="auto" w:fill="FFFFFF"/>
          <w:lang w:val="en-US" w:eastAsia="zh-CN" w:bidi="ar"/>
        </w:rPr>
        <w:t>的沟通机制，及时解决分包过程中出现的问题。</w:t>
      </w:r>
    </w:p>
    <w:p w14:paraId="6D748DED">
      <w:pPr>
        <w:widowControl/>
        <w:spacing w:after="180"/>
        <w:textAlignment w:val="baseline"/>
        <w:rPr>
          <w:rFonts w:hint="eastAsia" w:ascii="Segoe UI" w:hAnsi="Segoe UI" w:eastAsia="Segoe UI" w:cs="Segoe UI"/>
          <w:color w:val="auto"/>
          <w:kern w:val="0"/>
          <w:szCs w:val="21"/>
          <w:highlight w:val="none"/>
          <w:shd w:val="clear" w:color="auto" w:fill="FFFFFF"/>
          <w:lang w:val="en-US" w:eastAsia="zh-CN" w:bidi="ar"/>
        </w:rPr>
      </w:pPr>
      <w:r>
        <w:rPr>
          <w:rFonts w:hint="eastAsia" w:ascii="Segoe UI" w:hAnsi="Segoe UI" w:eastAsia="Segoe UI" w:cs="Segoe UI"/>
          <w:color w:val="auto"/>
          <w:kern w:val="0"/>
          <w:szCs w:val="21"/>
          <w:highlight w:val="none"/>
          <w:shd w:val="clear" w:color="auto" w:fill="FFFFFF"/>
          <w:lang w:val="en-US" w:eastAsia="zh-CN" w:bidi="ar"/>
        </w:rPr>
        <w:t>6、我公司承诺分包商拟投入的项目经理、技术负责人、安全员等关键人员均具备与本项目相适应的施工能力，并持有相应执业资格证书。</w:t>
      </w:r>
    </w:p>
    <w:p w14:paraId="7851E67A">
      <w:pPr>
        <w:snapToGrid w:val="0"/>
        <w:spacing w:before="50" w:line="360" w:lineRule="exact"/>
        <w:jc w:val="left"/>
        <w:rPr>
          <w:rFonts w:hint="eastAsia" w:ascii="宋体" w:hAnsi="Times New Roman" w:cs="Times New Roman"/>
          <w:color w:val="auto"/>
          <w:szCs w:val="21"/>
          <w:highlight w:val="none"/>
        </w:rPr>
      </w:pPr>
      <w:r>
        <w:rPr>
          <w:rFonts w:hint="eastAsia" w:ascii="Times New Roman" w:hAnsi="Times New Roman" w:cs="Times New Roman"/>
          <w:color w:val="auto"/>
          <w:highlight w:val="none"/>
        </w:rPr>
        <w:t>投标人名称（</w:t>
      </w:r>
      <w:r>
        <w:rPr>
          <w:rFonts w:hint="eastAsia" w:ascii="宋体" w:hAnsi="Times New Roman" w:cs="Times New Roman"/>
          <w:color w:val="auto"/>
          <w:szCs w:val="21"/>
          <w:highlight w:val="none"/>
        </w:rPr>
        <w:t>盖章</w:t>
      </w:r>
      <w:r>
        <w:rPr>
          <w:rFonts w:hint="eastAsia" w:ascii="Times New Roman" w:hAnsi="Times New Roman" w:cs="Times New Roman"/>
          <w:color w:val="auto"/>
          <w:highlight w:val="none"/>
        </w:rPr>
        <w:t>）</w:t>
      </w:r>
      <w:r>
        <w:rPr>
          <w:rFonts w:hint="eastAsia" w:ascii="宋体" w:hAnsi="Times New Roman" w:cs="Times New Roman"/>
          <w:color w:val="auto"/>
          <w:szCs w:val="21"/>
          <w:highlight w:val="none"/>
        </w:rPr>
        <w:t>：</w:t>
      </w:r>
      <w:r>
        <w:rPr>
          <w:rFonts w:hint="eastAsia" w:ascii="宋体" w:hAnsi="Times New Roman" w:cs="Times New Roman"/>
          <w:color w:val="auto"/>
          <w:szCs w:val="21"/>
          <w:highlight w:val="none"/>
          <w:u w:val="single"/>
        </w:rPr>
        <w:t xml:space="preserve">                 </w:t>
      </w:r>
      <w:r>
        <w:rPr>
          <w:rFonts w:hint="eastAsia" w:ascii="宋体" w:hAnsi="Times New Roman" w:cs="Times New Roman"/>
          <w:color w:val="auto"/>
          <w:szCs w:val="21"/>
          <w:highlight w:val="none"/>
        </w:rPr>
        <w:t xml:space="preserve">                                     </w:t>
      </w:r>
    </w:p>
    <w:p w14:paraId="3F614D2B">
      <w:pPr>
        <w:snapToGrid w:val="0"/>
        <w:spacing w:before="50" w:line="360" w:lineRule="exact"/>
        <w:jc w:val="left"/>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年    月    日</w:t>
      </w:r>
    </w:p>
    <w:p w14:paraId="7FCFF267">
      <w:pPr>
        <w:rPr>
          <w:rFonts w:hint="eastAsia" w:ascii="宋体" w:hAnsi="Times New Roman" w:cs="Times New Roman"/>
          <w:b/>
          <w:bCs/>
          <w:color w:val="auto"/>
          <w:szCs w:val="21"/>
          <w:highlight w:val="none"/>
        </w:rPr>
      </w:pPr>
    </w:p>
    <w:p w14:paraId="5A987B18">
      <w:pPr>
        <w:rPr>
          <w:rFonts w:ascii="Times New Roman" w:hAnsi="Times New Roman" w:cs="Times New Roman"/>
          <w:color w:val="auto"/>
          <w:highlight w:val="none"/>
        </w:rPr>
      </w:pPr>
    </w:p>
    <w:p w14:paraId="1B65DC40">
      <w:pPr>
        <w:jc w:val="center"/>
        <w:rPr>
          <w:rFonts w:hint="eastAsia" w:ascii="宋体" w:hAnsi="Times New Roman" w:cs="Times New Roman"/>
          <w:color w:val="auto"/>
          <w:sz w:val="22"/>
          <w:szCs w:val="22"/>
          <w:highlight w:val="none"/>
        </w:rPr>
      </w:pPr>
    </w:p>
    <w:p w14:paraId="5E3FC71F">
      <w:pPr>
        <w:jc w:val="center"/>
        <w:rPr>
          <w:rFonts w:ascii="Times New Roman" w:hAnsi="Times New Roman" w:cs="Times New Roman"/>
          <w:color w:val="auto"/>
          <w:sz w:val="22"/>
          <w:szCs w:val="22"/>
          <w:highlight w:val="none"/>
        </w:rPr>
      </w:pPr>
      <w:r>
        <w:rPr>
          <w:rFonts w:hint="eastAsia" w:ascii="宋体" w:hAnsi="Times New Roman" w:cs="Times New Roman"/>
          <w:color w:val="auto"/>
          <w:sz w:val="22"/>
          <w:szCs w:val="22"/>
          <w:highlight w:val="none"/>
        </w:rPr>
        <w:t>分包情况说明</w:t>
      </w:r>
    </w:p>
    <w:tbl>
      <w:tblPr>
        <w:tblStyle w:val="37"/>
        <w:tblW w:w="8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1471"/>
        <w:gridCol w:w="2548"/>
        <w:gridCol w:w="1953"/>
        <w:gridCol w:w="1631"/>
      </w:tblGrid>
      <w:tr w14:paraId="3615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334" w:type="dxa"/>
            <w:noWrap w:val="0"/>
            <w:vAlign w:val="top"/>
          </w:tcPr>
          <w:p w14:paraId="24EBD1E3">
            <w:pPr>
              <w:keepNext w:val="0"/>
              <w:keepLines w:val="0"/>
              <w:widowControl w:val="0"/>
              <w:suppressLineNumbers w:val="0"/>
              <w:spacing w:before="0" w:beforeAutospacing="0" w:after="0" w:afterAutospacing="0" w:line="380" w:lineRule="exact"/>
              <w:ind w:left="0" w:right="0"/>
              <w:jc w:val="both"/>
              <w:rPr>
                <w:rFonts w:hint="default"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分包内容</w:t>
            </w:r>
          </w:p>
        </w:tc>
        <w:tc>
          <w:tcPr>
            <w:tcW w:w="1471" w:type="dxa"/>
            <w:noWrap w:val="0"/>
            <w:vAlign w:val="top"/>
          </w:tcPr>
          <w:p w14:paraId="2A207018">
            <w:pPr>
              <w:keepNext w:val="0"/>
              <w:keepLines w:val="0"/>
              <w:widowControl w:val="0"/>
              <w:suppressLineNumbers w:val="0"/>
              <w:spacing w:before="0" w:beforeAutospacing="0" w:after="0" w:afterAutospacing="0" w:line="380" w:lineRule="exact"/>
              <w:ind w:left="0" w:right="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分包商名称</w:t>
            </w:r>
          </w:p>
        </w:tc>
        <w:tc>
          <w:tcPr>
            <w:tcW w:w="2548" w:type="dxa"/>
            <w:noWrap w:val="0"/>
            <w:vAlign w:val="top"/>
          </w:tcPr>
          <w:p w14:paraId="7BBD88FD">
            <w:pPr>
              <w:keepNext w:val="0"/>
              <w:keepLines w:val="0"/>
              <w:widowControl w:val="0"/>
              <w:suppressLineNumbers w:val="0"/>
              <w:spacing w:before="0" w:beforeAutospacing="0" w:after="0" w:afterAutospacing="0" w:line="380" w:lineRule="exact"/>
              <w:ind w:left="0" w:right="0"/>
              <w:jc w:val="both"/>
              <w:rPr>
                <w:rFonts w:hint="eastAsia"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分包商具备相应的专业资质证书</w:t>
            </w:r>
          </w:p>
        </w:tc>
        <w:tc>
          <w:tcPr>
            <w:tcW w:w="1953" w:type="dxa"/>
            <w:noWrap w:val="0"/>
            <w:vAlign w:val="top"/>
          </w:tcPr>
          <w:p w14:paraId="62C7D3F6">
            <w:pPr>
              <w:keepNext w:val="0"/>
              <w:keepLines w:val="0"/>
              <w:widowControl w:val="0"/>
              <w:suppressLineNumbers w:val="0"/>
              <w:spacing w:before="0" w:beforeAutospacing="0" w:after="0" w:afterAutospacing="0" w:line="380" w:lineRule="exact"/>
              <w:ind w:left="0" w:right="0"/>
              <w:jc w:val="both"/>
              <w:rPr>
                <w:rFonts w:hint="default"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分包商地址</w:t>
            </w:r>
          </w:p>
        </w:tc>
        <w:tc>
          <w:tcPr>
            <w:tcW w:w="1631" w:type="dxa"/>
            <w:noWrap w:val="0"/>
            <w:vAlign w:val="top"/>
          </w:tcPr>
          <w:p w14:paraId="2F85F712">
            <w:pPr>
              <w:keepNext w:val="0"/>
              <w:keepLines w:val="0"/>
              <w:widowControl w:val="0"/>
              <w:suppressLineNumbers w:val="0"/>
              <w:spacing w:before="0" w:beforeAutospacing="0" w:after="0" w:afterAutospacing="0" w:line="380" w:lineRule="exact"/>
              <w:ind w:left="0" w:right="0"/>
              <w:jc w:val="both"/>
              <w:rPr>
                <w:rFonts w:hint="default"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分包商联系人及电话</w:t>
            </w:r>
          </w:p>
        </w:tc>
      </w:tr>
      <w:tr w14:paraId="7D11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334" w:type="dxa"/>
            <w:noWrap w:val="0"/>
            <w:vAlign w:val="top"/>
          </w:tcPr>
          <w:p w14:paraId="5DE8B3EC">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471" w:type="dxa"/>
            <w:noWrap w:val="0"/>
            <w:vAlign w:val="top"/>
          </w:tcPr>
          <w:p w14:paraId="0D771BCE">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2548" w:type="dxa"/>
            <w:noWrap w:val="0"/>
            <w:vAlign w:val="top"/>
          </w:tcPr>
          <w:p w14:paraId="5295EB35">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953" w:type="dxa"/>
            <w:noWrap w:val="0"/>
            <w:vAlign w:val="top"/>
          </w:tcPr>
          <w:p w14:paraId="53D1D4AD">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631" w:type="dxa"/>
            <w:noWrap w:val="0"/>
            <w:vAlign w:val="top"/>
          </w:tcPr>
          <w:p w14:paraId="467C33B0">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r>
      <w:tr w14:paraId="17B4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334" w:type="dxa"/>
            <w:noWrap w:val="0"/>
            <w:vAlign w:val="top"/>
          </w:tcPr>
          <w:p w14:paraId="35475942">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471" w:type="dxa"/>
            <w:noWrap w:val="0"/>
            <w:vAlign w:val="top"/>
          </w:tcPr>
          <w:p w14:paraId="223BABEA">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2548" w:type="dxa"/>
            <w:noWrap w:val="0"/>
            <w:vAlign w:val="top"/>
          </w:tcPr>
          <w:p w14:paraId="76E08AD7">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953" w:type="dxa"/>
            <w:noWrap w:val="0"/>
            <w:vAlign w:val="top"/>
          </w:tcPr>
          <w:p w14:paraId="7DE237CA">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631" w:type="dxa"/>
            <w:noWrap w:val="0"/>
            <w:vAlign w:val="top"/>
          </w:tcPr>
          <w:p w14:paraId="615FA8B6">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r>
      <w:tr w14:paraId="2F05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334" w:type="dxa"/>
            <w:noWrap w:val="0"/>
            <w:vAlign w:val="top"/>
          </w:tcPr>
          <w:p w14:paraId="6702C547">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471" w:type="dxa"/>
            <w:noWrap w:val="0"/>
            <w:vAlign w:val="top"/>
          </w:tcPr>
          <w:p w14:paraId="63FE403E">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2548" w:type="dxa"/>
            <w:noWrap w:val="0"/>
            <w:vAlign w:val="top"/>
          </w:tcPr>
          <w:p w14:paraId="29EF9EBA">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953" w:type="dxa"/>
            <w:noWrap w:val="0"/>
            <w:vAlign w:val="top"/>
          </w:tcPr>
          <w:p w14:paraId="636C3EF1">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c>
          <w:tcPr>
            <w:tcW w:w="1631" w:type="dxa"/>
            <w:noWrap w:val="0"/>
            <w:vAlign w:val="top"/>
          </w:tcPr>
          <w:p w14:paraId="6168F39D">
            <w:pPr>
              <w:keepNext w:val="0"/>
              <w:keepLines w:val="0"/>
              <w:widowControl w:val="0"/>
              <w:suppressLineNumbers w:val="0"/>
              <w:spacing w:before="0" w:beforeAutospacing="0" w:after="0" w:afterAutospacing="0" w:line="380" w:lineRule="exact"/>
              <w:ind w:left="0" w:right="0"/>
              <w:jc w:val="both"/>
              <w:rPr>
                <w:rFonts w:hint="eastAsia" w:ascii="Times New Roman" w:hAnsi="Times New Roman" w:eastAsia="宋体" w:cs="Times New Roman"/>
                <w:color w:val="auto"/>
                <w:kern w:val="2"/>
                <w:sz w:val="21"/>
                <w:szCs w:val="21"/>
                <w:highlight w:val="none"/>
                <w:lang w:val="en-US" w:eastAsia="zh-CN" w:bidi="ar-SA"/>
              </w:rPr>
            </w:pPr>
          </w:p>
        </w:tc>
      </w:tr>
    </w:tbl>
    <w:p w14:paraId="6BA78F80">
      <w:pPr>
        <w:snapToGrid w:val="0"/>
        <w:spacing w:before="50" w:line="360" w:lineRule="exact"/>
        <w:jc w:val="left"/>
        <w:rPr>
          <w:rFonts w:hint="eastAsia" w:ascii="Times New Roman" w:hAnsi="Times New Roman" w:cs="Times New Roman"/>
          <w:color w:val="auto"/>
          <w:highlight w:val="none"/>
        </w:rPr>
      </w:pPr>
    </w:p>
    <w:p w14:paraId="5AF9118D">
      <w:pPr>
        <w:snapToGrid w:val="0"/>
        <w:spacing w:before="50" w:line="360" w:lineRule="exact"/>
        <w:jc w:val="left"/>
        <w:rPr>
          <w:rFonts w:hint="eastAsia" w:ascii="宋体" w:hAnsi="Times New Roman" w:cs="Times New Roman"/>
          <w:color w:val="auto"/>
          <w:szCs w:val="21"/>
          <w:highlight w:val="none"/>
        </w:rPr>
      </w:pPr>
      <w:r>
        <w:rPr>
          <w:rFonts w:hint="eastAsia" w:ascii="Times New Roman" w:hAnsi="Times New Roman" w:cs="Times New Roman"/>
          <w:color w:val="auto"/>
          <w:highlight w:val="none"/>
        </w:rPr>
        <w:t>投标人名称（</w:t>
      </w:r>
      <w:r>
        <w:rPr>
          <w:rFonts w:hint="eastAsia" w:ascii="宋体" w:hAnsi="Times New Roman" w:cs="Times New Roman"/>
          <w:color w:val="auto"/>
          <w:szCs w:val="21"/>
          <w:highlight w:val="none"/>
        </w:rPr>
        <w:t>盖章</w:t>
      </w:r>
      <w:r>
        <w:rPr>
          <w:rFonts w:hint="eastAsia" w:ascii="Times New Roman" w:hAnsi="Times New Roman" w:cs="Times New Roman"/>
          <w:color w:val="auto"/>
          <w:highlight w:val="none"/>
        </w:rPr>
        <w:t>）</w:t>
      </w:r>
      <w:r>
        <w:rPr>
          <w:rFonts w:hint="eastAsia" w:ascii="宋体" w:hAnsi="Times New Roman" w:cs="Times New Roman"/>
          <w:color w:val="auto"/>
          <w:szCs w:val="21"/>
          <w:highlight w:val="none"/>
        </w:rPr>
        <w:t>：</w:t>
      </w:r>
      <w:r>
        <w:rPr>
          <w:rFonts w:hint="eastAsia" w:ascii="宋体" w:hAnsi="Times New Roman" w:cs="Times New Roman"/>
          <w:color w:val="auto"/>
          <w:szCs w:val="21"/>
          <w:highlight w:val="none"/>
          <w:u w:val="single"/>
        </w:rPr>
        <w:t xml:space="preserve">                 </w:t>
      </w:r>
      <w:r>
        <w:rPr>
          <w:rFonts w:hint="eastAsia" w:ascii="宋体" w:hAnsi="Times New Roman" w:cs="Times New Roman"/>
          <w:color w:val="auto"/>
          <w:szCs w:val="21"/>
          <w:highlight w:val="none"/>
        </w:rPr>
        <w:t xml:space="preserve">                                     </w:t>
      </w:r>
    </w:p>
    <w:p w14:paraId="0DD7D1EB">
      <w:pPr>
        <w:snapToGrid w:val="0"/>
        <w:spacing w:before="50" w:line="360" w:lineRule="exact"/>
        <w:jc w:val="left"/>
        <w:rPr>
          <w:rFonts w:hint="eastAsia" w:ascii="宋体" w:hAnsi="Times New Roman" w:cs="Times New Roman"/>
          <w:color w:val="auto"/>
          <w:szCs w:val="21"/>
          <w:highlight w:val="none"/>
        </w:rPr>
      </w:pPr>
      <w:r>
        <w:rPr>
          <w:rFonts w:hint="eastAsia" w:ascii="宋体" w:hAnsi="Times New Roman" w:cs="Times New Roman"/>
          <w:color w:val="auto"/>
          <w:szCs w:val="21"/>
          <w:highlight w:val="none"/>
        </w:rPr>
        <w:t>年    月    日</w:t>
      </w:r>
    </w:p>
    <w:p w14:paraId="31B5BAD2">
      <w:pPr>
        <w:ind w:firstLine="739"/>
        <w:jc w:val="right"/>
        <w:rPr>
          <w:rFonts w:hint="eastAsia" w:ascii="宋体" w:hAnsi="宋体" w:eastAsia="宋体" w:cs="宋体"/>
          <w:color w:val="auto"/>
          <w:sz w:val="21"/>
          <w:szCs w:val="21"/>
          <w:highlight w:val="none"/>
          <w:lang w:val="en-US" w:eastAsia="zh-CN"/>
        </w:rPr>
        <w:sectPr>
          <w:footerReference r:id="rId4" w:type="default"/>
          <w:pgSz w:w="11910" w:h="16840"/>
          <w:pgMar w:top="1338" w:right="1500" w:bottom="1338" w:left="1680" w:header="720" w:footer="720" w:gutter="0"/>
          <w:pgNumType w:fmt="decimal" w:start="1"/>
          <w:cols w:space="720" w:num="1"/>
        </w:sectPr>
      </w:pPr>
      <w:r>
        <w:rPr>
          <w:rFonts w:ascii="Times New Roman" w:hAnsi="Times New Roman" w:eastAsia="宋体" w:cs="Times New Roman"/>
          <w:color w:val="auto"/>
          <w:kern w:val="2"/>
          <w:sz w:val="21"/>
          <w:szCs w:val="20"/>
          <w:highlight w:val="none"/>
          <w:lang w:val="en-US" w:eastAsia="zh-CN" w:bidi="ar-SA"/>
        </w:rPr>
        <w:br w:type="page"/>
      </w:r>
    </w:p>
    <w:p w14:paraId="417B92E8">
      <w:pPr>
        <w:numPr>
          <w:ilvl w:val="0"/>
          <w:numId w:val="0"/>
        </w:numPr>
        <w:spacing w:line="720" w:lineRule="auto"/>
        <w:rPr>
          <w:rFonts w:hint="eastAsia"/>
          <w:color w:val="auto"/>
          <w:kern w:val="2"/>
          <w:sz w:val="21"/>
          <w:szCs w:val="24"/>
          <w:highlight w:val="none"/>
          <w:lang w:val="en-US" w:eastAsia="zh-CN" w:bidi="ar-SA"/>
        </w:rPr>
      </w:pPr>
      <w:r>
        <w:rPr>
          <w:rFonts w:hint="eastAsia"/>
          <w:b/>
          <w:bCs/>
          <w:color w:val="auto"/>
          <w:kern w:val="2"/>
          <w:sz w:val="21"/>
          <w:szCs w:val="24"/>
          <w:highlight w:val="none"/>
          <w:lang w:val="en-US" w:eastAsia="zh-CN" w:bidi="ar-SA"/>
        </w:rPr>
        <w:t>附件八</w:t>
      </w:r>
    </w:p>
    <w:p w14:paraId="02B77C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eastAsia="宋体"/>
          <w:b/>
          <w:bCs/>
          <w:color w:val="auto"/>
          <w:sz w:val="21"/>
          <w:szCs w:val="24"/>
          <w:highlight w:val="none"/>
          <w:lang w:val="en-US" w:eastAsia="zh-CN"/>
        </w:rPr>
      </w:pPr>
      <w:r>
        <w:rPr>
          <w:rFonts w:hint="eastAsia"/>
          <w:b/>
          <w:bCs/>
          <w:color w:val="auto"/>
          <w:sz w:val="21"/>
          <w:szCs w:val="24"/>
          <w:highlight w:val="none"/>
          <w:lang w:val="en-US" w:eastAsia="zh-CN"/>
        </w:rPr>
        <w:t>《</w:t>
      </w:r>
      <w:r>
        <w:rPr>
          <w:rFonts w:hint="eastAsia"/>
          <w:b/>
          <w:bCs/>
          <w:color w:val="auto"/>
          <w:sz w:val="24"/>
          <w:szCs w:val="32"/>
          <w:highlight w:val="none"/>
          <w:lang w:val="en-US" w:eastAsia="zh-CN"/>
        </w:rPr>
        <w:t>关于符合本国产品标准的声明函》或者财政部会同有关部门规定的有关证明文件</w:t>
      </w:r>
    </w:p>
    <w:p w14:paraId="28EB04C1">
      <w:pPr>
        <w:numPr>
          <w:ilvl w:val="0"/>
          <w:numId w:val="0"/>
        </w:numPr>
        <w:spacing w:line="72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关于符合本国产品标准的声明函</w:t>
      </w:r>
    </w:p>
    <w:p w14:paraId="38012862">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6358AD5">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42"/>
          <w:rFonts w:hint="eastAsia" w:ascii="宋体" w:hAnsi="宋体" w:eastAsia="宋体" w:cs="宋体"/>
          <w:i w:val="0"/>
          <w:iCs w:val="0"/>
          <w:caps w:val="0"/>
          <w:color w:val="auto"/>
          <w:spacing w:val="0"/>
          <w:sz w:val="21"/>
          <w:szCs w:val="21"/>
          <w:highlight w:val="none"/>
          <w:shd w:val="clear" w:color="auto" w:fill="FFFFFF"/>
        </w:rPr>
        <w:t>（产品名称1）</w:t>
      </w:r>
      <w:r>
        <w:rPr>
          <w:rStyle w:val="42"/>
          <w:rFonts w:hint="eastAsia" w:ascii="宋体" w:hAnsi="宋体" w:eastAsia="宋体" w:cs="宋体"/>
          <w:i w:val="0"/>
          <w:iCs w:val="0"/>
          <w:caps w:val="0"/>
          <w:color w:val="auto"/>
          <w:spacing w:val="0"/>
          <w:sz w:val="21"/>
          <w:szCs w:val="21"/>
          <w:highlight w:val="non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42"/>
          <w:rFonts w:hint="eastAsia" w:ascii="宋体" w:hAnsi="宋体" w:eastAsia="宋体" w:cs="宋体"/>
          <w:i w:val="0"/>
          <w:iCs w:val="0"/>
          <w:caps w:val="0"/>
          <w:color w:val="auto"/>
          <w:spacing w:val="0"/>
          <w:sz w:val="21"/>
          <w:szCs w:val="21"/>
          <w:highlight w:val="none"/>
          <w:shd w:val="clear" w:color="auto" w:fill="FFFFFF"/>
        </w:rPr>
        <w:t>（厂名）</w:t>
      </w:r>
      <w:r>
        <w:rPr>
          <w:rStyle w:val="42"/>
          <w:rFonts w:hint="eastAsia" w:ascii="宋体" w:hAnsi="宋体" w:eastAsia="宋体" w:cs="宋体"/>
          <w:i w:val="0"/>
          <w:iCs w:val="0"/>
          <w:caps w:val="0"/>
          <w:color w:val="auto"/>
          <w:spacing w:val="0"/>
          <w:sz w:val="21"/>
          <w:szCs w:val="21"/>
          <w:highlight w:val="non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42"/>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42"/>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42"/>
          <w:rFonts w:hint="eastAsia" w:ascii="宋体" w:hAnsi="宋体" w:eastAsia="宋体" w:cs="宋体"/>
          <w:i w:val="0"/>
          <w:iCs w:val="0"/>
          <w:caps w:val="0"/>
          <w:color w:val="auto"/>
          <w:spacing w:val="0"/>
          <w:sz w:val="21"/>
          <w:szCs w:val="21"/>
          <w:highlight w:val="none"/>
          <w:shd w:val="clear" w:color="auto" w:fill="FFFFFF"/>
        </w:rPr>
        <w:t>（规定比例）</w:t>
      </w:r>
      <w:r>
        <w:rPr>
          <w:rStyle w:val="42"/>
          <w:rFonts w:hint="eastAsia" w:ascii="宋体" w:hAnsi="宋体" w:eastAsia="宋体" w:cs="宋体"/>
          <w:i w:val="0"/>
          <w:iCs w:val="0"/>
          <w:caps w:val="0"/>
          <w:color w:val="auto"/>
          <w:spacing w:val="0"/>
          <w:sz w:val="21"/>
          <w:szCs w:val="21"/>
          <w:highlight w:val="non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42"/>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42"/>
          <w:rFonts w:hint="eastAsia" w:ascii="宋体" w:hAnsi="宋体" w:eastAsia="宋体" w:cs="宋体"/>
          <w:i w:val="0"/>
          <w:iCs w:val="0"/>
          <w:caps w:val="0"/>
          <w:color w:val="auto"/>
          <w:spacing w:val="0"/>
          <w:sz w:val="21"/>
          <w:szCs w:val="21"/>
          <w:highlight w:val="none"/>
          <w:shd w:val="clear" w:color="auto" w:fill="FFFFFF"/>
        </w:rPr>
        <w:t>（关键组件）</w:t>
      </w:r>
      <w:r>
        <w:rPr>
          <w:rStyle w:val="42"/>
          <w:rFonts w:hint="eastAsia" w:ascii="宋体" w:hAnsi="宋体" w:eastAsia="宋体" w:cs="宋体"/>
          <w:i w:val="0"/>
          <w:iCs w:val="0"/>
          <w:caps w:val="0"/>
          <w:color w:val="auto"/>
          <w:spacing w:val="0"/>
          <w:sz w:val="21"/>
          <w:szCs w:val="21"/>
          <w:highlight w:val="non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42"/>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42"/>
          <w:rFonts w:hint="eastAsia" w:ascii="宋体" w:hAnsi="宋体" w:eastAsia="宋体" w:cs="宋体"/>
          <w:i w:val="0"/>
          <w:iCs w:val="0"/>
          <w:caps w:val="0"/>
          <w:color w:val="auto"/>
          <w:spacing w:val="0"/>
          <w:sz w:val="21"/>
          <w:szCs w:val="21"/>
          <w:highlight w:val="none"/>
          <w:shd w:val="clear" w:color="auto" w:fill="FFFFFF"/>
        </w:rPr>
        <w:t>（关键工序）</w:t>
      </w:r>
      <w:r>
        <w:rPr>
          <w:rStyle w:val="42"/>
          <w:rFonts w:hint="eastAsia" w:ascii="宋体" w:hAnsi="宋体" w:eastAsia="宋体" w:cs="宋体"/>
          <w:i w:val="0"/>
          <w:iCs w:val="0"/>
          <w:caps w:val="0"/>
          <w:color w:val="auto"/>
          <w:spacing w:val="0"/>
          <w:sz w:val="21"/>
          <w:szCs w:val="21"/>
          <w:highlight w:val="non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656C48AF">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42"/>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42"/>
          <w:rFonts w:hint="eastAsia" w:ascii="宋体" w:hAnsi="宋体" w:eastAsia="宋体" w:cs="宋体"/>
          <w:i w:val="0"/>
          <w:iCs w:val="0"/>
          <w:caps w:val="0"/>
          <w:color w:val="auto"/>
          <w:spacing w:val="0"/>
          <w:sz w:val="21"/>
          <w:szCs w:val="21"/>
          <w:highlight w:val="non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42"/>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42"/>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42"/>
          <w:rFonts w:hint="eastAsia" w:ascii="宋体" w:hAnsi="宋体" w:eastAsia="宋体" w:cs="宋体"/>
          <w:i w:val="0"/>
          <w:iCs w:val="0"/>
          <w:caps w:val="0"/>
          <w:color w:val="auto"/>
          <w:spacing w:val="0"/>
          <w:sz w:val="21"/>
          <w:szCs w:val="21"/>
          <w:highlight w:val="non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42"/>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42"/>
          <w:rFonts w:hint="eastAsia" w:ascii="宋体" w:hAnsi="宋体" w:eastAsia="宋体" w:cs="宋体"/>
          <w:i w:val="0"/>
          <w:iCs w:val="0"/>
          <w:caps w:val="0"/>
          <w:color w:val="auto"/>
          <w:spacing w:val="0"/>
          <w:sz w:val="21"/>
          <w:szCs w:val="21"/>
          <w:highlight w:val="non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42"/>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42"/>
          <w:rFonts w:hint="eastAsia" w:ascii="宋体" w:hAnsi="宋体" w:eastAsia="宋体" w:cs="宋体"/>
          <w:i w:val="0"/>
          <w:iCs w:val="0"/>
          <w:caps w:val="0"/>
          <w:color w:val="auto"/>
          <w:spacing w:val="0"/>
          <w:sz w:val="21"/>
          <w:szCs w:val="21"/>
          <w:highlight w:val="non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29089446">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21381576">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256331CC">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jc w:val="left"/>
        <w:rPr>
          <w:rFonts w:hint="eastAsia" w:ascii="宋体" w:hAnsi="宋体" w:eastAsia="宋体" w:cs="宋体"/>
          <w:i w:val="0"/>
          <w:iCs w:val="0"/>
          <w:caps w:val="0"/>
          <w:color w:val="auto"/>
          <w:spacing w:val="0"/>
          <w:sz w:val="21"/>
          <w:szCs w:val="21"/>
          <w:highlight w:val="none"/>
          <w:shd w:val="clear" w:color="auto" w:fill="FFFFFF"/>
        </w:rPr>
      </w:pPr>
    </w:p>
    <w:p w14:paraId="30B4E57B">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67C787AD">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420" w:firstLineChars="20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15A11B27">
      <w:pPr>
        <w:numPr>
          <w:ilvl w:val="0"/>
          <w:numId w:val="0"/>
        </w:numPr>
        <w:spacing w:line="400" w:lineRule="exact"/>
        <w:ind w:firstLine="420" w:firstLineChars="200"/>
        <w:jc w:val="left"/>
        <w:rPr>
          <w:rFonts w:hint="eastAsia" w:ascii="宋体" w:hAnsi="宋体" w:eastAsia="宋体" w:cs="宋体"/>
          <w:b w:val="0"/>
          <w:bCs w:val="0"/>
          <w:color w:val="auto"/>
          <w:sz w:val="21"/>
          <w:szCs w:val="21"/>
          <w:highlight w:val="none"/>
        </w:rPr>
      </w:pPr>
    </w:p>
    <w:p w14:paraId="11D7E0C3">
      <w:pPr>
        <w:numPr>
          <w:ilvl w:val="0"/>
          <w:numId w:val="0"/>
        </w:numPr>
        <w:spacing w:line="400" w:lineRule="exact"/>
        <w:ind w:firstLine="420" w:firstLineChars="200"/>
        <w:jc w:val="left"/>
        <w:rPr>
          <w:rFonts w:hint="eastAsia" w:ascii="宋体" w:hAnsi="宋体" w:eastAsia="宋体" w:cs="宋体"/>
          <w:b w:val="0"/>
          <w:bCs w:val="0"/>
          <w:color w:val="auto"/>
          <w:sz w:val="21"/>
          <w:szCs w:val="21"/>
          <w:highlight w:val="none"/>
        </w:rPr>
      </w:pPr>
    </w:p>
    <w:p w14:paraId="02CF37B9">
      <w:pPr>
        <w:keepNext w:val="0"/>
        <w:keepLines w:val="0"/>
        <w:pageBreakBefore w:val="0"/>
        <w:numPr>
          <w:ilvl w:val="0"/>
          <w:numId w:val="0"/>
        </w:numPr>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关于符合本国产品标准的声明函说明： </w:t>
      </w:r>
    </w:p>
    <w:p w14:paraId="22BF788B">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5732A73F">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23FFE6D1">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3.该产品的中国境内生产的组件成本占比相关要求实施前，“规定比例”栏可不填，下同。</w:t>
      </w:r>
    </w:p>
    <w:p w14:paraId="66148406">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4.该产品的关键组件要求实施前，“关键组件”栏可不填，下同。</w:t>
      </w:r>
    </w:p>
    <w:p w14:paraId="40B0D007">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5.该产品的关键工序要求实施前，“关键工序”栏可不填，下同。</w:t>
      </w:r>
    </w:p>
    <w:p w14:paraId="7F144214">
      <w:pPr>
        <w:numPr>
          <w:ilvl w:val="0"/>
          <w:numId w:val="0"/>
        </w:numPr>
        <w:spacing w:line="720" w:lineRule="auto"/>
        <w:jc w:val="center"/>
        <w:rPr>
          <w:rFonts w:ascii="宋体" w:hAnsi="宋体" w:eastAsia="宋体" w:cs="宋体"/>
          <w:b/>
          <w:bCs/>
          <w:color w:val="auto"/>
          <w:sz w:val="28"/>
          <w:szCs w:val="28"/>
          <w:highlight w:val="none"/>
        </w:rPr>
      </w:pPr>
      <w:r>
        <w:rPr>
          <w:color w:val="auto"/>
          <w:highlight w:val="none"/>
        </w:rPr>
        <w:br w:type="page"/>
      </w:r>
      <w:r>
        <w:rPr>
          <w:rFonts w:hint="eastAsia" w:ascii="宋体" w:hAnsi="宋体" w:eastAsia="宋体" w:cs="宋体"/>
          <w:b/>
          <w:bCs/>
          <w:color w:val="auto"/>
          <w:sz w:val="28"/>
          <w:szCs w:val="28"/>
          <w:highlight w:val="none"/>
          <w:lang w:val="en-US" w:eastAsia="zh-CN"/>
        </w:rPr>
        <w:t>2）</w:t>
      </w:r>
      <w:r>
        <w:rPr>
          <w:rFonts w:ascii="宋体" w:hAnsi="宋体" w:eastAsia="宋体" w:cs="宋体"/>
          <w:b/>
          <w:bCs/>
          <w:color w:val="auto"/>
          <w:sz w:val="28"/>
          <w:szCs w:val="28"/>
          <w:highlight w:val="none"/>
        </w:rPr>
        <w:t>关于本国产品比例的承诺函（如适用）</w:t>
      </w:r>
    </w:p>
    <w:p w14:paraId="588A8FD7">
      <w:pPr>
        <w:numPr>
          <w:ilvl w:val="0"/>
          <w:numId w:val="0"/>
        </w:numPr>
        <w:spacing w:line="400" w:lineRule="exact"/>
        <w:ind w:firstLine="420" w:firstLineChars="200"/>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 80%以上。</w:t>
      </w:r>
    </w:p>
    <w:p w14:paraId="50A88B62">
      <w:pPr>
        <w:numPr>
          <w:ilvl w:val="0"/>
          <w:numId w:val="0"/>
        </w:numPr>
        <w:spacing w:line="400" w:lineRule="exact"/>
        <w:ind w:firstLine="420" w:firstLineChars="200"/>
        <w:jc w:val="left"/>
        <w:rPr>
          <w:rFonts w:hint="eastAsia" w:ascii="宋体" w:hAnsi="宋体" w:eastAsia="宋体" w:cs="宋体"/>
          <w:b w:val="0"/>
          <w:bCs w:val="0"/>
          <w:color w:val="auto"/>
          <w:kern w:val="0"/>
          <w:sz w:val="21"/>
          <w:szCs w:val="21"/>
          <w:highlight w:val="none"/>
          <w:shd w:val="clear" w:color="auto" w:fill="FFFFFF"/>
          <w:lang w:val="en-US" w:eastAsia="zh-CN"/>
        </w:rPr>
      </w:pPr>
      <w:r>
        <w:rPr>
          <w:rFonts w:hint="eastAsia" w:ascii="宋体" w:hAnsi="宋体" w:eastAsia="宋体" w:cs="宋体"/>
          <w:b w:val="0"/>
          <w:bCs w:val="0"/>
          <w:color w:val="auto"/>
          <w:kern w:val="0"/>
          <w:sz w:val="21"/>
          <w:szCs w:val="21"/>
          <w:highlight w:val="none"/>
          <w:shd w:val="clear" w:color="auto" w:fill="FFFFFF"/>
        </w:rPr>
        <w:t>本公司(单位)对上述承诺内容的真实性负责。如有虚假，愿承担相应法律</w:t>
      </w:r>
      <w:r>
        <w:rPr>
          <w:rFonts w:hint="eastAsia" w:ascii="宋体" w:hAnsi="宋体" w:eastAsia="宋体" w:cs="宋体"/>
          <w:b w:val="0"/>
          <w:bCs w:val="0"/>
          <w:color w:val="auto"/>
          <w:kern w:val="0"/>
          <w:sz w:val="21"/>
          <w:szCs w:val="21"/>
          <w:highlight w:val="none"/>
          <w:shd w:val="clear" w:color="auto" w:fill="FFFFFF"/>
          <w:lang w:val="en-US" w:eastAsia="zh-CN"/>
        </w:rPr>
        <w:t>责任。</w:t>
      </w:r>
    </w:p>
    <w:p w14:paraId="3376E129">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0" w:firstLineChars="0"/>
        <w:jc w:val="left"/>
        <w:rPr>
          <w:rFonts w:hint="eastAsia" w:ascii="宋体" w:hAnsi="宋体" w:eastAsia="宋体" w:cs="宋体"/>
          <w:i w:val="0"/>
          <w:iCs w:val="0"/>
          <w:caps w:val="0"/>
          <w:color w:val="auto"/>
          <w:spacing w:val="0"/>
          <w:sz w:val="21"/>
          <w:szCs w:val="21"/>
          <w:highlight w:val="none"/>
          <w:shd w:val="clear" w:color="auto" w:fill="FFFFFF"/>
        </w:rPr>
      </w:pPr>
    </w:p>
    <w:p w14:paraId="328D7D53">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exact"/>
        <w:ind w:left="0" w:right="0" w:firstLine="210" w:firstLineChars="10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5DCF2B32">
      <w:pPr>
        <w:numPr>
          <w:ilvl w:val="0"/>
          <w:numId w:val="0"/>
        </w:numPr>
        <w:spacing w:line="720" w:lineRule="auto"/>
        <w:ind w:firstLine="210" w:firstLineChars="1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日期：　　　年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月</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　日   </w:t>
      </w:r>
    </w:p>
    <w:p w14:paraId="2ED6FF4E">
      <w:pPr>
        <w:spacing w:line="500" w:lineRule="exact"/>
        <w:rPr>
          <w:rFonts w:hint="eastAsia" w:ascii="宋体" w:hAnsi="宋体"/>
          <w:color w:val="auto"/>
          <w:sz w:val="32"/>
          <w:szCs w:val="32"/>
          <w:highlight w:val="none"/>
        </w:rPr>
      </w:pPr>
      <w:r>
        <w:rPr>
          <w:rFonts w:hint="eastAsia" w:ascii="宋体" w:hAnsi="宋体" w:eastAsia="宋体" w:cs="宋体"/>
          <w:b w:val="0"/>
          <w:bCs w:val="0"/>
          <w:color w:val="auto"/>
          <w:kern w:val="0"/>
          <w:sz w:val="21"/>
          <w:szCs w:val="21"/>
          <w:highlight w:val="none"/>
          <w:shd w:val="clear" w:color="auto" w:fill="FFFFFF"/>
        </w:rPr>
        <w:t>注：当采购项目或采购包中含有多种产品，符合有关政策的，供应商还应当提供本承诺函。</w:t>
      </w:r>
      <w:r>
        <w:rPr>
          <w:color w:val="auto"/>
          <w:highlight w:val="none"/>
        </w:rPr>
        <w:br w:type="page"/>
      </w:r>
    </w:p>
    <w:p w14:paraId="2C07AA3D">
      <w:pPr>
        <w:snapToGrid w:val="0"/>
        <w:spacing w:before="156" w:beforeLines="50" w:after="50" w:line="400" w:lineRule="exact"/>
        <w:jc w:val="center"/>
        <w:rPr>
          <w:rFonts w:hint="eastAsia" w:ascii="宋体" w:hAnsi="宋体"/>
          <w:b/>
          <w:color w:val="auto"/>
          <w:kern w:val="0"/>
          <w:sz w:val="32"/>
          <w:szCs w:val="32"/>
          <w:highlight w:val="none"/>
        </w:rPr>
      </w:pPr>
    </w:p>
    <w:p w14:paraId="666BDB6B">
      <w:pPr>
        <w:spacing w:line="400" w:lineRule="exact"/>
        <w:ind w:left="420" w:hanging="420"/>
        <w:jc w:val="center"/>
        <w:rPr>
          <w:rFonts w:hint="eastAsia" w:ascii="宋体" w:hAnsi="宋体"/>
          <w:b/>
          <w:color w:val="auto"/>
          <w:kern w:val="0"/>
          <w:sz w:val="32"/>
          <w:szCs w:val="32"/>
          <w:highlight w:val="none"/>
        </w:rPr>
      </w:pPr>
    </w:p>
    <w:p w14:paraId="011AEB52">
      <w:pPr>
        <w:spacing w:line="400" w:lineRule="exact"/>
        <w:ind w:left="420" w:hanging="420"/>
        <w:jc w:val="center"/>
        <w:rPr>
          <w:rFonts w:hint="eastAsia" w:ascii="宋体" w:hAnsi="宋体"/>
          <w:b/>
          <w:color w:val="auto"/>
          <w:kern w:val="0"/>
          <w:sz w:val="32"/>
          <w:szCs w:val="32"/>
          <w:highlight w:val="none"/>
        </w:rPr>
      </w:pPr>
    </w:p>
    <w:p w14:paraId="67630C4C">
      <w:pPr>
        <w:spacing w:line="400" w:lineRule="exact"/>
        <w:ind w:left="420" w:hanging="420"/>
        <w:jc w:val="center"/>
        <w:rPr>
          <w:rFonts w:hint="eastAsia" w:ascii="宋体" w:hAnsi="宋体"/>
          <w:b/>
          <w:color w:val="auto"/>
          <w:kern w:val="0"/>
          <w:sz w:val="32"/>
          <w:szCs w:val="32"/>
          <w:highlight w:val="none"/>
        </w:rPr>
      </w:pPr>
    </w:p>
    <w:p w14:paraId="64BEE469">
      <w:pPr>
        <w:spacing w:line="400" w:lineRule="exact"/>
        <w:ind w:left="420" w:hanging="420"/>
        <w:jc w:val="center"/>
        <w:rPr>
          <w:rFonts w:hint="eastAsia" w:ascii="宋体" w:hAnsi="宋体"/>
          <w:b/>
          <w:color w:val="auto"/>
          <w:kern w:val="0"/>
          <w:sz w:val="32"/>
          <w:szCs w:val="32"/>
          <w:highlight w:val="none"/>
        </w:rPr>
      </w:pPr>
    </w:p>
    <w:p w14:paraId="5456275C">
      <w:pPr>
        <w:spacing w:line="400" w:lineRule="exact"/>
        <w:ind w:left="420" w:hanging="420"/>
        <w:jc w:val="center"/>
        <w:rPr>
          <w:rFonts w:hint="eastAsia" w:ascii="宋体" w:hAnsi="宋体"/>
          <w:b/>
          <w:color w:val="auto"/>
          <w:kern w:val="0"/>
          <w:sz w:val="32"/>
          <w:szCs w:val="32"/>
          <w:highlight w:val="none"/>
        </w:rPr>
      </w:pPr>
    </w:p>
    <w:p w14:paraId="5C51882D">
      <w:pPr>
        <w:spacing w:line="400" w:lineRule="exact"/>
        <w:ind w:left="420" w:hanging="420"/>
        <w:jc w:val="center"/>
        <w:rPr>
          <w:rFonts w:hint="eastAsia" w:ascii="宋体" w:hAnsi="宋体"/>
          <w:b/>
          <w:color w:val="auto"/>
          <w:kern w:val="0"/>
          <w:sz w:val="32"/>
          <w:szCs w:val="32"/>
          <w:highlight w:val="none"/>
        </w:rPr>
      </w:pPr>
    </w:p>
    <w:p w14:paraId="73710B38">
      <w:pPr>
        <w:spacing w:line="400" w:lineRule="exact"/>
        <w:ind w:left="420" w:hanging="420"/>
        <w:jc w:val="both"/>
        <w:rPr>
          <w:rFonts w:hint="eastAsia" w:ascii="宋体" w:hAnsi="宋体"/>
          <w:b/>
          <w:color w:val="auto"/>
          <w:kern w:val="0"/>
          <w:sz w:val="32"/>
          <w:szCs w:val="32"/>
          <w:highlight w:val="none"/>
        </w:rPr>
      </w:pPr>
    </w:p>
    <w:p w14:paraId="7AAE3FA2">
      <w:pPr>
        <w:spacing w:line="400" w:lineRule="exact"/>
        <w:ind w:left="420" w:hanging="420"/>
        <w:jc w:val="center"/>
        <w:rPr>
          <w:rFonts w:hint="eastAsia" w:ascii="宋体" w:hAnsi="宋体"/>
          <w:b/>
          <w:color w:val="auto"/>
          <w:kern w:val="0"/>
          <w:sz w:val="32"/>
          <w:szCs w:val="32"/>
          <w:highlight w:val="none"/>
        </w:rPr>
      </w:pPr>
    </w:p>
    <w:p w14:paraId="4665B686">
      <w:pPr>
        <w:spacing w:line="400" w:lineRule="exact"/>
        <w:ind w:left="420" w:hanging="420"/>
        <w:jc w:val="center"/>
        <w:rPr>
          <w:rFonts w:hint="eastAsia" w:ascii="宋体" w:hAnsi="宋体"/>
          <w:b/>
          <w:color w:val="auto"/>
          <w:kern w:val="0"/>
          <w:sz w:val="32"/>
          <w:szCs w:val="32"/>
          <w:highlight w:val="none"/>
        </w:rPr>
      </w:pPr>
    </w:p>
    <w:p w14:paraId="172BE767">
      <w:pPr>
        <w:pStyle w:val="34"/>
        <w:rPr>
          <w:rFonts w:hint="eastAsia"/>
          <w:color w:val="auto"/>
          <w:kern w:val="0"/>
          <w:sz w:val="44"/>
          <w:szCs w:val="44"/>
          <w:highlight w:val="none"/>
        </w:rPr>
      </w:pPr>
      <w:bookmarkStart w:id="89" w:name="_Toc476258672"/>
      <w:bookmarkStart w:id="90" w:name="_Toc476258760"/>
      <w:r>
        <w:rPr>
          <w:rFonts w:hint="eastAsia"/>
          <w:color w:val="auto"/>
          <w:kern w:val="0"/>
          <w:sz w:val="44"/>
          <w:szCs w:val="44"/>
          <w:highlight w:val="none"/>
        </w:rPr>
        <w:t>第五章  合同主要条款</w:t>
      </w:r>
      <w:bookmarkEnd w:id="89"/>
      <w:bookmarkEnd w:id="90"/>
    </w:p>
    <w:p w14:paraId="1E6B82C9">
      <w:pPr>
        <w:spacing w:line="300" w:lineRule="auto"/>
        <w:ind w:left="420" w:hanging="420"/>
        <w:jc w:val="center"/>
        <w:rPr>
          <w:rFonts w:hint="eastAsia" w:ascii="黑体" w:hAnsi="宋体" w:eastAsia="黑体"/>
          <w:b/>
          <w:color w:val="auto"/>
          <w:kern w:val="0"/>
          <w:sz w:val="32"/>
          <w:szCs w:val="32"/>
          <w:highlight w:val="none"/>
        </w:rPr>
      </w:pPr>
    </w:p>
    <w:p w14:paraId="3FA9A495">
      <w:pPr>
        <w:spacing w:line="300" w:lineRule="auto"/>
        <w:ind w:left="420" w:hanging="420"/>
        <w:jc w:val="center"/>
        <w:rPr>
          <w:rFonts w:hint="eastAsia" w:ascii="黑体" w:hAnsi="宋体" w:eastAsia="黑体"/>
          <w:b/>
          <w:color w:val="auto"/>
          <w:kern w:val="0"/>
          <w:sz w:val="32"/>
          <w:szCs w:val="32"/>
          <w:highlight w:val="none"/>
        </w:rPr>
      </w:pPr>
    </w:p>
    <w:p w14:paraId="35AA6844">
      <w:pPr>
        <w:spacing w:line="300" w:lineRule="auto"/>
        <w:ind w:left="420" w:hanging="420"/>
        <w:jc w:val="center"/>
        <w:rPr>
          <w:rFonts w:hint="eastAsia" w:ascii="黑体" w:hAnsi="宋体" w:eastAsia="黑体"/>
          <w:b/>
          <w:color w:val="auto"/>
          <w:kern w:val="0"/>
          <w:sz w:val="32"/>
          <w:szCs w:val="32"/>
          <w:highlight w:val="none"/>
        </w:rPr>
      </w:pPr>
    </w:p>
    <w:p w14:paraId="5F8BBED6">
      <w:pPr>
        <w:spacing w:line="300" w:lineRule="auto"/>
        <w:ind w:left="420" w:hanging="420"/>
        <w:jc w:val="center"/>
        <w:rPr>
          <w:rFonts w:hint="eastAsia" w:ascii="黑体" w:hAnsi="宋体" w:eastAsia="黑体"/>
          <w:b/>
          <w:color w:val="auto"/>
          <w:kern w:val="0"/>
          <w:sz w:val="32"/>
          <w:szCs w:val="32"/>
          <w:highlight w:val="none"/>
        </w:rPr>
      </w:pPr>
    </w:p>
    <w:p w14:paraId="16088F05">
      <w:pPr>
        <w:spacing w:line="300" w:lineRule="auto"/>
        <w:ind w:left="420" w:hanging="420"/>
        <w:jc w:val="center"/>
        <w:rPr>
          <w:rFonts w:hint="eastAsia" w:ascii="黑体" w:hAnsi="宋体" w:eastAsia="黑体"/>
          <w:b/>
          <w:color w:val="auto"/>
          <w:kern w:val="0"/>
          <w:sz w:val="32"/>
          <w:szCs w:val="32"/>
          <w:highlight w:val="none"/>
        </w:rPr>
      </w:pPr>
    </w:p>
    <w:p w14:paraId="229675BF">
      <w:pPr>
        <w:spacing w:line="300" w:lineRule="auto"/>
        <w:ind w:left="420" w:hanging="420"/>
        <w:jc w:val="center"/>
        <w:rPr>
          <w:rFonts w:hint="eastAsia" w:ascii="黑体" w:hAnsi="宋体" w:eastAsia="黑体"/>
          <w:b/>
          <w:color w:val="auto"/>
          <w:kern w:val="0"/>
          <w:sz w:val="32"/>
          <w:szCs w:val="32"/>
          <w:highlight w:val="none"/>
        </w:rPr>
      </w:pPr>
    </w:p>
    <w:p w14:paraId="6797F0B3">
      <w:pPr>
        <w:spacing w:line="300" w:lineRule="auto"/>
        <w:ind w:left="420" w:hanging="420"/>
        <w:jc w:val="center"/>
        <w:rPr>
          <w:rFonts w:hint="eastAsia" w:ascii="黑体" w:hAnsi="宋体" w:eastAsia="黑体"/>
          <w:b/>
          <w:color w:val="auto"/>
          <w:kern w:val="0"/>
          <w:sz w:val="32"/>
          <w:szCs w:val="32"/>
          <w:highlight w:val="none"/>
        </w:rPr>
      </w:pPr>
    </w:p>
    <w:p w14:paraId="07648AA1">
      <w:pPr>
        <w:spacing w:line="300" w:lineRule="auto"/>
        <w:ind w:left="420" w:hanging="420"/>
        <w:jc w:val="center"/>
        <w:rPr>
          <w:rFonts w:hint="eastAsia" w:ascii="黑体" w:hAnsi="宋体" w:eastAsia="黑体"/>
          <w:b/>
          <w:color w:val="auto"/>
          <w:kern w:val="0"/>
          <w:sz w:val="32"/>
          <w:szCs w:val="32"/>
          <w:highlight w:val="none"/>
        </w:rPr>
      </w:pPr>
    </w:p>
    <w:p w14:paraId="177B70F5">
      <w:pPr>
        <w:spacing w:line="300" w:lineRule="auto"/>
        <w:ind w:left="420" w:hanging="420"/>
        <w:jc w:val="center"/>
        <w:rPr>
          <w:rFonts w:hint="eastAsia" w:ascii="黑体" w:hAnsi="宋体" w:eastAsia="黑体"/>
          <w:b/>
          <w:color w:val="auto"/>
          <w:kern w:val="0"/>
          <w:sz w:val="32"/>
          <w:szCs w:val="32"/>
          <w:highlight w:val="none"/>
        </w:rPr>
      </w:pPr>
    </w:p>
    <w:p w14:paraId="5F2A7EBB">
      <w:pPr>
        <w:spacing w:line="300" w:lineRule="auto"/>
        <w:ind w:left="420" w:hanging="420"/>
        <w:jc w:val="center"/>
        <w:rPr>
          <w:rFonts w:hint="eastAsia" w:ascii="黑体" w:hAnsi="宋体" w:eastAsia="黑体"/>
          <w:b/>
          <w:color w:val="auto"/>
          <w:kern w:val="0"/>
          <w:sz w:val="32"/>
          <w:szCs w:val="32"/>
          <w:highlight w:val="none"/>
        </w:rPr>
      </w:pPr>
    </w:p>
    <w:p w14:paraId="5871221F">
      <w:pPr>
        <w:spacing w:line="300" w:lineRule="auto"/>
        <w:ind w:left="420" w:hanging="420"/>
        <w:jc w:val="center"/>
        <w:rPr>
          <w:rFonts w:hint="eastAsia" w:ascii="黑体" w:hAnsi="宋体" w:eastAsia="黑体"/>
          <w:b/>
          <w:color w:val="auto"/>
          <w:kern w:val="0"/>
          <w:sz w:val="32"/>
          <w:szCs w:val="32"/>
          <w:highlight w:val="none"/>
        </w:rPr>
      </w:pPr>
    </w:p>
    <w:p w14:paraId="7FF848EA">
      <w:pPr>
        <w:spacing w:line="720" w:lineRule="auto"/>
        <w:jc w:val="center"/>
        <w:rPr>
          <w:rFonts w:hint="eastAsia" w:hAnsi="宋体"/>
          <w:b/>
          <w:bCs/>
          <w:color w:val="auto"/>
          <w:sz w:val="32"/>
          <w:szCs w:val="32"/>
          <w:highlight w:val="none"/>
        </w:rPr>
      </w:pPr>
      <w:r>
        <w:rPr>
          <w:color w:val="auto"/>
          <w:szCs w:val="21"/>
          <w:highlight w:val="none"/>
        </w:rPr>
        <w:br w:type="page"/>
      </w:r>
      <w:r>
        <w:rPr>
          <w:rFonts w:hint="eastAsia" w:hAnsi="宋体"/>
          <w:b/>
          <w:bCs/>
          <w:color w:val="auto"/>
          <w:sz w:val="32"/>
          <w:szCs w:val="32"/>
          <w:highlight w:val="none"/>
        </w:rPr>
        <w:t>广西壮族自治区政府采购合同</w:t>
      </w:r>
    </w:p>
    <w:p w14:paraId="0A829789">
      <w:pPr>
        <w:spacing w:line="720" w:lineRule="auto"/>
        <w:jc w:val="center"/>
        <w:rPr>
          <w:rFonts w:hint="eastAsia"/>
          <w:b/>
          <w:color w:val="auto"/>
          <w:sz w:val="24"/>
          <w:szCs w:val="24"/>
          <w:highlight w:val="none"/>
        </w:rPr>
      </w:pPr>
      <w:r>
        <w:rPr>
          <w:rFonts w:hint="eastAsia" w:hAnsi="宋体"/>
          <w:b/>
          <w:bCs/>
          <w:color w:val="auto"/>
          <w:sz w:val="24"/>
          <w:szCs w:val="24"/>
          <w:highlight w:val="none"/>
        </w:rPr>
        <w:t>（</w:t>
      </w:r>
      <w:r>
        <w:rPr>
          <w:rFonts w:hint="eastAsia" w:hAnsi="宋体"/>
          <w:b/>
          <w:bCs/>
          <w:color w:val="auto"/>
          <w:sz w:val="24"/>
          <w:szCs w:val="24"/>
          <w:highlight w:val="none"/>
          <w:lang w:val="en-US" w:eastAsia="zh-CN"/>
        </w:rPr>
        <w:t>标项一、标项二、标项三</w:t>
      </w:r>
      <w:r>
        <w:rPr>
          <w:rFonts w:hint="eastAsia" w:hAnsi="宋体"/>
          <w:b/>
          <w:bCs/>
          <w:color w:val="auto"/>
          <w:sz w:val="24"/>
          <w:szCs w:val="24"/>
          <w:highlight w:val="none"/>
        </w:rPr>
        <w:t>格式）</w:t>
      </w:r>
    </w:p>
    <w:p w14:paraId="761033DE">
      <w:pPr>
        <w:snapToGrid w:val="0"/>
        <w:spacing w:line="400" w:lineRule="exact"/>
        <w:ind w:right="480" w:firstLine="5040" w:firstLineChars="2400"/>
        <w:rPr>
          <w:rFonts w:hint="eastAsia" w:ascii="宋体" w:hAnsi="宋体"/>
          <w:bCs/>
          <w:color w:val="auto"/>
          <w:szCs w:val="21"/>
          <w:highlight w:val="none"/>
          <w:u w:val="single"/>
        </w:rPr>
      </w:pPr>
      <w:r>
        <w:rPr>
          <w:rFonts w:hint="eastAsia" w:ascii="宋体" w:hAnsi="宋体"/>
          <w:bCs/>
          <w:color w:val="auto"/>
          <w:szCs w:val="21"/>
          <w:highlight w:val="none"/>
        </w:rPr>
        <w:t xml:space="preserve">              合同编号：</w:t>
      </w:r>
    </w:p>
    <w:p w14:paraId="7FDD0C80">
      <w:pPr>
        <w:snapToGrid w:val="0"/>
        <w:spacing w:line="382" w:lineRule="exact"/>
        <w:rPr>
          <w:rFonts w:hint="eastAsia" w:ascii="宋体" w:hAnsi="宋体"/>
          <w:color w:val="auto"/>
          <w:szCs w:val="21"/>
          <w:highlight w:val="none"/>
          <w:u w:val="single"/>
        </w:rPr>
      </w:pPr>
      <w:r>
        <w:rPr>
          <w:rFonts w:hint="eastAsia" w:ascii="宋体" w:hAnsi="宋体"/>
          <w:color w:val="auto"/>
          <w:szCs w:val="21"/>
          <w:highlight w:val="none"/>
        </w:rPr>
        <w:t>采购人（甲方）：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p>
    <w:p w14:paraId="2F85EC30">
      <w:pPr>
        <w:snapToGrid w:val="0"/>
        <w:spacing w:line="382" w:lineRule="exact"/>
        <w:rPr>
          <w:rFonts w:hint="eastAsia" w:ascii="宋体" w:hAnsi="宋体"/>
          <w:color w:val="auto"/>
          <w:szCs w:val="21"/>
          <w:highlight w:val="none"/>
          <w:u w:val="single"/>
        </w:rPr>
      </w:pPr>
      <w:r>
        <w:rPr>
          <w:rFonts w:hint="eastAsia" w:ascii="宋体" w:hAnsi="宋体"/>
          <w:color w:val="auto"/>
          <w:szCs w:val="21"/>
          <w:highlight w:val="none"/>
        </w:rPr>
        <w:t>供应商（乙方）：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采购项目名称和</w:t>
      </w:r>
      <w:r>
        <w:rPr>
          <w:rFonts w:hint="eastAsia" w:ascii="宋体" w:hAnsi="宋体"/>
          <w:color w:val="auto"/>
          <w:spacing w:val="-20"/>
          <w:szCs w:val="21"/>
          <w:highlight w:val="none"/>
        </w:rPr>
        <w:t>编号：</w:t>
      </w:r>
      <w:r>
        <w:rPr>
          <w:rFonts w:hint="eastAsia" w:ascii="宋体" w:hAnsi="宋体"/>
          <w:color w:val="auto"/>
          <w:szCs w:val="21"/>
          <w:highlight w:val="none"/>
          <w:u w:val="single"/>
        </w:rPr>
        <w:t xml:space="preserve">                       </w:t>
      </w:r>
    </w:p>
    <w:p w14:paraId="26A18FA3">
      <w:pPr>
        <w:snapToGrid w:val="0"/>
        <w:spacing w:line="382" w:lineRule="exact"/>
        <w:rPr>
          <w:rFonts w:hint="eastAsia" w:ascii="宋体" w:hAnsi="宋体"/>
          <w:color w:val="auto"/>
          <w:szCs w:val="21"/>
          <w:highlight w:val="none"/>
          <w:u w:val="single"/>
        </w:rPr>
      </w:pPr>
      <w:r>
        <w:rPr>
          <w:rFonts w:hint="eastAsia" w:ascii="宋体" w:hAnsi="宋体"/>
          <w:color w:val="auto"/>
          <w:szCs w:val="21"/>
          <w:highlight w:val="none"/>
        </w:rPr>
        <w:t>签  订  地  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p>
    <w:p w14:paraId="7AE97920">
      <w:pPr>
        <w:snapToGrid w:val="0"/>
        <w:spacing w:line="382" w:lineRule="exact"/>
        <w:ind w:firstLine="420" w:firstLineChars="200"/>
        <w:rPr>
          <w:rFonts w:hint="eastAsia" w:ascii="宋体" w:hAnsi="宋体"/>
          <w:color w:val="auto"/>
          <w:szCs w:val="21"/>
          <w:highlight w:val="none"/>
        </w:rPr>
      </w:pPr>
    </w:p>
    <w:p w14:paraId="1D01BB58">
      <w:pPr>
        <w:snapToGrid w:val="0"/>
        <w:spacing w:line="382" w:lineRule="exact"/>
        <w:rPr>
          <w:rFonts w:hint="eastAsia" w:ascii="宋体" w:hAnsi="宋体"/>
          <w:color w:val="auto"/>
          <w:szCs w:val="21"/>
          <w:highlight w:val="none"/>
        </w:rPr>
      </w:pPr>
      <w:r>
        <w:rPr>
          <w:rFonts w:hint="eastAsia" w:ascii="宋体" w:hAnsi="宋体"/>
          <w:color w:val="auto"/>
          <w:szCs w:val="21"/>
          <w:highlight w:val="none"/>
        </w:rPr>
        <w:t xml:space="preserve">    根据《中华人民共和国政府采购法》、《中华人民共和国民法典》等</w:t>
      </w:r>
      <w:r>
        <w:rPr>
          <w:rFonts w:hint="eastAsia" w:ascii="宋体" w:hAnsi="宋体"/>
          <w:color w:val="auto"/>
          <w:szCs w:val="21"/>
          <w:highlight w:val="none"/>
          <w:lang w:eastAsia="zh-CN"/>
        </w:rPr>
        <w:t>法律法规</w:t>
      </w:r>
      <w:r>
        <w:rPr>
          <w:rFonts w:hint="eastAsia" w:ascii="宋体" w:hAnsi="宋体"/>
          <w:color w:val="auto"/>
          <w:szCs w:val="21"/>
          <w:highlight w:val="none"/>
        </w:rPr>
        <w:t>规定，按照竞争性谈判文件（以下简称“谈判文件”）规定条款和成交供应商竞争性谈判响应文件（以下简称“响应文件”）及其承诺，甲乙双方签订本合同。</w:t>
      </w:r>
    </w:p>
    <w:p w14:paraId="150A495F">
      <w:pPr>
        <w:snapToGrid w:val="0"/>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第一条　合同标的</w:t>
      </w:r>
    </w:p>
    <w:p w14:paraId="1A51516E">
      <w:pPr>
        <w:numPr>
          <w:ilvl w:val="0"/>
          <w:numId w:val="5"/>
        </w:numPr>
        <w:snapToGrid w:val="0"/>
        <w:spacing w:line="382" w:lineRule="exact"/>
        <w:rPr>
          <w:rFonts w:hint="eastAsia" w:ascii="宋体" w:hAnsi="宋体"/>
          <w:color w:val="auto"/>
          <w:szCs w:val="21"/>
          <w:highlight w:val="none"/>
        </w:rPr>
      </w:pPr>
      <w:r>
        <w:rPr>
          <w:rFonts w:hint="eastAsia" w:ascii="宋体" w:hAnsi="宋体"/>
          <w:color w:val="auto"/>
          <w:szCs w:val="21"/>
          <w:highlight w:val="none"/>
        </w:rPr>
        <w:t>供货一览表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40"/>
        <w:gridCol w:w="1081"/>
        <w:gridCol w:w="1194"/>
        <w:gridCol w:w="1193"/>
        <w:gridCol w:w="920"/>
        <w:gridCol w:w="832"/>
        <w:gridCol w:w="1080"/>
        <w:gridCol w:w="1440"/>
      </w:tblGrid>
      <w:tr w14:paraId="1C5B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60" w:type="dxa"/>
            <w:noWrap w:val="0"/>
            <w:vAlign w:val="center"/>
          </w:tcPr>
          <w:p w14:paraId="3496EF25">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序号</w:t>
            </w:r>
          </w:p>
        </w:tc>
        <w:tc>
          <w:tcPr>
            <w:tcW w:w="1140" w:type="dxa"/>
            <w:noWrap w:val="0"/>
            <w:vAlign w:val="center"/>
          </w:tcPr>
          <w:p w14:paraId="3C832E36">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产品名称</w:t>
            </w:r>
          </w:p>
        </w:tc>
        <w:tc>
          <w:tcPr>
            <w:tcW w:w="1081" w:type="dxa"/>
            <w:noWrap w:val="0"/>
            <w:vAlign w:val="center"/>
          </w:tcPr>
          <w:p w14:paraId="4F2397A0">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商标品牌</w:t>
            </w:r>
          </w:p>
        </w:tc>
        <w:tc>
          <w:tcPr>
            <w:tcW w:w="1194" w:type="dxa"/>
            <w:noWrap w:val="0"/>
            <w:vAlign w:val="center"/>
          </w:tcPr>
          <w:p w14:paraId="648E5569">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规格型号</w:t>
            </w:r>
          </w:p>
        </w:tc>
        <w:tc>
          <w:tcPr>
            <w:tcW w:w="1193" w:type="dxa"/>
            <w:noWrap w:val="0"/>
            <w:vAlign w:val="center"/>
          </w:tcPr>
          <w:p w14:paraId="28DDAB4D">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生产厂家</w:t>
            </w:r>
          </w:p>
        </w:tc>
        <w:tc>
          <w:tcPr>
            <w:tcW w:w="920" w:type="dxa"/>
            <w:noWrap w:val="0"/>
            <w:vAlign w:val="center"/>
          </w:tcPr>
          <w:p w14:paraId="19104A29">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数量</w:t>
            </w:r>
          </w:p>
        </w:tc>
        <w:tc>
          <w:tcPr>
            <w:tcW w:w="832" w:type="dxa"/>
            <w:noWrap w:val="0"/>
            <w:vAlign w:val="center"/>
          </w:tcPr>
          <w:p w14:paraId="4AFB663A">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单位</w:t>
            </w:r>
          </w:p>
        </w:tc>
        <w:tc>
          <w:tcPr>
            <w:tcW w:w="1080" w:type="dxa"/>
            <w:noWrap w:val="0"/>
            <w:vAlign w:val="center"/>
          </w:tcPr>
          <w:p w14:paraId="3C36BBF6">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单价</w:t>
            </w:r>
          </w:p>
          <w:p w14:paraId="5F60BD52">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（元）</w:t>
            </w:r>
          </w:p>
        </w:tc>
        <w:tc>
          <w:tcPr>
            <w:tcW w:w="1440" w:type="dxa"/>
            <w:noWrap w:val="0"/>
            <w:vAlign w:val="center"/>
          </w:tcPr>
          <w:p w14:paraId="6646259D">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金额</w:t>
            </w:r>
          </w:p>
          <w:p w14:paraId="63D30D68">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（元）</w:t>
            </w:r>
          </w:p>
        </w:tc>
      </w:tr>
      <w:tr w14:paraId="0F75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60" w:type="dxa"/>
            <w:noWrap w:val="0"/>
            <w:vAlign w:val="center"/>
          </w:tcPr>
          <w:p w14:paraId="0DDC044B">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1140" w:type="dxa"/>
            <w:noWrap w:val="0"/>
            <w:vAlign w:val="center"/>
          </w:tcPr>
          <w:p w14:paraId="11D42DD6">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1081" w:type="dxa"/>
            <w:noWrap w:val="0"/>
            <w:vAlign w:val="center"/>
          </w:tcPr>
          <w:p w14:paraId="704C6173">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1194" w:type="dxa"/>
            <w:noWrap w:val="0"/>
            <w:vAlign w:val="center"/>
          </w:tcPr>
          <w:p w14:paraId="5608588B">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1193" w:type="dxa"/>
            <w:noWrap w:val="0"/>
            <w:vAlign w:val="center"/>
          </w:tcPr>
          <w:p w14:paraId="4B47FE32">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920" w:type="dxa"/>
            <w:noWrap w:val="0"/>
            <w:vAlign w:val="center"/>
          </w:tcPr>
          <w:p w14:paraId="3010469E">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832" w:type="dxa"/>
            <w:noWrap w:val="0"/>
            <w:vAlign w:val="center"/>
          </w:tcPr>
          <w:p w14:paraId="44AC7A52">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1080" w:type="dxa"/>
            <w:noWrap w:val="0"/>
            <w:vAlign w:val="center"/>
          </w:tcPr>
          <w:p w14:paraId="5A0354C1">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c>
          <w:tcPr>
            <w:tcW w:w="1440" w:type="dxa"/>
            <w:noWrap w:val="0"/>
            <w:vAlign w:val="center"/>
          </w:tcPr>
          <w:p w14:paraId="0305D1B2">
            <w:pPr>
              <w:keepNext w:val="0"/>
              <w:keepLines w:val="0"/>
              <w:suppressLineNumbers w:val="0"/>
              <w:snapToGrid w:val="0"/>
              <w:spacing w:before="0" w:beforeAutospacing="0" w:after="0" w:afterAutospacing="0" w:line="382" w:lineRule="exact"/>
              <w:ind w:left="0" w:right="0"/>
              <w:jc w:val="center"/>
              <w:rPr>
                <w:rFonts w:hint="eastAsia" w:ascii="宋体" w:hAnsi="宋体" w:cs="Times New Roman"/>
                <w:color w:val="auto"/>
                <w:szCs w:val="21"/>
                <w:highlight w:val="none"/>
              </w:rPr>
            </w:pPr>
          </w:p>
        </w:tc>
      </w:tr>
      <w:tr w14:paraId="1726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540" w:type="dxa"/>
            <w:gridSpan w:val="9"/>
            <w:noWrap w:val="0"/>
            <w:vAlign w:val="center"/>
          </w:tcPr>
          <w:p w14:paraId="66AA9C42">
            <w:pPr>
              <w:keepNext w:val="0"/>
              <w:keepLines w:val="0"/>
              <w:suppressLineNumbers w:val="0"/>
              <w:spacing w:before="0" w:beforeAutospacing="0" w:after="0" w:afterAutospacing="0" w:line="382" w:lineRule="exact"/>
              <w:ind w:left="0" w:right="0"/>
              <w:rPr>
                <w:rFonts w:hint="eastAsia" w:ascii="Times New Roman" w:hAnsi="Times New Roman" w:cs="Times New Roman"/>
                <w:color w:val="auto"/>
                <w:highlight w:val="none"/>
              </w:rPr>
            </w:pPr>
            <w:r>
              <w:rPr>
                <w:rFonts w:hint="eastAsia" w:ascii="Times New Roman" w:hAnsi="Times New Roman" w:cs="Times New Roman"/>
                <w:color w:val="auto"/>
                <w:highlight w:val="none"/>
              </w:rPr>
              <w:t xml:space="preserve">人民币合计金额（大写）                          （小写）                 </w:t>
            </w:r>
          </w:p>
        </w:tc>
      </w:tr>
    </w:tbl>
    <w:p w14:paraId="1A316EA9">
      <w:pPr>
        <w:spacing w:line="382" w:lineRule="exact"/>
        <w:rPr>
          <w:rFonts w:hint="eastAsia"/>
          <w:color w:val="auto"/>
          <w:highlight w:val="none"/>
        </w:rPr>
      </w:pPr>
      <w:r>
        <w:rPr>
          <w:rFonts w:hint="eastAsia"/>
          <w:color w:val="auto"/>
          <w:highlight w:val="none"/>
        </w:rPr>
        <w:t xml:space="preserve">    </w:t>
      </w:r>
      <w:r>
        <w:rPr>
          <w:rFonts w:hint="eastAsia" w:ascii="宋体" w:hAnsi="宋体"/>
          <w:color w:val="auto"/>
          <w:szCs w:val="21"/>
          <w:highlight w:val="none"/>
        </w:rPr>
        <w:t>2、</w:t>
      </w:r>
      <w:r>
        <w:rPr>
          <w:rFonts w:hint="eastAsia"/>
          <w:color w:val="auto"/>
          <w:highlight w:val="none"/>
        </w:rPr>
        <w:t>合同合计金额包括货物价款，备件、专用工具、安装、调试、检验、技术培训及技术资料和包装、运输等全部费用。如谈判文件、响应文件对其另有规定的，从其规定。</w:t>
      </w:r>
    </w:p>
    <w:p w14:paraId="6C73BA3D">
      <w:pPr>
        <w:spacing w:line="382" w:lineRule="exact"/>
        <w:rPr>
          <w:rFonts w:hint="eastAsia" w:ascii="宋体" w:hAnsi="宋体"/>
          <w:b/>
          <w:color w:val="auto"/>
          <w:szCs w:val="21"/>
          <w:highlight w:val="none"/>
        </w:rPr>
      </w:pPr>
      <w:r>
        <w:rPr>
          <w:rFonts w:hint="eastAsia"/>
          <w:color w:val="auto"/>
          <w:highlight w:val="none"/>
        </w:rPr>
        <w:t xml:space="preserve">    </w:t>
      </w:r>
      <w:r>
        <w:rPr>
          <w:rFonts w:hint="eastAsia" w:ascii="宋体" w:hAnsi="宋体"/>
          <w:b/>
          <w:color w:val="auto"/>
          <w:szCs w:val="21"/>
          <w:highlight w:val="none"/>
        </w:rPr>
        <w:t>第二条　质量保证</w:t>
      </w:r>
    </w:p>
    <w:p w14:paraId="33A9CDD4">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1、乙方所提供的货物型号、技术规格、技术参数等质量必须与谈判文件、响应文件和承诺相一致。乙方提供的节能和环保产品必须是列入品目清单的产品。</w:t>
      </w:r>
    </w:p>
    <w:p w14:paraId="7531597A">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2、乙方所提供的货物必须是全新、未经使用的原装产品，且在正常安装、使用和保养条件下，其使用寿命期内各项指标均达到质量要求。</w:t>
      </w:r>
    </w:p>
    <w:p w14:paraId="533207C9">
      <w:pPr>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第三条　权利保证</w:t>
      </w:r>
    </w:p>
    <w:p w14:paraId="7870DD46">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乙方应保证所提供货物在使用时不会侵犯任何第三方的专利权、商标权、工业设计权或其他权利。</w:t>
      </w:r>
    </w:p>
    <w:p w14:paraId="0A55AAD4">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乙方应按谈判文件规定的时间或响应文件承诺的时间向甲方提供使用货物的有关技术资料。</w:t>
      </w:r>
    </w:p>
    <w:p w14:paraId="5E40CF6B">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9AD1F0B">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乙方保证所交付的货物的所有权完全属于乙方且无任何抵押、质押、查封等产权瑕疵。</w:t>
      </w:r>
    </w:p>
    <w:p w14:paraId="2FFE6418">
      <w:pPr>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第四条　包装和运输</w:t>
      </w:r>
    </w:p>
    <w:p w14:paraId="32DE4D58">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1、乙方提供的货物均应按谈判文件、响应文件要求的包装材料、包装标准、包装方式进行包装，每一包装单元内应附详细的装箱单和质量合格证。</w:t>
      </w:r>
    </w:p>
    <w:p w14:paraId="717A5C75">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2、货物的运输方式：</w:t>
      </w:r>
      <w:r>
        <w:rPr>
          <w:rFonts w:hint="eastAsia" w:ascii="宋体" w:hAnsi="宋体"/>
          <w:color w:val="auto"/>
          <w:szCs w:val="21"/>
          <w:highlight w:val="none"/>
          <w:u w:val="single"/>
        </w:rPr>
        <w:t>由乙方负责</w:t>
      </w:r>
      <w:r>
        <w:rPr>
          <w:rFonts w:hint="eastAsia" w:ascii="宋体" w:hAnsi="宋体"/>
          <w:color w:val="auto"/>
          <w:szCs w:val="21"/>
          <w:highlight w:val="none"/>
        </w:rPr>
        <w:t>。</w:t>
      </w:r>
    </w:p>
    <w:p w14:paraId="294486DC">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3、乙方负责货物运输，货物运输合理损耗及计算方法：</w:t>
      </w:r>
      <w:r>
        <w:rPr>
          <w:rFonts w:hint="eastAsia" w:ascii="宋体" w:hAnsi="宋体"/>
          <w:color w:val="auto"/>
          <w:szCs w:val="21"/>
          <w:highlight w:val="none"/>
          <w:u w:val="single"/>
        </w:rPr>
        <w:t>不接受损耗</w:t>
      </w:r>
      <w:r>
        <w:rPr>
          <w:rFonts w:hint="eastAsia" w:ascii="宋体" w:hAnsi="宋体"/>
          <w:color w:val="auto"/>
          <w:szCs w:val="21"/>
          <w:highlight w:val="none"/>
        </w:rPr>
        <w:t>。</w:t>
      </w:r>
    </w:p>
    <w:p w14:paraId="54C9E7AE">
      <w:pPr>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第五条　交付和验收</w:t>
      </w:r>
    </w:p>
    <w:p w14:paraId="420CA6C2">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1、交货时间：</w:t>
      </w:r>
      <w:r>
        <w:rPr>
          <w:rFonts w:hint="eastAsia" w:ascii="宋体" w:hAnsi="宋体"/>
          <w:color w:val="auto"/>
          <w:szCs w:val="21"/>
          <w:highlight w:val="none"/>
          <w:u w:val="single"/>
        </w:rPr>
        <w:t xml:space="preserve">   按乙方响应文件中所承诺的时间   </w:t>
      </w:r>
      <w:r>
        <w:rPr>
          <w:rFonts w:hint="eastAsia" w:ascii="宋体" w:hAnsi="宋体"/>
          <w:color w:val="auto"/>
          <w:szCs w:val="21"/>
          <w:highlight w:val="none"/>
        </w:rPr>
        <w:t>、地点：</w:t>
      </w:r>
      <w:r>
        <w:rPr>
          <w:rFonts w:hint="eastAsia" w:ascii="宋体" w:hAnsi="宋体"/>
          <w:color w:val="auto"/>
          <w:szCs w:val="21"/>
          <w:highlight w:val="none"/>
          <w:u w:val="single"/>
        </w:rPr>
        <w:t xml:space="preserve">   采购人指定地点   </w:t>
      </w:r>
      <w:r>
        <w:rPr>
          <w:rFonts w:hint="eastAsia" w:ascii="宋体" w:hAnsi="宋体"/>
          <w:color w:val="auto"/>
          <w:szCs w:val="21"/>
          <w:highlight w:val="none"/>
        </w:rPr>
        <w:t>。</w:t>
      </w:r>
    </w:p>
    <w:p w14:paraId="0971DC24">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2、乙方提供不符合谈判文件、响应文件和本合同规定的货物，甲方有权拒绝</w:t>
      </w:r>
      <w:r>
        <w:rPr>
          <w:rFonts w:hint="eastAsia" w:ascii="宋体" w:hAnsi="宋体"/>
          <w:color w:val="auto"/>
          <w:szCs w:val="21"/>
          <w:highlight w:val="none"/>
          <w:lang w:eastAsia="zh-CN"/>
        </w:rPr>
        <w:t>接收</w:t>
      </w:r>
      <w:r>
        <w:rPr>
          <w:rFonts w:hint="eastAsia" w:ascii="宋体" w:hAnsi="宋体"/>
          <w:color w:val="auto"/>
          <w:szCs w:val="21"/>
          <w:highlight w:val="none"/>
        </w:rPr>
        <w:t>。</w:t>
      </w:r>
    </w:p>
    <w:p w14:paraId="43C2235D">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3、乙方应将所提供货物的装箱清单、用户手册、原厂保修卡、随机资料、工具和备品、备件等交付给甲方，如有缺失应及时补齐，否则视为逾期交货。</w:t>
      </w:r>
    </w:p>
    <w:p w14:paraId="12BF7B62">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4、甲方应当在到货（安装、调试完）后七个工作日内进行验收，逾期不验收的，乙方可视同验收合格。验收合格后由甲乙双方签署货物验收单并加盖采购人公章，甲乙双方各执一份。</w:t>
      </w:r>
    </w:p>
    <w:p w14:paraId="3FA768E5">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674DD50">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6、甲方对验收有异议的，在验收后五个工作日内以书面形式向乙方提出，乙方应自收到甲方书面异议后</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 xml:space="preserve"> </w:t>
      </w:r>
      <w:r>
        <w:rPr>
          <w:rFonts w:hint="eastAsia" w:ascii="宋体" w:hAnsi="宋体"/>
          <w:color w:val="auto"/>
          <w:szCs w:val="21"/>
          <w:highlight w:val="none"/>
        </w:rPr>
        <w:t>日内及时予以解决。</w:t>
      </w:r>
    </w:p>
    <w:p w14:paraId="77AC5C32">
      <w:pPr>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第六条　安装和培训</w:t>
      </w:r>
    </w:p>
    <w:p w14:paraId="6AFA6475">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1、甲方应提供必要安装条件（如场地、电源、水源等）。</w:t>
      </w:r>
    </w:p>
    <w:p w14:paraId="5D3904E5">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2、乙方负责甲方有关人员的培训。培训时间、地点：</w:t>
      </w:r>
      <w:r>
        <w:rPr>
          <w:rFonts w:hint="eastAsia" w:ascii="宋体" w:hAnsi="宋体"/>
          <w:color w:val="auto"/>
          <w:szCs w:val="21"/>
          <w:highlight w:val="none"/>
          <w:u w:val="single"/>
        </w:rPr>
        <w:t xml:space="preserve">   由甲方根据情况合理安排  </w:t>
      </w:r>
      <w:r>
        <w:rPr>
          <w:rFonts w:hint="eastAsia" w:ascii="宋体" w:hAnsi="宋体"/>
          <w:color w:val="auto"/>
          <w:szCs w:val="21"/>
          <w:highlight w:val="none"/>
        </w:rPr>
        <w:t>。</w:t>
      </w:r>
    </w:p>
    <w:p w14:paraId="180CBF67">
      <w:pPr>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第七条  售后服务、保修期</w:t>
      </w:r>
    </w:p>
    <w:p w14:paraId="4FE3F032">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1、乙方应按照国家有关法律法规和“三包”规定以及谈判文件、响应文件和本合同所附的《服务承诺》，为甲方提供售后服务。</w:t>
      </w:r>
    </w:p>
    <w:p w14:paraId="299B7D4E">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2、货物保修期：</w:t>
      </w:r>
      <w:r>
        <w:rPr>
          <w:rFonts w:hint="eastAsia" w:ascii="宋体" w:hAnsi="宋体"/>
          <w:color w:val="auto"/>
          <w:szCs w:val="21"/>
          <w:highlight w:val="none"/>
          <w:u w:val="single"/>
        </w:rPr>
        <w:t xml:space="preserve">      按响应文件的承诺      </w:t>
      </w:r>
      <w:r>
        <w:rPr>
          <w:rFonts w:hint="eastAsia" w:ascii="宋体" w:hAnsi="宋体"/>
          <w:color w:val="auto"/>
          <w:szCs w:val="21"/>
          <w:highlight w:val="none"/>
        </w:rPr>
        <w:t>。</w:t>
      </w:r>
    </w:p>
    <w:p w14:paraId="4FF69422">
      <w:pPr>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第八条　付款方式</w:t>
      </w:r>
    </w:p>
    <w:p w14:paraId="2303ED92">
      <w:pPr>
        <w:spacing w:line="382" w:lineRule="exact"/>
        <w:rPr>
          <w:rFonts w:hint="eastAsia"/>
          <w:color w:val="auto"/>
          <w:highlight w:val="none"/>
        </w:rPr>
      </w:pPr>
      <w:r>
        <w:rPr>
          <w:rFonts w:hint="eastAsia" w:ascii="宋体" w:hAnsi="宋体"/>
          <w:b/>
          <w:color w:val="auto"/>
          <w:szCs w:val="21"/>
          <w:highlight w:val="none"/>
        </w:rPr>
        <w:t xml:space="preserve">    </w:t>
      </w:r>
      <w:r>
        <w:rPr>
          <w:rFonts w:hint="eastAsia"/>
          <w:color w:val="auto"/>
          <w:highlight w:val="none"/>
        </w:rPr>
        <w:t>1、当采购数量与实际使用数量不一致时，乙方应根据实际使用量供货，合同的最终结算金额按实</w:t>
      </w:r>
    </w:p>
    <w:p w14:paraId="5056C5DD">
      <w:pPr>
        <w:spacing w:line="382" w:lineRule="exact"/>
        <w:rPr>
          <w:rFonts w:hint="eastAsia"/>
          <w:color w:val="auto"/>
          <w:highlight w:val="none"/>
        </w:rPr>
      </w:pPr>
      <w:r>
        <w:rPr>
          <w:rFonts w:hint="eastAsia"/>
          <w:color w:val="auto"/>
          <w:highlight w:val="none"/>
        </w:rPr>
        <w:t>际使用量乘以成交单价进行计算。</w:t>
      </w:r>
    </w:p>
    <w:p w14:paraId="6EE01A34">
      <w:pPr>
        <w:spacing w:line="382" w:lineRule="exact"/>
        <w:rPr>
          <w:rFonts w:hint="eastAsia"/>
          <w:color w:val="auto"/>
          <w:highlight w:val="none"/>
        </w:rPr>
      </w:pPr>
      <w:r>
        <w:rPr>
          <w:rFonts w:hint="eastAsia"/>
          <w:color w:val="auto"/>
          <w:highlight w:val="none"/>
        </w:rPr>
        <w:t xml:space="preserve">    2、资金性质：</w:t>
      </w:r>
      <w:r>
        <w:rPr>
          <w:rFonts w:hint="eastAsia"/>
          <w:color w:val="auto"/>
          <w:highlight w:val="none"/>
          <w:u w:val="single"/>
        </w:rPr>
        <w:t xml:space="preserve">  财政性资金    </w:t>
      </w:r>
      <w:r>
        <w:rPr>
          <w:rFonts w:hint="eastAsia"/>
          <w:color w:val="auto"/>
          <w:highlight w:val="none"/>
        </w:rPr>
        <w:t>。</w:t>
      </w:r>
    </w:p>
    <w:p w14:paraId="24AFCE34">
      <w:pPr>
        <w:spacing w:line="382" w:lineRule="exact"/>
        <w:rPr>
          <w:rFonts w:hint="eastAsia"/>
          <w:color w:val="auto"/>
          <w:highlight w:val="none"/>
        </w:rPr>
      </w:pPr>
      <w:r>
        <w:rPr>
          <w:rFonts w:hint="eastAsia"/>
          <w:color w:val="auto"/>
          <w:highlight w:val="none"/>
        </w:rPr>
        <w:t xml:space="preserve">    3、付款方式：</w:t>
      </w:r>
      <w:r>
        <w:rPr>
          <w:rFonts w:hint="eastAsia" w:ascii="宋体" w:hAnsi="宋体" w:cs="宋体"/>
          <w:color w:val="auto"/>
          <w:kern w:val="0"/>
          <w:szCs w:val="21"/>
          <w:highlight w:val="none"/>
        </w:rPr>
        <w:t>详见《采购需求》。</w:t>
      </w:r>
    </w:p>
    <w:p w14:paraId="25DFECA5">
      <w:pPr>
        <w:spacing w:line="382" w:lineRule="exact"/>
        <w:rPr>
          <w:rFonts w:hint="eastAsia" w:ascii="宋体" w:hAnsi="宋体"/>
          <w:b/>
          <w:color w:val="auto"/>
          <w:szCs w:val="21"/>
          <w:highlight w:val="none"/>
        </w:rPr>
      </w:pPr>
      <w:r>
        <w:rPr>
          <w:rFonts w:hint="eastAsia"/>
          <w:color w:val="auto"/>
          <w:highlight w:val="none"/>
        </w:rPr>
        <w:t xml:space="preserve">    </w:t>
      </w:r>
      <w:r>
        <w:rPr>
          <w:rFonts w:hint="eastAsia" w:ascii="宋体" w:hAnsi="宋体"/>
          <w:b/>
          <w:color w:val="auto"/>
          <w:szCs w:val="21"/>
          <w:highlight w:val="none"/>
        </w:rPr>
        <w:t>第九条　</w:t>
      </w:r>
      <w:r>
        <w:rPr>
          <w:rFonts w:hint="eastAsia"/>
          <w:b/>
          <w:color w:val="auto"/>
          <w:highlight w:val="none"/>
        </w:rPr>
        <w:t>履约</w:t>
      </w:r>
      <w:r>
        <w:rPr>
          <w:rFonts w:hint="eastAsia" w:ascii="宋体" w:hAnsi="宋体"/>
          <w:b/>
          <w:color w:val="auto"/>
          <w:szCs w:val="21"/>
          <w:highlight w:val="none"/>
        </w:rPr>
        <w:t>保证金</w:t>
      </w:r>
    </w:p>
    <w:p w14:paraId="704FD903">
      <w:pPr>
        <w:spacing w:line="382" w:lineRule="exact"/>
        <w:rPr>
          <w:rFonts w:hint="eastAsia"/>
          <w:color w:val="auto"/>
          <w:highlight w:val="none"/>
        </w:rPr>
      </w:pPr>
      <w:r>
        <w:rPr>
          <w:rFonts w:hint="eastAsia" w:ascii="宋体" w:hAnsi="宋体"/>
          <w:color w:val="auto"/>
          <w:szCs w:val="21"/>
          <w:highlight w:val="none"/>
        </w:rPr>
        <w:t xml:space="preserve">    按本项目履约保证金规定比例缴纳。</w:t>
      </w:r>
    </w:p>
    <w:p w14:paraId="58F2C23B">
      <w:pPr>
        <w:spacing w:line="382" w:lineRule="exact"/>
        <w:rPr>
          <w:rFonts w:hint="eastAsia" w:ascii="宋体" w:hAnsi="宋体"/>
          <w:b/>
          <w:color w:val="auto"/>
          <w:szCs w:val="21"/>
          <w:highlight w:val="none"/>
        </w:rPr>
      </w:pPr>
      <w:r>
        <w:rPr>
          <w:rFonts w:hint="eastAsia"/>
          <w:color w:val="auto"/>
          <w:highlight w:val="none"/>
        </w:rPr>
        <w:t xml:space="preserve">    </w:t>
      </w:r>
      <w:r>
        <w:rPr>
          <w:rFonts w:hint="eastAsia" w:ascii="宋体" w:hAnsi="宋体"/>
          <w:b/>
          <w:color w:val="auto"/>
          <w:szCs w:val="21"/>
          <w:highlight w:val="none"/>
        </w:rPr>
        <w:t>第十条  税费</w:t>
      </w:r>
    </w:p>
    <w:p w14:paraId="1D25013D">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本合同执行中相关的一切税费均由乙方负担。</w:t>
      </w:r>
    </w:p>
    <w:p w14:paraId="06B5D7D5">
      <w:pPr>
        <w:spacing w:line="382" w:lineRule="exact"/>
        <w:rPr>
          <w:rFonts w:hint="eastAsia" w:ascii="宋体" w:hAnsi="宋体"/>
          <w:b/>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第十一条  质量保证及售后服务</w:t>
      </w:r>
    </w:p>
    <w:p w14:paraId="7FA53172">
      <w:pPr>
        <w:spacing w:line="382" w:lineRule="exact"/>
        <w:rPr>
          <w:rFonts w:hint="eastAsia"/>
          <w:color w:val="auto"/>
          <w:highlight w:val="none"/>
        </w:rPr>
      </w:pPr>
      <w:r>
        <w:rPr>
          <w:rFonts w:hint="eastAsia" w:ascii="宋体"/>
          <w:b/>
          <w:color w:val="auto"/>
          <w:szCs w:val="21"/>
          <w:highlight w:val="none"/>
        </w:rPr>
        <w:t xml:space="preserve">    </w:t>
      </w:r>
      <w:r>
        <w:rPr>
          <w:rFonts w:hint="eastAsia" w:ascii="宋体"/>
          <w:color w:val="auto"/>
          <w:szCs w:val="21"/>
          <w:highlight w:val="none"/>
        </w:rPr>
        <w:t>1、乙方应按谈判文件规定及响应文件承诺的货物性能、技术要求、质量标准向甲方提供未经使用的全新产品。</w:t>
      </w:r>
      <w:r>
        <w:rPr>
          <w:rFonts w:hint="eastAsia"/>
          <w:color w:val="auto"/>
          <w:highlight w:val="none"/>
        </w:rPr>
        <w:t>乙方提供货物的质量保证期按交货验收合格之日起</w:t>
      </w:r>
      <w:r>
        <w:rPr>
          <w:rFonts w:hint="eastAsia"/>
          <w:color w:val="auto"/>
          <w:highlight w:val="none"/>
          <w:lang w:eastAsia="zh-CN"/>
        </w:rPr>
        <w:t>计算</w:t>
      </w:r>
      <w:r>
        <w:rPr>
          <w:rFonts w:hint="eastAsia"/>
          <w:color w:val="auto"/>
          <w:highlight w:val="none"/>
        </w:rPr>
        <w:t>（期限见《采购需求》中的要求）。在保证期内因货物本身的质量问题发生故障，乙方应负责免费修理和更换零部件。对达不到技术要求者，根据实际情况，经双方协商，可按以下办法处理：</w:t>
      </w:r>
    </w:p>
    <w:p w14:paraId="58459A62">
      <w:pPr>
        <w:spacing w:line="382" w:lineRule="exact"/>
        <w:rPr>
          <w:rFonts w:hint="eastAsia"/>
          <w:color w:val="auto"/>
          <w:highlight w:val="none"/>
        </w:rPr>
      </w:pPr>
      <w:r>
        <w:rPr>
          <w:rFonts w:hint="eastAsia"/>
          <w:color w:val="auto"/>
          <w:highlight w:val="none"/>
        </w:rPr>
        <w:t xml:space="preserve">    （1）更换：由乙方承担所发生的全部费用。</w:t>
      </w:r>
    </w:p>
    <w:p w14:paraId="34D99D01">
      <w:pPr>
        <w:spacing w:line="382" w:lineRule="exact"/>
        <w:rPr>
          <w:rFonts w:hint="eastAsia"/>
          <w:color w:val="auto"/>
          <w:highlight w:val="none"/>
        </w:rPr>
      </w:pPr>
      <w:r>
        <w:rPr>
          <w:rFonts w:hint="eastAsia"/>
          <w:color w:val="auto"/>
          <w:highlight w:val="none"/>
        </w:rPr>
        <w:t xml:space="preserve">    （2）贬值处理：由甲乙双方合议定价。</w:t>
      </w:r>
    </w:p>
    <w:p w14:paraId="50B502F4">
      <w:pPr>
        <w:spacing w:line="382" w:lineRule="exact"/>
        <w:rPr>
          <w:rFonts w:hint="eastAsia"/>
          <w:color w:val="auto"/>
          <w:highlight w:val="none"/>
        </w:rPr>
      </w:pPr>
      <w:r>
        <w:rPr>
          <w:rFonts w:hint="eastAsia"/>
          <w:color w:val="auto"/>
          <w:highlight w:val="none"/>
        </w:rPr>
        <w:t xml:space="preserve">    （3）退货处理：乙方应退还甲方支付的合同款，同时应承担该货物的直接费用（运输、保险、检验、</w:t>
      </w:r>
    </w:p>
    <w:p w14:paraId="5499CA8E">
      <w:pPr>
        <w:spacing w:line="382" w:lineRule="exact"/>
        <w:rPr>
          <w:rFonts w:hint="eastAsia"/>
          <w:color w:val="auto"/>
          <w:highlight w:val="none"/>
        </w:rPr>
      </w:pPr>
      <w:r>
        <w:rPr>
          <w:rFonts w:hint="eastAsia"/>
          <w:color w:val="auto"/>
          <w:highlight w:val="none"/>
        </w:rPr>
        <w:t>货款利息及银行手续费等）。</w:t>
      </w:r>
    </w:p>
    <w:p w14:paraId="184B9E63">
      <w:pPr>
        <w:spacing w:line="382" w:lineRule="exact"/>
        <w:rPr>
          <w:rFonts w:hint="eastAsia"/>
          <w:color w:val="auto"/>
          <w:highlight w:val="none"/>
        </w:rPr>
      </w:pPr>
      <w:r>
        <w:rPr>
          <w:rFonts w:hint="eastAsia"/>
          <w:color w:val="auto"/>
          <w:highlight w:val="none"/>
        </w:rPr>
        <w:t xml:space="preserve">    2、如在使用过程中发生质量问题，乙方在接到甲方通知后在</w:t>
      </w:r>
      <w:r>
        <w:rPr>
          <w:rFonts w:hint="eastAsia" w:ascii="宋体" w:hAnsi="宋体"/>
          <w:color w:val="auto"/>
          <w:szCs w:val="21"/>
          <w:highlight w:val="none"/>
          <w:u w:val="single"/>
        </w:rPr>
        <w:t xml:space="preserve">   </w:t>
      </w:r>
      <w:r>
        <w:rPr>
          <w:rFonts w:hint="eastAsia"/>
          <w:color w:val="auto"/>
          <w:highlight w:val="none"/>
        </w:rPr>
        <w:t>小时内到达甲方现场。</w:t>
      </w:r>
    </w:p>
    <w:p w14:paraId="0818EBE2">
      <w:pPr>
        <w:spacing w:line="382" w:lineRule="exact"/>
        <w:rPr>
          <w:rFonts w:hint="eastAsia"/>
          <w:color w:val="auto"/>
          <w:highlight w:val="none"/>
        </w:rPr>
      </w:pPr>
      <w:r>
        <w:rPr>
          <w:rFonts w:hint="eastAsia"/>
          <w:color w:val="auto"/>
          <w:highlight w:val="none"/>
        </w:rPr>
        <w:t xml:space="preserve">    3、在质保期内，乙方应对货物出现的质量及安全问题负责处理解决并承担一切费用。</w:t>
      </w:r>
    </w:p>
    <w:p w14:paraId="37C6903E">
      <w:pPr>
        <w:spacing w:line="382" w:lineRule="exact"/>
        <w:rPr>
          <w:rFonts w:hint="eastAsia"/>
          <w:color w:val="auto"/>
          <w:highlight w:val="none"/>
        </w:rPr>
      </w:pPr>
      <w:r>
        <w:rPr>
          <w:rFonts w:hint="eastAsia"/>
          <w:color w:val="auto"/>
          <w:highlight w:val="none"/>
        </w:rPr>
        <w:t xml:space="preserve">    4、在货物免费保修期内，因人为因素出现的故障不在免费保修范围内。超过保修期的机器设备，</w:t>
      </w:r>
      <w:r>
        <w:rPr>
          <w:rFonts w:hint="eastAsia"/>
          <w:color w:val="auto"/>
          <w:highlight w:val="none"/>
          <w:lang w:eastAsia="zh-CN"/>
        </w:rPr>
        <w:t>终身</w:t>
      </w:r>
      <w:r>
        <w:rPr>
          <w:rFonts w:hint="eastAsia"/>
          <w:color w:val="auto"/>
          <w:highlight w:val="none"/>
        </w:rPr>
        <w:t>维修，维修时只收部件成本费。</w:t>
      </w:r>
    </w:p>
    <w:p w14:paraId="07D3427D">
      <w:pPr>
        <w:spacing w:line="382" w:lineRule="exact"/>
        <w:rPr>
          <w:rFonts w:hint="eastAsia" w:hAnsi="宋体"/>
          <w:b/>
          <w:color w:val="auto"/>
          <w:highlight w:val="none"/>
        </w:rPr>
      </w:pPr>
      <w:r>
        <w:rPr>
          <w:rFonts w:hint="eastAsia"/>
          <w:color w:val="auto"/>
          <w:highlight w:val="none"/>
        </w:rPr>
        <w:t xml:space="preserve">    </w:t>
      </w:r>
      <w:r>
        <w:rPr>
          <w:rFonts w:hint="eastAsia" w:hAnsi="宋体"/>
          <w:b/>
          <w:color w:val="auto"/>
          <w:highlight w:val="none"/>
        </w:rPr>
        <w:t>第十二条  调试和验收</w:t>
      </w:r>
    </w:p>
    <w:p w14:paraId="56AEC0BF">
      <w:pPr>
        <w:spacing w:line="382" w:lineRule="exact"/>
        <w:rPr>
          <w:rFonts w:hint="eastAsia" w:hAnsi="宋体"/>
          <w:color w:val="auto"/>
          <w:highlight w:val="none"/>
        </w:rPr>
      </w:pPr>
      <w:r>
        <w:rPr>
          <w:rFonts w:hint="eastAsia" w:hAnsi="宋体"/>
          <w:b/>
          <w:color w:val="auto"/>
          <w:highlight w:val="none"/>
        </w:rPr>
        <w:t xml:space="preserve">   </w:t>
      </w:r>
      <w:r>
        <w:rPr>
          <w:rFonts w:hint="eastAsia" w:hAnsi="宋体"/>
          <w:color w:val="auto"/>
          <w:highlight w:val="none"/>
        </w:rPr>
        <w:t xml:space="preserve"> 1、甲方对乙方提交的货物依据谈判文件上的技术规格要求和国家有关质量标准进行现场初步验收，外观、说明书符合谈判文件技术要求的，给予签收，初步验收不合格的不予签收。货到后，</w:t>
      </w:r>
      <w:r>
        <w:rPr>
          <w:rFonts w:hint="eastAsia" w:hAnsi="宋体"/>
          <w:bCs/>
          <w:color w:val="auto"/>
          <w:highlight w:val="none"/>
        </w:rPr>
        <w:t>甲方应当在到货（安装、调试完）后七个工作日内进行验收</w:t>
      </w:r>
      <w:r>
        <w:rPr>
          <w:rFonts w:hint="eastAsia" w:hAnsi="宋体"/>
          <w:color w:val="auto"/>
          <w:highlight w:val="none"/>
        </w:rPr>
        <w:t>。</w:t>
      </w:r>
    </w:p>
    <w:p w14:paraId="5CAF5E7B">
      <w:pPr>
        <w:spacing w:line="382" w:lineRule="exact"/>
        <w:rPr>
          <w:rFonts w:hint="eastAsia" w:hAnsi="宋体"/>
          <w:color w:val="auto"/>
          <w:highlight w:val="none"/>
        </w:rPr>
      </w:pPr>
      <w:r>
        <w:rPr>
          <w:rFonts w:hint="eastAsia" w:hAnsi="宋体"/>
          <w:color w:val="auto"/>
          <w:highlight w:val="none"/>
        </w:rPr>
        <w:t xml:space="preserve">    2、乙方交货前应对产品作出全面检查和对验收文件进行整理，并列出清单，作为甲方收货验收和使用的技术条件依据，检验的结果应随货物交甲方。</w:t>
      </w:r>
    </w:p>
    <w:p w14:paraId="1D6A281F">
      <w:pPr>
        <w:spacing w:line="382" w:lineRule="exact"/>
        <w:rPr>
          <w:rFonts w:hint="eastAsia" w:hAnsi="宋体"/>
          <w:color w:val="auto"/>
          <w:highlight w:val="none"/>
        </w:rPr>
      </w:pPr>
      <w:r>
        <w:rPr>
          <w:rFonts w:hint="eastAsia" w:hAnsi="宋体"/>
          <w:color w:val="auto"/>
          <w:highlight w:val="none"/>
        </w:rPr>
        <w:t xml:space="preserve">    3、甲方对乙方提供的货物在使用前进行调试时，乙方需负责安装并培训甲方的使用操作人员，并协助甲方一起调试，直到符合技术要求，甲方才做最终验收。</w:t>
      </w:r>
    </w:p>
    <w:p w14:paraId="012F16CC">
      <w:pPr>
        <w:spacing w:line="382" w:lineRule="exact"/>
        <w:rPr>
          <w:rFonts w:hint="eastAsia" w:hAnsi="宋体"/>
          <w:color w:val="auto"/>
          <w:highlight w:val="none"/>
        </w:rPr>
      </w:pPr>
      <w:r>
        <w:rPr>
          <w:rFonts w:hint="eastAsia" w:hAnsi="宋体"/>
          <w:color w:val="auto"/>
          <w:highlight w:val="none"/>
        </w:rPr>
        <w:t xml:space="preserve">    4、对技术复杂的货物，甲方应请国家认可的专业检测机构参与初步验收及最终验收，并由其出具质量检测报告。</w:t>
      </w:r>
    </w:p>
    <w:p w14:paraId="69257D8E">
      <w:pPr>
        <w:spacing w:line="382" w:lineRule="exact"/>
        <w:rPr>
          <w:rFonts w:hint="eastAsia" w:hAnsi="宋体"/>
          <w:color w:val="auto"/>
          <w:highlight w:val="none"/>
        </w:rPr>
      </w:pPr>
      <w:r>
        <w:rPr>
          <w:rFonts w:hint="eastAsia" w:hAnsi="宋体"/>
          <w:color w:val="auto"/>
          <w:highlight w:val="none"/>
        </w:rPr>
        <w:t xml:space="preserve">    5、验收时乙方必须在现场，验收完毕后作出验收结果报告；验收费用由乙方负责。</w:t>
      </w:r>
    </w:p>
    <w:p w14:paraId="7FC6B66D">
      <w:pPr>
        <w:spacing w:line="382" w:lineRule="exact"/>
        <w:rPr>
          <w:rFonts w:hint="eastAsia" w:hAnsi="宋体"/>
          <w:b/>
          <w:color w:val="auto"/>
          <w:highlight w:val="none"/>
        </w:rPr>
      </w:pPr>
      <w:r>
        <w:rPr>
          <w:rFonts w:hint="eastAsia" w:hAnsi="宋体"/>
          <w:color w:val="auto"/>
          <w:highlight w:val="none"/>
        </w:rPr>
        <w:t xml:space="preserve">    </w:t>
      </w:r>
      <w:r>
        <w:rPr>
          <w:rFonts w:hint="eastAsia" w:hAnsi="宋体"/>
          <w:b/>
          <w:color w:val="auto"/>
          <w:highlight w:val="none"/>
        </w:rPr>
        <w:t>第十三条  货物包装、发运及运输</w:t>
      </w:r>
    </w:p>
    <w:p w14:paraId="5BE4C73B">
      <w:pPr>
        <w:spacing w:line="382" w:lineRule="exact"/>
        <w:rPr>
          <w:rFonts w:hint="eastAsia"/>
          <w:color w:val="auto"/>
          <w:highlight w:val="none"/>
        </w:rPr>
      </w:pPr>
      <w:r>
        <w:rPr>
          <w:rFonts w:hint="eastAsia"/>
          <w:b/>
          <w:color w:val="auto"/>
          <w:highlight w:val="none"/>
        </w:rPr>
        <w:t xml:space="preserve"> </w:t>
      </w:r>
      <w:r>
        <w:rPr>
          <w:rFonts w:hint="eastAsia"/>
          <w:color w:val="auto"/>
          <w:highlight w:val="none"/>
        </w:rPr>
        <w:t xml:space="preserve">   1、乙方应在货物发运前对其进行满足运输距离、防潮、防震、防锈和防破损装卸等要求包装，以</w:t>
      </w:r>
    </w:p>
    <w:p w14:paraId="0F27AB8A">
      <w:pPr>
        <w:spacing w:line="382" w:lineRule="exact"/>
        <w:rPr>
          <w:rFonts w:hint="eastAsia"/>
          <w:color w:val="auto"/>
          <w:highlight w:val="none"/>
        </w:rPr>
      </w:pPr>
      <w:r>
        <w:rPr>
          <w:rFonts w:hint="eastAsia"/>
          <w:color w:val="auto"/>
          <w:highlight w:val="none"/>
        </w:rPr>
        <w:t>保证货物安全运达甲方指定地点。</w:t>
      </w:r>
    </w:p>
    <w:p w14:paraId="00E56CE8">
      <w:pPr>
        <w:spacing w:line="382" w:lineRule="exact"/>
        <w:rPr>
          <w:rFonts w:hint="eastAsia"/>
          <w:color w:val="auto"/>
          <w:highlight w:val="none"/>
        </w:rPr>
      </w:pPr>
      <w:r>
        <w:rPr>
          <w:rFonts w:hint="eastAsia"/>
          <w:color w:val="auto"/>
          <w:highlight w:val="none"/>
        </w:rPr>
        <w:t xml:space="preserve">    2、使用说明书、质量检验证明书、随配附件和工具以及清单一并附于货物内。</w:t>
      </w:r>
    </w:p>
    <w:p w14:paraId="6C53711E">
      <w:pPr>
        <w:spacing w:line="382" w:lineRule="exact"/>
        <w:rPr>
          <w:rFonts w:hint="eastAsia"/>
          <w:color w:val="auto"/>
          <w:highlight w:val="none"/>
        </w:rPr>
      </w:pPr>
      <w:r>
        <w:rPr>
          <w:rFonts w:hint="eastAsia"/>
          <w:color w:val="auto"/>
          <w:highlight w:val="none"/>
        </w:rPr>
        <w:t xml:space="preserve">    3、乙方在货物发运手续办理完毕后二十四小时内或货到甲方四十八小时前通知甲方，以准备接货。</w:t>
      </w:r>
    </w:p>
    <w:p w14:paraId="4EC45352">
      <w:pPr>
        <w:spacing w:line="382" w:lineRule="exact"/>
        <w:rPr>
          <w:rFonts w:hint="eastAsia"/>
          <w:color w:val="auto"/>
          <w:highlight w:val="none"/>
        </w:rPr>
      </w:pPr>
      <w:r>
        <w:rPr>
          <w:rFonts w:hint="eastAsia"/>
          <w:color w:val="auto"/>
          <w:highlight w:val="none"/>
        </w:rPr>
        <w:t xml:space="preserve">    4、货物在交付甲方前发生的风险均由乙方负责。</w:t>
      </w:r>
    </w:p>
    <w:p w14:paraId="6A70716E">
      <w:pPr>
        <w:spacing w:line="382" w:lineRule="exact"/>
        <w:rPr>
          <w:rFonts w:hint="eastAsia"/>
          <w:color w:val="auto"/>
          <w:highlight w:val="none"/>
        </w:rPr>
      </w:pPr>
      <w:r>
        <w:rPr>
          <w:rFonts w:hint="eastAsia"/>
          <w:color w:val="auto"/>
          <w:highlight w:val="none"/>
        </w:rPr>
        <w:t xml:space="preserve">    5、货物在规定的交付期限内由乙方送达甲方指定的地点视为交付，乙方同时需通知甲方货物已送达。</w:t>
      </w:r>
    </w:p>
    <w:p w14:paraId="107A026D">
      <w:pPr>
        <w:spacing w:line="382" w:lineRule="exact"/>
        <w:rPr>
          <w:rFonts w:hint="eastAsia" w:ascii="宋体" w:hAnsi="宋体"/>
          <w:b/>
          <w:color w:val="auto"/>
          <w:szCs w:val="21"/>
          <w:highlight w:val="none"/>
        </w:rPr>
      </w:pPr>
      <w:r>
        <w:rPr>
          <w:rFonts w:hint="eastAsia"/>
          <w:color w:val="auto"/>
          <w:highlight w:val="none"/>
        </w:rPr>
        <w:t xml:space="preserve">    </w:t>
      </w:r>
      <w:r>
        <w:rPr>
          <w:rFonts w:hint="eastAsia" w:ascii="宋体" w:hAnsi="宋体"/>
          <w:b/>
          <w:color w:val="auto"/>
          <w:szCs w:val="21"/>
          <w:highlight w:val="none"/>
        </w:rPr>
        <w:t>第十四条　 违约责任</w:t>
      </w:r>
    </w:p>
    <w:p w14:paraId="4791686F">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14:paraId="76AA8761">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2、乙方提供的货物如侵犯了第三方合法权益而引发的任何纠纷或诉讼，均由乙方负责交涉并承担全部责任。</w:t>
      </w:r>
    </w:p>
    <w:p w14:paraId="77A641B9">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3、因包装、运输引起的货物损坏，按质量不合格处罚。</w:t>
      </w:r>
    </w:p>
    <w:p w14:paraId="5AC77A2A">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4、甲方无故延期接收货物、乙方逾期交货的，每天向对方偿付违约货款额3‰违约金，但违约金累计不得超过违约货款额</w:t>
      </w:r>
      <w:r>
        <w:rPr>
          <w:rFonts w:hint="eastAsia" w:ascii="宋体" w:hAnsi="宋体"/>
          <w:color w:val="auto"/>
          <w:szCs w:val="21"/>
          <w:highlight w:val="none"/>
          <w:u w:val="single"/>
        </w:rPr>
        <w:t>5%</w:t>
      </w:r>
      <w:r>
        <w:rPr>
          <w:rFonts w:hint="eastAsia" w:ascii="宋体" w:hAnsi="宋体"/>
          <w:color w:val="auto"/>
          <w:szCs w:val="21"/>
          <w:highlight w:val="none"/>
        </w:rPr>
        <w:t>，超过</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 xml:space="preserve">  </w:t>
      </w:r>
      <w:r>
        <w:rPr>
          <w:rFonts w:hint="eastAsia" w:ascii="宋体" w:hAnsi="宋体"/>
          <w:color w:val="auto"/>
          <w:szCs w:val="21"/>
          <w:highlight w:val="none"/>
        </w:rPr>
        <w:t>天对方有权解除合同，违约方承担因此给对方造成经济损失；甲方延期付货款的，每天向乙方偿付延期货款额</w:t>
      </w:r>
      <w:r>
        <w:rPr>
          <w:rFonts w:hint="eastAsia" w:ascii="宋体" w:hAnsi="宋体"/>
          <w:color w:val="auto"/>
          <w:szCs w:val="21"/>
          <w:highlight w:val="none"/>
          <w:u w:val="single"/>
        </w:rPr>
        <w:t xml:space="preserve">3‰ </w:t>
      </w:r>
      <w:r>
        <w:rPr>
          <w:rFonts w:hint="eastAsia" w:ascii="宋体" w:hAnsi="宋体"/>
          <w:color w:val="auto"/>
          <w:szCs w:val="21"/>
          <w:highlight w:val="none"/>
        </w:rPr>
        <w:t>滞纳金，但滞纳金累计不得超过延期货款额</w:t>
      </w:r>
      <w:r>
        <w:rPr>
          <w:rFonts w:hint="eastAsia" w:ascii="宋体" w:hAnsi="宋体"/>
          <w:color w:val="auto"/>
          <w:szCs w:val="21"/>
          <w:highlight w:val="none"/>
          <w:u w:val="single"/>
        </w:rPr>
        <w:t>5%</w:t>
      </w:r>
      <w:r>
        <w:rPr>
          <w:rFonts w:hint="eastAsia" w:ascii="宋体" w:hAnsi="宋体"/>
          <w:color w:val="auto"/>
          <w:szCs w:val="21"/>
          <w:highlight w:val="none"/>
        </w:rPr>
        <w:t>。</w:t>
      </w:r>
    </w:p>
    <w:p w14:paraId="7985A3C0">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5、乙方未按本合同和响应文件中规定的服务承诺提供售后服务的，乙方应按本合同合计金额</w:t>
      </w:r>
      <w:r>
        <w:rPr>
          <w:rFonts w:hint="eastAsia" w:ascii="宋体" w:hAnsi="宋体"/>
          <w:color w:val="auto"/>
          <w:szCs w:val="21"/>
          <w:highlight w:val="none"/>
          <w:u w:val="single"/>
        </w:rPr>
        <w:t xml:space="preserve"> 5%</w:t>
      </w:r>
      <w:r>
        <w:rPr>
          <w:rFonts w:hint="eastAsia" w:ascii="宋体" w:hAnsi="宋体"/>
          <w:color w:val="auto"/>
          <w:szCs w:val="21"/>
          <w:highlight w:val="none"/>
        </w:rPr>
        <w:t>向甲方支付违约金。</w:t>
      </w:r>
    </w:p>
    <w:p w14:paraId="13F8F31F">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6、乙方提供的货物在质量保证期内，因设计、工艺或材料的缺陷和</w:t>
      </w:r>
      <w:r>
        <w:rPr>
          <w:rFonts w:hint="eastAsia" w:ascii="宋体" w:hAnsi="宋体"/>
          <w:color w:val="auto"/>
          <w:szCs w:val="21"/>
          <w:highlight w:val="none"/>
          <w:lang w:eastAsia="zh-CN"/>
        </w:rPr>
        <w:t>其他</w:t>
      </w:r>
      <w:r>
        <w:rPr>
          <w:rFonts w:hint="eastAsia" w:ascii="宋体" w:hAnsi="宋体"/>
          <w:color w:val="auto"/>
          <w:szCs w:val="21"/>
          <w:highlight w:val="none"/>
        </w:rPr>
        <w:t>质量原因造成的问题，由乙方负责。</w:t>
      </w:r>
    </w:p>
    <w:p w14:paraId="0200B4EA">
      <w:pPr>
        <w:spacing w:line="382" w:lineRule="exact"/>
        <w:ind w:firstLine="420"/>
        <w:rPr>
          <w:rFonts w:hint="eastAsia" w:ascii="宋体" w:hAnsi="宋体"/>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lang w:eastAsia="zh-CN"/>
        </w:rPr>
        <w:t>其他</w:t>
      </w:r>
      <w:r>
        <w:rPr>
          <w:rFonts w:hint="eastAsia" w:ascii="宋体" w:hAnsi="宋体"/>
          <w:color w:val="auto"/>
          <w:szCs w:val="21"/>
          <w:highlight w:val="none"/>
        </w:rPr>
        <w:t>违约行为按违约货款额5%收取违约金。</w:t>
      </w:r>
    </w:p>
    <w:p w14:paraId="64C0A971">
      <w:pPr>
        <w:spacing w:line="382" w:lineRule="exact"/>
        <w:ind w:firstLine="420"/>
        <w:rPr>
          <w:rFonts w:hint="eastAsia" w:ascii="宋体" w:hAnsi="宋体"/>
          <w:color w:val="auto"/>
          <w:szCs w:val="21"/>
          <w:highlight w:val="none"/>
        </w:rPr>
      </w:pPr>
      <w:r>
        <w:rPr>
          <w:rFonts w:hint="eastAsia" w:ascii="宋体" w:hAnsi="宋体"/>
          <w:color w:val="auto"/>
          <w:szCs w:val="21"/>
          <w:highlight w:val="none"/>
        </w:rPr>
        <w:t>8、乙方支付的违约金不足以弥补甲方损失的，还应承担赔偿责任。</w:t>
      </w:r>
    </w:p>
    <w:p w14:paraId="09D6923B">
      <w:pPr>
        <w:spacing w:line="382" w:lineRule="exact"/>
        <w:rPr>
          <w:rFonts w:hint="eastAsia" w:hAnsi="宋体"/>
          <w:b/>
          <w:color w:val="auto"/>
          <w:highlight w:val="none"/>
        </w:rPr>
      </w:pPr>
      <w:r>
        <w:rPr>
          <w:rFonts w:hint="eastAsia" w:ascii="宋体" w:hAnsi="宋体"/>
          <w:color w:val="auto"/>
          <w:szCs w:val="21"/>
          <w:highlight w:val="none"/>
        </w:rPr>
        <w:t xml:space="preserve">    </w:t>
      </w:r>
      <w:r>
        <w:rPr>
          <w:rFonts w:hint="eastAsia" w:hAnsi="宋体"/>
          <w:b/>
          <w:color w:val="auto"/>
          <w:highlight w:val="none"/>
        </w:rPr>
        <w:t>第十五条  不可抗力事件处理</w:t>
      </w:r>
    </w:p>
    <w:p w14:paraId="2D222382">
      <w:pPr>
        <w:spacing w:line="382" w:lineRule="exact"/>
        <w:rPr>
          <w:rFonts w:hint="eastAsia" w:hAnsi="宋体"/>
          <w:color w:val="auto"/>
          <w:highlight w:val="none"/>
        </w:rPr>
      </w:pPr>
      <w:r>
        <w:rPr>
          <w:rFonts w:hint="eastAsia" w:hAnsi="宋体"/>
          <w:color w:val="auto"/>
          <w:highlight w:val="none"/>
        </w:rPr>
        <w:t xml:space="preserve">    1、在合同有效期内，任何一方因不可抗力事件导致不能履行合同，则合同履行期可延长，其延长期与不可抗力影响期相同。</w:t>
      </w:r>
    </w:p>
    <w:p w14:paraId="25588387">
      <w:pPr>
        <w:spacing w:line="382" w:lineRule="exact"/>
        <w:rPr>
          <w:rFonts w:hint="eastAsia" w:hAnsi="宋体"/>
          <w:color w:val="auto"/>
          <w:highlight w:val="none"/>
        </w:rPr>
      </w:pPr>
      <w:r>
        <w:rPr>
          <w:rFonts w:hint="eastAsia" w:hAnsi="宋体"/>
          <w:color w:val="auto"/>
          <w:highlight w:val="none"/>
        </w:rPr>
        <w:t xml:space="preserve">    2、不可抗力事件发生后，应立即通知对方，并寄送有关权威机构出具的证明。</w:t>
      </w:r>
    </w:p>
    <w:p w14:paraId="5AA517E6">
      <w:pPr>
        <w:spacing w:line="382" w:lineRule="exact"/>
        <w:rPr>
          <w:rFonts w:hint="eastAsia" w:hAnsi="宋体"/>
          <w:color w:val="auto"/>
          <w:highlight w:val="none"/>
        </w:rPr>
      </w:pPr>
      <w:r>
        <w:rPr>
          <w:rFonts w:hint="eastAsia" w:hAnsi="宋体"/>
          <w:color w:val="auto"/>
          <w:highlight w:val="none"/>
        </w:rPr>
        <w:t xml:space="preserve">    3、不可抗力事件延续一百二十天以上，双方应通过友好协商，确定是否继续履行合同。</w:t>
      </w:r>
    </w:p>
    <w:p w14:paraId="011AD3AD">
      <w:pPr>
        <w:spacing w:line="382" w:lineRule="exact"/>
        <w:rPr>
          <w:rFonts w:hint="eastAsia" w:ascii="宋体" w:hAnsi="宋体"/>
          <w:b/>
          <w:color w:val="auto"/>
          <w:szCs w:val="21"/>
          <w:highlight w:val="none"/>
        </w:rPr>
      </w:pPr>
      <w:r>
        <w:rPr>
          <w:rFonts w:hint="eastAsia" w:hAnsi="宋体"/>
          <w:color w:val="auto"/>
          <w:highlight w:val="none"/>
        </w:rPr>
        <w:t xml:space="preserve">    </w:t>
      </w:r>
      <w:r>
        <w:rPr>
          <w:rFonts w:hint="eastAsia" w:ascii="宋体" w:hAnsi="宋体"/>
          <w:b/>
          <w:color w:val="auto"/>
          <w:szCs w:val="21"/>
          <w:highlight w:val="none"/>
        </w:rPr>
        <w:t>第十六条  合同争议解决</w:t>
      </w:r>
    </w:p>
    <w:p w14:paraId="752942C1">
      <w:pPr>
        <w:spacing w:line="382" w:lineRule="exact"/>
        <w:rPr>
          <w:rFonts w:hint="eastAsia"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6B6E0F75">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2、因履行本合同引起的或与本合同有关的争议，甲乙双方应首先通过友好协商解决，如果协商不能解决，可向仲裁委员会申请仲裁或向人民法院提起诉讼。</w:t>
      </w:r>
    </w:p>
    <w:p w14:paraId="3648AF5F">
      <w:pPr>
        <w:spacing w:line="382" w:lineRule="exact"/>
        <w:rPr>
          <w:rFonts w:hint="eastAsia" w:ascii="宋体" w:hAnsi="宋体"/>
          <w:color w:val="auto"/>
          <w:szCs w:val="21"/>
          <w:highlight w:val="none"/>
        </w:rPr>
      </w:pPr>
      <w:r>
        <w:rPr>
          <w:rFonts w:hint="eastAsia" w:ascii="宋体" w:hAnsi="宋体"/>
          <w:color w:val="auto"/>
          <w:szCs w:val="21"/>
          <w:highlight w:val="none"/>
        </w:rPr>
        <w:t xml:space="preserve">    3、诉讼期间，本合同继续履行。</w:t>
      </w:r>
    </w:p>
    <w:p w14:paraId="0CC616F7">
      <w:pPr>
        <w:spacing w:line="382" w:lineRule="exact"/>
        <w:rPr>
          <w:rFonts w:hint="eastAsia" w:hAnsi="宋体"/>
          <w:b/>
          <w:color w:val="auto"/>
          <w:highlight w:val="none"/>
        </w:rPr>
      </w:pPr>
      <w:r>
        <w:rPr>
          <w:rFonts w:hint="eastAsia" w:ascii="宋体" w:hAnsi="宋体"/>
          <w:color w:val="auto"/>
          <w:szCs w:val="21"/>
          <w:highlight w:val="none"/>
        </w:rPr>
        <w:t xml:space="preserve"> </w:t>
      </w:r>
      <w:r>
        <w:rPr>
          <w:rFonts w:hint="eastAsia"/>
          <w:color w:val="auto"/>
          <w:highlight w:val="none"/>
        </w:rPr>
        <w:t xml:space="preserve">   </w:t>
      </w:r>
      <w:r>
        <w:rPr>
          <w:rFonts w:hint="eastAsia" w:hAnsi="宋体"/>
          <w:b/>
          <w:color w:val="auto"/>
          <w:highlight w:val="none"/>
        </w:rPr>
        <w:t>第十七条  合同生效及其它</w:t>
      </w:r>
    </w:p>
    <w:p w14:paraId="710B33D6">
      <w:pPr>
        <w:spacing w:line="382" w:lineRule="exact"/>
        <w:rPr>
          <w:rFonts w:hint="eastAsia" w:hAnsi="宋体"/>
          <w:b/>
          <w:color w:val="auto"/>
          <w:highlight w:val="none"/>
        </w:rPr>
      </w:pPr>
      <w:r>
        <w:rPr>
          <w:rFonts w:hint="eastAsia" w:hAnsi="宋体"/>
          <w:b/>
          <w:color w:val="auto"/>
          <w:highlight w:val="none"/>
        </w:rPr>
        <w:t xml:space="preserve">    1、合同经双方法定代表人(负责人)或授权代表（委托代理人）签字并加盖单位公章后生效。</w:t>
      </w:r>
    </w:p>
    <w:p w14:paraId="07FC430F">
      <w:pPr>
        <w:spacing w:line="382" w:lineRule="exact"/>
        <w:rPr>
          <w:rFonts w:hint="eastAsia" w:hAnsi="宋体"/>
          <w:b/>
          <w:color w:val="auto"/>
          <w:highlight w:val="none"/>
        </w:rPr>
      </w:pPr>
      <w:r>
        <w:rPr>
          <w:rFonts w:hint="eastAsia" w:hAnsi="宋体"/>
          <w:b/>
          <w:color w:val="auto"/>
          <w:highlight w:val="none"/>
        </w:rPr>
        <w:t xml:space="preserve">    2、合同执行中涉及采购资金和采购内容修改或补充的，须</w:t>
      </w:r>
      <w:r>
        <w:rPr>
          <w:rFonts w:hint="eastAsia" w:hAnsi="宋体"/>
          <w:b/>
          <w:color w:val="auto"/>
          <w:highlight w:val="none"/>
          <w:lang w:eastAsia="zh-CN"/>
        </w:rPr>
        <w:t>签订</w:t>
      </w:r>
      <w:r>
        <w:rPr>
          <w:rFonts w:hint="eastAsia" w:hAnsi="宋体"/>
          <w:b/>
          <w:color w:val="auto"/>
          <w:highlight w:val="none"/>
        </w:rPr>
        <w:t>书面补充协议报广西壮族自治区财政厅政府采购监督管理处备案，方可作为主合同不可分割的一部分。</w:t>
      </w:r>
    </w:p>
    <w:p w14:paraId="62B17175">
      <w:pPr>
        <w:spacing w:line="382" w:lineRule="exact"/>
        <w:rPr>
          <w:rFonts w:hint="eastAsia" w:hAnsi="宋体"/>
          <w:b/>
          <w:color w:val="auto"/>
          <w:highlight w:val="none"/>
        </w:rPr>
      </w:pPr>
      <w:r>
        <w:rPr>
          <w:rFonts w:hint="eastAsia" w:hAnsi="宋体"/>
          <w:b/>
          <w:color w:val="auto"/>
          <w:highlight w:val="none"/>
        </w:rPr>
        <w:t xml:space="preserve">    3、本合同未尽事宜，遵照《中华人民共和国民法典》有关条文执行。</w:t>
      </w:r>
    </w:p>
    <w:p w14:paraId="6102053C">
      <w:pPr>
        <w:spacing w:line="382" w:lineRule="exact"/>
        <w:rPr>
          <w:rFonts w:hint="eastAsia" w:ascii="宋体" w:hAnsi="宋体"/>
          <w:b/>
          <w:color w:val="auto"/>
          <w:szCs w:val="21"/>
          <w:highlight w:val="none"/>
        </w:rPr>
      </w:pPr>
      <w:r>
        <w:rPr>
          <w:rFonts w:hint="eastAsia" w:hAnsi="宋体"/>
          <w:b/>
          <w:color w:val="auto"/>
          <w:highlight w:val="none"/>
        </w:rPr>
        <w:t xml:space="preserve">    </w:t>
      </w:r>
      <w:r>
        <w:rPr>
          <w:rFonts w:hint="eastAsia" w:ascii="宋体" w:hAnsi="宋体"/>
          <w:b/>
          <w:color w:val="auto"/>
          <w:szCs w:val="21"/>
          <w:highlight w:val="none"/>
        </w:rPr>
        <w:t>第十八条　 合同的变更、终止与转让</w:t>
      </w:r>
    </w:p>
    <w:p w14:paraId="413703F0">
      <w:pPr>
        <w:snapToGrid w:val="0"/>
        <w:spacing w:line="382" w:lineRule="exact"/>
        <w:ind w:firstLine="420" w:firstLineChars="200"/>
        <w:rPr>
          <w:rFonts w:hint="eastAsia" w:ascii="宋体" w:hAnsi="宋体"/>
          <w:color w:val="auto"/>
          <w:szCs w:val="21"/>
          <w:highlight w:val="none"/>
        </w:rPr>
      </w:pPr>
      <w:r>
        <w:rPr>
          <w:rFonts w:hint="eastAsia" w:ascii="宋体" w:hAnsi="宋体"/>
          <w:color w:val="auto"/>
          <w:szCs w:val="21"/>
          <w:highlight w:val="none"/>
        </w:rPr>
        <w:t>1、除《中华人民共和国政府采购法》第五十条规定的情形外，本合同一经签订，甲乙双方不得擅自变更、中止或终止。</w:t>
      </w:r>
    </w:p>
    <w:p w14:paraId="235A0EF7">
      <w:pPr>
        <w:snapToGrid w:val="0"/>
        <w:spacing w:line="382" w:lineRule="exact"/>
        <w:ind w:firstLine="420" w:firstLineChars="200"/>
        <w:rPr>
          <w:rFonts w:hint="eastAsia" w:hAnsi="宋体"/>
          <w:color w:val="auto"/>
          <w:highlight w:val="none"/>
        </w:rPr>
      </w:pPr>
      <w:r>
        <w:rPr>
          <w:rFonts w:hint="eastAsia" w:hAnsi="宋体"/>
          <w:color w:val="auto"/>
          <w:highlight w:val="none"/>
        </w:rPr>
        <w:t>2、乙方不得擅自转让（无进口资格的供应商委托进口货物除外）其应履行的合同义务。</w:t>
      </w:r>
    </w:p>
    <w:p w14:paraId="7B7A1CCF">
      <w:pPr>
        <w:snapToGrid w:val="0"/>
        <w:spacing w:line="382"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第十九条　 签订本合同依据</w:t>
      </w:r>
    </w:p>
    <w:p w14:paraId="7D9ADAB3">
      <w:pPr>
        <w:snapToGrid w:val="0"/>
        <w:spacing w:line="382"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1、谈判文件；</w:t>
      </w:r>
    </w:p>
    <w:p w14:paraId="39522224">
      <w:pPr>
        <w:snapToGrid w:val="0"/>
        <w:spacing w:line="382"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2、乙方提供的响应文件；</w:t>
      </w:r>
    </w:p>
    <w:p w14:paraId="24D35760">
      <w:pPr>
        <w:snapToGrid w:val="0"/>
        <w:spacing w:line="382"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3、成交通知书。</w:t>
      </w:r>
    </w:p>
    <w:p w14:paraId="447226F0">
      <w:pPr>
        <w:snapToGrid w:val="0"/>
        <w:spacing w:line="382"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第二十条　</w:t>
      </w:r>
      <w:r>
        <w:rPr>
          <w:rFonts w:hint="eastAsia" w:ascii="宋体" w:hAnsi="宋体"/>
          <w:color w:val="auto"/>
          <w:szCs w:val="21"/>
          <w:highlight w:val="none"/>
        </w:rPr>
        <w:t>本合同一式四份，具有同等法律效力，</w:t>
      </w:r>
      <w:r>
        <w:rPr>
          <w:rFonts w:hint="eastAsia" w:ascii="宋体" w:hAnsi="宋体"/>
          <w:color w:val="auto"/>
          <w:spacing w:val="4"/>
          <w:szCs w:val="21"/>
          <w:highlight w:val="none"/>
        </w:rPr>
        <w:t>广西壮族自治区财政厅政府采购监督管理处、</w:t>
      </w:r>
      <w:r>
        <w:rPr>
          <w:rFonts w:hint="eastAsia" w:ascii="宋体" w:hAnsi="宋体"/>
          <w:color w:val="auto"/>
          <w:szCs w:val="21"/>
          <w:highlight w:val="none"/>
        </w:rPr>
        <w:t>采购代理机构各一份，甲乙双方各一份。</w:t>
      </w:r>
    </w:p>
    <w:p w14:paraId="470862FB">
      <w:pPr>
        <w:snapToGrid w:val="0"/>
        <w:spacing w:line="382"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合同甲乙双方签字盖章后生效，自签订之日起7个工作日内，采购人应当将合同副本报同级政府采购监督管理部门和有关部门备案，并应当自签订之日起2个工作日内，将政府采购合同在省级以上人民政府财政部门指定的媒体上公告。</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9"/>
        <w:gridCol w:w="4690"/>
      </w:tblGrid>
      <w:tr w14:paraId="4D12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3" w:hRule="atLeast"/>
          <w:jc w:val="center"/>
        </w:trPr>
        <w:tc>
          <w:tcPr>
            <w:tcW w:w="4689" w:type="dxa"/>
            <w:noWrap w:val="0"/>
            <w:vAlign w:val="center"/>
          </w:tcPr>
          <w:p w14:paraId="517B07A4">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甲方（章）           </w:t>
            </w:r>
          </w:p>
          <w:p w14:paraId="0E19CC57">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0760104B">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1F367129">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2EDDAB80">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35F0FCA7">
            <w:pPr>
              <w:keepNext w:val="0"/>
              <w:keepLines w:val="0"/>
              <w:suppressLineNumbers w:val="0"/>
              <w:snapToGrid w:val="0"/>
              <w:spacing w:before="0" w:beforeAutospacing="0" w:after="0" w:afterAutospacing="0" w:line="400" w:lineRule="exact"/>
              <w:ind w:left="0" w:right="0" w:firstLine="945" w:firstLineChars="450"/>
              <w:jc w:val="right"/>
              <w:rPr>
                <w:rFonts w:hint="eastAsia" w:ascii="宋体" w:hAnsi="宋体" w:cs="Times New Roman"/>
                <w:color w:val="auto"/>
                <w:szCs w:val="21"/>
                <w:highlight w:val="none"/>
              </w:rPr>
            </w:pPr>
            <w:r>
              <w:rPr>
                <w:rFonts w:hint="eastAsia" w:ascii="宋体" w:hAnsi="宋体" w:cs="Times New Roman"/>
                <w:color w:val="auto"/>
                <w:szCs w:val="21"/>
                <w:highlight w:val="none"/>
              </w:rPr>
              <w:t>年   月   日</w:t>
            </w:r>
          </w:p>
        </w:tc>
        <w:tc>
          <w:tcPr>
            <w:tcW w:w="4690" w:type="dxa"/>
            <w:noWrap w:val="0"/>
            <w:vAlign w:val="center"/>
          </w:tcPr>
          <w:p w14:paraId="6F391E0C">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乙方（章）              </w:t>
            </w:r>
          </w:p>
          <w:p w14:paraId="02BF5637">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049B4557">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7EC716FA">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1E88221C">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p>
          <w:p w14:paraId="0E8300A9">
            <w:pPr>
              <w:keepNext w:val="0"/>
              <w:keepLines w:val="0"/>
              <w:suppressLineNumbers w:val="0"/>
              <w:snapToGrid w:val="0"/>
              <w:spacing w:before="0" w:beforeAutospacing="0" w:after="0" w:afterAutospacing="0" w:line="400" w:lineRule="exact"/>
              <w:ind w:left="0" w:right="0"/>
              <w:jc w:val="right"/>
              <w:rPr>
                <w:rFonts w:hint="eastAsia" w:ascii="宋体" w:hAnsi="宋体" w:cs="Times New Roman"/>
                <w:color w:val="auto"/>
                <w:szCs w:val="21"/>
                <w:highlight w:val="none"/>
              </w:rPr>
            </w:pPr>
            <w:r>
              <w:rPr>
                <w:rFonts w:hint="eastAsia" w:ascii="宋体" w:hAnsi="宋体" w:cs="Times New Roman"/>
                <w:color w:val="auto"/>
                <w:szCs w:val="21"/>
                <w:highlight w:val="none"/>
              </w:rPr>
              <w:t xml:space="preserve"> 年   月   日</w:t>
            </w:r>
          </w:p>
        </w:tc>
      </w:tr>
      <w:tr w14:paraId="78A0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4689" w:type="dxa"/>
            <w:noWrap w:val="0"/>
            <w:vAlign w:val="top"/>
          </w:tcPr>
          <w:p w14:paraId="7CF6B68C">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单位地址：</w:t>
            </w:r>
          </w:p>
        </w:tc>
        <w:tc>
          <w:tcPr>
            <w:tcW w:w="4690" w:type="dxa"/>
            <w:noWrap w:val="0"/>
            <w:vAlign w:val="top"/>
          </w:tcPr>
          <w:p w14:paraId="61BEF034">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单位地址：</w:t>
            </w:r>
          </w:p>
        </w:tc>
      </w:tr>
      <w:tr w14:paraId="6083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jc w:val="center"/>
        </w:trPr>
        <w:tc>
          <w:tcPr>
            <w:tcW w:w="4689" w:type="dxa"/>
            <w:noWrap w:val="0"/>
            <w:vAlign w:val="top"/>
          </w:tcPr>
          <w:p w14:paraId="7CB75286">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法定代表人(负责人)：</w:t>
            </w:r>
          </w:p>
        </w:tc>
        <w:tc>
          <w:tcPr>
            <w:tcW w:w="4690" w:type="dxa"/>
            <w:noWrap w:val="0"/>
            <w:vAlign w:val="top"/>
          </w:tcPr>
          <w:p w14:paraId="40F5B718">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法定代表人(负责人)：</w:t>
            </w:r>
          </w:p>
        </w:tc>
      </w:tr>
      <w:tr w14:paraId="193A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8" w:hRule="atLeast"/>
          <w:jc w:val="center"/>
        </w:trPr>
        <w:tc>
          <w:tcPr>
            <w:tcW w:w="4689" w:type="dxa"/>
            <w:noWrap w:val="0"/>
            <w:vAlign w:val="top"/>
          </w:tcPr>
          <w:p w14:paraId="639A0803">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委托代理人：</w:t>
            </w:r>
          </w:p>
        </w:tc>
        <w:tc>
          <w:tcPr>
            <w:tcW w:w="4690" w:type="dxa"/>
            <w:noWrap w:val="0"/>
            <w:vAlign w:val="top"/>
          </w:tcPr>
          <w:p w14:paraId="723E0C17">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委托代理人：</w:t>
            </w:r>
          </w:p>
        </w:tc>
      </w:tr>
      <w:tr w14:paraId="00B2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6" w:hRule="atLeast"/>
          <w:jc w:val="center"/>
        </w:trPr>
        <w:tc>
          <w:tcPr>
            <w:tcW w:w="4689" w:type="dxa"/>
            <w:noWrap w:val="0"/>
            <w:vAlign w:val="top"/>
          </w:tcPr>
          <w:p w14:paraId="699FA7DA">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电话：</w:t>
            </w:r>
          </w:p>
        </w:tc>
        <w:tc>
          <w:tcPr>
            <w:tcW w:w="4690" w:type="dxa"/>
            <w:noWrap w:val="0"/>
            <w:vAlign w:val="top"/>
          </w:tcPr>
          <w:p w14:paraId="482BE7AD">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电话：</w:t>
            </w:r>
          </w:p>
        </w:tc>
      </w:tr>
      <w:tr w14:paraId="6BCD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4689" w:type="dxa"/>
            <w:noWrap w:val="0"/>
            <w:vAlign w:val="top"/>
          </w:tcPr>
          <w:p w14:paraId="37B0A843">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电子邮箱：</w:t>
            </w:r>
          </w:p>
        </w:tc>
        <w:tc>
          <w:tcPr>
            <w:tcW w:w="4690" w:type="dxa"/>
            <w:noWrap w:val="0"/>
            <w:vAlign w:val="top"/>
          </w:tcPr>
          <w:p w14:paraId="24270658">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电子邮箱：</w:t>
            </w:r>
          </w:p>
        </w:tc>
      </w:tr>
      <w:tr w14:paraId="0B78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4689" w:type="dxa"/>
            <w:noWrap w:val="0"/>
            <w:vAlign w:val="top"/>
          </w:tcPr>
          <w:p w14:paraId="13310072">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开户银行：</w:t>
            </w:r>
          </w:p>
        </w:tc>
        <w:tc>
          <w:tcPr>
            <w:tcW w:w="4690" w:type="dxa"/>
            <w:noWrap w:val="0"/>
            <w:vAlign w:val="top"/>
          </w:tcPr>
          <w:p w14:paraId="47B24F67">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开户银行：</w:t>
            </w:r>
          </w:p>
        </w:tc>
      </w:tr>
      <w:tr w14:paraId="7B16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4689" w:type="dxa"/>
            <w:noWrap w:val="0"/>
            <w:vAlign w:val="top"/>
          </w:tcPr>
          <w:p w14:paraId="6AF6F8CA">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账号：</w:t>
            </w:r>
          </w:p>
        </w:tc>
        <w:tc>
          <w:tcPr>
            <w:tcW w:w="4690" w:type="dxa"/>
            <w:noWrap w:val="0"/>
            <w:vAlign w:val="top"/>
          </w:tcPr>
          <w:p w14:paraId="010788B1">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账号：</w:t>
            </w:r>
          </w:p>
        </w:tc>
      </w:tr>
      <w:tr w14:paraId="3B95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4689" w:type="dxa"/>
            <w:noWrap w:val="0"/>
            <w:vAlign w:val="top"/>
          </w:tcPr>
          <w:p w14:paraId="073ACA06">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highlight w:val="none"/>
              </w:rPr>
              <w:t>纳税人识别号或统一社会信用代码：</w:t>
            </w:r>
          </w:p>
        </w:tc>
        <w:tc>
          <w:tcPr>
            <w:tcW w:w="4690" w:type="dxa"/>
            <w:noWrap w:val="0"/>
            <w:vAlign w:val="top"/>
          </w:tcPr>
          <w:p w14:paraId="7D07602E">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highlight w:val="none"/>
              </w:rPr>
              <w:t>纳税人识别号或统一社会信用代码：</w:t>
            </w:r>
          </w:p>
        </w:tc>
      </w:tr>
      <w:tr w14:paraId="12A5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6" w:hRule="atLeast"/>
          <w:jc w:val="center"/>
        </w:trPr>
        <w:tc>
          <w:tcPr>
            <w:tcW w:w="4689" w:type="dxa"/>
            <w:noWrap w:val="0"/>
            <w:vAlign w:val="top"/>
          </w:tcPr>
          <w:p w14:paraId="667A2167">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邮政编码：</w:t>
            </w:r>
          </w:p>
        </w:tc>
        <w:tc>
          <w:tcPr>
            <w:tcW w:w="4690" w:type="dxa"/>
            <w:noWrap w:val="0"/>
            <w:vAlign w:val="top"/>
          </w:tcPr>
          <w:p w14:paraId="50D0BE74">
            <w:pPr>
              <w:keepNext w:val="0"/>
              <w:keepLines w:val="0"/>
              <w:suppressLineNumbers w:val="0"/>
              <w:snapToGrid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邮政编码：</w:t>
            </w:r>
          </w:p>
        </w:tc>
      </w:tr>
    </w:tbl>
    <w:p w14:paraId="29F993AD">
      <w:pPr>
        <w:snapToGrid w:val="0"/>
        <w:ind w:left="420" w:hanging="420" w:hangingChars="200"/>
        <w:rPr>
          <w:rFonts w:hint="eastAsia" w:ascii="宋体" w:hAnsi="宋体"/>
          <w:color w:val="auto"/>
          <w:szCs w:val="21"/>
          <w:highlight w:val="none"/>
        </w:rPr>
      </w:pPr>
    </w:p>
    <w:p w14:paraId="2C65DBEA">
      <w:pPr>
        <w:snapToGrid w:val="0"/>
        <w:spacing w:line="360" w:lineRule="auto"/>
        <w:jc w:val="center"/>
        <w:rPr>
          <w:rFonts w:hint="eastAsia" w:ascii="宋体" w:hAnsi="宋体"/>
          <w:color w:val="auto"/>
          <w:szCs w:val="21"/>
          <w:highlight w:val="none"/>
        </w:rPr>
      </w:pPr>
      <w:r>
        <w:rPr>
          <w:rFonts w:ascii="宋体" w:hAnsi="宋体"/>
          <w:b/>
          <w:color w:val="auto"/>
          <w:szCs w:val="21"/>
          <w:highlight w:val="none"/>
        </w:rPr>
        <w:br w:type="page"/>
      </w:r>
      <w:r>
        <w:rPr>
          <w:rFonts w:hint="eastAsia" w:ascii="宋体" w:hAnsi="宋体"/>
          <w:b/>
          <w:color w:val="auto"/>
          <w:szCs w:val="21"/>
          <w:highlight w:val="none"/>
        </w:rPr>
        <w:t>合 同 附 件</w:t>
      </w:r>
    </w:p>
    <w:tbl>
      <w:tblPr>
        <w:tblStyle w:val="37"/>
        <w:tblW w:w="0" w:type="auto"/>
        <w:jc w:val="center"/>
        <w:tblLayout w:type="fixed"/>
        <w:tblCellMar>
          <w:top w:w="0" w:type="dxa"/>
          <w:left w:w="108" w:type="dxa"/>
          <w:bottom w:w="0" w:type="dxa"/>
          <w:right w:w="108" w:type="dxa"/>
        </w:tblCellMar>
      </w:tblPr>
      <w:tblGrid>
        <w:gridCol w:w="4420"/>
        <w:gridCol w:w="4871"/>
      </w:tblGrid>
      <w:tr w14:paraId="4AF603D7">
        <w:tblPrEx>
          <w:tblCellMar>
            <w:top w:w="0" w:type="dxa"/>
            <w:left w:w="108" w:type="dxa"/>
            <w:bottom w:w="0" w:type="dxa"/>
            <w:right w:w="108" w:type="dxa"/>
          </w:tblCellMar>
        </w:tblPrEx>
        <w:trPr>
          <w:trHeight w:val="2139" w:hRule="atLeast"/>
          <w:jc w:val="center"/>
        </w:trPr>
        <w:tc>
          <w:tcPr>
            <w:tcW w:w="9291" w:type="dxa"/>
            <w:gridSpan w:val="2"/>
            <w:tcBorders>
              <w:top w:val="single" w:color="auto" w:sz="4" w:space="0"/>
              <w:left w:val="single" w:color="auto" w:sz="4" w:space="0"/>
              <w:right w:val="single" w:color="auto" w:sz="4" w:space="0"/>
            </w:tcBorders>
            <w:noWrap w:val="0"/>
            <w:vAlign w:val="top"/>
          </w:tcPr>
          <w:p w14:paraId="3A8A8967">
            <w:pPr>
              <w:keepNext w:val="0"/>
              <w:keepLines w:val="0"/>
              <w:suppressLineNumbers w:val="0"/>
              <w:snapToGrid w:val="0"/>
              <w:spacing w:before="0" w:beforeAutospacing="0" w:after="0" w:afterAutospacing="0" w:line="400" w:lineRule="exact"/>
              <w:ind w:left="0" w:right="0"/>
              <w:rPr>
                <w:rFonts w:hint="eastAsia" w:ascii="宋体" w:hAnsi="宋体" w:cs="Times New Roman"/>
                <w:b/>
                <w:color w:val="auto"/>
                <w:szCs w:val="21"/>
                <w:highlight w:val="none"/>
              </w:rPr>
            </w:pPr>
            <w:r>
              <w:rPr>
                <w:rFonts w:hint="eastAsia" w:ascii="宋体" w:hAnsi="宋体" w:cs="Times New Roman"/>
                <w:b/>
                <w:color w:val="auto"/>
                <w:szCs w:val="21"/>
                <w:highlight w:val="none"/>
              </w:rPr>
              <w:t>1、供应商承诺具体事项：详见响应文件。</w:t>
            </w:r>
          </w:p>
        </w:tc>
      </w:tr>
      <w:tr w14:paraId="70363F08">
        <w:tblPrEx>
          <w:tblCellMar>
            <w:top w:w="0" w:type="dxa"/>
            <w:left w:w="108" w:type="dxa"/>
            <w:bottom w:w="0" w:type="dxa"/>
            <w:right w:w="108" w:type="dxa"/>
          </w:tblCellMar>
        </w:tblPrEx>
        <w:trPr>
          <w:trHeight w:val="2139" w:hRule="atLeast"/>
          <w:jc w:val="center"/>
        </w:trPr>
        <w:tc>
          <w:tcPr>
            <w:tcW w:w="9291" w:type="dxa"/>
            <w:gridSpan w:val="2"/>
            <w:tcBorders>
              <w:top w:val="single" w:color="auto" w:sz="4" w:space="0"/>
              <w:left w:val="single" w:color="auto" w:sz="4" w:space="0"/>
              <w:right w:val="single" w:color="auto" w:sz="4" w:space="0"/>
            </w:tcBorders>
            <w:noWrap w:val="0"/>
            <w:vAlign w:val="top"/>
          </w:tcPr>
          <w:p w14:paraId="042B7CBF">
            <w:pPr>
              <w:keepNext w:val="0"/>
              <w:keepLines w:val="0"/>
              <w:suppressLineNumbers w:val="0"/>
              <w:snapToGrid w:val="0"/>
              <w:spacing w:before="0" w:beforeAutospacing="0" w:after="0" w:afterAutospacing="0" w:line="400" w:lineRule="exact"/>
              <w:ind w:left="0" w:right="0"/>
              <w:rPr>
                <w:rFonts w:hint="eastAsia" w:ascii="宋体" w:hAnsi="宋体" w:cs="Times New Roman"/>
                <w:b/>
                <w:color w:val="auto"/>
                <w:szCs w:val="21"/>
                <w:highlight w:val="none"/>
              </w:rPr>
            </w:pPr>
            <w:r>
              <w:rPr>
                <w:rFonts w:hint="eastAsia" w:ascii="宋体" w:hAnsi="宋体" w:cs="Times New Roman"/>
                <w:b/>
                <w:color w:val="auto"/>
                <w:szCs w:val="21"/>
                <w:highlight w:val="none"/>
              </w:rPr>
              <w:t>2、售后服务具体事项：详见响应文件。</w:t>
            </w:r>
          </w:p>
        </w:tc>
      </w:tr>
      <w:tr w14:paraId="6D9609F0">
        <w:tblPrEx>
          <w:tblCellMar>
            <w:top w:w="0" w:type="dxa"/>
            <w:left w:w="108" w:type="dxa"/>
            <w:bottom w:w="0" w:type="dxa"/>
            <w:right w:w="108" w:type="dxa"/>
          </w:tblCellMar>
        </w:tblPrEx>
        <w:trPr>
          <w:trHeight w:val="2139" w:hRule="atLeast"/>
          <w:jc w:val="center"/>
        </w:trPr>
        <w:tc>
          <w:tcPr>
            <w:tcW w:w="9291" w:type="dxa"/>
            <w:gridSpan w:val="2"/>
            <w:tcBorders>
              <w:top w:val="single" w:color="auto" w:sz="4" w:space="0"/>
              <w:left w:val="single" w:color="auto" w:sz="4" w:space="0"/>
              <w:right w:val="single" w:color="auto" w:sz="4" w:space="0"/>
            </w:tcBorders>
            <w:noWrap w:val="0"/>
            <w:vAlign w:val="top"/>
          </w:tcPr>
          <w:p w14:paraId="7E022009">
            <w:pPr>
              <w:keepNext w:val="0"/>
              <w:keepLines w:val="0"/>
              <w:suppressLineNumbers w:val="0"/>
              <w:snapToGrid w:val="0"/>
              <w:spacing w:before="0" w:beforeAutospacing="0" w:after="0" w:afterAutospacing="0" w:line="400" w:lineRule="exact"/>
              <w:ind w:left="0" w:right="0"/>
              <w:rPr>
                <w:rFonts w:hint="eastAsia" w:ascii="宋体" w:hAnsi="宋体" w:cs="Times New Roman"/>
                <w:b/>
                <w:color w:val="auto"/>
                <w:szCs w:val="21"/>
                <w:highlight w:val="none"/>
              </w:rPr>
            </w:pPr>
            <w:r>
              <w:rPr>
                <w:rFonts w:hint="eastAsia" w:ascii="宋体" w:hAnsi="宋体" w:cs="Times New Roman"/>
                <w:b/>
                <w:color w:val="auto"/>
                <w:szCs w:val="21"/>
                <w:highlight w:val="none"/>
              </w:rPr>
              <w:t>3、保修期责任：详见响应文件。</w:t>
            </w:r>
          </w:p>
        </w:tc>
      </w:tr>
      <w:tr w14:paraId="38BF8950">
        <w:tblPrEx>
          <w:tblCellMar>
            <w:top w:w="0" w:type="dxa"/>
            <w:left w:w="108" w:type="dxa"/>
            <w:bottom w:w="0" w:type="dxa"/>
            <w:right w:w="108" w:type="dxa"/>
          </w:tblCellMar>
        </w:tblPrEx>
        <w:trPr>
          <w:trHeight w:val="2139" w:hRule="atLeast"/>
          <w:jc w:val="center"/>
        </w:trPr>
        <w:tc>
          <w:tcPr>
            <w:tcW w:w="9291" w:type="dxa"/>
            <w:gridSpan w:val="2"/>
            <w:tcBorders>
              <w:top w:val="single" w:color="auto" w:sz="4" w:space="0"/>
              <w:left w:val="single" w:color="auto" w:sz="4" w:space="0"/>
              <w:right w:val="single" w:color="auto" w:sz="4" w:space="0"/>
            </w:tcBorders>
            <w:noWrap w:val="0"/>
            <w:vAlign w:val="top"/>
          </w:tcPr>
          <w:p w14:paraId="0AEF3A8C">
            <w:pPr>
              <w:keepNext w:val="0"/>
              <w:keepLines w:val="0"/>
              <w:suppressLineNumbers w:val="0"/>
              <w:snapToGrid w:val="0"/>
              <w:spacing w:before="0" w:beforeAutospacing="0" w:after="0" w:afterAutospacing="0" w:line="400" w:lineRule="exact"/>
              <w:ind w:left="0" w:right="0"/>
              <w:rPr>
                <w:rFonts w:hint="eastAsia" w:ascii="宋体" w:hAnsi="宋体" w:cs="Times New Roman"/>
                <w:b/>
                <w:color w:val="auto"/>
                <w:szCs w:val="21"/>
                <w:highlight w:val="none"/>
              </w:rPr>
            </w:pPr>
            <w:r>
              <w:rPr>
                <w:rFonts w:hint="eastAsia" w:ascii="宋体" w:hAnsi="宋体" w:cs="Times New Roman"/>
                <w:b/>
                <w:color w:val="auto"/>
                <w:szCs w:val="21"/>
                <w:highlight w:val="none"/>
              </w:rPr>
              <w:t>4、其他具体事项：详见响应文件。</w:t>
            </w:r>
          </w:p>
        </w:tc>
      </w:tr>
      <w:tr w14:paraId="0B6E687F">
        <w:tblPrEx>
          <w:tblCellMar>
            <w:top w:w="0" w:type="dxa"/>
            <w:left w:w="108" w:type="dxa"/>
            <w:bottom w:w="0" w:type="dxa"/>
            <w:right w:w="108" w:type="dxa"/>
          </w:tblCellMar>
        </w:tblPrEx>
        <w:trPr>
          <w:trHeight w:val="4513" w:hRule="atLeast"/>
          <w:jc w:val="center"/>
        </w:trPr>
        <w:tc>
          <w:tcPr>
            <w:tcW w:w="4420" w:type="dxa"/>
            <w:tcBorders>
              <w:top w:val="single" w:color="auto" w:sz="4" w:space="0"/>
              <w:left w:val="single" w:color="auto" w:sz="4" w:space="0"/>
              <w:bottom w:val="single" w:color="auto" w:sz="4" w:space="0"/>
              <w:right w:val="single" w:color="auto" w:sz="4" w:space="0"/>
            </w:tcBorders>
            <w:noWrap w:val="0"/>
            <w:vAlign w:val="top"/>
          </w:tcPr>
          <w:p w14:paraId="772178EF">
            <w:pPr>
              <w:keepNext w:val="0"/>
              <w:keepLines w:val="0"/>
              <w:suppressLineNumbers w:val="0"/>
              <w:snapToGrid w:val="0"/>
              <w:spacing w:before="0" w:beforeAutospacing="0" w:after="0" w:afterAutospacing="0" w:line="400" w:lineRule="exact"/>
              <w:ind w:left="0" w:right="0"/>
              <w:rPr>
                <w:rFonts w:hint="eastAsia" w:ascii="宋体" w:hAnsi="宋体" w:cs="Times New Roman"/>
                <w:b/>
                <w:color w:val="auto"/>
                <w:szCs w:val="21"/>
                <w:highlight w:val="none"/>
              </w:rPr>
            </w:pPr>
            <w:r>
              <w:rPr>
                <w:rFonts w:hint="eastAsia" w:ascii="宋体" w:hAnsi="宋体" w:cs="Times New Roman"/>
                <w:b/>
                <w:color w:val="auto"/>
                <w:szCs w:val="21"/>
                <w:highlight w:val="none"/>
              </w:rPr>
              <w:t>甲方（章）</w:t>
            </w:r>
          </w:p>
          <w:p w14:paraId="6A3624F7">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0ACE5984">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1C83D979">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33655A0B">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5C552F38">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65709FD4">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698307C8">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5ACF2E02">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2D7387F3">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3D062C3E">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r>
              <w:rPr>
                <w:rFonts w:hint="eastAsia" w:ascii="宋体" w:hAnsi="宋体" w:cs="Times New Roman"/>
                <w:b/>
                <w:color w:val="auto"/>
                <w:szCs w:val="21"/>
                <w:highlight w:val="none"/>
              </w:rPr>
              <w:t xml:space="preserve">                 年   月   日 </w:t>
            </w:r>
          </w:p>
        </w:tc>
        <w:tc>
          <w:tcPr>
            <w:tcW w:w="4871" w:type="dxa"/>
            <w:tcBorders>
              <w:top w:val="single" w:color="auto" w:sz="4" w:space="0"/>
              <w:left w:val="single" w:color="auto" w:sz="4" w:space="0"/>
              <w:bottom w:val="single" w:color="auto" w:sz="4" w:space="0"/>
              <w:right w:val="single" w:color="auto" w:sz="4" w:space="0"/>
            </w:tcBorders>
            <w:noWrap w:val="0"/>
            <w:vAlign w:val="top"/>
          </w:tcPr>
          <w:p w14:paraId="4A4D4FAB">
            <w:pPr>
              <w:keepNext w:val="0"/>
              <w:keepLines w:val="0"/>
              <w:suppressLineNumbers w:val="0"/>
              <w:snapToGrid w:val="0"/>
              <w:spacing w:before="0" w:beforeAutospacing="0" w:after="0" w:afterAutospacing="0" w:line="400" w:lineRule="exact"/>
              <w:ind w:left="0" w:right="0"/>
              <w:rPr>
                <w:rFonts w:hint="eastAsia" w:ascii="宋体" w:hAnsi="宋体" w:cs="Times New Roman"/>
                <w:b/>
                <w:color w:val="auto"/>
                <w:szCs w:val="21"/>
                <w:highlight w:val="none"/>
              </w:rPr>
            </w:pPr>
            <w:r>
              <w:rPr>
                <w:rFonts w:hint="eastAsia" w:ascii="宋体" w:hAnsi="宋体" w:cs="Times New Roman"/>
                <w:b/>
                <w:color w:val="auto"/>
                <w:szCs w:val="21"/>
                <w:highlight w:val="none"/>
              </w:rPr>
              <w:t>乙方（章）</w:t>
            </w:r>
          </w:p>
          <w:p w14:paraId="52FF7BF2">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27F5E4E7">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1673B9BB">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4AA10E3D">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6F1F0F01">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65C60B47">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01D2B8CA">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36D96A46">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72F22C31">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p>
          <w:p w14:paraId="000731EE">
            <w:pPr>
              <w:keepNext w:val="0"/>
              <w:keepLines w:val="0"/>
              <w:suppressLineNumbers w:val="0"/>
              <w:snapToGrid w:val="0"/>
              <w:spacing w:before="0" w:beforeAutospacing="0" w:after="0" w:afterAutospacing="0" w:line="400" w:lineRule="exact"/>
              <w:ind w:left="0" w:right="0" w:firstLine="422" w:firstLineChars="200"/>
              <w:rPr>
                <w:rFonts w:hint="eastAsia" w:ascii="宋体" w:hAnsi="宋体" w:cs="Times New Roman"/>
                <w:b/>
                <w:color w:val="auto"/>
                <w:szCs w:val="21"/>
                <w:highlight w:val="none"/>
              </w:rPr>
            </w:pPr>
            <w:r>
              <w:rPr>
                <w:rFonts w:hint="eastAsia" w:ascii="宋体" w:hAnsi="宋体" w:cs="Times New Roman"/>
                <w:b/>
                <w:color w:val="auto"/>
                <w:szCs w:val="21"/>
                <w:highlight w:val="none"/>
              </w:rPr>
              <w:t xml:space="preserve">                年   月   日</w:t>
            </w:r>
          </w:p>
        </w:tc>
      </w:tr>
    </w:tbl>
    <w:p w14:paraId="6D752050">
      <w:pPr>
        <w:spacing w:line="720" w:lineRule="auto"/>
        <w:jc w:val="left"/>
        <w:rPr>
          <w:rFonts w:hint="eastAsia" w:ascii="宋体" w:hAnsi="宋体"/>
          <w:color w:val="auto"/>
          <w:sz w:val="32"/>
          <w:szCs w:val="32"/>
          <w:highlight w:val="none"/>
        </w:rPr>
      </w:pPr>
      <w:r>
        <w:rPr>
          <w:rFonts w:hint="eastAsia" w:ascii="宋体" w:hAnsi="宋体"/>
          <w:color w:val="auto"/>
          <w:szCs w:val="21"/>
          <w:highlight w:val="none"/>
        </w:rPr>
        <w:t xml:space="preserve">   注：售后服务事项填不下时可另加附页</w:t>
      </w:r>
      <w:r>
        <w:rPr>
          <w:color w:val="auto"/>
          <w:highlight w:val="none"/>
        </w:rPr>
        <w:br w:type="page"/>
      </w:r>
    </w:p>
    <w:p w14:paraId="796AE851">
      <w:pPr>
        <w:spacing w:line="400" w:lineRule="exact"/>
        <w:jc w:val="center"/>
        <w:rPr>
          <w:rFonts w:hint="eastAsia" w:ascii="宋体" w:hAnsi="宋体"/>
          <w:color w:val="auto"/>
          <w:sz w:val="32"/>
          <w:szCs w:val="32"/>
          <w:highlight w:val="none"/>
        </w:rPr>
      </w:pPr>
    </w:p>
    <w:p w14:paraId="441E0F92">
      <w:pPr>
        <w:spacing w:line="400" w:lineRule="exact"/>
        <w:jc w:val="center"/>
        <w:rPr>
          <w:rFonts w:hint="eastAsia" w:ascii="宋体" w:hAnsi="宋体"/>
          <w:color w:val="auto"/>
          <w:sz w:val="32"/>
          <w:szCs w:val="32"/>
          <w:highlight w:val="none"/>
        </w:rPr>
      </w:pPr>
    </w:p>
    <w:p w14:paraId="64AF1B22">
      <w:pPr>
        <w:spacing w:line="400" w:lineRule="exact"/>
        <w:jc w:val="center"/>
        <w:rPr>
          <w:rFonts w:hint="eastAsia" w:ascii="宋体" w:hAnsi="宋体"/>
          <w:color w:val="auto"/>
          <w:sz w:val="32"/>
          <w:szCs w:val="32"/>
          <w:highlight w:val="none"/>
        </w:rPr>
      </w:pPr>
    </w:p>
    <w:p w14:paraId="65A975B1">
      <w:pPr>
        <w:spacing w:line="400" w:lineRule="exact"/>
        <w:jc w:val="center"/>
        <w:rPr>
          <w:rFonts w:hint="eastAsia" w:ascii="宋体" w:hAnsi="宋体"/>
          <w:color w:val="auto"/>
          <w:sz w:val="32"/>
          <w:szCs w:val="32"/>
          <w:highlight w:val="none"/>
        </w:rPr>
      </w:pPr>
    </w:p>
    <w:p w14:paraId="2B216B17">
      <w:pPr>
        <w:spacing w:line="400" w:lineRule="exact"/>
        <w:jc w:val="center"/>
        <w:rPr>
          <w:rFonts w:hint="eastAsia" w:ascii="宋体" w:hAnsi="宋体"/>
          <w:color w:val="auto"/>
          <w:sz w:val="32"/>
          <w:szCs w:val="32"/>
          <w:highlight w:val="none"/>
        </w:rPr>
      </w:pPr>
    </w:p>
    <w:p w14:paraId="56C245E7">
      <w:pPr>
        <w:spacing w:line="400" w:lineRule="exact"/>
        <w:jc w:val="center"/>
        <w:rPr>
          <w:rFonts w:hint="eastAsia" w:ascii="宋体" w:hAnsi="宋体"/>
          <w:color w:val="auto"/>
          <w:sz w:val="32"/>
          <w:szCs w:val="32"/>
          <w:highlight w:val="none"/>
        </w:rPr>
      </w:pPr>
    </w:p>
    <w:p w14:paraId="30359D8E">
      <w:pPr>
        <w:spacing w:line="400" w:lineRule="exact"/>
        <w:jc w:val="center"/>
        <w:rPr>
          <w:rFonts w:hint="eastAsia" w:ascii="宋体" w:hAnsi="宋体"/>
          <w:color w:val="auto"/>
          <w:sz w:val="32"/>
          <w:szCs w:val="32"/>
          <w:highlight w:val="none"/>
        </w:rPr>
      </w:pPr>
    </w:p>
    <w:p w14:paraId="32B97A39">
      <w:pPr>
        <w:spacing w:line="400" w:lineRule="exact"/>
        <w:jc w:val="center"/>
        <w:rPr>
          <w:rFonts w:hint="eastAsia" w:ascii="宋体" w:hAnsi="宋体"/>
          <w:color w:val="auto"/>
          <w:sz w:val="32"/>
          <w:szCs w:val="32"/>
          <w:highlight w:val="none"/>
        </w:rPr>
      </w:pPr>
    </w:p>
    <w:p w14:paraId="5B16D48E">
      <w:pPr>
        <w:spacing w:line="400" w:lineRule="exact"/>
        <w:jc w:val="center"/>
        <w:rPr>
          <w:rFonts w:hint="eastAsia" w:ascii="宋体" w:hAnsi="宋体"/>
          <w:color w:val="auto"/>
          <w:sz w:val="32"/>
          <w:szCs w:val="32"/>
          <w:highlight w:val="none"/>
        </w:rPr>
      </w:pPr>
    </w:p>
    <w:p w14:paraId="4E67B209">
      <w:pPr>
        <w:spacing w:line="400" w:lineRule="exact"/>
        <w:jc w:val="center"/>
        <w:rPr>
          <w:rFonts w:hint="eastAsia" w:ascii="宋体" w:hAnsi="宋体"/>
          <w:color w:val="auto"/>
          <w:sz w:val="32"/>
          <w:szCs w:val="32"/>
          <w:highlight w:val="none"/>
        </w:rPr>
      </w:pPr>
    </w:p>
    <w:p w14:paraId="5B2A10F6">
      <w:pPr>
        <w:spacing w:line="400" w:lineRule="exact"/>
        <w:jc w:val="center"/>
        <w:rPr>
          <w:rFonts w:hint="eastAsia" w:ascii="宋体" w:hAnsi="宋体"/>
          <w:color w:val="auto"/>
          <w:sz w:val="32"/>
          <w:szCs w:val="32"/>
          <w:highlight w:val="none"/>
        </w:rPr>
      </w:pPr>
    </w:p>
    <w:p w14:paraId="6D7B46E4">
      <w:pPr>
        <w:spacing w:line="400" w:lineRule="exact"/>
        <w:jc w:val="center"/>
        <w:rPr>
          <w:rFonts w:hint="eastAsia" w:ascii="宋体" w:hAnsi="宋体"/>
          <w:color w:val="auto"/>
          <w:sz w:val="32"/>
          <w:szCs w:val="32"/>
          <w:highlight w:val="none"/>
        </w:rPr>
      </w:pPr>
    </w:p>
    <w:p w14:paraId="7D5717B6">
      <w:pPr>
        <w:pStyle w:val="34"/>
        <w:rPr>
          <w:rFonts w:hint="eastAsia"/>
          <w:color w:val="auto"/>
          <w:kern w:val="0"/>
          <w:sz w:val="44"/>
          <w:szCs w:val="44"/>
          <w:highlight w:val="none"/>
        </w:rPr>
      </w:pPr>
      <w:bookmarkStart w:id="91" w:name="_Toc476258761"/>
      <w:bookmarkStart w:id="92" w:name="_Toc476258673"/>
      <w:r>
        <w:rPr>
          <w:rFonts w:hint="eastAsia"/>
          <w:color w:val="auto"/>
          <w:kern w:val="0"/>
          <w:sz w:val="44"/>
          <w:szCs w:val="44"/>
          <w:highlight w:val="none"/>
        </w:rPr>
        <w:t>第六章  评定标准</w:t>
      </w:r>
      <w:bookmarkEnd w:id="91"/>
      <w:bookmarkEnd w:id="92"/>
    </w:p>
    <w:p w14:paraId="7D4FE458">
      <w:pPr>
        <w:pStyle w:val="20"/>
        <w:spacing w:line="440" w:lineRule="exact"/>
        <w:rPr>
          <w:rFonts w:hint="eastAsia" w:ascii="黑体" w:hAnsi="宋体" w:eastAsia="黑体"/>
          <w:b/>
          <w:color w:val="auto"/>
          <w:kern w:val="0"/>
          <w:sz w:val="32"/>
          <w:szCs w:val="32"/>
          <w:highlight w:val="none"/>
        </w:rPr>
      </w:pPr>
    </w:p>
    <w:p w14:paraId="13F93B01">
      <w:pPr>
        <w:pStyle w:val="20"/>
        <w:spacing w:line="440" w:lineRule="exact"/>
        <w:rPr>
          <w:rFonts w:hint="eastAsia" w:ascii="黑体" w:hAnsi="宋体" w:eastAsia="黑体"/>
          <w:b/>
          <w:color w:val="auto"/>
          <w:kern w:val="0"/>
          <w:sz w:val="32"/>
          <w:szCs w:val="32"/>
          <w:highlight w:val="none"/>
        </w:rPr>
      </w:pPr>
    </w:p>
    <w:p w14:paraId="599FBF96">
      <w:pPr>
        <w:pStyle w:val="20"/>
        <w:spacing w:line="440" w:lineRule="exact"/>
        <w:rPr>
          <w:rFonts w:hint="eastAsia" w:ascii="黑体" w:hAnsi="宋体" w:eastAsia="黑体"/>
          <w:b/>
          <w:color w:val="auto"/>
          <w:kern w:val="0"/>
          <w:sz w:val="32"/>
          <w:szCs w:val="32"/>
          <w:highlight w:val="none"/>
        </w:rPr>
      </w:pPr>
    </w:p>
    <w:p w14:paraId="2B9D2087">
      <w:pPr>
        <w:pStyle w:val="20"/>
        <w:spacing w:line="440" w:lineRule="exact"/>
        <w:rPr>
          <w:rFonts w:hint="eastAsia" w:ascii="黑体" w:hAnsi="宋体" w:eastAsia="黑体"/>
          <w:b/>
          <w:color w:val="auto"/>
          <w:kern w:val="0"/>
          <w:sz w:val="32"/>
          <w:szCs w:val="32"/>
          <w:highlight w:val="none"/>
        </w:rPr>
      </w:pPr>
    </w:p>
    <w:p w14:paraId="682B804E">
      <w:pPr>
        <w:pStyle w:val="20"/>
        <w:spacing w:line="440" w:lineRule="exact"/>
        <w:rPr>
          <w:rFonts w:hint="eastAsia" w:ascii="黑体" w:hAnsi="宋体" w:eastAsia="黑体"/>
          <w:b/>
          <w:color w:val="auto"/>
          <w:kern w:val="0"/>
          <w:sz w:val="32"/>
          <w:szCs w:val="32"/>
          <w:highlight w:val="none"/>
        </w:rPr>
      </w:pPr>
    </w:p>
    <w:p w14:paraId="21E1B639">
      <w:pPr>
        <w:pStyle w:val="20"/>
        <w:spacing w:line="440" w:lineRule="exact"/>
        <w:rPr>
          <w:rFonts w:hint="eastAsia" w:ascii="黑体" w:hAnsi="宋体" w:eastAsia="黑体"/>
          <w:b/>
          <w:color w:val="auto"/>
          <w:kern w:val="0"/>
          <w:sz w:val="32"/>
          <w:szCs w:val="32"/>
          <w:highlight w:val="none"/>
        </w:rPr>
      </w:pPr>
    </w:p>
    <w:p w14:paraId="16E68F87">
      <w:pPr>
        <w:pStyle w:val="20"/>
        <w:spacing w:line="440" w:lineRule="exact"/>
        <w:rPr>
          <w:rFonts w:hint="eastAsia" w:ascii="黑体" w:hAnsi="宋体" w:eastAsia="黑体"/>
          <w:b/>
          <w:color w:val="auto"/>
          <w:kern w:val="0"/>
          <w:sz w:val="32"/>
          <w:szCs w:val="32"/>
          <w:highlight w:val="none"/>
        </w:rPr>
      </w:pPr>
    </w:p>
    <w:p w14:paraId="5982FD01">
      <w:pPr>
        <w:pStyle w:val="20"/>
        <w:spacing w:line="440" w:lineRule="exact"/>
        <w:rPr>
          <w:rFonts w:hint="eastAsia" w:ascii="黑体" w:hAnsi="宋体" w:eastAsia="黑体"/>
          <w:b/>
          <w:color w:val="auto"/>
          <w:kern w:val="0"/>
          <w:sz w:val="32"/>
          <w:szCs w:val="32"/>
          <w:highlight w:val="none"/>
        </w:rPr>
      </w:pPr>
    </w:p>
    <w:p w14:paraId="0EC0BA02">
      <w:pPr>
        <w:pStyle w:val="20"/>
        <w:spacing w:line="440" w:lineRule="exact"/>
        <w:rPr>
          <w:rFonts w:hint="eastAsia" w:ascii="黑体" w:hAnsi="宋体" w:eastAsia="黑体"/>
          <w:b/>
          <w:color w:val="auto"/>
          <w:kern w:val="0"/>
          <w:sz w:val="32"/>
          <w:szCs w:val="32"/>
          <w:highlight w:val="none"/>
        </w:rPr>
      </w:pPr>
    </w:p>
    <w:p w14:paraId="71602B77">
      <w:pPr>
        <w:pStyle w:val="20"/>
        <w:spacing w:line="440" w:lineRule="exact"/>
        <w:rPr>
          <w:rFonts w:hint="eastAsia" w:ascii="黑体" w:hAnsi="宋体" w:eastAsia="黑体"/>
          <w:b/>
          <w:color w:val="auto"/>
          <w:kern w:val="0"/>
          <w:sz w:val="32"/>
          <w:szCs w:val="32"/>
          <w:highlight w:val="none"/>
        </w:rPr>
      </w:pPr>
    </w:p>
    <w:p w14:paraId="35233898">
      <w:pPr>
        <w:pStyle w:val="20"/>
        <w:spacing w:line="440" w:lineRule="exact"/>
        <w:rPr>
          <w:rFonts w:hint="eastAsia" w:hAnsi="宋体"/>
          <w:b/>
          <w:color w:val="auto"/>
          <w:kern w:val="0"/>
          <w:highlight w:val="none"/>
        </w:rPr>
      </w:pPr>
    </w:p>
    <w:p w14:paraId="4062D7D6">
      <w:pPr>
        <w:pStyle w:val="20"/>
        <w:spacing w:line="720" w:lineRule="auto"/>
        <w:jc w:val="center"/>
        <w:rPr>
          <w:rFonts w:hint="eastAsia" w:ascii="仿宋_GB2312" w:hAnsi="宋体" w:eastAsia="仿宋_GB2312"/>
          <w:color w:val="auto"/>
          <w:highlight w:val="none"/>
        </w:rPr>
      </w:pPr>
      <w:r>
        <w:rPr>
          <w:rFonts w:ascii="仿宋_GB2312" w:hAnsi="宋体" w:eastAsia="仿宋_GB2312"/>
          <w:b/>
          <w:color w:val="auto"/>
          <w:kern w:val="0"/>
          <w:sz w:val="32"/>
          <w:szCs w:val="32"/>
          <w:highlight w:val="none"/>
        </w:rPr>
        <w:br w:type="page"/>
      </w:r>
      <w:r>
        <w:rPr>
          <w:rFonts w:hint="eastAsia" w:ascii="仿宋_GB2312" w:hAnsi="宋体" w:eastAsia="仿宋_GB2312"/>
          <w:b/>
          <w:color w:val="auto"/>
          <w:kern w:val="0"/>
          <w:sz w:val="32"/>
          <w:szCs w:val="32"/>
          <w:highlight w:val="none"/>
        </w:rPr>
        <w:t>评定标准</w:t>
      </w:r>
    </w:p>
    <w:p w14:paraId="4FE6AD94">
      <w:pPr>
        <w:pStyle w:val="20"/>
        <w:spacing w:line="380" w:lineRule="exact"/>
        <w:rPr>
          <w:rFonts w:hint="eastAsia" w:ascii="仿宋_GB2312" w:hAnsi="宋体" w:eastAsia="仿宋_GB2312"/>
          <w:color w:val="auto"/>
          <w:highlight w:val="none"/>
        </w:rPr>
      </w:pPr>
      <w:r>
        <w:rPr>
          <w:rFonts w:hint="eastAsia" w:hAnsi="宋体"/>
          <w:b/>
          <w:color w:val="auto"/>
          <w:highlight w:val="none"/>
        </w:rPr>
        <w:t>一、评审原则</w:t>
      </w:r>
    </w:p>
    <w:p w14:paraId="67D2937A">
      <w:pPr>
        <w:pStyle w:val="20"/>
        <w:spacing w:line="380" w:lineRule="exact"/>
        <w:rPr>
          <w:rFonts w:hint="eastAsia" w:ascii="Times New Roman" w:hAnsi="Times New Roman" w:cs="Times New Roman"/>
          <w:color w:val="auto"/>
          <w:highlight w:val="none"/>
        </w:rPr>
      </w:pPr>
      <w:r>
        <w:rPr>
          <w:rFonts w:hint="eastAsia" w:ascii="仿宋_GB2312" w:hAnsi="宋体" w:eastAsia="仿宋_GB2312"/>
          <w:color w:val="auto"/>
          <w:highlight w:val="none"/>
        </w:rPr>
        <w:t xml:space="preserve">    </w:t>
      </w:r>
      <w:r>
        <w:rPr>
          <w:rFonts w:hint="eastAsia" w:ascii="Times New Roman" w:hAnsi="Times New Roman" w:cs="Times New Roman"/>
          <w:color w:val="auto"/>
          <w:highlight w:val="none"/>
        </w:rPr>
        <w:t>（一）谈判小组成员组成：本竞争性谈判采购项目的谈判小组由采购人代表和评审专家共三人以上的单数组成（达到公开招标数额标准以上的项目，竞争性谈判小组成员由五人以上单数组成），其中评审专家的人数不得少于谈判小组成员总数的三分之二。</w:t>
      </w:r>
    </w:p>
    <w:p w14:paraId="72E28919">
      <w:pPr>
        <w:pStyle w:val="20"/>
        <w:spacing w:line="380" w:lineRule="exact"/>
        <w:rPr>
          <w:rFonts w:hint="eastAsia" w:ascii="Times New Roman" w:hAnsi="Times New Roman" w:cs="Times New Roman"/>
          <w:bCs/>
          <w:color w:val="auto"/>
          <w:highlight w:val="none"/>
        </w:rPr>
      </w:pPr>
      <w:r>
        <w:rPr>
          <w:rFonts w:hint="eastAsia" w:ascii="Times New Roman" w:hAnsi="Times New Roman" w:cs="Times New Roman"/>
          <w:color w:val="auto"/>
          <w:highlight w:val="none"/>
        </w:rPr>
        <w:t xml:space="preserve">    （二）评审依据：以竞争性谈判文件和竞争性</w:t>
      </w:r>
      <w:r>
        <w:rPr>
          <w:rFonts w:hint="eastAsia" w:ascii="Times New Roman" w:hAnsi="Times New Roman" w:cs="Times New Roman"/>
          <w:bCs/>
          <w:color w:val="auto"/>
          <w:highlight w:val="none"/>
        </w:rPr>
        <w:t>谈判响应文件为依据</w:t>
      </w:r>
      <w:r>
        <w:rPr>
          <w:rFonts w:hint="eastAsia"/>
          <w:bCs/>
          <w:color w:val="auto"/>
          <w:highlight w:val="none"/>
        </w:rPr>
        <w:t>。</w:t>
      </w:r>
    </w:p>
    <w:p w14:paraId="1812C552">
      <w:pPr>
        <w:pStyle w:val="20"/>
        <w:spacing w:line="380" w:lineRule="exact"/>
        <w:rPr>
          <w:rFonts w:hint="eastAsia" w:hAnsi="宋体"/>
          <w:b/>
          <w:bCs/>
          <w:color w:val="auto"/>
          <w:highlight w:val="none"/>
        </w:rPr>
      </w:pPr>
      <w:r>
        <w:rPr>
          <w:rFonts w:hint="eastAsia" w:hAnsi="宋体"/>
          <w:b/>
          <w:bCs/>
          <w:color w:val="auto"/>
          <w:highlight w:val="none"/>
        </w:rPr>
        <w:t>二、评标方法</w:t>
      </w:r>
    </w:p>
    <w:p w14:paraId="14585EC9">
      <w:pPr>
        <w:pStyle w:val="20"/>
        <w:spacing w:line="380" w:lineRule="exact"/>
        <w:rPr>
          <w:rFonts w:hint="eastAsia" w:hAnsi="宋体" w:cs="宋体"/>
          <w:color w:val="auto"/>
          <w:kern w:val="0"/>
          <w:highlight w:val="none"/>
        </w:rPr>
      </w:pPr>
      <w:r>
        <w:rPr>
          <w:rFonts w:hint="eastAsia" w:hAnsi="宋体"/>
          <w:b/>
          <w:bCs/>
          <w:color w:val="auto"/>
          <w:highlight w:val="none"/>
        </w:rPr>
        <w:t xml:space="preserve">    </w:t>
      </w:r>
      <w:r>
        <w:rPr>
          <w:rFonts w:hint="eastAsia" w:hAnsi="宋体"/>
          <w:b/>
          <w:bCs/>
          <w:color w:val="auto"/>
          <w:highlight w:val="none"/>
          <w:lang w:eastAsia="zh-CN"/>
        </w:rPr>
        <w:t>（</w:t>
      </w:r>
      <w:r>
        <w:rPr>
          <w:rFonts w:hint="eastAsia" w:hAnsi="宋体"/>
          <w:b/>
          <w:bCs/>
          <w:color w:val="auto"/>
          <w:highlight w:val="none"/>
          <w:lang w:val="en-US" w:eastAsia="zh-CN"/>
        </w:rPr>
        <w:t>1）</w:t>
      </w:r>
      <w:r>
        <w:rPr>
          <w:rFonts w:hint="eastAsia" w:hAnsi="宋体" w:cs="宋体"/>
          <w:color w:val="auto"/>
          <w:kern w:val="0"/>
          <w:highlight w:val="none"/>
        </w:rPr>
        <w:t>对资格性和符合性检查合格的竞争性谈判响应文件，采用</w:t>
      </w:r>
      <w:r>
        <w:rPr>
          <w:rFonts w:hint="eastAsia" w:hAnsi="宋体" w:cs="宋体"/>
          <w:b/>
          <w:color w:val="auto"/>
          <w:kern w:val="0"/>
          <w:highlight w:val="none"/>
        </w:rPr>
        <w:t>最低评标价法</w:t>
      </w:r>
      <w:r>
        <w:rPr>
          <w:rFonts w:hint="eastAsia" w:hAnsi="宋体" w:cs="宋体"/>
          <w:color w:val="auto"/>
          <w:kern w:val="0"/>
          <w:highlight w:val="none"/>
        </w:rPr>
        <w:t>进行评审。</w:t>
      </w:r>
    </w:p>
    <w:p w14:paraId="66998338">
      <w:pPr>
        <w:pStyle w:val="20"/>
        <w:spacing w:line="380" w:lineRule="exact"/>
        <w:rPr>
          <w:rFonts w:hint="eastAsia" w:hAnsi="宋体" w:cs="宋体"/>
          <w:color w:val="auto"/>
          <w:kern w:val="0"/>
          <w:highlight w:val="none"/>
        </w:rPr>
      </w:pPr>
      <w:r>
        <w:rPr>
          <w:rFonts w:hint="eastAsia" w:hAnsi="宋体" w:cs="宋体"/>
          <w:color w:val="auto"/>
          <w:kern w:val="0"/>
          <w:highlight w:val="none"/>
        </w:rPr>
        <w:t xml:space="preserve">    </w:t>
      </w:r>
      <w:r>
        <w:rPr>
          <w:rFonts w:hint="eastAsia" w:hAnsi="宋体" w:cs="宋体"/>
          <w:color w:val="auto"/>
          <w:kern w:val="0"/>
          <w:highlight w:val="none"/>
          <w:lang w:eastAsia="zh-CN"/>
        </w:rPr>
        <w:t>（</w:t>
      </w:r>
      <w:r>
        <w:rPr>
          <w:rFonts w:hint="eastAsia" w:hAnsi="宋体" w:cs="宋体"/>
          <w:color w:val="auto"/>
          <w:kern w:val="0"/>
          <w:highlight w:val="none"/>
          <w:lang w:val="en-US" w:eastAsia="zh-CN"/>
        </w:rPr>
        <w:t>2）</w:t>
      </w:r>
      <w:r>
        <w:rPr>
          <w:rFonts w:hint="eastAsia" w:hAnsi="宋体" w:cs="宋体"/>
          <w:color w:val="auto"/>
          <w:kern w:val="0"/>
          <w:highlight w:val="none"/>
        </w:rPr>
        <w:t>谈判小组将以</w:t>
      </w:r>
      <w:r>
        <w:rPr>
          <w:rFonts w:hint="eastAsia" w:hAnsi="宋体"/>
          <w:color w:val="auto"/>
          <w:highlight w:val="none"/>
        </w:rPr>
        <w:t>竞争性</w:t>
      </w:r>
      <w:r>
        <w:rPr>
          <w:rFonts w:hint="eastAsia" w:hAnsi="宋体" w:cs="宋体"/>
          <w:color w:val="auto"/>
          <w:kern w:val="0"/>
          <w:highlight w:val="none"/>
        </w:rPr>
        <w:t>谈判文件、竞争性谈判响应文件为评审依据，在质量和服务均能满足</w:t>
      </w:r>
      <w:r>
        <w:rPr>
          <w:rFonts w:hint="eastAsia" w:hAnsi="宋体"/>
          <w:color w:val="auto"/>
          <w:highlight w:val="none"/>
        </w:rPr>
        <w:t>竞争性</w:t>
      </w:r>
      <w:r>
        <w:rPr>
          <w:rFonts w:hint="eastAsia" w:hAnsi="宋体" w:cs="宋体"/>
          <w:color w:val="auto"/>
          <w:kern w:val="0"/>
          <w:highlight w:val="none"/>
        </w:rPr>
        <w:t>谈判文件实质性响应要求的供应商中，以提出最后报价最低的供应商作为成交供应商。合同按谈判供应商实际提出的最后报价签订。</w:t>
      </w:r>
    </w:p>
    <w:p w14:paraId="461D7DA0">
      <w:pPr>
        <w:pStyle w:val="14"/>
        <w:rPr>
          <w:color w:val="auto"/>
          <w:highlight w:val="none"/>
        </w:rPr>
      </w:pPr>
      <w:r>
        <w:rPr>
          <w:rFonts w:hint="eastAsia" w:hAnsi="宋体" w:cs="宋体"/>
          <w:color w:val="auto"/>
          <w:kern w:val="0"/>
          <w:highlight w:val="none"/>
        </w:rPr>
        <w:t xml:space="preserve">    </w:t>
      </w:r>
      <w:r>
        <w:rPr>
          <w:rFonts w:hint="eastAsia" w:ascii="宋体" w:hAnsi="宋体" w:eastAsia="宋体" w:cs="宋体"/>
          <w:color w:val="auto"/>
          <w:kern w:val="0"/>
          <w:szCs w:val="21"/>
          <w:highlight w:val="none"/>
          <w:lang w:val="en-US" w:eastAsia="zh-CN"/>
        </w:rPr>
        <w:t>(3)</w:t>
      </w:r>
      <w:r>
        <w:rPr>
          <w:color w:val="auto"/>
          <w:highlight w:val="none"/>
        </w:rPr>
        <w:t>本项目为</w:t>
      </w:r>
      <w:r>
        <w:rPr>
          <w:rFonts w:hint="eastAsia"/>
          <w:color w:val="auto"/>
          <w:highlight w:val="none"/>
        </w:rPr>
        <w:t>专门面向中小企业采购的项目，不再执行价格评审优惠的扶持政策。</w:t>
      </w:r>
    </w:p>
    <w:p w14:paraId="7C6771E1">
      <w:pPr>
        <w:pStyle w:val="20"/>
        <w:spacing w:line="380" w:lineRule="exact"/>
        <w:ind w:firstLine="420"/>
        <w:rPr>
          <w:rFonts w:hint="eastAsia"/>
          <w:color w:val="auto"/>
          <w:highlight w:val="none"/>
        </w:rPr>
      </w:pPr>
      <w:r>
        <w:rPr>
          <w:rFonts w:hint="eastAsia" w:hAnsi="宋体" w:cs="宋体"/>
          <w:color w:val="auto"/>
          <w:highlight w:val="none"/>
          <w:lang w:val="en-US" w:eastAsia="zh-CN"/>
        </w:rPr>
        <w:t>(4)</w:t>
      </w:r>
      <w:r>
        <w:rPr>
          <w:rFonts w:hint="eastAsia" w:hAnsi="宋体" w:cs="宋体"/>
          <w:color w:val="auto"/>
          <w:highlight w:val="none"/>
        </w:rPr>
        <w:t>按照</w:t>
      </w:r>
      <w:r>
        <w:rPr>
          <w:rFonts w:hint="eastAsia"/>
          <w:color w:val="auto"/>
          <w:highlight w:val="none"/>
        </w:rPr>
        <w:t>《</w:t>
      </w:r>
      <w:r>
        <w:rPr>
          <w:color w:val="auto"/>
          <w:highlight w:val="none"/>
        </w:rPr>
        <w:t>关于政府采购支持监狱企业发展有关问题的通知</w:t>
      </w:r>
      <w:r>
        <w:rPr>
          <w:rFonts w:hint="eastAsia"/>
          <w:color w:val="auto"/>
          <w:highlight w:val="none"/>
        </w:rPr>
        <w:t>》(</w:t>
      </w:r>
      <w:r>
        <w:rPr>
          <w:color w:val="auto"/>
          <w:highlight w:val="none"/>
        </w:rPr>
        <w:t>财库</w:t>
      </w:r>
      <w:r>
        <w:rPr>
          <w:rFonts w:hint="eastAsia"/>
          <w:color w:val="auto"/>
          <w:highlight w:val="none"/>
        </w:rPr>
        <w:t>〔</w:t>
      </w:r>
      <w:r>
        <w:rPr>
          <w:color w:val="auto"/>
          <w:highlight w:val="none"/>
        </w:rPr>
        <w:t>2014</w:t>
      </w:r>
      <w:r>
        <w:rPr>
          <w:rFonts w:hint="eastAsia"/>
          <w:color w:val="auto"/>
          <w:highlight w:val="none"/>
        </w:rPr>
        <w:t>〕</w:t>
      </w:r>
      <w:r>
        <w:rPr>
          <w:color w:val="auto"/>
          <w:highlight w:val="none"/>
        </w:rPr>
        <w:t>68号</w:t>
      </w:r>
      <w:r>
        <w:rPr>
          <w:rFonts w:hint="eastAsia"/>
          <w:color w:val="auto"/>
          <w:highlight w:val="none"/>
        </w:rPr>
        <w:t>)认定为</w:t>
      </w:r>
      <w:r>
        <w:rPr>
          <w:color w:val="auto"/>
          <w:highlight w:val="none"/>
        </w:rPr>
        <w:t>监狱企业</w:t>
      </w:r>
      <w:r>
        <w:rPr>
          <w:rFonts w:hint="eastAsia"/>
          <w:color w:val="auto"/>
          <w:highlight w:val="none"/>
        </w:rPr>
        <w:t>的，</w:t>
      </w:r>
      <w:r>
        <w:rPr>
          <w:color w:val="auto"/>
          <w:highlight w:val="none"/>
        </w:rPr>
        <w:t>在政府采购活动中，监狱企业视同小型、微型企业。监狱企业参加政府采购活动时，应当提供由省级以上监狱管理局、戒毒管理局(含新疆生产建设兵团)出具的属于监狱企业的证明文件。</w:t>
      </w:r>
    </w:p>
    <w:p w14:paraId="3A0181A7">
      <w:pPr>
        <w:pStyle w:val="20"/>
        <w:spacing w:line="380" w:lineRule="exact"/>
        <w:ind w:firstLine="420"/>
        <w:rPr>
          <w:rFonts w:hint="eastAsia"/>
          <w:color w:val="auto"/>
          <w:highlight w:val="none"/>
        </w:rPr>
      </w:pPr>
      <w:r>
        <w:rPr>
          <w:rFonts w:hint="eastAsia"/>
          <w:color w:val="auto"/>
          <w:highlight w:val="none"/>
          <w:lang w:val="en-US" w:eastAsia="zh-CN"/>
        </w:rPr>
        <w:t>(5)</w:t>
      </w:r>
      <w:r>
        <w:rPr>
          <w:rFonts w:hint="eastAsia"/>
          <w:color w:val="auto"/>
          <w:highlight w:val="none"/>
        </w:rPr>
        <w:t>符合《关于促进残疾人就业政府采购政策的通知》(财库〔2017〕141号)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w:t>
      </w:r>
    </w:p>
    <w:p w14:paraId="2139D0D4">
      <w:pPr>
        <w:keepNext w:val="0"/>
        <w:keepLines w:val="0"/>
        <w:pageBreakBefore w:val="0"/>
        <w:kinsoku/>
        <w:wordWrap/>
        <w:overflowPunct/>
        <w:topLinePunct w:val="0"/>
        <w:autoSpaceDE/>
        <w:autoSpaceDN/>
        <w:bidi w:val="0"/>
        <w:snapToGrid w:val="0"/>
        <w:spacing w:line="400" w:lineRule="exact"/>
        <w:ind w:firstLine="420" w:firstLineChars="200"/>
        <w:rPr>
          <w:rFonts w:hint="eastAsia" w:ascii="宋体" w:hAnsi="宋体" w:eastAsia="宋体" w:cs="宋体"/>
          <w:bCs/>
          <w:color w:val="auto"/>
          <w:szCs w:val="21"/>
          <w:highlight w:val="none"/>
        </w:rPr>
      </w:pPr>
      <w:r>
        <w:rPr>
          <w:rFonts w:hint="eastAsia"/>
          <w:color w:val="auto"/>
          <w:highlight w:val="none"/>
          <w:lang w:val="en-US" w:eastAsia="zh-CN"/>
        </w:rPr>
        <w:t>(6)</w:t>
      </w:r>
      <w:r>
        <w:rPr>
          <w:rFonts w:hint="eastAsia" w:ascii="宋体" w:hAnsi="宋体" w:eastAsia="宋体" w:cs="宋体"/>
          <w:b w:val="0"/>
          <w:bCs w:val="0"/>
          <w:color w:val="auto"/>
          <w:sz w:val="21"/>
          <w:szCs w:val="21"/>
          <w:highlight w:val="none"/>
        </w:rPr>
        <w:t>根据《国务院办公厅关于在政府采购中实施本国产品标准及相关政策的通知》（国办发〔2025〕34号）的规定，供应商对其提供的产品出具符合要求的《关于符合本国产品标准的声明函》</w:t>
      </w:r>
      <w:r>
        <w:rPr>
          <w:rFonts w:hint="eastAsia" w:ascii="宋体" w:hAnsi="宋体" w:eastAsia="宋体" w:cs="宋体"/>
          <w:b w:val="0"/>
          <w:bCs w:val="0"/>
          <w:color w:val="auto"/>
          <w:sz w:val="21"/>
          <w:szCs w:val="21"/>
          <w:highlight w:val="none"/>
          <w:lang w:eastAsia="zh-CN"/>
        </w:rPr>
        <w:t>，该产品视为本国产品。</w:t>
      </w:r>
      <w:r>
        <w:rPr>
          <w:rFonts w:hint="eastAsia" w:ascii="宋体" w:hAnsi="宋体" w:eastAsia="宋体" w:cs="宋体"/>
          <w:b w:val="0"/>
          <w:bCs w:val="0"/>
          <w:color w:val="auto"/>
          <w:sz w:val="21"/>
          <w:szCs w:val="21"/>
          <w:highlight w:val="no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46DED1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注：本国产品价格扣除政策与中小企业、监狱企业、残疾人福利性单位价格扣除政策可重复享受。</w:t>
      </w:r>
    </w:p>
    <w:p w14:paraId="7254752A">
      <w:pPr>
        <w:pStyle w:val="20"/>
        <w:spacing w:line="380" w:lineRule="exact"/>
        <w:rPr>
          <w:rFonts w:hint="eastAsia"/>
          <w:b/>
          <w:color w:val="auto"/>
          <w:highlight w:val="none"/>
        </w:rPr>
      </w:pPr>
      <w:r>
        <w:rPr>
          <w:rFonts w:hint="eastAsia"/>
          <w:b/>
          <w:color w:val="auto"/>
          <w:highlight w:val="none"/>
        </w:rPr>
        <w:t>三、成交候选人推荐原则</w:t>
      </w:r>
    </w:p>
    <w:p w14:paraId="0612BB80">
      <w:pPr>
        <w:pStyle w:val="20"/>
        <w:spacing w:line="380" w:lineRule="exact"/>
        <w:rPr>
          <w:rFonts w:hint="eastAsia" w:ascii="Times New Roman" w:hAnsi="Times New Roman" w:cs="Times New Roman"/>
          <w:bCs/>
          <w:color w:val="auto"/>
          <w:highlight w:val="none"/>
        </w:rPr>
      </w:pPr>
      <w:r>
        <w:rPr>
          <w:rFonts w:hint="eastAsia"/>
          <w:b/>
          <w:color w:val="auto"/>
          <w:highlight w:val="none"/>
        </w:rPr>
        <w:t xml:space="preserve">    </w:t>
      </w:r>
      <w:r>
        <w:rPr>
          <w:rFonts w:hint="eastAsia" w:ascii="Times New Roman" w:hAnsi="Times New Roman" w:cs="Times New Roman"/>
          <w:color w:val="auto"/>
          <w:highlight w:val="none"/>
        </w:rPr>
        <w:t>（一）竞争性谈判响应文件</w:t>
      </w:r>
      <w:r>
        <w:rPr>
          <w:rFonts w:hint="eastAsia"/>
          <w:color w:val="auto"/>
          <w:highlight w:val="none"/>
        </w:rPr>
        <w:t>在</w:t>
      </w:r>
      <w:r>
        <w:rPr>
          <w:rFonts w:hint="eastAsia" w:hAnsi="宋体" w:cs="宋体"/>
          <w:color w:val="auto"/>
          <w:kern w:val="0"/>
          <w:highlight w:val="none"/>
        </w:rPr>
        <w:t>质量和服务均能满足</w:t>
      </w:r>
      <w:r>
        <w:rPr>
          <w:rFonts w:hint="eastAsia" w:hAnsi="宋体"/>
          <w:color w:val="auto"/>
          <w:highlight w:val="none"/>
        </w:rPr>
        <w:t>竞争性</w:t>
      </w:r>
      <w:r>
        <w:rPr>
          <w:rFonts w:hint="eastAsia" w:hAnsi="宋体" w:cs="宋体"/>
          <w:color w:val="auto"/>
          <w:kern w:val="0"/>
          <w:highlight w:val="none"/>
        </w:rPr>
        <w:t>谈判文件实质性响应要求时</w:t>
      </w:r>
      <w:r>
        <w:rPr>
          <w:rFonts w:hint="eastAsia" w:ascii="Times New Roman" w:hAnsi="Times New Roman" w:cs="Times New Roman"/>
          <w:bCs/>
          <w:color w:val="auto"/>
          <w:highlight w:val="none"/>
        </w:rPr>
        <w:t>，谈判小组将按最后报价由低到高顺序推荐3名以上成交候选人（最后报价相同时，</w:t>
      </w:r>
      <w:r>
        <w:rPr>
          <w:rFonts w:hint="eastAsia" w:hAnsi="宋体"/>
          <w:color w:val="auto"/>
          <w:highlight w:val="none"/>
        </w:rPr>
        <w:t>依次按节能环保和自主创新产品优先、技术指标高优先、质量保证期长优先、交货时间短优先、故障响应时间短优先的顺序排列</w:t>
      </w:r>
      <w:r>
        <w:rPr>
          <w:rFonts w:hint="eastAsia" w:ascii="Times New Roman" w:hAnsi="Times New Roman" w:cs="Times New Roman"/>
          <w:bCs/>
          <w:color w:val="auto"/>
          <w:highlight w:val="none"/>
        </w:rPr>
        <w:t>确定排序，并按确定排序由低到高的原则推荐成交候选人）。采购人应当确定谈判小组推荐排名第一的成交候选人为成交</w:t>
      </w:r>
      <w:r>
        <w:rPr>
          <w:rFonts w:hint="eastAsia"/>
          <w:bCs/>
          <w:color w:val="auto"/>
          <w:highlight w:val="none"/>
        </w:rPr>
        <w:t>供应商</w:t>
      </w:r>
      <w:r>
        <w:rPr>
          <w:rFonts w:hint="eastAsia" w:ascii="Times New Roman" w:hAnsi="Times New Roman" w:cs="Times New Roman"/>
          <w:bCs/>
          <w:color w:val="auto"/>
          <w:highlight w:val="none"/>
        </w:rPr>
        <w:t>。排名第一的成交候选人</w:t>
      </w:r>
      <w:r>
        <w:rPr>
          <w:rFonts w:hint="eastAsia" w:hAnsi="宋体" w:cs="宋体"/>
          <w:color w:val="auto"/>
          <w:kern w:val="0"/>
          <w:highlight w:val="none"/>
        </w:rPr>
        <w:t>拒绝签订政府采购合同的</w:t>
      </w:r>
      <w:r>
        <w:rPr>
          <w:rFonts w:hint="eastAsia" w:ascii="Times New Roman" w:hAnsi="Times New Roman" w:cs="Times New Roman"/>
          <w:bCs/>
          <w:color w:val="auto"/>
          <w:highlight w:val="none"/>
        </w:rPr>
        <w:t>，采购人可以确定排名第二的成交候选人为成交</w:t>
      </w:r>
      <w:r>
        <w:rPr>
          <w:rFonts w:hint="eastAsia"/>
          <w:bCs/>
          <w:color w:val="auto"/>
          <w:highlight w:val="none"/>
        </w:rPr>
        <w:t>供应商</w:t>
      </w:r>
      <w:r>
        <w:rPr>
          <w:rFonts w:hint="eastAsia" w:ascii="Times New Roman" w:hAnsi="Times New Roman" w:cs="Times New Roman"/>
          <w:bCs/>
          <w:color w:val="auto"/>
          <w:highlight w:val="none"/>
        </w:rPr>
        <w:t>。排名第二的成交候选人因前款规定的同样原因不能签订合同的，采购人可以确定排名第三的成交候选人为成交</w:t>
      </w:r>
      <w:r>
        <w:rPr>
          <w:rFonts w:hint="eastAsia"/>
          <w:bCs/>
          <w:color w:val="auto"/>
          <w:highlight w:val="none"/>
        </w:rPr>
        <w:t>供应商</w:t>
      </w:r>
      <w:r>
        <w:rPr>
          <w:rFonts w:hint="eastAsia" w:ascii="Times New Roman" w:hAnsi="Times New Roman" w:cs="Times New Roman"/>
          <w:bCs/>
          <w:color w:val="auto"/>
          <w:highlight w:val="none"/>
        </w:rPr>
        <w:t>。采购人也可以决定重新采购。</w:t>
      </w:r>
      <w:r>
        <w:rPr>
          <w:rFonts w:hint="eastAsia" w:hAnsi="宋体" w:cs="Times New Roman"/>
          <w:color w:val="auto"/>
          <w:highlight w:val="none"/>
        </w:rPr>
        <w:t>对采购过程、成交结果提出的质疑</w:t>
      </w:r>
      <w:r>
        <w:rPr>
          <w:rFonts w:hAnsi="宋体" w:cs="Times New Roman"/>
          <w:color w:val="auto"/>
          <w:highlight w:val="none"/>
        </w:rPr>
        <w:t>成立</w:t>
      </w:r>
      <w:r>
        <w:rPr>
          <w:rFonts w:hint="eastAsia" w:hAnsi="宋体" w:cs="Times New Roman"/>
          <w:color w:val="auto"/>
          <w:highlight w:val="none"/>
        </w:rPr>
        <w:t>后取</w:t>
      </w:r>
      <w:r>
        <w:rPr>
          <w:rFonts w:hint="eastAsia" w:hAnsi="宋体"/>
          <w:color w:val="auto"/>
          <w:highlight w:val="none"/>
        </w:rPr>
        <w:t>消成交资格</w:t>
      </w:r>
      <w:r>
        <w:rPr>
          <w:rFonts w:hint="eastAsia" w:hAnsi="宋体" w:cs="Times New Roman"/>
          <w:color w:val="auto"/>
          <w:highlight w:val="none"/>
        </w:rPr>
        <w:t>，合格供应商符合法定数量时，可以从合格的成交候选人中另行确定成交供应商的，应当依法另行确定成交供应商，否则应当重新开展采购活动。</w:t>
      </w:r>
    </w:p>
    <w:p w14:paraId="70C9922D">
      <w:pPr>
        <w:pStyle w:val="20"/>
        <w:spacing w:line="380" w:lineRule="exact"/>
        <w:rPr>
          <w:rFonts w:hint="eastAsia"/>
          <w:color w:val="auto"/>
          <w:highlight w:val="none"/>
        </w:rPr>
      </w:pPr>
      <w:r>
        <w:rPr>
          <w:rFonts w:hint="eastAsia" w:ascii="Times New Roman" w:hAnsi="Times New Roman" w:cs="Times New Roman"/>
          <w:bCs/>
          <w:color w:val="auto"/>
          <w:highlight w:val="none"/>
        </w:rPr>
        <w:t xml:space="preserve">    </w:t>
      </w:r>
      <w:r>
        <w:rPr>
          <w:rFonts w:hint="eastAsia"/>
          <w:color w:val="auto"/>
          <w:highlight w:val="none"/>
        </w:rPr>
        <w:t>（二）异常低价审查：具体详见第</w:t>
      </w:r>
      <w:r>
        <w:rPr>
          <w:rFonts w:hint="eastAsia"/>
          <w:color w:val="auto"/>
          <w:highlight w:val="none"/>
          <w:lang w:val="en-US" w:eastAsia="zh-CN"/>
        </w:rPr>
        <w:t>二</w:t>
      </w:r>
      <w:r>
        <w:rPr>
          <w:rFonts w:hint="eastAsia"/>
          <w:color w:val="auto"/>
          <w:highlight w:val="none"/>
        </w:rPr>
        <w:t>章《</w:t>
      </w:r>
      <w:r>
        <w:rPr>
          <w:rFonts w:hint="eastAsia"/>
          <w:color w:val="auto"/>
          <w:highlight w:val="none"/>
          <w:lang w:val="en-US" w:eastAsia="zh-CN"/>
        </w:rPr>
        <w:t>谈判供应商</w:t>
      </w:r>
      <w:r>
        <w:rPr>
          <w:rFonts w:hint="eastAsia"/>
          <w:color w:val="auto"/>
          <w:highlight w:val="none"/>
        </w:rPr>
        <w:t>须知》</w:t>
      </w:r>
      <w:r>
        <w:rPr>
          <w:rFonts w:hint="eastAsia"/>
          <w:color w:val="auto"/>
          <w:highlight w:val="none"/>
          <w:lang w:val="en-US" w:eastAsia="zh-CN"/>
        </w:rPr>
        <w:t>内容</w:t>
      </w:r>
      <w:r>
        <w:rPr>
          <w:rFonts w:hint="eastAsia"/>
          <w:color w:val="auto"/>
          <w:highlight w:val="none"/>
        </w:rPr>
        <w:t>。</w:t>
      </w:r>
    </w:p>
    <w:sectPr>
      <w:footerReference r:id="rId8" w:type="first"/>
      <w:headerReference r:id="rId5" w:type="default"/>
      <w:footerReference r:id="rId6" w:type="default"/>
      <w:footerReference r:id="rId7" w:type="even"/>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053CECE-384A-4020-A7FB-807904B4E2B6}"/>
  </w:font>
  <w:font w:name="黑体">
    <w:panose1 w:val="02010609060101010101"/>
    <w:charset w:val="86"/>
    <w:family w:val="auto"/>
    <w:pitch w:val="default"/>
    <w:sig w:usb0="800002BF" w:usb1="38CF7CFA" w:usb2="00000016" w:usb3="00000000" w:csb0="00040001" w:csb1="00000000"/>
    <w:embedRegular r:id="rId2" w:fontKey="{10346BB8-6FC6-42CF-84C4-145E83CAB0D7}"/>
  </w:font>
  <w:font w:name="Courier New">
    <w:panose1 w:val="02070309020205020404"/>
    <w:charset w:val="01"/>
    <w:family w:val="modern"/>
    <w:pitch w:val="default"/>
    <w:sig w:usb0="E0002EFF" w:usb1="C0007843" w:usb2="00000009" w:usb3="00000000" w:csb0="400001FF" w:csb1="FFFF0000"/>
    <w:embedRegular r:id="rId3" w:fontKey="{6CF5F900-84C5-433C-A2AF-F36680C1FC4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4" w:fontKey="{2F40BC8B-BF6C-4DC3-A015-9631699BBAD5}"/>
  </w:font>
  <w:font w:name="仿宋">
    <w:panose1 w:val="02010609060101010101"/>
    <w:charset w:val="86"/>
    <w:family w:val="modern"/>
    <w:pitch w:val="default"/>
    <w:sig w:usb0="800002BF" w:usb1="38CF7CFA" w:usb2="00000016" w:usb3="00000000" w:csb0="00040001" w:csb1="00000000"/>
    <w:embedRegular r:id="rId5" w:fontKey="{B2233934-52A2-4D50-8F86-986CB003924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embedRegular r:id="rId6" w:fontKey="{EC5DA5D2-727F-4C49-9753-0B68D62D6F04}"/>
  </w:font>
  <w:font w:name="楷体">
    <w:panose1 w:val="02010609060101010101"/>
    <w:charset w:val="86"/>
    <w:family w:val="modern"/>
    <w:pitch w:val="default"/>
    <w:sig w:usb0="800002BF" w:usb1="38CF7CFA" w:usb2="00000016" w:usb3="00000000" w:csb0="00040001" w:csb1="00000000"/>
    <w:embedRegular r:id="rId7" w:fontKey="{BC6C2FA9-3E0D-49B8-8391-DCF0288227ED}"/>
  </w:font>
  <w:font w:name="Arial Unicode MS">
    <w:altName w:val="宋体"/>
    <w:panose1 w:val="020B0604020202020204"/>
    <w:charset w:val="86"/>
    <w:family w:val="swiss"/>
    <w:pitch w:val="default"/>
    <w:sig w:usb0="00000000" w:usb1="00000000" w:usb2="0000003F" w:usb3="00000000" w:csb0="603F01FF" w:csb1="FFFF0000"/>
    <w:embedRegular r:id="rId8" w:fontKey="{E3992BB5-BCEA-4E14-AF55-251FC2506349}"/>
  </w:font>
  <w:font w:name="微软雅黑">
    <w:panose1 w:val="020B0503020204020204"/>
    <w:charset w:val="86"/>
    <w:family w:val="swiss"/>
    <w:pitch w:val="default"/>
    <w:sig w:usb0="80000287" w:usb1="2ACF3C50" w:usb2="00000016" w:usb3="00000000" w:csb0="0004001F" w:csb1="00000000"/>
    <w:embedRegular r:id="rId9" w:fontKey="{E1BE7140-BB9D-445E-9182-9E9F7181C09A}"/>
  </w:font>
  <w:font w:name="Segoe UI">
    <w:panose1 w:val="020B0502040204020203"/>
    <w:charset w:val="00"/>
    <w:family w:val="auto"/>
    <w:pitch w:val="default"/>
    <w:sig w:usb0="E4002EFF" w:usb1="C000E47F" w:usb2="00000009" w:usb3="00000000" w:csb0="200001FF" w:csb1="00000000"/>
    <w:embedRegular r:id="rId10" w:fontKey="{5040E154-6491-48CA-8A16-F9B0AF9B222A}"/>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8EDC4">
    <w:pPr>
      <w:pStyle w:val="2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A049D">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72A049D">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6BF5E">
    <w:pPr>
      <w:pStyle w:val="2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35983">
                          <w:pPr>
                            <w:pStyle w:val="24"/>
                            <w:rPr>
                              <w:rStyle w:val="41"/>
                            </w:rPr>
                          </w:pPr>
                          <w:r>
                            <w:fldChar w:fldCharType="begin"/>
                          </w:r>
                          <w:r>
                            <w:rPr>
                              <w:rStyle w:val="41"/>
                            </w:rPr>
                            <w:instrText xml:space="preserve">PAGE  </w:instrText>
                          </w:r>
                          <w:r>
                            <w:fldChar w:fldCharType="separate"/>
                          </w:r>
                          <w:r>
                            <w:rPr>
                              <w:rStyle w:val="41"/>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135983">
                    <w:pPr>
                      <w:pStyle w:val="24"/>
                      <w:rPr>
                        <w:rStyle w:val="41"/>
                      </w:rPr>
                    </w:pPr>
                    <w:r>
                      <w:fldChar w:fldCharType="begin"/>
                    </w:r>
                    <w:r>
                      <w:rPr>
                        <w:rStyle w:val="41"/>
                      </w:rPr>
                      <w:instrText xml:space="preserve">PAGE  </w:instrText>
                    </w:r>
                    <w:r>
                      <w:fldChar w:fldCharType="separate"/>
                    </w:r>
                    <w:r>
                      <w:rPr>
                        <w:rStyle w:val="41"/>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E026E">
    <w:pPr>
      <w:pStyle w:val="24"/>
      <w:framePr w:wrap="around" w:vAnchor="text" w:hAnchor="margin" w:xAlign="center" w:y="1"/>
      <w:rPr>
        <w:rStyle w:val="41"/>
      </w:rPr>
    </w:pPr>
    <w:r>
      <w:fldChar w:fldCharType="begin"/>
    </w:r>
    <w:r>
      <w:rPr>
        <w:rStyle w:val="41"/>
      </w:rPr>
      <w:instrText xml:space="preserve">PAGE  </w:instrText>
    </w:r>
    <w:r>
      <w:fldChar w:fldCharType="end"/>
    </w:r>
  </w:p>
  <w:p w14:paraId="37E8AAB2">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711CE">
    <w:pPr>
      <w:pStyle w:val="24"/>
      <w:ind w:right="360"/>
      <w:jc w:val="both"/>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67320">
                          <w:pPr>
                            <w:pStyle w:val="24"/>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9C67320">
                    <w:pPr>
                      <w:pStyle w:val="24"/>
                    </w:pPr>
                    <w:r>
                      <w:fldChar w:fldCharType="begin"/>
                    </w:r>
                    <w:r>
                      <w:instrText xml:space="preserve"> PAGE  \* MERGEFORMAT </w:instrText>
                    </w:r>
                    <w:r>
                      <w:fldChar w:fldCharType="separate"/>
                    </w:r>
                    <w:r>
                      <w:t>88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FE125">
    <w:pPr>
      <w:pStyle w:val="25"/>
      <w:jc w:val="right"/>
    </w:pPr>
    <w:r>
      <w:rPr>
        <w:rFonts w:hint="eastAsia"/>
        <w:lang w:eastAsia="zh-CN"/>
      </w:rPr>
      <w:t>安全生产智慧实训基地专用设备采购（GXZC2026-J1-001734-GLZB）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B2A67">
    <w:pPr>
      <w:pStyle w:val="25"/>
      <w:wordWrap w:val="0"/>
      <w:jc w:val="right"/>
      <w:rPr>
        <w:rFonts w:hint="eastAsia"/>
      </w:rPr>
    </w:pPr>
    <w:r>
      <w:rPr>
        <w:rFonts w:hint="eastAsia" w:ascii="宋体" w:hAnsi="宋体" w:eastAsia="宋体" w:cs="宋体"/>
        <w:lang w:eastAsia="zh-CN"/>
      </w:rPr>
      <w:t>安全生产智慧实训基地专用设备采购</w:t>
    </w:r>
    <w:r>
      <w:rPr>
        <w:rFonts w:hint="eastAsia" w:ascii="宋体" w:hAnsi="宋体" w:eastAsia="宋体" w:cs="宋体"/>
      </w:rPr>
      <w:t>（GXZC2026-J1-001734-GLZB</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8"/>
      <w:lvlText w:val="%1."/>
      <w:lvlJc w:val="left"/>
      <w:pPr>
        <w:tabs>
          <w:tab w:val="left" w:pos="1200"/>
        </w:tabs>
        <w:ind w:left="1200" w:hanging="360"/>
      </w:pPr>
    </w:lvl>
  </w:abstractNum>
  <w:abstractNum w:abstractNumId="1">
    <w:nsid w:val="2E1465B9"/>
    <w:multiLevelType w:val="multilevel"/>
    <w:tmpl w:val="2E1465B9"/>
    <w:lvl w:ilvl="0" w:tentative="0">
      <w:start w:val="1"/>
      <w:numFmt w:val="decimal"/>
      <w:lvlText w:val="%1、"/>
      <w:lvlJc w:val="left"/>
      <w:pPr>
        <w:ind w:left="795" w:hanging="360"/>
      </w:pPr>
      <w:rPr>
        <w:rFonts w:hint="default"/>
      </w:rPr>
    </w:lvl>
    <w:lvl w:ilvl="1" w:tentative="0">
      <w:start w:val="1"/>
      <w:numFmt w:val="lowerLetter"/>
      <w:lvlText w:val="%2)"/>
      <w:lvlJc w:val="left"/>
      <w:pPr>
        <w:ind w:left="1275" w:hanging="420"/>
      </w:pPr>
    </w:lvl>
    <w:lvl w:ilvl="2" w:tentative="0">
      <w:start w:val="1"/>
      <w:numFmt w:val="lowerRoman"/>
      <w:lvlText w:val="%3."/>
      <w:lvlJc w:val="right"/>
      <w:pPr>
        <w:ind w:left="1695" w:hanging="420"/>
      </w:pPr>
    </w:lvl>
    <w:lvl w:ilvl="3" w:tentative="0">
      <w:start w:val="1"/>
      <w:numFmt w:val="decimal"/>
      <w:lvlText w:val="%4."/>
      <w:lvlJc w:val="left"/>
      <w:pPr>
        <w:ind w:left="2115" w:hanging="420"/>
      </w:pPr>
    </w:lvl>
    <w:lvl w:ilvl="4" w:tentative="0">
      <w:start w:val="1"/>
      <w:numFmt w:val="lowerLetter"/>
      <w:lvlText w:val="%5)"/>
      <w:lvlJc w:val="left"/>
      <w:pPr>
        <w:ind w:left="2535" w:hanging="420"/>
      </w:pPr>
    </w:lvl>
    <w:lvl w:ilvl="5" w:tentative="0">
      <w:start w:val="1"/>
      <w:numFmt w:val="lowerRoman"/>
      <w:lvlText w:val="%6."/>
      <w:lvlJc w:val="right"/>
      <w:pPr>
        <w:ind w:left="2955" w:hanging="420"/>
      </w:pPr>
    </w:lvl>
    <w:lvl w:ilvl="6" w:tentative="0">
      <w:start w:val="1"/>
      <w:numFmt w:val="decimal"/>
      <w:lvlText w:val="%7."/>
      <w:lvlJc w:val="left"/>
      <w:pPr>
        <w:ind w:left="3375" w:hanging="420"/>
      </w:pPr>
    </w:lvl>
    <w:lvl w:ilvl="7" w:tentative="0">
      <w:start w:val="1"/>
      <w:numFmt w:val="lowerLetter"/>
      <w:lvlText w:val="%8)"/>
      <w:lvlJc w:val="left"/>
      <w:pPr>
        <w:ind w:left="3795" w:hanging="420"/>
      </w:pPr>
    </w:lvl>
    <w:lvl w:ilvl="8" w:tentative="0">
      <w:start w:val="1"/>
      <w:numFmt w:val="lowerRoman"/>
      <w:lvlText w:val="%9."/>
      <w:lvlJc w:val="right"/>
      <w:pPr>
        <w:ind w:left="4215" w:hanging="420"/>
      </w:p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3">
    <w:nsid w:val="3E4BA7D1"/>
    <w:multiLevelType w:val="singleLevel"/>
    <w:tmpl w:val="3E4BA7D1"/>
    <w:lvl w:ilvl="0" w:tentative="0">
      <w:start w:val="1"/>
      <w:numFmt w:val="decimal"/>
      <w:suff w:val="nothing"/>
      <w:lvlText w:val="（%1）"/>
      <w:lvlJc w:val="left"/>
    </w:lvl>
  </w:abstractNum>
  <w:abstractNum w:abstractNumId="4">
    <w:nsid w:val="6DBB7BEA"/>
    <w:multiLevelType w:val="multilevel"/>
    <w:tmpl w:val="6DBB7BEA"/>
    <w:lvl w:ilvl="0" w:tentative="0">
      <w:start w:val="1"/>
      <w:numFmt w:val="decimal"/>
      <w:suff w:val="nothing"/>
      <w:lvlText w:val="%1"/>
      <w:lvlJc w:val="center"/>
      <w:pPr>
        <w:ind w:left="0" w:firstLine="0"/>
      </w:pPr>
      <w:rPr>
        <w:rFonts w:hint="eastAsia"/>
        <w:b w:val="0"/>
        <w:i w:val="0"/>
        <w:snapToGrid w:val="0"/>
        <w:kern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224"/>
    <w:rsid w:val="000001E7"/>
    <w:rsid w:val="00000366"/>
    <w:rsid w:val="0000048D"/>
    <w:rsid w:val="00000FE5"/>
    <w:rsid w:val="00001842"/>
    <w:rsid w:val="00001E8C"/>
    <w:rsid w:val="00002027"/>
    <w:rsid w:val="000027A3"/>
    <w:rsid w:val="00002A66"/>
    <w:rsid w:val="00002DD8"/>
    <w:rsid w:val="00003301"/>
    <w:rsid w:val="000033B4"/>
    <w:rsid w:val="00003DEE"/>
    <w:rsid w:val="00003FB9"/>
    <w:rsid w:val="0000402D"/>
    <w:rsid w:val="000043B1"/>
    <w:rsid w:val="0000443C"/>
    <w:rsid w:val="00004632"/>
    <w:rsid w:val="0000468F"/>
    <w:rsid w:val="00005D0A"/>
    <w:rsid w:val="000060BC"/>
    <w:rsid w:val="000075CD"/>
    <w:rsid w:val="00007683"/>
    <w:rsid w:val="000076DF"/>
    <w:rsid w:val="00007A85"/>
    <w:rsid w:val="00007E7D"/>
    <w:rsid w:val="00007EEE"/>
    <w:rsid w:val="0001113C"/>
    <w:rsid w:val="0001127D"/>
    <w:rsid w:val="000122D4"/>
    <w:rsid w:val="0001385B"/>
    <w:rsid w:val="00014856"/>
    <w:rsid w:val="00014FEF"/>
    <w:rsid w:val="00015746"/>
    <w:rsid w:val="00015A4E"/>
    <w:rsid w:val="000160FF"/>
    <w:rsid w:val="00016893"/>
    <w:rsid w:val="00017BF6"/>
    <w:rsid w:val="000200BD"/>
    <w:rsid w:val="000205AA"/>
    <w:rsid w:val="00020873"/>
    <w:rsid w:val="00020E60"/>
    <w:rsid w:val="00021435"/>
    <w:rsid w:val="0002159D"/>
    <w:rsid w:val="00021888"/>
    <w:rsid w:val="00021947"/>
    <w:rsid w:val="00022BE4"/>
    <w:rsid w:val="000245C3"/>
    <w:rsid w:val="00024695"/>
    <w:rsid w:val="00024AB6"/>
    <w:rsid w:val="00024F28"/>
    <w:rsid w:val="00025792"/>
    <w:rsid w:val="000257F2"/>
    <w:rsid w:val="00025A10"/>
    <w:rsid w:val="00025AF3"/>
    <w:rsid w:val="000267AE"/>
    <w:rsid w:val="00026927"/>
    <w:rsid w:val="00026F49"/>
    <w:rsid w:val="00027096"/>
    <w:rsid w:val="000300D4"/>
    <w:rsid w:val="00030269"/>
    <w:rsid w:val="00030A2C"/>
    <w:rsid w:val="000310B4"/>
    <w:rsid w:val="00031624"/>
    <w:rsid w:val="00031694"/>
    <w:rsid w:val="00031FD2"/>
    <w:rsid w:val="000322F2"/>
    <w:rsid w:val="000328F5"/>
    <w:rsid w:val="00032B4C"/>
    <w:rsid w:val="000330F1"/>
    <w:rsid w:val="0003315B"/>
    <w:rsid w:val="000341A1"/>
    <w:rsid w:val="000347B4"/>
    <w:rsid w:val="0003497D"/>
    <w:rsid w:val="000349A8"/>
    <w:rsid w:val="00034CB6"/>
    <w:rsid w:val="000353C5"/>
    <w:rsid w:val="00035A87"/>
    <w:rsid w:val="00035D1E"/>
    <w:rsid w:val="00036003"/>
    <w:rsid w:val="00036163"/>
    <w:rsid w:val="00036189"/>
    <w:rsid w:val="0003658A"/>
    <w:rsid w:val="00036D2F"/>
    <w:rsid w:val="00036EB3"/>
    <w:rsid w:val="000372F0"/>
    <w:rsid w:val="000378CE"/>
    <w:rsid w:val="00037C85"/>
    <w:rsid w:val="000401B0"/>
    <w:rsid w:val="00040633"/>
    <w:rsid w:val="000412A8"/>
    <w:rsid w:val="00041AB2"/>
    <w:rsid w:val="00041FE8"/>
    <w:rsid w:val="00042064"/>
    <w:rsid w:val="00042D01"/>
    <w:rsid w:val="000437BB"/>
    <w:rsid w:val="000443B7"/>
    <w:rsid w:val="000446BD"/>
    <w:rsid w:val="00044FE9"/>
    <w:rsid w:val="00045D7F"/>
    <w:rsid w:val="00046963"/>
    <w:rsid w:val="00046F5C"/>
    <w:rsid w:val="00047550"/>
    <w:rsid w:val="000501C6"/>
    <w:rsid w:val="00051025"/>
    <w:rsid w:val="00051028"/>
    <w:rsid w:val="000515BE"/>
    <w:rsid w:val="00051873"/>
    <w:rsid w:val="00051875"/>
    <w:rsid w:val="00051BF8"/>
    <w:rsid w:val="00052E8B"/>
    <w:rsid w:val="00053906"/>
    <w:rsid w:val="00053947"/>
    <w:rsid w:val="00053C58"/>
    <w:rsid w:val="00054F12"/>
    <w:rsid w:val="00055508"/>
    <w:rsid w:val="00056055"/>
    <w:rsid w:val="00056178"/>
    <w:rsid w:val="000565D0"/>
    <w:rsid w:val="00056641"/>
    <w:rsid w:val="00056DD2"/>
    <w:rsid w:val="0005780E"/>
    <w:rsid w:val="00057E84"/>
    <w:rsid w:val="000608DA"/>
    <w:rsid w:val="00060DD3"/>
    <w:rsid w:val="00060EDC"/>
    <w:rsid w:val="00061482"/>
    <w:rsid w:val="00061489"/>
    <w:rsid w:val="00061B13"/>
    <w:rsid w:val="0006240E"/>
    <w:rsid w:val="00062F3A"/>
    <w:rsid w:val="00062FE7"/>
    <w:rsid w:val="00063349"/>
    <w:rsid w:val="000638D4"/>
    <w:rsid w:val="00063F74"/>
    <w:rsid w:val="0006479D"/>
    <w:rsid w:val="00065247"/>
    <w:rsid w:val="00065383"/>
    <w:rsid w:val="000657DF"/>
    <w:rsid w:val="000666F4"/>
    <w:rsid w:val="00066C48"/>
    <w:rsid w:val="00066D1C"/>
    <w:rsid w:val="00066FD9"/>
    <w:rsid w:val="00067654"/>
    <w:rsid w:val="000678DC"/>
    <w:rsid w:val="00067F3D"/>
    <w:rsid w:val="00070214"/>
    <w:rsid w:val="000707B4"/>
    <w:rsid w:val="000712AE"/>
    <w:rsid w:val="00071709"/>
    <w:rsid w:val="00071863"/>
    <w:rsid w:val="00072539"/>
    <w:rsid w:val="00072B56"/>
    <w:rsid w:val="00073509"/>
    <w:rsid w:val="000738C8"/>
    <w:rsid w:val="00073D1C"/>
    <w:rsid w:val="000746C2"/>
    <w:rsid w:val="00074988"/>
    <w:rsid w:val="00074A43"/>
    <w:rsid w:val="0007588B"/>
    <w:rsid w:val="00075C9F"/>
    <w:rsid w:val="00076629"/>
    <w:rsid w:val="00076A0A"/>
    <w:rsid w:val="00076B77"/>
    <w:rsid w:val="00080075"/>
    <w:rsid w:val="00080194"/>
    <w:rsid w:val="00080517"/>
    <w:rsid w:val="00080AF6"/>
    <w:rsid w:val="00080F8E"/>
    <w:rsid w:val="00081D56"/>
    <w:rsid w:val="00082B45"/>
    <w:rsid w:val="00082F1C"/>
    <w:rsid w:val="000830AC"/>
    <w:rsid w:val="000830C5"/>
    <w:rsid w:val="0008312B"/>
    <w:rsid w:val="0008345A"/>
    <w:rsid w:val="000839E1"/>
    <w:rsid w:val="00083C68"/>
    <w:rsid w:val="000846C0"/>
    <w:rsid w:val="000847C5"/>
    <w:rsid w:val="00084EB7"/>
    <w:rsid w:val="00085DF6"/>
    <w:rsid w:val="00085E3B"/>
    <w:rsid w:val="00086D1C"/>
    <w:rsid w:val="00086DC0"/>
    <w:rsid w:val="00087061"/>
    <w:rsid w:val="00087117"/>
    <w:rsid w:val="000908E8"/>
    <w:rsid w:val="00090E81"/>
    <w:rsid w:val="00090EA9"/>
    <w:rsid w:val="0009114B"/>
    <w:rsid w:val="000917FA"/>
    <w:rsid w:val="00091A6B"/>
    <w:rsid w:val="00091B32"/>
    <w:rsid w:val="00091F18"/>
    <w:rsid w:val="00092065"/>
    <w:rsid w:val="00092235"/>
    <w:rsid w:val="0009254B"/>
    <w:rsid w:val="000926BC"/>
    <w:rsid w:val="0009299B"/>
    <w:rsid w:val="000930CC"/>
    <w:rsid w:val="0009362D"/>
    <w:rsid w:val="00093DEB"/>
    <w:rsid w:val="00093F68"/>
    <w:rsid w:val="00094000"/>
    <w:rsid w:val="0009404A"/>
    <w:rsid w:val="000945FD"/>
    <w:rsid w:val="00095AC7"/>
    <w:rsid w:val="00095C3B"/>
    <w:rsid w:val="000960CD"/>
    <w:rsid w:val="00096306"/>
    <w:rsid w:val="000965CA"/>
    <w:rsid w:val="000967D6"/>
    <w:rsid w:val="00097105"/>
    <w:rsid w:val="00097277"/>
    <w:rsid w:val="00097534"/>
    <w:rsid w:val="00097ACA"/>
    <w:rsid w:val="00097B61"/>
    <w:rsid w:val="00097E7D"/>
    <w:rsid w:val="000A0224"/>
    <w:rsid w:val="000A02BC"/>
    <w:rsid w:val="000A04C1"/>
    <w:rsid w:val="000A0726"/>
    <w:rsid w:val="000A0AA4"/>
    <w:rsid w:val="000A0B6E"/>
    <w:rsid w:val="000A0C21"/>
    <w:rsid w:val="000A15A5"/>
    <w:rsid w:val="000A1A01"/>
    <w:rsid w:val="000A2108"/>
    <w:rsid w:val="000A24E9"/>
    <w:rsid w:val="000A3230"/>
    <w:rsid w:val="000A3234"/>
    <w:rsid w:val="000A5AC3"/>
    <w:rsid w:val="000A64AB"/>
    <w:rsid w:val="000A7BDC"/>
    <w:rsid w:val="000B050F"/>
    <w:rsid w:val="000B0964"/>
    <w:rsid w:val="000B0ACE"/>
    <w:rsid w:val="000B11E4"/>
    <w:rsid w:val="000B15DE"/>
    <w:rsid w:val="000B17C6"/>
    <w:rsid w:val="000B1A5F"/>
    <w:rsid w:val="000B2278"/>
    <w:rsid w:val="000B29C4"/>
    <w:rsid w:val="000B3AF9"/>
    <w:rsid w:val="000B3CDE"/>
    <w:rsid w:val="000B43AC"/>
    <w:rsid w:val="000B5B5A"/>
    <w:rsid w:val="000B5F3E"/>
    <w:rsid w:val="000B6A2C"/>
    <w:rsid w:val="000B6F8A"/>
    <w:rsid w:val="000B78B2"/>
    <w:rsid w:val="000B79A9"/>
    <w:rsid w:val="000C02BE"/>
    <w:rsid w:val="000C09E5"/>
    <w:rsid w:val="000C0CD5"/>
    <w:rsid w:val="000C0D5F"/>
    <w:rsid w:val="000C0D87"/>
    <w:rsid w:val="000C15D6"/>
    <w:rsid w:val="000C19AE"/>
    <w:rsid w:val="000C19B4"/>
    <w:rsid w:val="000C1FA9"/>
    <w:rsid w:val="000C21E8"/>
    <w:rsid w:val="000C3373"/>
    <w:rsid w:val="000C3478"/>
    <w:rsid w:val="000C34F8"/>
    <w:rsid w:val="000C4455"/>
    <w:rsid w:val="000C4561"/>
    <w:rsid w:val="000C4571"/>
    <w:rsid w:val="000C6841"/>
    <w:rsid w:val="000C6906"/>
    <w:rsid w:val="000C6B70"/>
    <w:rsid w:val="000C7A56"/>
    <w:rsid w:val="000C7B5B"/>
    <w:rsid w:val="000C7B87"/>
    <w:rsid w:val="000D05B5"/>
    <w:rsid w:val="000D08B3"/>
    <w:rsid w:val="000D1211"/>
    <w:rsid w:val="000D158F"/>
    <w:rsid w:val="000D1A97"/>
    <w:rsid w:val="000D1D68"/>
    <w:rsid w:val="000D1F4C"/>
    <w:rsid w:val="000D2385"/>
    <w:rsid w:val="000D2B57"/>
    <w:rsid w:val="000D2F62"/>
    <w:rsid w:val="000D3012"/>
    <w:rsid w:val="000D35E0"/>
    <w:rsid w:val="000D416B"/>
    <w:rsid w:val="000D4524"/>
    <w:rsid w:val="000D50F9"/>
    <w:rsid w:val="000D52E9"/>
    <w:rsid w:val="000D5A92"/>
    <w:rsid w:val="000D5CDF"/>
    <w:rsid w:val="000D6544"/>
    <w:rsid w:val="000D6561"/>
    <w:rsid w:val="000D6610"/>
    <w:rsid w:val="000D6891"/>
    <w:rsid w:val="000D6ED6"/>
    <w:rsid w:val="000D74E3"/>
    <w:rsid w:val="000D7716"/>
    <w:rsid w:val="000D79F7"/>
    <w:rsid w:val="000D7D1C"/>
    <w:rsid w:val="000E0910"/>
    <w:rsid w:val="000E0D4C"/>
    <w:rsid w:val="000E138A"/>
    <w:rsid w:val="000E14C3"/>
    <w:rsid w:val="000E1DE2"/>
    <w:rsid w:val="000E20BB"/>
    <w:rsid w:val="000E4182"/>
    <w:rsid w:val="000E454A"/>
    <w:rsid w:val="000E4773"/>
    <w:rsid w:val="000E5630"/>
    <w:rsid w:val="000E591B"/>
    <w:rsid w:val="000E5C71"/>
    <w:rsid w:val="000E61C3"/>
    <w:rsid w:val="000E66B9"/>
    <w:rsid w:val="000E6808"/>
    <w:rsid w:val="000E7CAD"/>
    <w:rsid w:val="000F01CC"/>
    <w:rsid w:val="000F01D6"/>
    <w:rsid w:val="000F0D8A"/>
    <w:rsid w:val="000F1440"/>
    <w:rsid w:val="000F171A"/>
    <w:rsid w:val="000F1B49"/>
    <w:rsid w:val="000F21E3"/>
    <w:rsid w:val="000F26EA"/>
    <w:rsid w:val="000F2743"/>
    <w:rsid w:val="000F28AF"/>
    <w:rsid w:val="000F2D96"/>
    <w:rsid w:val="000F2DB6"/>
    <w:rsid w:val="000F3689"/>
    <w:rsid w:val="000F3CFF"/>
    <w:rsid w:val="000F4668"/>
    <w:rsid w:val="000F4927"/>
    <w:rsid w:val="000F495B"/>
    <w:rsid w:val="000F4B54"/>
    <w:rsid w:val="000F55DE"/>
    <w:rsid w:val="000F5780"/>
    <w:rsid w:val="000F63A1"/>
    <w:rsid w:val="000F6C79"/>
    <w:rsid w:val="000F7842"/>
    <w:rsid w:val="000F7927"/>
    <w:rsid w:val="000F7AA5"/>
    <w:rsid w:val="0010019B"/>
    <w:rsid w:val="0010031E"/>
    <w:rsid w:val="00100956"/>
    <w:rsid w:val="001009A7"/>
    <w:rsid w:val="00101354"/>
    <w:rsid w:val="00101411"/>
    <w:rsid w:val="001017C0"/>
    <w:rsid w:val="0010186E"/>
    <w:rsid w:val="0010247F"/>
    <w:rsid w:val="00102B99"/>
    <w:rsid w:val="00102C4A"/>
    <w:rsid w:val="0010335E"/>
    <w:rsid w:val="0010395B"/>
    <w:rsid w:val="00103AB2"/>
    <w:rsid w:val="00104014"/>
    <w:rsid w:val="00104116"/>
    <w:rsid w:val="00104362"/>
    <w:rsid w:val="00104906"/>
    <w:rsid w:val="001049F6"/>
    <w:rsid w:val="00104E0E"/>
    <w:rsid w:val="00104F01"/>
    <w:rsid w:val="0010712D"/>
    <w:rsid w:val="00107A38"/>
    <w:rsid w:val="00107ADD"/>
    <w:rsid w:val="00107B80"/>
    <w:rsid w:val="00107E04"/>
    <w:rsid w:val="00110414"/>
    <w:rsid w:val="001112FB"/>
    <w:rsid w:val="001122BF"/>
    <w:rsid w:val="00112346"/>
    <w:rsid w:val="001128BC"/>
    <w:rsid w:val="001135CF"/>
    <w:rsid w:val="00113889"/>
    <w:rsid w:val="00113DDA"/>
    <w:rsid w:val="00114812"/>
    <w:rsid w:val="00114CA2"/>
    <w:rsid w:val="001150E0"/>
    <w:rsid w:val="00115A80"/>
    <w:rsid w:val="00115DC9"/>
    <w:rsid w:val="0011643A"/>
    <w:rsid w:val="00116A16"/>
    <w:rsid w:val="00116E65"/>
    <w:rsid w:val="00117898"/>
    <w:rsid w:val="0011796E"/>
    <w:rsid w:val="00120B3E"/>
    <w:rsid w:val="00120C16"/>
    <w:rsid w:val="00120F73"/>
    <w:rsid w:val="001211FC"/>
    <w:rsid w:val="00121251"/>
    <w:rsid w:val="001212A6"/>
    <w:rsid w:val="001212CE"/>
    <w:rsid w:val="00121DCE"/>
    <w:rsid w:val="00121F1A"/>
    <w:rsid w:val="001230C7"/>
    <w:rsid w:val="00123733"/>
    <w:rsid w:val="0012389A"/>
    <w:rsid w:val="001242A7"/>
    <w:rsid w:val="00124508"/>
    <w:rsid w:val="001247FF"/>
    <w:rsid w:val="001248CE"/>
    <w:rsid w:val="00124A76"/>
    <w:rsid w:val="00125742"/>
    <w:rsid w:val="00125D14"/>
    <w:rsid w:val="00125E17"/>
    <w:rsid w:val="0012631D"/>
    <w:rsid w:val="001264DD"/>
    <w:rsid w:val="00126799"/>
    <w:rsid w:val="00126BE4"/>
    <w:rsid w:val="00130AAD"/>
    <w:rsid w:val="001312D0"/>
    <w:rsid w:val="00131893"/>
    <w:rsid w:val="001318A4"/>
    <w:rsid w:val="001319AD"/>
    <w:rsid w:val="0013266E"/>
    <w:rsid w:val="001326D6"/>
    <w:rsid w:val="0013299B"/>
    <w:rsid w:val="001337A8"/>
    <w:rsid w:val="00133AE4"/>
    <w:rsid w:val="00134265"/>
    <w:rsid w:val="0013446A"/>
    <w:rsid w:val="00134601"/>
    <w:rsid w:val="00134B87"/>
    <w:rsid w:val="00134D71"/>
    <w:rsid w:val="0013634C"/>
    <w:rsid w:val="001364E7"/>
    <w:rsid w:val="00136B4B"/>
    <w:rsid w:val="00136F32"/>
    <w:rsid w:val="001373F4"/>
    <w:rsid w:val="00137ABA"/>
    <w:rsid w:val="0014059C"/>
    <w:rsid w:val="00140770"/>
    <w:rsid w:val="00141225"/>
    <w:rsid w:val="00141721"/>
    <w:rsid w:val="00141F7B"/>
    <w:rsid w:val="0014209C"/>
    <w:rsid w:val="001427B6"/>
    <w:rsid w:val="001433B7"/>
    <w:rsid w:val="00143798"/>
    <w:rsid w:val="00143EB3"/>
    <w:rsid w:val="001440F1"/>
    <w:rsid w:val="00144121"/>
    <w:rsid w:val="0014414C"/>
    <w:rsid w:val="0014421E"/>
    <w:rsid w:val="0014490D"/>
    <w:rsid w:val="00144E27"/>
    <w:rsid w:val="001453EA"/>
    <w:rsid w:val="0014545B"/>
    <w:rsid w:val="00145BB1"/>
    <w:rsid w:val="00146811"/>
    <w:rsid w:val="00146AB4"/>
    <w:rsid w:val="0014708F"/>
    <w:rsid w:val="001471F7"/>
    <w:rsid w:val="00147490"/>
    <w:rsid w:val="00147EE9"/>
    <w:rsid w:val="00150218"/>
    <w:rsid w:val="001509EB"/>
    <w:rsid w:val="001510D1"/>
    <w:rsid w:val="00151F80"/>
    <w:rsid w:val="001523B4"/>
    <w:rsid w:val="00152778"/>
    <w:rsid w:val="00152DE8"/>
    <w:rsid w:val="00153197"/>
    <w:rsid w:val="00153DBF"/>
    <w:rsid w:val="00154D83"/>
    <w:rsid w:val="0015549A"/>
    <w:rsid w:val="00155EDD"/>
    <w:rsid w:val="00155FE6"/>
    <w:rsid w:val="00156DAB"/>
    <w:rsid w:val="001570EB"/>
    <w:rsid w:val="001572CC"/>
    <w:rsid w:val="00160198"/>
    <w:rsid w:val="001603FD"/>
    <w:rsid w:val="001604B4"/>
    <w:rsid w:val="00160776"/>
    <w:rsid w:val="001615E0"/>
    <w:rsid w:val="00161CB3"/>
    <w:rsid w:val="00162434"/>
    <w:rsid w:val="00162689"/>
    <w:rsid w:val="00162955"/>
    <w:rsid w:val="00162A34"/>
    <w:rsid w:val="00163161"/>
    <w:rsid w:val="001635F9"/>
    <w:rsid w:val="00163795"/>
    <w:rsid w:val="00163AA6"/>
    <w:rsid w:val="00163F7D"/>
    <w:rsid w:val="001644CB"/>
    <w:rsid w:val="00165378"/>
    <w:rsid w:val="00166168"/>
    <w:rsid w:val="00166196"/>
    <w:rsid w:val="00166419"/>
    <w:rsid w:val="001674B1"/>
    <w:rsid w:val="00167B37"/>
    <w:rsid w:val="00170A24"/>
    <w:rsid w:val="00170FB5"/>
    <w:rsid w:val="00171713"/>
    <w:rsid w:val="00171B37"/>
    <w:rsid w:val="00171DE1"/>
    <w:rsid w:val="00172212"/>
    <w:rsid w:val="00172726"/>
    <w:rsid w:val="00172928"/>
    <w:rsid w:val="00173540"/>
    <w:rsid w:val="00173A6A"/>
    <w:rsid w:val="001742B5"/>
    <w:rsid w:val="00174FF5"/>
    <w:rsid w:val="00175258"/>
    <w:rsid w:val="001752C8"/>
    <w:rsid w:val="00175D9E"/>
    <w:rsid w:val="001764BD"/>
    <w:rsid w:val="00176943"/>
    <w:rsid w:val="00176FD9"/>
    <w:rsid w:val="00177738"/>
    <w:rsid w:val="0018034E"/>
    <w:rsid w:val="00182640"/>
    <w:rsid w:val="00182F4F"/>
    <w:rsid w:val="0018302A"/>
    <w:rsid w:val="00183287"/>
    <w:rsid w:val="00183288"/>
    <w:rsid w:val="00183588"/>
    <w:rsid w:val="00183F96"/>
    <w:rsid w:val="00184282"/>
    <w:rsid w:val="00185AD1"/>
    <w:rsid w:val="00185B61"/>
    <w:rsid w:val="00185E52"/>
    <w:rsid w:val="00185F2E"/>
    <w:rsid w:val="00186514"/>
    <w:rsid w:val="00186566"/>
    <w:rsid w:val="00186852"/>
    <w:rsid w:val="00186987"/>
    <w:rsid w:val="00186B06"/>
    <w:rsid w:val="00186E97"/>
    <w:rsid w:val="00186F2B"/>
    <w:rsid w:val="001873E3"/>
    <w:rsid w:val="00187C59"/>
    <w:rsid w:val="00187DCD"/>
    <w:rsid w:val="00187F0B"/>
    <w:rsid w:val="0019095C"/>
    <w:rsid w:val="00191849"/>
    <w:rsid w:val="00191EE2"/>
    <w:rsid w:val="00193339"/>
    <w:rsid w:val="001935F1"/>
    <w:rsid w:val="00193ACE"/>
    <w:rsid w:val="00194399"/>
    <w:rsid w:val="00194497"/>
    <w:rsid w:val="001945FA"/>
    <w:rsid w:val="00194CEE"/>
    <w:rsid w:val="00195064"/>
    <w:rsid w:val="00195547"/>
    <w:rsid w:val="00195AE4"/>
    <w:rsid w:val="00195CAF"/>
    <w:rsid w:val="00195E05"/>
    <w:rsid w:val="0019608F"/>
    <w:rsid w:val="00196A25"/>
    <w:rsid w:val="0019740F"/>
    <w:rsid w:val="00197614"/>
    <w:rsid w:val="001A02FB"/>
    <w:rsid w:val="001A0865"/>
    <w:rsid w:val="001A08CE"/>
    <w:rsid w:val="001A090E"/>
    <w:rsid w:val="001A0BDD"/>
    <w:rsid w:val="001A0DCD"/>
    <w:rsid w:val="001A17B5"/>
    <w:rsid w:val="001A19C2"/>
    <w:rsid w:val="001A1C5C"/>
    <w:rsid w:val="001A2017"/>
    <w:rsid w:val="001A2170"/>
    <w:rsid w:val="001A2246"/>
    <w:rsid w:val="001A2976"/>
    <w:rsid w:val="001A2B8C"/>
    <w:rsid w:val="001A3267"/>
    <w:rsid w:val="001A3486"/>
    <w:rsid w:val="001A3B5A"/>
    <w:rsid w:val="001A3DD7"/>
    <w:rsid w:val="001A49A2"/>
    <w:rsid w:val="001A5631"/>
    <w:rsid w:val="001A5765"/>
    <w:rsid w:val="001A5DEA"/>
    <w:rsid w:val="001A5F9E"/>
    <w:rsid w:val="001A60A1"/>
    <w:rsid w:val="001A6233"/>
    <w:rsid w:val="001A6A14"/>
    <w:rsid w:val="001A790B"/>
    <w:rsid w:val="001A7949"/>
    <w:rsid w:val="001A7A2D"/>
    <w:rsid w:val="001A7B8F"/>
    <w:rsid w:val="001B0508"/>
    <w:rsid w:val="001B080F"/>
    <w:rsid w:val="001B145C"/>
    <w:rsid w:val="001B198C"/>
    <w:rsid w:val="001B1CD2"/>
    <w:rsid w:val="001B2FE2"/>
    <w:rsid w:val="001B3B89"/>
    <w:rsid w:val="001B42FF"/>
    <w:rsid w:val="001B4A4F"/>
    <w:rsid w:val="001B4BCC"/>
    <w:rsid w:val="001B5E64"/>
    <w:rsid w:val="001B66D5"/>
    <w:rsid w:val="001B68A7"/>
    <w:rsid w:val="001B7ADE"/>
    <w:rsid w:val="001B7FD1"/>
    <w:rsid w:val="001C00F2"/>
    <w:rsid w:val="001C0186"/>
    <w:rsid w:val="001C1DBF"/>
    <w:rsid w:val="001C203B"/>
    <w:rsid w:val="001C23D3"/>
    <w:rsid w:val="001C294A"/>
    <w:rsid w:val="001C2AAA"/>
    <w:rsid w:val="001C32D4"/>
    <w:rsid w:val="001C3305"/>
    <w:rsid w:val="001C3451"/>
    <w:rsid w:val="001C3CCF"/>
    <w:rsid w:val="001C42C1"/>
    <w:rsid w:val="001C4785"/>
    <w:rsid w:val="001C489E"/>
    <w:rsid w:val="001C51F2"/>
    <w:rsid w:val="001C52D0"/>
    <w:rsid w:val="001C55BB"/>
    <w:rsid w:val="001C58BE"/>
    <w:rsid w:val="001C5C57"/>
    <w:rsid w:val="001C68A9"/>
    <w:rsid w:val="001C7158"/>
    <w:rsid w:val="001D055D"/>
    <w:rsid w:val="001D0D67"/>
    <w:rsid w:val="001D18F7"/>
    <w:rsid w:val="001D1AC7"/>
    <w:rsid w:val="001D1B65"/>
    <w:rsid w:val="001D1C59"/>
    <w:rsid w:val="001D1EE4"/>
    <w:rsid w:val="001D2055"/>
    <w:rsid w:val="001D3198"/>
    <w:rsid w:val="001D3B0A"/>
    <w:rsid w:val="001D467F"/>
    <w:rsid w:val="001D5F05"/>
    <w:rsid w:val="001D6124"/>
    <w:rsid w:val="001D6328"/>
    <w:rsid w:val="001D6444"/>
    <w:rsid w:val="001D65F1"/>
    <w:rsid w:val="001D6E9C"/>
    <w:rsid w:val="001E093D"/>
    <w:rsid w:val="001E1140"/>
    <w:rsid w:val="001E16C4"/>
    <w:rsid w:val="001E1884"/>
    <w:rsid w:val="001E20CC"/>
    <w:rsid w:val="001E26E8"/>
    <w:rsid w:val="001E2CF5"/>
    <w:rsid w:val="001E2FE6"/>
    <w:rsid w:val="001E4887"/>
    <w:rsid w:val="001E4A29"/>
    <w:rsid w:val="001E50BF"/>
    <w:rsid w:val="001E5932"/>
    <w:rsid w:val="001E5B73"/>
    <w:rsid w:val="001E64E4"/>
    <w:rsid w:val="001E6905"/>
    <w:rsid w:val="001E6F56"/>
    <w:rsid w:val="001E78AA"/>
    <w:rsid w:val="001F05F9"/>
    <w:rsid w:val="001F09C4"/>
    <w:rsid w:val="001F0D9A"/>
    <w:rsid w:val="001F124C"/>
    <w:rsid w:val="001F17C5"/>
    <w:rsid w:val="001F2A99"/>
    <w:rsid w:val="001F2D5B"/>
    <w:rsid w:val="001F316D"/>
    <w:rsid w:val="001F3DAE"/>
    <w:rsid w:val="001F4695"/>
    <w:rsid w:val="001F46A6"/>
    <w:rsid w:val="001F556E"/>
    <w:rsid w:val="001F5A2E"/>
    <w:rsid w:val="001F6542"/>
    <w:rsid w:val="001F66B7"/>
    <w:rsid w:val="001F67F4"/>
    <w:rsid w:val="001F6894"/>
    <w:rsid w:val="001F6927"/>
    <w:rsid w:val="001F7113"/>
    <w:rsid w:val="001F7435"/>
    <w:rsid w:val="001F7993"/>
    <w:rsid w:val="001F7C3F"/>
    <w:rsid w:val="002012B3"/>
    <w:rsid w:val="002017D7"/>
    <w:rsid w:val="002018D0"/>
    <w:rsid w:val="00203715"/>
    <w:rsid w:val="0020396D"/>
    <w:rsid w:val="00203A07"/>
    <w:rsid w:val="00203F79"/>
    <w:rsid w:val="0020434F"/>
    <w:rsid w:val="00204C58"/>
    <w:rsid w:val="00204EBB"/>
    <w:rsid w:val="00204FF5"/>
    <w:rsid w:val="0020551C"/>
    <w:rsid w:val="00205CC8"/>
    <w:rsid w:val="002069D4"/>
    <w:rsid w:val="00206B35"/>
    <w:rsid w:val="002070A1"/>
    <w:rsid w:val="00207113"/>
    <w:rsid w:val="00207A83"/>
    <w:rsid w:val="00207DBE"/>
    <w:rsid w:val="00210477"/>
    <w:rsid w:val="00210B7D"/>
    <w:rsid w:val="002110E4"/>
    <w:rsid w:val="0021167A"/>
    <w:rsid w:val="002120CA"/>
    <w:rsid w:val="002121A4"/>
    <w:rsid w:val="0021238F"/>
    <w:rsid w:val="00214A5D"/>
    <w:rsid w:val="002158D2"/>
    <w:rsid w:val="00215DF0"/>
    <w:rsid w:val="00215F4D"/>
    <w:rsid w:val="00216477"/>
    <w:rsid w:val="00216CDE"/>
    <w:rsid w:val="002176DC"/>
    <w:rsid w:val="0022020F"/>
    <w:rsid w:val="0022081A"/>
    <w:rsid w:val="002215C5"/>
    <w:rsid w:val="00221F12"/>
    <w:rsid w:val="002224E1"/>
    <w:rsid w:val="0022256E"/>
    <w:rsid w:val="00223430"/>
    <w:rsid w:val="002235F9"/>
    <w:rsid w:val="002237C1"/>
    <w:rsid w:val="00224699"/>
    <w:rsid w:val="002248E7"/>
    <w:rsid w:val="00224DA3"/>
    <w:rsid w:val="002251CA"/>
    <w:rsid w:val="0022571B"/>
    <w:rsid w:val="002259B6"/>
    <w:rsid w:val="00225F7F"/>
    <w:rsid w:val="00226942"/>
    <w:rsid w:val="00226DDF"/>
    <w:rsid w:val="00226FCB"/>
    <w:rsid w:val="00227343"/>
    <w:rsid w:val="00227881"/>
    <w:rsid w:val="00227D01"/>
    <w:rsid w:val="00230395"/>
    <w:rsid w:val="002312B0"/>
    <w:rsid w:val="00231BB7"/>
    <w:rsid w:val="002320BF"/>
    <w:rsid w:val="00232190"/>
    <w:rsid w:val="00232298"/>
    <w:rsid w:val="00232501"/>
    <w:rsid w:val="002329C0"/>
    <w:rsid w:val="002329E2"/>
    <w:rsid w:val="00233D32"/>
    <w:rsid w:val="00234961"/>
    <w:rsid w:val="00234997"/>
    <w:rsid w:val="00234CCD"/>
    <w:rsid w:val="00234D51"/>
    <w:rsid w:val="002359D6"/>
    <w:rsid w:val="00236C44"/>
    <w:rsid w:val="00236EC2"/>
    <w:rsid w:val="00237357"/>
    <w:rsid w:val="0023739F"/>
    <w:rsid w:val="00237663"/>
    <w:rsid w:val="00237953"/>
    <w:rsid w:val="00237F29"/>
    <w:rsid w:val="0024050B"/>
    <w:rsid w:val="002409AD"/>
    <w:rsid w:val="00240BD4"/>
    <w:rsid w:val="00241A1C"/>
    <w:rsid w:val="00241A8F"/>
    <w:rsid w:val="00241B97"/>
    <w:rsid w:val="00241EFC"/>
    <w:rsid w:val="002424F8"/>
    <w:rsid w:val="002427B4"/>
    <w:rsid w:val="00244014"/>
    <w:rsid w:val="00244260"/>
    <w:rsid w:val="0024453E"/>
    <w:rsid w:val="0024483F"/>
    <w:rsid w:val="00244E49"/>
    <w:rsid w:val="002456CF"/>
    <w:rsid w:val="0024596F"/>
    <w:rsid w:val="00245981"/>
    <w:rsid w:val="00245DB9"/>
    <w:rsid w:val="00245FA9"/>
    <w:rsid w:val="00246193"/>
    <w:rsid w:val="002468E6"/>
    <w:rsid w:val="00246906"/>
    <w:rsid w:val="00246F2F"/>
    <w:rsid w:val="00246FBB"/>
    <w:rsid w:val="0024707A"/>
    <w:rsid w:val="002470C7"/>
    <w:rsid w:val="0024721D"/>
    <w:rsid w:val="0024772C"/>
    <w:rsid w:val="00247CBA"/>
    <w:rsid w:val="00247FA7"/>
    <w:rsid w:val="0025008E"/>
    <w:rsid w:val="00250397"/>
    <w:rsid w:val="002511F1"/>
    <w:rsid w:val="002514C2"/>
    <w:rsid w:val="0025161D"/>
    <w:rsid w:val="00251AB8"/>
    <w:rsid w:val="002521D4"/>
    <w:rsid w:val="002524F8"/>
    <w:rsid w:val="00252632"/>
    <w:rsid w:val="00252C29"/>
    <w:rsid w:val="002532FF"/>
    <w:rsid w:val="002547C6"/>
    <w:rsid w:val="0025532F"/>
    <w:rsid w:val="00255699"/>
    <w:rsid w:val="002559BB"/>
    <w:rsid w:val="00255CDE"/>
    <w:rsid w:val="00256597"/>
    <w:rsid w:val="0025681A"/>
    <w:rsid w:val="00256908"/>
    <w:rsid w:val="00256E7E"/>
    <w:rsid w:val="00256EE0"/>
    <w:rsid w:val="00257D43"/>
    <w:rsid w:val="00260278"/>
    <w:rsid w:val="00260B05"/>
    <w:rsid w:val="00260E29"/>
    <w:rsid w:val="0026111F"/>
    <w:rsid w:val="0026178F"/>
    <w:rsid w:val="00261D59"/>
    <w:rsid w:val="00261EE6"/>
    <w:rsid w:val="00261F15"/>
    <w:rsid w:val="002620BB"/>
    <w:rsid w:val="002625A4"/>
    <w:rsid w:val="00262A9F"/>
    <w:rsid w:val="00262D32"/>
    <w:rsid w:val="00262FAA"/>
    <w:rsid w:val="0026346A"/>
    <w:rsid w:val="00263832"/>
    <w:rsid w:val="00263EDF"/>
    <w:rsid w:val="002647D4"/>
    <w:rsid w:val="00264AD4"/>
    <w:rsid w:val="0026541D"/>
    <w:rsid w:val="00265B2D"/>
    <w:rsid w:val="00266A8D"/>
    <w:rsid w:val="00266B65"/>
    <w:rsid w:val="00266B96"/>
    <w:rsid w:val="00267345"/>
    <w:rsid w:val="00270638"/>
    <w:rsid w:val="00270AB8"/>
    <w:rsid w:val="0027122A"/>
    <w:rsid w:val="00271386"/>
    <w:rsid w:val="00271861"/>
    <w:rsid w:val="00271AC0"/>
    <w:rsid w:val="002725CB"/>
    <w:rsid w:val="00272AD9"/>
    <w:rsid w:val="00273221"/>
    <w:rsid w:val="00273415"/>
    <w:rsid w:val="002739F2"/>
    <w:rsid w:val="00274B42"/>
    <w:rsid w:val="00274C88"/>
    <w:rsid w:val="0027510C"/>
    <w:rsid w:val="002766F1"/>
    <w:rsid w:val="00276B6B"/>
    <w:rsid w:val="0027723D"/>
    <w:rsid w:val="00277C97"/>
    <w:rsid w:val="00280022"/>
    <w:rsid w:val="00281303"/>
    <w:rsid w:val="00282946"/>
    <w:rsid w:val="00282D9F"/>
    <w:rsid w:val="00283A53"/>
    <w:rsid w:val="00283C52"/>
    <w:rsid w:val="00283CEA"/>
    <w:rsid w:val="00284703"/>
    <w:rsid w:val="00284C5D"/>
    <w:rsid w:val="00284EC1"/>
    <w:rsid w:val="00284FB9"/>
    <w:rsid w:val="002851CE"/>
    <w:rsid w:val="00285437"/>
    <w:rsid w:val="00285600"/>
    <w:rsid w:val="0028572E"/>
    <w:rsid w:val="00285D23"/>
    <w:rsid w:val="002865DA"/>
    <w:rsid w:val="00286814"/>
    <w:rsid w:val="00286C74"/>
    <w:rsid w:val="0028710A"/>
    <w:rsid w:val="002879AD"/>
    <w:rsid w:val="002900B8"/>
    <w:rsid w:val="00290D63"/>
    <w:rsid w:val="002916C2"/>
    <w:rsid w:val="0029191D"/>
    <w:rsid w:val="0029200F"/>
    <w:rsid w:val="00292D66"/>
    <w:rsid w:val="00292EEE"/>
    <w:rsid w:val="00293247"/>
    <w:rsid w:val="002939F5"/>
    <w:rsid w:val="0029426E"/>
    <w:rsid w:val="002943EB"/>
    <w:rsid w:val="00294625"/>
    <w:rsid w:val="00294A28"/>
    <w:rsid w:val="00295DDB"/>
    <w:rsid w:val="00296163"/>
    <w:rsid w:val="00296340"/>
    <w:rsid w:val="00296378"/>
    <w:rsid w:val="00296958"/>
    <w:rsid w:val="0029698C"/>
    <w:rsid w:val="00296BD3"/>
    <w:rsid w:val="00296E8C"/>
    <w:rsid w:val="00297586"/>
    <w:rsid w:val="00297A8D"/>
    <w:rsid w:val="00297B8F"/>
    <w:rsid w:val="00297EA5"/>
    <w:rsid w:val="002A0063"/>
    <w:rsid w:val="002A0F67"/>
    <w:rsid w:val="002A1778"/>
    <w:rsid w:val="002A1F1C"/>
    <w:rsid w:val="002A1FC0"/>
    <w:rsid w:val="002A298F"/>
    <w:rsid w:val="002A29AB"/>
    <w:rsid w:val="002A38D0"/>
    <w:rsid w:val="002A3A3C"/>
    <w:rsid w:val="002A473C"/>
    <w:rsid w:val="002A4914"/>
    <w:rsid w:val="002A4B58"/>
    <w:rsid w:val="002A508B"/>
    <w:rsid w:val="002A5E7F"/>
    <w:rsid w:val="002A611C"/>
    <w:rsid w:val="002A6C4B"/>
    <w:rsid w:val="002A730A"/>
    <w:rsid w:val="002B025D"/>
    <w:rsid w:val="002B0837"/>
    <w:rsid w:val="002B0BA4"/>
    <w:rsid w:val="002B0BBB"/>
    <w:rsid w:val="002B0E53"/>
    <w:rsid w:val="002B0F45"/>
    <w:rsid w:val="002B1204"/>
    <w:rsid w:val="002B1567"/>
    <w:rsid w:val="002B259B"/>
    <w:rsid w:val="002B268B"/>
    <w:rsid w:val="002B2873"/>
    <w:rsid w:val="002B2CAF"/>
    <w:rsid w:val="002B2E2A"/>
    <w:rsid w:val="002B2F5B"/>
    <w:rsid w:val="002B30CC"/>
    <w:rsid w:val="002B32C4"/>
    <w:rsid w:val="002B34D9"/>
    <w:rsid w:val="002B3751"/>
    <w:rsid w:val="002B4661"/>
    <w:rsid w:val="002B4CE0"/>
    <w:rsid w:val="002B4D33"/>
    <w:rsid w:val="002B4E1B"/>
    <w:rsid w:val="002B64D8"/>
    <w:rsid w:val="002B67C3"/>
    <w:rsid w:val="002B6995"/>
    <w:rsid w:val="002B733B"/>
    <w:rsid w:val="002C005B"/>
    <w:rsid w:val="002C02FD"/>
    <w:rsid w:val="002C0EE6"/>
    <w:rsid w:val="002C0FA5"/>
    <w:rsid w:val="002C1053"/>
    <w:rsid w:val="002C1B4E"/>
    <w:rsid w:val="002C22BA"/>
    <w:rsid w:val="002C23EC"/>
    <w:rsid w:val="002C2BBB"/>
    <w:rsid w:val="002C30E3"/>
    <w:rsid w:val="002C325E"/>
    <w:rsid w:val="002C3C77"/>
    <w:rsid w:val="002C3D37"/>
    <w:rsid w:val="002C43BC"/>
    <w:rsid w:val="002C4410"/>
    <w:rsid w:val="002C488A"/>
    <w:rsid w:val="002C4E17"/>
    <w:rsid w:val="002C52C2"/>
    <w:rsid w:val="002C5654"/>
    <w:rsid w:val="002C58D6"/>
    <w:rsid w:val="002C5924"/>
    <w:rsid w:val="002C5952"/>
    <w:rsid w:val="002C5C94"/>
    <w:rsid w:val="002C5DC1"/>
    <w:rsid w:val="002C6200"/>
    <w:rsid w:val="002C6327"/>
    <w:rsid w:val="002C6864"/>
    <w:rsid w:val="002C6BF3"/>
    <w:rsid w:val="002C6D31"/>
    <w:rsid w:val="002C71F7"/>
    <w:rsid w:val="002C76B0"/>
    <w:rsid w:val="002C7A4F"/>
    <w:rsid w:val="002C7A99"/>
    <w:rsid w:val="002C7B9D"/>
    <w:rsid w:val="002C7C74"/>
    <w:rsid w:val="002D01DF"/>
    <w:rsid w:val="002D0454"/>
    <w:rsid w:val="002D04B5"/>
    <w:rsid w:val="002D13D1"/>
    <w:rsid w:val="002D209C"/>
    <w:rsid w:val="002D2582"/>
    <w:rsid w:val="002D2B58"/>
    <w:rsid w:val="002D2F24"/>
    <w:rsid w:val="002D347F"/>
    <w:rsid w:val="002D3913"/>
    <w:rsid w:val="002D3B87"/>
    <w:rsid w:val="002D4FAC"/>
    <w:rsid w:val="002D504B"/>
    <w:rsid w:val="002D596C"/>
    <w:rsid w:val="002D66F6"/>
    <w:rsid w:val="002D6DDA"/>
    <w:rsid w:val="002D747A"/>
    <w:rsid w:val="002D76FC"/>
    <w:rsid w:val="002E131E"/>
    <w:rsid w:val="002E1623"/>
    <w:rsid w:val="002E179F"/>
    <w:rsid w:val="002E1A47"/>
    <w:rsid w:val="002E1FEF"/>
    <w:rsid w:val="002E2F9C"/>
    <w:rsid w:val="002E34AA"/>
    <w:rsid w:val="002E3974"/>
    <w:rsid w:val="002E4029"/>
    <w:rsid w:val="002E5C1E"/>
    <w:rsid w:val="002E5E0C"/>
    <w:rsid w:val="002E6166"/>
    <w:rsid w:val="002E6F9C"/>
    <w:rsid w:val="002E70BC"/>
    <w:rsid w:val="002E7122"/>
    <w:rsid w:val="002E730D"/>
    <w:rsid w:val="002E7A29"/>
    <w:rsid w:val="002E7A5F"/>
    <w:rsid w:val="002E7BFC"/>
    <w:rsid w:val="002E7F8C"/>
    <w:rsid w:val="002F040F"/>
    <w:rsid w:val="002F06FC"/>
    <w:rsid w:val="002F091C"/>
    <w:rsid w:val="002F0A29"/>
    <w:rsid w:val="002F0C47"/>
    <w:rsid w:val="002F237B"/>
    <w:rsid w:val="002F26FE"/>
    <w:rsid w:val="002F299B"/>
    <w:rsid w:val="002F2B24"/>
    <w:rsid w:val="002F2E3A"/>
    <w:rsid w:val="002F2F61"/>
    <w:rsid w:val="002F3D8D"/>
    <w:rsid w:val="002F408C"/>
    <w:rsid w:val="002F41D9"/>
    <w:rsid w:val="002F46B1"/>
    <w:rsid w:val="002F48F5"/>
    <w:rsid w:val="002F5508"/>
    <w:rsid w:val="002F5AE7"/>
    <w:rsid w:val="002F63EE"/>
    <w:rsid w:val="002F6E83"/>
    <w:rsid w:val="002F7122"/>
    <w:rsid w:val="002F73CE"/>
    <w:rsid w:val="002F7A53"/>
    <w:rsid w:val="002F7B3B"/>
    <w:rsid w:val="002F7C4B"/>
    <w:rsid w:val="00300348"/>
    <w:rsid w:val="003006EB"/>
    <w:rsid w:val="003012F0"/>
    <w:rsid w:val="00301407"/>
    <w:rsid w:val="0030142A"/>
    <w:rsid w:val="00301725"/>
    <w:rsid w:val="0030176D"/>
    <w:rsid w:val="00301E6E"/>
    <w:rsid w:val="0030222D"/>
    <w:rsid w:val="00302EB6"/>
    <w:rsid w:val="0030312E"/>
    <w:rsid w:val="003033ED"/>
    <w:rsid w:val="00303C54"/>
    <w:rsid w:val="003048B2"/>
    <w:rsid w:val="00305006"/>
    <w:rsid w:val="0030569F"/>
    <w:rsid w:val="003056DF"/>
    <w:rsid w:val="0030592C"/>
    <w:rsid w:val="00305B47"/>
    <w:rsid w:val="00305E73"/>
    <w:rsid w:val="00306234"/>
    <w:rsid w:val="0030625C"/>
    <w:rsid w:val="00306978"/>
    <w:rsid w:val="00306F18"/>
    <w:rsid w:val="003113F1"/>
    <w:rsid w:val="0031173E"/>
    <w:rsid w:val="00311E6C"/>
    <w:rsid w:val="00312484"/>
    <w:rsid w:val="00312744"/>
    <w:rsid w:val="00312D22"/>
    <w:rsid w:val="00313133"/>
    <w:rsid w:val="003133D0"/>
    <w:rsid w:val="00313559"/>
    <w:rsid w:val="00313F95"/>
    <w:rsid w:val="003145EC"/>
    <w:rsid w:val="00314B74"/>
    <w:rsid w:val="00314B87"/>
    <w:rsid w:val="00314BDD"/>
    <w:rsid w:val="00314D67"/>
    <w:rsid w:val="0031583B"/>
    <w:rsid w:val="00315A20"/>
    <w:rsid w:val="00315BFD"/>
    <w:rsid w:val="00315EC8"/>
    <w:rsid w:val="003166FC"/>
    <w:rsid w:val="00316AC0"/>
    <w:rsid w:val="00316CCE"/>
    <w:rsid w:val="003171EB"/>
    <w:rsid w:val="00320BD7"/>
    <w:rsid w:val="00320DA6"/>
    <w:rsid w:val="0032130F"/>
    <w:rsid w:val="00321C2C"/>
    <w:rsid w:val="003228AA"/>
    <w:rsid w:val="00322AB8"/>
    <w:rsid w:val="00323892"/>
    <w:rsid w:val="00324012"/>
    <w:rsid w:val="00324A05"/>
    <w:rsid w:val="00325B99"/>
    <w:rsid w:val="003265FA"/>
    <w:rsid w:val="00326AB4"/>
    <w:rsid w:val="00326EDE"/>
    <w:rsid w:val="00327163"/>
    <w:rsid w:val="00327199"/>
    <w:rsid w:val="00330466"/>
    <w:rsid w:val="0033053E"/>
    <w:rsid w:val="00330691"/>
    <w:rsid w:val="00330D0E"/>
    <w:rsid w:val="00330DA6"/>
    <w:rsid w:val="00330E44"/>
    <w:rsid w:val="00331240"/>
    <w:rsid w:val="003319D1"/>
    <w:rsid w:val="00331DEE"/>
    <w:rsid w:val="00332D27"/>
    <w:rsid w:val="00333959"/>
    <w:rsid w:val="00333988"/>
    <w:rsid w:val="003339ED"/>
    <w:rsid w:val="00333E50"/>
    <w:rsid w:val="00334C73"/>
    <w:rsid w:val="00334D5D"/>
    <w:rsid w:val="00336079"/>
    <w:rsid w:val="003366C3"/>
    <w:rsid w:val="00336815"/>
    <w:rsid w:val="00336DA8"/>
    <w:rsid w:val="00336F7B"/>
    <w:rsid w:val="00337764"/>
    <w:rsid w:val="00340054"/>
    <w:rsid w:val="00340701"/>
    <w:rsid w:val="00340AFD"/>
    <w:rsid w:val="00341522"/>
    <w:rsid w:val="003415DF"/>
    <w:rsid w:val="0034185C"/>
    <w:rsid w:val="00341DF8"/>
    <w:rsid w:val="0034278F"/>
    <w:rsid w:val="003428FF"/>
    <w:rsid w:val="00343243"/>
    <w:rsid w:val="003435C5"/>
    <w:rsid w:val="0034376D"/>
    <w:rsid w:val="00344064"/>
    <w:rsid w:val="00344B8D"/>
    <w:rsid w:val="003452D3"/>
    <w:rsid w:val="003453DE"/>
    <w:rsid w:val="003459EC"/>
    <w:rsid w:val="00345D4F"/>
    <w:rsid w:val="0034660A"/>
    <w:rsid w:val="00347799"/>
    <w:rsid w:val="00350099"/>
    <w:rsid w:val="00350B7D"/>
    <w:rsid w:val="0035297E"/>
    <w:rsid w:val="003529F3"/>
    <w:rsid w:val="00352BA4"/>
    <w:rsid w:val="0035302E"/>
    <w:rsid w:val="0035318C"/>
    <w:rsid w:val="0035342D"/>
    <w:rsid w:val="0035375F"/>
    <w:rsid w:val="00353F51"/>
    <w:rsid w:val="003544E8"/>
    <w:rsid w:val="0035454D"/>
    <w:rsid w:val="003547DA"/>
    <w:rsid w:val="0035485A"/>
    <w:rsid w:val="00354E15"/>
    <w:rsid w:val="0035527F"/>
    <w:rsid w:val="00355972"/>
    <w:rsid w:val="003564E3"/>
    <w:rsid w:val="003564FE"/>
    <w:rsid w:val="0035684E"/>
    <w:rsid w:val="00356DAA"/>
    <w:rsid w:val="00357010"/>
    <w:rsid w:val="0035753B"/>
    <w:rsid w:val="00357C6C"/>
    <w:rsid w:val="00360453"/>
    <w:rsid w:val="003606BC"/>
    <w:rsid w:val="00360BC8"/>
    <w:rsid w:val="00361403"/>
    <w:rsid w:val="003626A2"/>
    <w:rsid w:val="00362C62"/>
    <w:rsid w:val="003633C3"/>
    <w:rsid w:val="0036397E"/>
    <w:rsid w:val="00364291"/>
    <w:rsid w:val="00364505"/>
    <w:rsid w:val="00365CA4"/>
    <w:rsid w:val="00365E55"/>
    <w:rsid w:val="00366037"/>
    <w:rsid w:val="0036636A"/>
    <w:rsid w:val="003665E0"/>
    <w:rsid w:val="0036739B"/>
    <w:rsid w:val="003674A6"/>
    <w:rsid w:val="003674D0"/>
    <w:rsid w:val="00367C30"/>
    <w:rsid w:val="003700B9"/>
    <w:rsid w:val="00370456"/>
    <w:rsid w:val="00370605"/>
    <w:rsid w:val="00370E01"/>
    <w:rsid w:val="00370FD9"/>
    <w:rsid w:val="00371161"/>
    <w:rsid w:val="003711CD"/>
    <w:rsid w:val="003713EB"/>
    <w:rsid w:val="00371676"/>
    <w:rsid w:val="00371808"/>
    <w:rsid w:val="0037182D"/>
    <w:rsid w:val="00371F93"/>
    <w:rsid w:val="0037204A"/>
    <w:rsid w:val="003728A8"/>
    <w:rsid w:val="003728A9"/>
    <w:rsid w:val="00373755"/>
    <w:rsid w:val="00373957"/>
    <w:rsid w:val="003739A4"/>
    <w:rsid w:val="0037425A"/>
    <w:rsid w:val="00374988"/>
    <w:rsid w:val="00375735"/>
    <w:rsid w:val="00375F4B"/>
    <w:rsid w:val="00376B3C"/>
    <w:rsid w:val="003770EB"/>
    <w:rsid w:val="003775B2"/>
    <w:rsid w:val="00380142"/>
    <w:rsid w:val="0038185D"/>
    <w:rsid w:val="00381FEA"/>
    <w:rsid w:val="00382013"/>
    <w:rsid w:val="0038209C"/>
    <w:rsid w:val="00382EBA"/>
    <w:rsid w:val="003833E7"/>
    <w:rsid w:val="00383520"/>
    <w:rsid w:val="003838AD"/>
    <w:rsid w:val="00383BB7"/>
    <w:rsid w:val="00384628"/>
    <w:rsid w:val="00384ED1"/>
    <w:rsid w:val="003851C4"/>
    <w:rsid w:val="00385884"/>
    <w:rsid w:val="00385A65"/>
    <w:rsid w:val="003865E9"/>
    <w:rsid w:val="003866DF"/>
    <w:rsid w:val="00386DF0"/>
    <w:rsid w:val="0038704A"/>
    <w:rsid w:val="00387FAB"/>
    <w:rsid w:val="00387FB9"/>
    <w:rsid w:val="00390236"/>
    <w:rsid w:val="0039196C"/>
    <w:rsid w:val="00391C92"/>
    <w:rsid w:val="00392186"/>
    <w:rsid w:val="003922E5"/>
    <w:rsid w:val="00392436"/>
    <w:rsid w:val="0039352B"/>
    <w:rsid w:val="00393580"/>
    <w:rsid w:val="00394224"/>
    <w:rsid w:val="0039435E"/>
    <w:rsid w:val="00394D34"/>
    <w:rsid w:val="003954AB"/>
    <w:rsid w:val="00395687"/>
    <w:rsid w:val="00396755"/>
    <w:rsid w:val="003967D2"/>
    <w:rsid w:val="00396E57"/>
    <w:rsid w:val="003A00DC"/>
    <w:rsid w:val="003A03EA"/>
    <w:rsid w:val="003A05FC"/>
    <w:rsid w:val="003A0DC4"/>
    <w:rsid w:val="003A10B9"/>
    <w:rsid w:val="003A14C6"/>
    <w:rsid w:val="003A16A8"/>
    <w:rsid w:val="003A23F1"/>
    <w:rsid w:val="003A258C"/>
    <w:rsid w:val="003A260E"/>
    <w:rsid w:val="003A3905"/>
    <w:rsid w:val="003A3B7F"/>
    <w:rsid w:val="003A4073"/>
    <w:rsid w:val="003A4D28"/>
    <w:rsid w:val="003A501B"/>
    <w:rsid w:val="003A51B6"/>
    <w:rsid w:val="003A5D3B"/>
    <w:rsid w:val="003A5DC5"/>
    <w:rsid w:val="003A63E4"/>
    <w:rsid w:val="003A6520"/>
    <w:rsid w:val="003A65A0"/>
    <w:rsid w:val="003A6804"/>
    <w:rsid w:val="003A6B3E"/>
    <w:rsid w:val="003A6D17"/>
    <w:rsid w:val="003A7B72"/>
    <w:rsid w:val="003B0B17"/>
    <w:rsid w:val="003B0CE7"/>
    <w:rsid w:val="003B192E"/>
    <w:rsid w:val="003B1A8B"/>
    <w:rsid w:val="003B2071"/>
    <w:rsid w:val="003B21E8"/>
    <w:rsid w:val="003B2322"/>
    <w:rsid w:val="003B241C"/>
    <w:rsid w:val="003B25DD"/>
    <w:rsid w:val="003B2BEA"/>
    <w:rsid w:val="003B2D95"/>
    <w:rsid w:val="003B3033"/>
    <w:rsid w:val="003B30C1"/>
    <w:rsid w:val="003B3277"/>
    <w:rsid w:val="003B48AA"/>
    <w:rsid w:val="003B4A15"/>
    <w:rsid w:val="003B4E7D"/>
    <w:rsid w:val="003B4F34"/>
    <w:rsid w:val="003B4F3D"/>
    <w:rsid w:val="003B55EE"/>
    <w:rsid w:val="003B5801"/>
    <w:rsid w:val="003B59C2"/>
    <w:rsid w:val="003B5BED"/>
    <w:rsid w:val="003B5EAD"/>
    <w:rsid w:val="003B60C0"/>
    <w:rsid w:val="003B6164"/>
    <w:rsid w:val="003B61CA"/>
    <w:rsid w:val="003B6752"/>
    <w:rsid w:val="003B6BB8"/>
    <w:rsid w:val="003B6F42"/>
    <w:rsid w:val="003B74DD"/>
    <w:rsid w:val="003C12BC"/>
    <w:rsid w:val="003C1314"/>
    <w:rsid w:val="003C163F"/>
    <w:rsid w:val="003C2B62"/>
    <w:rsid w:val="003C2BFD"/>
    <w:rsid w:val="003C2FE5"/>
    <w:rsid w:val="003C3B51"/>
    <w:rsid w:val="003C3C7B"/>
    <w:rsid w:val="003C3E21"/>
    <w:rsid w:val="003C473D"/>
    <w:rsid w:val="003C49C0"/>
    <w:rsid w:val="003C5262"/>
    <w:rsid w:val="003C5466"/>
    <w:rsid w:val="003C54AA"/>
    <w:rsid w:val="003C60DF"/>
    <w:rsid w:val="003C60FD"/>
    <w:rsid w:val="003C620A"/>
    <w:rsid w:val="003C68CB"/>
    <w:rsid w:val="003C69EA"/>
    <w:rsid w:val="003C7282"/>
    <w:rsid w:val="003C73E5"/>
    <w:rsid w:val="003C7824"/>
    <w:rsid w:val="003D0178"/>
    <w:rsid w:val="003D017C"/>
    <w:rsid w:val="003D04E2"/>
    <w:rsid w:val="003D0A0F"/>
    <w:rsid w:val="003D10D0"/>
    <w:rsid w:val="003D11C9"/>
    <w:rsid w:val="003D28B7"/>
    <w:rsid w:val="003D2A9B"/>
    <w:rsid w:val="003D2CE7"/>
    <w:rsid w:val="003D357B"/>
    <w:rsid w:val="003D3788"/>
    <w:rsid w:val="003D3F13"/>
    <w:rsid w:val="003D4521"/>
    <w:rsid w:val="003D4EFC"/>
    <w:rsid w:val="003D5B2E"/>
    <w:rsid w:val="003D67F2"/>
    <w:rsid w:val="003D6BA9"/>
    <w:rsid w:val="003D6DE8"/>
    <w:rsid w:val="003D7724"/>
    <w:rsid w:val="003D773E"/>
    <w:rsid w:val="003D7B46"/>
    <w:rsid w:val="003E005B"/>
    <w:rsid w:val="003E006C"/>
    <w:rsid w:val="003E055F"/>
    <w:rsid w:val="003E0887"/>
    <w:rsid w:val="003E1C22"/>
    <w:rsid w:val="003E1E4A"/>
    <w:rsid w:val="003E21E3"/>
    <w:rsid w:val="003E21F2"/>
    <w:rsid w:val="003E2B9E"/>
    <w:rsid w:val="003E3298"/>
    <w:rsid w:val="003E32AC"/>
    <w:rsid w:val="003E335E"/>
    <w:rsid w:val="003E33F0"/>
    <w:rsid w:val="003E4AED"/>
    <w:rsid w:val="003E4BF7"/>
    <w:rsid w:val="003E51AA"/>
    <w:rsid w:val="003E5A5A"/>
    <w:rsid w:val="003E689A"/>
    <w:rsid w:val="003E6B42"/>
    <w:rsid w:val="003E7594"/>
    <w:rsid w:val="003E766C"/>
    <w:rsid w:val="003E7BB1"/>
    <w:rsid w:val="003F0684"/>
    <w:rsid w:val="003F0EB5"/>
    <w:rsid w:val="003F1BCE"/>
    <w:rsid w:val="003F1C7B"/>
    <w:rsid w:val="003F1D26"/>
    <w:rsid w:val="003F1DFB"/>
    <w:rsid w:val="003F2104"/>
    <w:rsid w:val="003F21A2"/>
    <w:rsid w:val="003F23A7"/>
    <w:rsid w:val="003F34B6"/>
    <w:rsid w:val="003F3B11"/>
    <w:rsid w:val="003F41D2"/>
    <w:rsid w:val="003F42D8"/>
    <w:rsid w:val="003F4DF2"/>
    <w:rsid w:val="003F60B6"/>
    <w:rsid w:val="003F658D"/>
    <w:rsid w:val="003F688A"/>
    <w:rsid w:val="003F70EA"/>
    <w:rsid w:val="003F7166"/>
    <w:rsid w:val="003F742F"/>
    <w:rsid w:val="003F7838"/>
    <w:rsid w:val="003F7934"/>
    <w:rsid w:val="003F7A10"/>
    <w:rsid w:val="003F7BB2"/>
    <w:rsid w:val="00400179"/>
    <w:rsid w:val="00400DD4"/>
    <w:rsid w:val="0040122F"/>
    <w:rsid w:val="004013FB"/>
    <w:rsid w:val="0040162C"/>
    <w:rsid w:val="00401697"/>
    <w:rsid w:val="00401BB1"/>
    <w:rsid w:val="00401DB8"/>
    <w:rsid w:val="00401FDB"/>
    <w:rsid w:val="00402066"/>
    <w:rsid w:val="0040222D"/>
    <w:rsid w:val="004022CC"/>
    <w:rsid w:val="004027A4"/>
    <w:rsid w:val="0040290E"/>
    <w:rsid w:val="00402F75"/>
    <w:rsid w:val="004036F3"/>
    <w:rsid w:val="00403F08"/>
    <w:rsid w:val="004045C1"/>
    <w:rsid w:val="004054F0"/>
    <w:rsid w:val="00405654"/>
    <w:rsid w:val="00405664"/>
    <w:rsid w:val="00405890"/>
    <w:rsid w:val="00406634"/>
    <w:rsid w:val="00407666"/>
    <w:rsid w:val="004076BD"/>
    <w:rsid w:val="004077C8"/>
    <w:rsid w:val="00407B9F"/>
    <w:rsid w:val="0041017D"/>
    <w:rsid w:val="00410D4F"/>
    <w:rsid w:val="004117D3"/>
    <w:rsid w:val="0041186A"/>
    <w:rsid w:val="00412318"/>
    <w:rsid w:val="0041292E"/>
    <w:rsid w:val="0041294C"/>
    <w:rsid w:val="004131F4"/>
    <w:rsid w:val="00413F66"/>
    <w:rsid w:val="004147E9"/>
    <w:rsid w:val="004159ED"/>
    <w:rsid w:val="00415CE3"/>
    <w:rsid w:val="0041632B"/>
    <w:rsid w:val="004168DE"/>
    <w:rsid w:val="00416A64"/>
    <w:rsid w:val="00416D35"/>
    <w:rsid w:val="00417E61"/>
    <w:rsid w:val="004203CE"/>
    <w:rsid w:val="004204FF"/>
    <w:rsid w:val="00420607"/>
    <w:rsid w:val="0042068E"/>
    <w:rsid w:val="004209F4"/>
    <w:rsid w:val="00420D81"/>
    <w:rsid w:val="004210CC"/>
    <w:rsid w:val="004210FF"/>
    <w:rsid w:val="00421505"/>
    <w:rsid w:val="004219FD"/>
    <w:rsid w:val="004222AC"/>
    <w:rsid w:val="004223CA"/>
    <w:rsid w:val="00422727"/>
    <w:rsid w:val="004227F3"/>
    <w:rsid w:val="00423373"/>
    <w:rsid w:val="00423393"/>
    <w:rsid w:val="00423B10"/>
    <w:rsid w:val="00423BE3"/>
    <w:rsid w:val="00423CE2"/>
    <w:rsid w:val="00423D4A"/>
    <w:rsid w:val="00423FF2"/>
    <w:rsid w:val="004248B4"/>
    <w:rsid w:val="00424961"/>
    <w:rsid w:val="004256CA"/>
    <w:rsid w:val="00425774"/>
    <w:rsid w:val="00425BD0"/>
    <w:rsid w:val="00426121"/>
    <w:rsid w:val="00426809"/>
    <w:rsid w:val="00427E15"/>
    <w:rsid w:val="00427F50"/>
    <w:rsid w:val="00430110"/>
    <w:rsid w:val="0043089B"/>
    <w:rsid w:val="00430B77"/>
    <w:rsid w:val="00430CB8"/>
    <w:rsid w:val="0043105E"/>
    <w:rsid w:val="004317F0"/>
    <w:rsid w:val="00431BD1"/>
    <w:rsid w:val="004325DF"/>
    <w:rsid w:val="00433025"/>
    <w:rsid w:val="00433074"/>
    <w:rsid w:val="0043359C"/>
    <w:rsid w:val="004335DA"/>
    <w:rsid w:val="00433F4A"/>
    <w:rsid w:val="00434485"/>
    <w:rsid w:val="00434CD8"/>
    <w:rsid w:val="004350C9"/>
    <w:rsid w:val="00435168"/>
    <w:rsid w:val="004356A3"/>
    <w:rsid w:val="00436379"/>
    <w:rsid w:val="00436D15"/>
    <w:rsid w:val="00437325"/>
    <w:rsid w:val="004402C0"/>
    <w:rsid w:val="00440900"/>
    <w:rsid w:val="004409DC"/>
    <w:rsid w:val="00440A3C"/>
    <w:rsid w:val="00440E99"/>
    <w:rsid w:val="0044107D"/>
    <w:rsid w:val="0044197E"/>
    <w:rsid w:val="00441A4B"/>
    <w:rsid w:val="00441A4C"/>
    <w:rsid w:val="00441FB4"/>
    <w:rsid w:val="004423E5"/>
    <w:rsid w:val="00442CC6"/>
    <w:rsid w:val="00442D69"/>
    <w:rsid w:val="00442D8C"/>
    <w:rsid w:val="00443416"/>
    <w:rsid w:val="00444666"/>
    <w:rsid w:val="004448F7"/>
    <w:rsid w:val="00444A13"/>
    <w:rsid w:val="00444DA2"/>
    <w:rsid w:val="0044503D"/>
    <w:rsid w:val="00445069"/>
    <w:rsid w:val="004450F1"/>
    <w:rsid w:val="00445DA7"/>
    <w:rsid w:val="00445FBC"/>
    <w:rsid w:val="0044611E"/>
    <w:rsid w:val="00446C28"/>
    <w:rsid w:val="00446D65"/>
    <w:rsid w:val="00447266"/>
    <w:rsid w:val="00447429"/>
    <w:rsid w:val="00450002"/>
    <w:rsid w:val="00450808"/>
    <w:rsid w:val="00450E0C"/>
    <w:rsid w:val="004519B4"/>
    <w:rsid w:val="00451ED4"/>
    <w:rsid w:val="0045207F"/>
    <w:rsid w:val="004522CC"/>
    <w:rsid w:val="0045241F"/>
    <w:rsid w:val="00452558"/>
    <w:rsid w:val="00452F0E"/>
    <w:rsid w:val="004535A9"/>
    <w:rsid w:val="00453D49"/>
    <w:rsid w:val="00454982"/>
    <w:rsid w:val="00454EED"/>
    <w:rsid w:val="00456953"/>
    <w:rsid w:val="00457B77"/>
    <w:rsid w:val="0046046D"/>
    <w:rsid w:val="004604D7"/>
    <w:rsid w:val="00460661"/>
    <w:rsid w:val="00460FE6"/>
    <w:rsid w:val="00461399"/>
    <w:rsid w:val="0046167A"/>
    <w:rsid w:val="00462061"/>
    <w:rsid w:val="00462065"/>
    <w:rsid w:val="00463C70"/>
    <w:rsid w:val="00463D64"/>
    <w:rsid w:val="00464470"/>
    <w:rsid w:val="004651E3"/>
    <w:rsid w:val="00465599"/>
    <w:rsid w:val="0046575B"/>
    <w:rsid w:val="00465EF4"/>
    <w:rsid w:val="00466333"/>
    <w:rsid w:val="00466341"/>
    <w:rsid w:val="004663E0"/>
    <w:rsid w:val="004664DF"/>
    <w:rsid w:val="00466E0A"/>
    <w:rsid w:val="00466E10"/>
    <w:rsid w:val="004675CA"/>
    <w:rsid w:val="00467694"/>
    <w:rsid w:val="00467FAF"/>
    <w:rsid w:val="0047000B"/>
    <w:rsid w:val="004702AF"/>
    <w:rsid w:val="00470C15"/>
    <w:rsid w:val="00470F5F"/>
    <w:rsid w:val="004722B5"/>
    <w:rsid w:val="00472C3A"/>
    <w:rsid w:val="00472F2D"/>
    <w:rsid w:val="00473041"/>
    <w:rsid w:val="004738D8"/>
    <w:rsid w:val="00474DD1"/>
    <w:rsid w:val="00474EF5"/>
    <w:rsid w:val="0047558F"/>
    <w:rsid w:val="004758B7"/>
    <w:rsid w:val="00476ABD"/>
    <w:rsid w:val="00476E90"/>
    <w:rsid w:val="004776A8"/>
    <w:rsid w:val="0047770D"/>
    <w:rsid w:val="0047788D"/>
    <w:rsid w:val="00477E95"/>
    <w:rsid w:val="004801FE"/>
    <w:rsid w:val="00480266"/>
    <w:rsid w:val="0048073E"/>
    <w:rsid w:val="0048099E"/>
    <w:rsid w:val="00480AA6"/>
    <w:rsid w:val="004812EA"/>
    <w:rsid w:val="00481585"/>
    <w:rsid w:val="0048193F"/>
    <w:rsid w:val="00481CB7"/>
    <w:rsid w:val="00481D3F"/>
    <w:rsid w:val="00481DD9"/>
    <w:rsid w:val="0048229A"/>
    <w:rsid w:val="0048261F"/>
    <w:rsid w:val="00482BBE"/>
    <w:rsid w:val="00482CFF"/>
    <w:rsid w:val="00482DF7"/>
    <w:rsid w:val="00482F58"/>
    <w:rsid w:val="00483109"/>
    <w:rsid w:val="0048328C"/>
    <w:rsid w:val="00483450"/>
    <w:rsid w:val="004836C4"/>
    <w:rsid w:val="0048373F"/>
    <w:rsid w:val="00483CE6"/>
    <w:rsid w:val="004840BE"/>
    <w:rsid w:val="00484616"/>
    <w:rsid w:val="004848D8"/>
    <w:rsid w:val="00484BDE"/>
    <w:rsid w:val="00484EE8"/>
    <w:rsid w:val="00485F6B"/>
    <w:rsid w:val="00486E6A"/>
    <w:rsid w:val="00487CA2"/>
    <w:rsid w:val="00490415"/>
    <w:rsid w:val="0049064A"/>
    <w:rsid w:val="004912D5"/>
    <w:rsid w:val="0049136C"/>
    <w:rsid w:val="0049160E"/>
    <w:rsid w:val="004917B7"/>
    <w:rsid w:val="00491A52"/>
    <w:rsid w:val="00491AF6"/>
    <w:rsid w:val="00492280"/>
    <w:rsid w:val="00492BD6"/>
    <w:rsid w:val="00493D86"/>
    <w:rsid w:val="00494B2B"/>
    <w:rsid w:val="00495639"/>
    <w:rsid w:val="00495DCE"/>
    <w:rsid w:val="00496042"/>
    <w:rsid w:val="00497228"/>
    <w:rsid w:val="00497459"/>
    <w:rsid w:val="00497769"/>
    <w:rsid w:val="00497B5A"/>
    <w:rsid w:val="00497EEC"/>
    <w:rsid w:val="004A09B2"/>
    <w:rsid w:val="004A0C91"/>
    <w:rsid w:val="004A1098"/>
    <w:rsid w:val="004A1783"/>
    <w:rsid w:val="004A1FA6"/>
    <w:rsid w:val="004A23DC"/>
    <w:rsid w:val="004A3B3B"/>
    <w:rsid w:val="004A44A2"/>
    <w:rsid w:val="004A4599"/>
    <w:rsid w:val="004A50B6"/>
    <w:rsid w:val="004A55EF"/>
    <w:rsid w:val="004A564D"/>
    <w:rsid w:val="004A5890"/>
    <w:rsid w:val="004A5EBA"/>
    <w:rsid w:val="004A604D"/>
    <w:rsid w:val="004A62F6"/>
    <w:rsid w:val="004A632F"/>
    <w:rsid w:val="004A67CB"/>
    <w:rsid w:val="004A6A6B"/>
    <w:rsid w:val="004A6BCC"/>
    <w:rsid w:val="004A6D2E"/>
    <w:rsid w:val="004B039B"/>
    <w:rsid w:val="004B04B8"/>
    <w:rsid w:val="004B04EE"/>
    <w:rsid w:val="004B061D"/>
    <w:rsid w:val="004B15E2"/>
    <w:rsid w:val="004B1FC4"/>
    <w:rsid w:val="004B218B"/>
    <w:rsid w:val="004B29D0"/>
    <w:rsid w:val="004B2A46"/>
    <w:rsid w:val="004B2D32"/>
    <w:rsid w:val="004B3294"/>
    <w:rsid w:val="004B33AC"/>
    <w:rsid w:val="004B3734"/>
    <w:rsid w:val="004B3ADE"/>
    <w:rsid w:val="004B3B7D"/>
    <w:rsid w:val="004B40F5"/>
    <w:rsid w:val="004B46D3"/>
    <w:rsid w:val="004B4A0E"/>
    <w:rsid w:val="004B4A25"/>
    <w:rsid w:val="004B4CE8"/>
    <w:rsid w:val="004B50B2"/>
    <w:rsid w:val="004B5246"/>
    <w:rsid w:val="004B5544"/>
    <w:rsid w:val="004B5BF8"/>
    <w:rsid w:val="004B5F18"/>
    <w:rsid w:val="004B6472"/>
    <w:rsid w:val="004B6A7A"/>
    <w:rsid w:val="004B76E2"/>
    <w:rsid w:val="004B7AAB"/>
    <w:rsid w:val="004B7B93"/>
    <w:rsid w:val="004B7FA4"/>
    <w:rsid w:val="004C098E"/>
    <w:rsid w:val="004C0B43"/>
    <w:rsid w:val="004C0E4E"/>
    <w:rsid w:val="004C10E5"/>
    <w:rsid w:val="004C1191"/>
    <w:rsid w:val="004C1885"/>
    <w:rsid w:val="004C1941"/>
    <w:rsid w:val="004C1B0A"/>
    <w:rsid w:val="004C1E79"/>
    <w:rsid w:val="004C20D5"/>
    <w:rsid w:val="004C28D0"/>
    <w:rsid w:val="004C2CCA"/>
    <w:rsid w:val="004C2D60"/>
    <w:rsid w:val="004C3882"/>
    <w:rsid w:val="004C3C3B"/>
    <w:rsid w:val="004C4051"/>
    <w:rsid w:val="004C49B0"/>
    <w:rsid w:val="004C4B7B"/>
    <w:rsid w:val="004C516C"/>
    <w:rsid w:val="004C537A"/>
    <w:rsid w:val="004C5AFD"/>
    <w:rsid w:val="004C5C8F"/>
    <w:rsid w:val="004C658C"/>
    <w:rsid w:val="004C72F7"/>
    <w:rsid w:val="004C7614"/>
    <w:rsid w:val="004C77A1"/>
    <w:rsid w:val="004C7E11"/>
    <w:rsid w:val="004D036B"/>
    <w:rsid w:val="004D0EF8"/>
    <w:rsid w:val="004D1050"/>
    <w:rsid w:val="004D1417"/>
    <w:rsid w:val="004D1573"/>
    <w:rsid w:val="004D1857"/>
    <w:rsid w:val="004D2A1F"/>
    <w:rsid w:val="004D2C34"/>
    <w:rsid w:val="004D3636"/>
    <w:rsid w:val="004D3880"/>
    <w:rsid w:val="004D3986"/>
    <w:rsid w:val="004D3CA4"/>
    <w:rsid w:val="004D40A9"/>
    <w:rsid w:val="004D44B3"/>
    <w:rsid w:val="004D45F5"/>
    <w:rsid w:val="004D492D"/>
    <w:rsid w:val="004D4946"/>
    <w:rsid w:val="004D4969"/>
    <w:rsid w:val="004D5988"/>
    <w:rsid w:val="004D631B"/>
    <w:rsid w:val="004D63F1"/>
    <w:rsid w:val="004D646C"/>
    <w:rsid w:val="004D7FE8"/>
    <w:rsid w:val="004E05D2"/>
    <w:rsid w:val="004E0906"/>
    <w:rsid w:val="004E0ACA"/>
    <w:rsid w:val="004E117C"/>
    <w:rsid w:val="004E14A7"/>
    <w:rsid w:val="004E1AB5"/>
    <w:rsid w:val="004E1CDF"/>
    <w:rsid w:val="004E258C"/>
    <w:rsid w:val="004E2C2C"/>
    <w:rsid w:val="004E32A0"/>
    <w:rsid w:val="004E32C8"/>
    <w:rsid w:val="004E3719"/>
    <w:rsid w:val="004E3756"/>
    <w:rsid w:val="004E39A9"/>
    <w:rsid w:val="004E3C48"/>
    <w:rsid w:val="004E434D"/>
    <w:rsid w:val="004E43EF"/>
    <w:rsid w:val="004E4602"/>
    <w:rsid w:val="004E4840"/>
    <w:rsid w:val="004E52D5"/>
    <w:rsid w:val="004E5500"/>
    <w:rsid w:val="004E56CC"/>
    <w:rsid w:val="004E6085"/>
    <w:rsid w:val="004E640F"/>
    <w:rsid w:val="004E657B"/>
    <w:rsid w:val="004E6859"/>
    <w:rsid w:val="004E7153"/>
    <w:rsid w:val="004E71D4"/>
    <w:rsid w:val="004F0258"/>
    <w:rsid w:val="004F02A1"/>
    <w:rsid w:val="004F0493"/>
    <w:rsid w:val="004F05DC"/>
    <w:rsid w:val="004F0D1A"/>
    <w:rsid w:val="004F0F3A"/>
    <w:rsid w:val="004F1147"/>
    <w:rsid w:val="004F1C6C"/>
    <w:rsid w:val="004F1EE1"/>
    <w:rsid w:val="004F26B4"/>
    <w:rsid w:val="004F2E08"/>
    <w:rsid w:val="004F38A0"/>
    <w:rsid w:val="004F3E5B"/>
    <w:rsid w:val="004F40C1"/>
    <w:rsid w:val="004F48C8"/>
    <w:rsid w:val="004F506D"/>
    <w:rsid w:val="004F64BE"/>
    <w:rsid w:val="004F69F6"/>
    <w:rsid w:val="004F7307"/>
    <w:rsid w:val="004F7583"/>
    <w:rsid w:val="004F75D9"/>
    <w:rsid w:val="0050044D"/>
    <w:rsid w:val="00502AFA"/>
    <w:rsid w:val="005034AA"/>
    <w:rsid w:val="005034E5"/>
    <w:rsid w:val="00503B61"/>
    <w:rsid w:val="00503B94"/>
    <w:rsid w:val="00504258"/>
    <w:rsid w:val="00505C8C"/>
    <w:rsid w:val="00506677"/>
    <w:rsid w:val="00506968"/>
    <w:rsid w:val="00506B41"/>
    <w:rsid w:val="00506CF8"/>
    <w:rsid w:val="00506FA5"/>
    <w:rsid w:val="00506FA7"/>
    <w:rsid w:val="005079ED"/>
    <w:rsid w:val="00507BE8"/>
    <w:rsid w:val="00507C26"/>
    <w:rsid w:val="005100FA"/>
    <w:rsid w:val="005104A9"/>
    <w:rsid w:val="00510544"/>
    <w:rsid w:val="005105EC"/>
    <w:rsid w:val="00511457"/>
    <w:rsid w:val="00511717"/>
    <w:rsid w:val="00511962"/>
    <w:rsid w:val="00511B39"/>
    <w:rsid w:val="00512478"/>
    <w:rsid w:val="005125C0"/>
    <w:rsid w:val="0051339A"/>
    <w:rsid w:val="005136D3"/>
    <w:rsid w:val="00513BF4"/>
    <w:rsid w:val="00513C86"/>
    <w:rsid w:val="00513C98"/>
    <w:rsid w:val="005147E8"/>
    <w:rsid w:val="0051486E"/>
    <w:rsid w:val="00514AE9"/>
    <w:rsid w:val="00515917"/>
    <w:rsid w:val="00515A56"/>
    <w:rsid w:val="00515E2C"/>
    <w:rsid w:val="0051635E"/>
    <w:rsid w:val="005165EE"/>
    <w:rsid w:val="005167E4"/>
    <w:rsid w:val="00516C66"/>
    <w:rsid w:val="00517404"/>
    <w:rsid w:val="00517415"/>
    <w:rsid w:val="005177D3"/>
    <w:rsid w:val="00517A2D"/>
    <w:rsid w:val="00517C9D"/>
    <w:rsid w:val="00517D21"/>
    <w:rsid w:val="00520049"/>
    <w:rsid w:val="005203E3"/>
    <w:rsid w:val="0052056D"/>
    <w:rsid w:val="00520F3C"/>
    <w:rsid w:val="00522482"/>
    <w:rsid w:val="00523190"/>
    <w:rsid w:val="005231A2"/>
    <w:rsid w:val="00524147"/>
    <w:rsid w:val="0052510A"/>
    <w:rsid w:val="005257C7"/>
    <w:rsid w:val="00525EFD"/>
    <w:rsid w:val="00526555"/>
    <w:rsid w:val="00527466"/>
    <w:rsid w:val="005274D8"/>
    <w:rsid w:val="00527574"/>
    <w:rsid w:val="00527777"/>
    <w:rsid w:val="00527910"/>
    <w:rsid w:val="00527D7A"/>
    <w:rsid w:val="00530550"/>
    <w:rsid w:val="005307BF"/>
    <w:rsid w:val="00530EA0"/>
    <w:rsid w:val="00530F8B"/>
    <w:rsid w:val="00531B3D"/>
    <w:rsid w:val="00531DEF"/>
    <w:rsid w:val="005323B8"/>
    <w:rsid w:val="005323D1"/>
    <w:rsid w:val="00532940"/>
    <w:rsid w:val="00532A84"/>
    <w:rsid w:val="00532B4F"/>
    <w:rsid w:val="00532EE4"/>
    <w:rsid w:val="00532F0E"/>
    <w:rsid w:val="005335A0"/>
    <w:rsid w:val="00533611"/>
    <w:rsid w:val="0053369B"/>
    <w:rsid w:val="00533EAE"/>
    <w:rsid w:val="00534529"/>
    <w:rsid w:val="005345E5"/>
    <w:rsid w:val="00534B36"/>
    <w:rsid w:val="005355A4"/>
    <w:rsid w:val="005355A9"/>
    <w:rsid w:val="005367A9"/>
    <w:rsid w:val="00536A24"/>
    <w:rsid w:val="00536A5E"/>
    <w:rsid w:val="00536B4E"/>
    <w:rsid w:val="005370D8"/>
    <w:rsid w:val="005377D7"/>
    <w:rsid w:val="0053787E"/>
    <w:rsid w:val="0053792C"/>
    <w:rsid w:val="00537A07"/>
    <w:rsid w:val="00537E29"/>
    <w:rsid w:val="005402F0"/>
    <w:rsid w:val="0054070C"/>
    <w:rsid w:val="00540886"/>
    <w:rsid w:val="00540F02"/>
    <w:rsid w:val="0054115D"/>
    <w:rsid w:val="005411DB"/>
    <w:rsid w:val="0054139D"/>
    <w:rsid w:val="005413C8"/>
    <w:rsid w:val="005414AE"/>
    <w:rsid w:val="005415D5"/>
    <w:rsid w:val="00541DE9"/>
    <w:rsid w:val="00542AB3"/>
    <w:rsid w:val="005435F5"/>
    <w:rsid w:val="00543D89"/>
    <w:rsid w:val="005450CB"/>
    <w:rsid w:val="00545704"/>
    <w:rsid w:val="00547509"/>
    <w:rsid w:val="005475A5"/>
    <w:rsid w:val="005475D3"/>
    <w:rsid w:val="00547675"/>
    <w:rsid w:val="005477F5"/>
    <w:rsid w:val="005478AA"/>
    <w:rsid w:val="00547A0B"/>
    <w:rsid w:val="00547B58"/>
    <w:rsid w:val="00547F80"/>
    <w:rsid w:val="0055041D"/>
    <w:rsid w:val="00551D05"/>
    <w:rsid w:val="00551F6A"/>
    <w:rsid w:val="00552177"/>
    <w:rsid w:val="0055218E"/>
    <w:rsid w:val="005521A2"/>
    <w:rsid w:val="005523DB"/>
    <w:rsid w:val="0055267B"/>
    <w:rsid w:val="00552AFC"/>
    <w:rsid w:val="00553373"/>
    <w:rsid w:val="00553EDC"/>
    <w:rsid w:val="00554602"/>
    <w:rsid w:val="00554775"/>
    <w:rsid w:val="00555E1E"/>
    <w:rsid w:val="005564ED"/>
    <w:rsid w:val="0055661F"/>
    <w:rsid w:val="00556F7E"/>
    <w:rsid w:val="0055796B"/>
    <w:rsid w:val="00557F8F"/>
    <w:rsid w:val="0056004A"/>
    <w:rsid w:val="005609D4"/>
    <w:rsid w:val="00560E04"/>
    <w:rsid w:val="00561514"/>
    <w:rsid w:val="00561519"/>
    <w:rsid w:val="00561618"/>
    <w:rsid w:val="00561925"/>
    <w:rsid w:val="00561BA2"/>
    <w:rsid w:val="005629E5"/>
    <w:rsid w:val="00562B93"/>
    <w:rsid w:val="00562E31"/>
    <w:rsid w:val="00563687"/>
    <w:rsid w:val="00563AA7"/>
    <w:rsid w:val="00563BF0"/>
    <w:rsid w:val="0056434F"/>
    <w:rsid w:val="005646E7"/>
    <w:rsid w:val="005647BB"/>
    <w:rsid w:val="00564970"/>
    <w:rsid w:val="00564CB2"/>
    <w:rsid w:val="00565906"/>
    <w:rsid w:val="00565DF2"/>
    <w:rsid w:val="00566D25"/>
    <w:rsid w:val="00567126"/>
    <w:rsid w:val="005672BF"/>
    <w:rsid w:val="005675B0"/>
    <w:rsid w:val="005679A2"/>
    <w:rsid w:val="00567D39"/>
    <w:rsid w:val="00567FC9"/>
    <w:rsid w:val="0057153A"/>
    <w:rsid w:val="00571B87"/>
    <w:rsid w:val="005723FE"/>
    <w:rsid w:val="00572654"/>
    <w:rsid w:val="00572B1D"/>
    <w:rsid w:val="0057306C"/>
    <w:rsid w:val="0057319C"/>
    <w:rsid w:val="00573326"/>
    <w:rsid w:val="00574BB8"/>
    <w:rsid w:val="00575016"/>
    <w:rsid w:val="005753FE"/>
    <w:rsid w:val="00575414"/>
    <w:rsid w:val="00575948"/>
    <w:rsid w:val="005764C0"/>
    <w:rsid w:val="00576BA4"/>
    <w:rsid w:val="005800A5"/>
    <w:rsid w:val="00580292"/>
    <w:rsid w:val="005806AB"/>
    <w:rsid w:val="00580752"/>
    <w:rsid w:val="00580E25"/>
    <w:rsid w:val="0058113D"/>
    <w:rsid w:val="00581A37"/>
    <w:rsid w:val="00581BFE"/>
    <w:rsid w:val="005821BC"/>
    <w:rsid w:val="005825CD"/>
    <w:rsid w:val="00583F55"/>
    <w:rsid w:val="005845D8"/>
    <w:rsid w:val="00584862"/>
    <w:rsid w:val="00584CFB"/>
    <w:rsid w:val="0058554F"/>
    <w:rsid w:val="005859C5"/>
    <w:rsid w:val="00585A16"/>
    <w:rsid w:val="00585A24"/>
    <w:rsid w:val="00585F37"/>
    <w:rsid w:val="005863F5"/>
    <w:rsid w:val="005866BE"/>
    <w:rsid w:val="0058698B"/>
    <w:rsid w:val="005870CE"/>
    <w:rsid w:val="005875E8"/>
    <w:rsid w:val="00587EF0"/>
    <w:rsid w:val="005901C6"/>
    <w:rsid w:val="005903B8"/>
    <w:rsid w:val="00590AB4"/>
    <w:rsid w:val="00590FCE"/>
    <w:rsid w:val="005912D8"/>
    <w:rsid w:val="00591382"/>
    <w:rsid w:val="005918DD"/>
    <w:rsid w:val="005922DD"/>
    <w:rsid w:val="00592430"/>
    <w:rsid w:val="005924E7"/>
    <w:rsid w:val="00592DA2"/>
    <w:rsid w:val="00592E79"/>
    <w:rsid w:val="0059375D"/>
    <w:rsid w:val="00594904"/>
    <w:rsid w:val="005954B2"/>
    <w:rsid w:val="0059608C"/>
    <w:rsid w:val="0059661E"/>
    <w:rsid w:val="00597181"/>
    <w:rsid w:val="00597A75"/>
    <w:rsid w:val="00597EE3"/>
    <w:rsid w:val="005A0035"/>
    <w:rsid w:val="005A00E2"/>
    <w:rsid w:val="005A025C"/>
    <w:rsid w:val="005A033A"/>
    <w:rsid w:val="005A064D"/>
    <w:rsid w:val="005A06B9"/>
    <w:rsid w:val="005A06E2"/>
    <w:rsid w:val="005A07B2"/>
    <w:rsid w:val="005A1075"/>
    <w:rsid w:val="005A1376"/>
    <w:rsid w:val="005A1C5B"/>
    <w:rsid w:val="005A2299"/>
    <w:rsid w:val="005A2B71"/>
    <w:rsid w:val="005A35F5"/>
    <w:rsid w:val="005A4130"/>
    <w:rsid w:val="005A4DCD"/>
    <w:rsid w:val="005A54EF"/>
    <w:rsid w:val="005A5B90"/>
    <w:rsid w:val="005A5C15"/>
    <w:rsid w:val="005A5D2C"/>
    <w:rsid w:val="005A6286"/>
    <w:rsid w:val="005A6F57"/>
    <w:rsid w:val="005A73EE"/>
    <w:rsid w:val="005A776C"/>
    <w:rsid w:val="005A7997"/>
    <w:rsid w:val="005B021E"/>
    <w:rsid w:val="005B09F5"/>
    <w:rsid w:val="005B18B9"/>
    <w:rsid w:val="005B1DD4"/>
    <w:rsid w:val="005B1E97"/>
    <w:rsid w:val="005B21DD"/>
    <w:rsid w:val="005B21FB"/>
    <w:rsid w:val="005B22E1"/>
    <w:rsid w:val="005B2589"/>
    <w:rsid w:val="005B28F5"/>
    <w:rsid w:val="005B313B"/>
    <w:rsid w:val="005B3249"/>
    <w:rsid w:val="005B3927"/>
    <w:rsid w:val="005B3962"/>
    <w:rsid w:val="005B3B5A"/>
    <w:rsid w:val="005B3B76"/>
    <w:rsid w:val="005B3DF0"/>
    <w:rsid w:val="005B4097"/>
    <w:rsid w:val="005B433D"/>
    <w:rsid w:val="005B4430"/>
    <w:rsid w:val="005B45E4"/>
    <w:rsid w:val="005B5626"/>
    <w:rsid w:val="005B5A17"/>
    <w:rsid w:val="005B5BAC"/>
    <w:rsid w:val="005B5F94"/>
    <w:rsid w:val="005B5FE9"/>
    <w:rsid w:val="005B63FE"/>
    <w:rsid w:val="005B6E5C"/>
    <w:rsid w:val="005B77C9"/>
    <w:rsid w:val="005C0014"/>
    <w:rsid w:val="005C002A"/>
    <w:rsid w:val="005C0A8B"/>
    <w:rsid w:val="005C0A90"/>
    <w:rsid w:val="005C0AFC"/>
    <w:rsid w:val="005C0C3B"/>
    <w:rsid w:val="005C0D75"/>
    <w:rsid w:val="005C1AB2"/>
    <w:rsid w:val="005C1EF2"/>
    <w:rsid w:val="005C20D4"/>
    <w:rsid w:val="005C2338"/>
    <w:rsid w:val="005C2676"/>
    <w:rsid w:val="005C29FA"/>
    <w:rsid w:val="005C4F9E"/>
    <w:rsid w:val="005C59AA"/>
    <w:rsid w:val="005C5B93"/>
    <w:rsid w:val="005C5BB2"/>
    <w:rsid w:val="005C6473"/>
    <w:rsid w:val="005C6584"/>
    <w:rsid w:val="005C663B"/>
    <w:rsid w:val="005C6713"/>
    <w:rsid w:val="005C6AD7"/>
    <w:rsid w:val="005C6CCE"/>
    <w:rsid w:val="005C6DC0"/>
    <w:rsid w:val="005C7B9A"/>
    <w:rsid w:val="005D0197"/>
    <w:rsid w:val="005D08D8"/>
    <w:rsid w:val="005D0F2C"/>
    <w:rsid w:val="005D1179"/>
    <w:rsid w:val="005D129A"/>
    <w:rsid w:val="005D12EB"/>
    <w:rsid w:val="005D1490"/>
    <w:rsid w:val="005D16E4"/>
    <w:rsid w:val="005D17E5"/>
    <w:rsid w:val="005D1B42"/>
    <w:rsid w:val="005D1DC7"/>
    <w:rsid w:val="005D2A41"/>
    <w:rsid w:val="005D2FB0"/>
    <w:rsid w:val="005D30BA"/>
    <w:rsid w:val="005D349A"/>
    <w:rsid w:val="005D42A8"/>
    <w:rsid w:val="005D5019"/>
    <w:rsid w:val="005D5327"/>
    <w:rsid w:val="005D57AF"/>
    <w:rsid w:val="005D58FD"/>
    <w:rsid w:val="005D5D94"/>
    <w:rsid w:val="005D6269"/>
    <w:rsid w:val="005D6D00"/>
    <w:rsid w:val="005D765C"/>
    <w:rsid w:val="005D77A4"/>
    <w:rsid w:val="005D79C1"/>
    <w:rsid w:val="005D7C40"/>
    <w:rsid w:val="005E00BD"/>
    <w:rsid w:val="005E07E8"/>
    <w:rsid w:val="005E0FC4"/>
    <w:rsid w:val="005E1EF3"/>
    <w:rsid w:val="005E26B3"/>
    <w:rsid w:val="005E30A7"/>
    <w:rsid w:val="005E3644"/>
    <w:rsid w:val="005E3739"/>
    <w:rsid w:val="005E3DA6"/>
    <w:rsid w:val="005E40E0"/>
    <w:rsid w:val="005E4185"/>
    <w:rsid w:val="005E41BE"/>
    <w:rsid w:val="005E41C0"/>
    <w:rsid w:val="005E43AA"/>
    <w:rsid w:val="005E50D7"/>
    <w:rsid w:val="005E5426"/>
    <w:rsid w:val="005E555D"/>
    <w:rsid w:val="005E5DC4"/>
    <w:rsid w:val="005E65AC"/>
    <w:rsid w:val="005E7188"/>
    <w:rsid w:val="005E7408"/>
    <w:rsid w:val="005E7409"/>
    <w:rsid w:val="005E754D"/>
    <w:rsid w:val="005E7C73"/>
    <w:rsid w:val="005E7CF6"/>
    <w:rsid w:val="005E7D97"/>
    <w:rsid w:val="005F0524"/>
    <w:rsid w:val="005F072C"/>
    <w:rsid w:val="005F0DF7"/>
    <w:rsid w:val="005F1063"/>
    <w:rsid w:val="005F149F"/>
    <w:rsid w:val="005F1879"/>
    <w:rsid w:val="005F1B5A"/>
    <w:rsid w:val="005F2089"/>
    <w:rsid w:val="005F22A7"/>
    <w:rsid w:val="005F3439"/>
    <w:rsid w:val="005F3E51"/>
    <w:rsid w:val="005F4261"/>
    <w:rsid w:val="005F442F"/>
    <w:rsid w:val="005F4784"/>
    <w:rsid w:val="005F4C34"/>
    <w:rsid w:val="005F5001"/>
    <w:rsid w:val="005F56AE"/>
    <w:rsid w:val="005F5C4C"/>
    <w:rsid w:val="005F5D1C"/>
    <w:rsid w:val="005F5F8F"/>
    <w:rsid w:val="005F6D48"/>
    <w:rsid w:val="005F6FFE"/>
    <w:rsid w:val="005F781A"/>
    <w:rsid w:val="006003BA"/>
    <w:rsid w:val="00600A0C"/>
    <w:rsid w:val="00600B25"/>
    <w:rsid w:val="006018F8"/>
    <w:rsid w:val="0060216E"/>
    <w:rsid w:val="00602E43"/>
    <w:rsid w:val="00603B2A"/>
    <w:rsid w:val="00604B22"/>
    <w:rsid w:val="00604B43"/>
    <w:rsid w:val="00605496"/>
    <w:rsid w:val="00606D5C"/>
    <w:rsid w:val="00606EE6"/>
    <w:rsid w:val="00606FF4"/>
    <w:rsid w:val="0061101A"/>
    <w:rsid w:val="006115FD"/>
    <w:rsid w:val="00611B6E"/>
    <w:rsid w:val="0061219C"/>
    <w:rsid w:val="00612344"/>
    <w:rsid w:val="006123DF"/>
    <w:rsid w:val="00612AD8"/>
    <w:rsid w:val="00612EA1"/>
    <w:rsid w:val="00614183"/>
    <w:rsid w:val="006142C0"/>
    <w:rsid w:val="006145E0"/>
    <w:rsid w:val="006147DC"/>
    <w:rsid w:val="00614D92"/>
    <w:rsid w:val="006158F2"/>
    <w:rsid w:val="00615909"/>
    <w:rsid w:val="00615DF7"/>
    <w:rsid w:val="0061673A"/>
    <w:rsid w:val="00616762"/>
    <w:rsid w:val="0061717F"/>
    <w:rsid w:val="00617B79"/>
    <w:rsid w:val="00620746"/>
    <w:rsid w:val="0062105C"/>
    <w:rsid w:val="00621410"/>
    <w:rsid w:val="00621FDB"/>
    <w:rsid w:val="0062265B"/>
    <w:rsid w:val="00622936"/>
    <w:rsid w:val="00622FD0"/>
    <w:rsid w:val="0062385A"/>
    <w:rsid w:val="006238FB"/>
    <w:rsid w:val="00623C69"/>
    <w:rsid w:val="00623CFD"/>
    <w:rsid w:val="0062411A"/>
    <w:rsid w:val="00624915"/>
    <w:rsid w:val="00624D88"/>
    <w:rsid w:val="0062542B"/>
    <w:rsid w:val="00625B8E"/>
    <w:rsid w:val="00625DAA"/>
    <w:rsid w:val="00625E48"/>
    <w:rsid w:val="00626818"/>
    <w:rsid w:val="006271AA"/>
    <w:rsid w:val="00627424"/>
    <w:rsid w:val="00627761"/>
    <w:rsid w:val="006278AF"/>
    <w:rsid w:val="0062790C"/>
    <w:rsid w:val="006279EB"/>
    <w:rsid w:val="00627EBA"/>
    <w:rsid w:val="00630141"/>
    <w:rsid w:val="00630175"/>
    <w:rsid w:val="00630767"/>
    <w:rsid w:val="0063099E"/>
    <w:rsid w:val="00630A01"/>
    <w:rsid w:val="0063187B"/>
    <w:rsid w:val="0063197A"/>
    <w:rsid w:val="00632415"/>
    <w:rsid w:val="0063271C"/>
    <w:rsid w:val="00633C55"/>
    <w:rsid w:val="00634494"/>
    <w:rsid w:val="00634928"/>
    <w:rsid w:val="00634BD1"/>
    <w:rsid w:val="0063515C"/>
    <w:rsid w:val="00635642"/>
    <w:rsid w:val="00635BC1"/>
    <w:rsid w:val="00635D2D"/>
    <w:rsid w:val="00635FD1"/>
    <w:rsid w:val="006361DD"/>
    <w:rsid w:val="00636C69"/>
    <w:rsid w:val="00636C87"/>
    <w:rsid w:val="00636EB9"/>
    <w:rsid w:val="006371ED"/>
    <w:rsid w:val="00637640"/>
    <w:rsid w:val="0063794E"/>
    <w:rsid w:val="006403E3"/>
    <w:rsid w:val="00641284"/>
    <w:rsid w:val="00641BB9"/>
    <w:rsid w:val="00641DCC"/>
    <w:rsid w:val="0064228D"/>
    <w:rsid w:val="00642F0E"/>
    <w:rsid w:val="006430A4"/>
    <w:rsid w:val="006430AC"/>
    <w:rsid w:val="006439C0"/>
    <w:rsid w:val="0064453D"/>
    <w:rsid w:val="00644FD3"/>
    <w:rsid w:val="00645453"/>
    <w:rsid w:val="00645A33"/>
    <w:rsid w:val="006462B7"/>
    <w:rsid w:val="00646792"/>
    <w:rsid w:val="006469BE"/>
    <w:rsid w:val="00646BFE"/>
    <w:rsid w:val="0064798E"/>
    <w:rsid w:val="00647B47"/>
    <w:rsid w:val="00647D46"/>
    <w:rsid w:val="006503A9"/>
    <w:rsid w:val="006504A8"/>
    <w:rsid w:val="0065069B"/>
    <w:rsid w:val="00650E27"/>
    <w:rsid w:val="00651857"/>
    <w:rsid w:val="006518EF"/>
    <w:rsid w:val="00651B8A"/>
    <w:rsid w:val="0065234C"/>
    <w:rsid w:val="006525B9"/>
    <w:rsid w:val="00652A2F"/>
    <w:rsid w:val="00653A58"/>
    <w:rsid w:val="00653B56"/>
    <w:rsid w:val="00653E41"/>
    <w:rsid w:val="00653EC0"/>
    <w:rsid w:val="00655292"/>
    <w:rsid w:val="00655C06"/>
    <w:rsid w:val="00656287"/>
    <w:rsid w:val="006565C7"/>
    <w:rsid w:val="006571F7"/>
    <w:rsid w:val="00657212"/>
    <w:rsid w:val="00657303"/>
    <w:rsid w:val="0066055C"/>
    <w:rsid w:val="00660CD4"/>
    <w:rsid w:val="006618E2"/>
    <w:rsid w:val="006619E4"/>
    <w:rsid w:val="00661CB3"/>
    <w:rsid w:val="006623C8"/>
    <w:rsid w:val="006626CC"/>
    <w:rsid w:val="00662B0F"/>
    <w:rsid w:val="00662D4A"/>
    <w:rsid w:val="00663C92"/>
    <w:rsid w:val="00663CD6"/>
    <w:rsid w:val="00664D82"/>
    <w:rsid w:val="00664FAA"/>
    <w:rsid w:val="006653B0"/>
    <w:rsid w:val="00665E8C"/>
    <w:rsid w:val="00665F3C"/>
    <w:rsid w:val="0066611E"/>
    <w:rsid w:val="00666E74"/>
    <w:rsid w:val="0067033F"/>
    <w:rsid w:val="0067140F"/>
    <w:rsid w:val="00672649"/>
    <w:rsid w:val="00672B20"/>
    <w:rsid w:val="00672CDF"/>
    <w:rsid w:val="00672F0E"/>
    <w:rsid w:val="00673873"/>
    <w:rsid w:val="00673A27"/>
    <w:rsid w:val="00673B8F"/>
    <w:rsid w:val="0067419B"/>
    <w:rsid w:val="00674F29"/>
    <w:rsid w:val="0067594C"/>
    <w:rsid w:val="00675C85"/>
    <w:rsid w:val="0067630C"/>
    <w:rsid w:val="006765A5"/>
    <w:rsid w:val="00676BDD"/>
    <w:rsid w:val="00676FE8"/>
    <w:rsid w:val="006770BF"/>
    <w:rsid w:val="006807AF"/>
    <w:rsid w:val="0068091D"/>
    <w:rsid w:val="0068097B"/>
    <w:rsid w:val="00680F0D"/>
    <w:rsid w:val="00681244"/>
    <w:rsid w:val="006815DF"/>
    <w:rsid w:val="00681768"/>
    <w:rsid w:val="00682DC1"/>
    <w:rsid w:val="006835E7"/>
    <w:rsid w:val="00683F03"/>
    <w:rsid w:val="00683FF5"/>
    <w:rsid w:val="00683FFB"/>
    <w:rsid w:val="00684AA9"/>
    <w:rsid w:val="00684D05"/>
    <w:rsid w:val="00685556"/>
    <w:rsid w:val="00685D63"/>
    <w:rsid w:val="00686054"/>
    <w:rsid w:val="006865A3"/>
    <w:rsid w:val="006869EF"/>
    <w:rsid w:val="00686FD4"/>
    <w:rsid w:val="00687204"/>
    <w:rsid w:val="00687A79"/>
    <w:rsid w:val="00687E8A"/>
    <w:rsid w:val="006901BC"/>
    <w:rsid w:val="006913C0"/>
    <w:rsid w:val="006923D4"/>
    <w:rsid w:val="00692633"/>
    <w:rsid w:val="00692C22"/>
    <w:rsid w:val="00693613"/>
    <w:rsid w:val="00693634"/>
    <w:rsid w:val="006936F4"/>
    <w:rsid w:val="006954D3"/>
    <w:rsid w:val="00695A25"/>
    <w:rsid w:val="00696AF6"/>
    <w:rsid w:val="006971BE"/>
    <w:rsid w:val="00697403"/>
    <w:rsid w:val="006A0040"/>
    <w:rsid w:val="006A099C"/>
    <w:rsid w:val="006A0B79"/>
    <w:rsid w:val="006A0E1F"/>
    <w:rsid w:val="006A10DE"/>
    <w:rsid w:val="006A12FD"/>
    <w:rsid w:val="006A13A2"/>
    <w:rsid w:val="006A160C"/>
    <w:rsid w:val="006A17F3"/>
    <w:rsid w:val="006A1B57"/>
    <w:rsid w:val="006A2B3F"/>
    <w:rsid w:val="006A2CE8"/>
    <w:rsid w:val="006A31CD"/>
    <w:rsid w:val="006A32C3"/>
    <w:rsid w:val="006A37E7"/>
    <w:rsid w:val="006A40DE"/>
    <w:rsid w:val="006A4AE8"/>
    <w:rsid w:val="006A4EA7"/>
    <w:rsid w:val="006A4FFF"/>
    <w:rsid w:val="006A516F"/>
    <w:rsid w:val="006A5B17"/>
    <w:rsid w:val="006A5FD4"/>
    <w:rsid w:val="006A633E"/>
    <w:rsid w:val="006A6448"/>
    <w:rsid w:val="006A6B81"/>
    <w:rsid w:val="006A7087"/>
    <w:rsid w:val="006A7231"/>
    <w:rsid w:val="006A7251"/>
    <w:rsid w:val="006A7754"/>
    <w:rsid w:val="006A7AC5"/>
    <w:rsid w:val="006B078C"/>
    <w:rsid w:val="006B111C"/>
    <w:rsid w:val="006B124D"/>
    <w:rsid w:val="006B145E"/>
    <w:rsid w:val="006B1480"/>
    <w:rsid w:val="006B19C0"/>
    <w:rsid w:val="006B2719"/>
    <w:rsid w:val="006B29F7"/>
    <w:rsid w:val="006B3752"/>
    <w:rsid w:val="006B41C3"/>
    <w:rsid w:val="006B4326"/>
    <w:rsid w:val="006B4C44"/>
    <w:rsid w:val="006B4FDA"/>
    <w:rsid w:val="006B53A2"/>
    <w:rsid w:val="006B55F0"/>
    <w:rsid w:val="006B5D00"/>
    <w:rsid w:val="006B64B4"/>
    <w:rsid w:val="006B66A4"/>
    <w:rsid w:val="006B7263"/>
    <w:rsid w:val="006B747B"/>
    <w:rsid w:val="006C10E2"/>
    <w:rsid w:val="006C137A"/>
    <w:rsid w:val="006C25C4"/>
    <w:rsid w:val="006C295B"/>
    <w:rsid w:val="006C2C32"/>
    <w:rsid w:val="006C2D06"/>
    <w:rsid w:val="006C2EFB"/>
    <w:rsid w:val="006C2FB6"/>
    <w:rsid w:val="006C38D5"/>
    <w:rsid w:val="006C3D9A"/>
    <w:rsid w:val="006C454D"/>
    <w:rsid w:val="006C487C"/>
    <w:rsid w:val="006C48F3"/>
    <w:rsid w:val="006C4961"/>
    <w:rsid w:val="006C4CE9"/>
    <w:rsid w:val="006C52D7"/>
    <w:rsid w:val="006C5988"/>
    <w:rsid w:val="006C6516"/>
    <w:rsid w:val="006C65D7"/>
    <w:rsid w:val="006C667C"/>
    <w:rsid w:val="006C694A"/>
    <w:rsid w:val="006C6F82"/>
    <w:rsid w:val="006C74A5"/>
    <w:rsid w:val="006C7FBB"/>
    <w:rsid w:val="006D077D"/>
    <w:rsid w:val="006D0856"/>
    <w:rsid w:val="006D10A8"/>
    <w:rsid w:val="006D117D"/>
    <w:rsid w:val="006D1219"/>
    <w:rsid w:val="006D1384"/>
    <w:rsid w:val="006D14B3"/>
    <w:rsid w:val="006D1557"/>
    <w:rsid w:val="006D19CF"/>
    <w:rsid w:val="006D1FC9"/>
    <w:rsid w:val="006D22B4"/>
    <w:rsid w:val="006D2663"/>
    <w:rsid w:val="006D30EF"/>
    <w:rsid w:val="006D3BFE"/>
    <w:rsid w:val="006D3DD1"/>
    <w:rsid w:val="006D46B3"/>
    <w:rsid w:val="006D53E1"/>
    <w:rsid w:val="006D5839"/>
    <w:rsid w:val="006D5F59"/>
    <w:rsid w:val="006D67B3"/>
    <w:rsid w:val="006D6937"/>
    <w:rsid w:val="006D69A5"/>
    <w:rsid w:val="006D6AF1"/>
    <w:rsid w:val="006D70CB"/>
    <w:rsid w:val="006D77B2"/>
    <w:rsid w:val="006E0049"/>
    <w:rsid w:val="006E0165"/>
    <w:rsid w:val="006E045F"/>
    <w:rsid w:val="006E12EB"/>
    <w:rsid w:val="006E1CC8"/>
    <w:rsid w:val="006E25A0"/>
    <w:rsid w:val="006E3398"/>
    <w:rsid w:val="006E4229"/>
    <w:rsid w:val="006E5456"/>
    <w:rsid w:val="006E5589"/>
    <w:rsid w:val="006E5A5E"/>
    <w:rsid w:val="006E5D02"/>
    <w:rsid w:val="006E6037"/>
    <w:rsid w:val="006E667B"/>
    <w:rsid w:val="006E692D"/>
    <w:rsid w:val="006E7038"/>
    <w:rsid w:val="006E7961"/>
    <w:rsid w:val="006E7CFB"/>
    <w:rsid w:val="006E7DEB"/>
    <w:rsid w:val="006F0E09"/>
    <w:rsid w:val="006F15B8"/>
    <w:rsid w:val="006F27A4"/>
    <w:rsid w:val="006F3FAA"/>
    <w:rsid w:val="006F4292"/>
    <w:rsid w:val="006F4489"/>
    <w:rsid w:val="006F4832"/>
    <w:rsid w:val="006F4856"/>
    <w:rsid w:val="006F4958"/>
    <w:rsid w:val="006F5337"/>
    <w:rsid w:val="006F5746"/>
    <w:rsid w:val="006F62F1"/>
    <w:rsid w:val="006F66AE"/>
    <w:rsid w:val="006F674B"/>
    <w:rsid w:val="006F6985"/>
    <w:rsid w:val="006F69ED"/>
    <w:rsid w:val="006F7190"/>
    <w:rsid w:val="00700135"/>
    <w:rsid w:val="007005B6"/>
    <w:rsid w:val="00700A09"/>
    <w:rsid w:val="00700F06"/>
    <w:rsid w:val="00701050"/>
    <w:rsid w:val="00701611"/>
    <w:rsid w:val="00701AE8"/>
    <w:rsid w:val="00701B9A"/>
    <w:rsid w:val="00701FFC"/>
    <w:rsid w:val="00702F23"/>
    <w:rsid w:val="00703E9A"/>
    <w:rsid w:val="00704FFE"/>
    <w:rsid w:val="00705070"/>
    <w:rsid w:val="007050E6"/>
    <w:rsid w:val="00705D19"/>
    <w:rsid w:val="00705E38"/>
    <w:rsid w:val="007061C5"/>
    <w:rsid w:val="0070620B"/>
    <w:rsid w:val="007065CC"/>
    <w:rsid w:val="00706765"/>
    <w:rsid w:val="00706A36"/>
    <w:rsid w:val="00706B39"/>
    <w:rsid w:val="00706FAB"/>
    <w:rsid w:val="0070711A"/>
    <w:rsid w:val="00707249"/>
    <w:rsid w:val="007075A5"/>
    <w:rsid w:val="007104D3"/>
    <w:rsid w:val="007106CA"/>
    <w:rsid w:val="007106D5"/>
    <w:rsid w:val="00710D8C"/>
    <w:rsid w:val="00710F46"/>
    <w:rsid w:val="0071134F"/>
    <w:rsid w:val="00711E81"/>
    <w:rsid w:val="00712040"/>
    <w:rsid w:val="0071239B"/>
    <w:rsid w:val="0071305A"/>
    <w:rsid w:val="00713D30"/>
    <w:rsid w:val="00714521"/>
    <w:rsid w:val="00714C6B"/>
    <w:rsid w:val="0071501A"/>
    <w:rsid w:val="00715597"/>
    <w:rsid w:val="007165B6"/>
    <w:rsid w:val="00716C40"/>
    <w:rsid w:val="00716DCF"/>
    <w:rsid w:val="00717250"/>
    <w:rsid w:val="00717BF0"/>
    <w:rsid w:val="00717C82"/>
    <w:rsid w:val="0072010A"/>
    <w:rsid w:val="00720B14"/>
    <w:rsid w:val="007211FC"/>
    <w:rsid w:val="00721ABE"/>
    <w:rsid w:val="00722080"/>
    <w:rsid w:val="007225D5"/>
    <w:rsid w:val="00722C94"/>
    <w:rsid w:val="00723023"/>
    <w:rsid w:val="00723E1F"/>
    <w:rsid w:val="00723F6B"/>
    <w:rsid w:val="00724058"/>
    <w:rsid w:val="0072407E"/>
    <w:rsid w:val="00724A88"/>
    <w:rsid w:val="00724CB0"/>
    <w:rsid w:val="007253BB"/>
    <w:rsid w:val="00725722"/>
    <w:rsid w:val="00725B05"/>
    <w:rsid w:val="00725C35"/>
    <w:rsid w:val="007266D8"/>
    <w:rsid w:val="007269A6"/>
    <w:rsid w:val="007271E2"/>
    <w:rsid w:val="00727520"/>
    <w:rsid w:val="00727759"/>
    <w:rsid w:val="00727E9E"/>
    <w:rsid w:val="00727ED8"/>
    <w:rsid w:val="007303C0"/>
    <w:rsid w:val="00730693"/>
    <w:rsid w:val="007308A5"/>
    <w:rsid w:val="00730AB3"/>
    <w:rsid w:val="00730D80"/>
    <w:rsid w:val="0073156E"/>
    <w:rsid w:val="0073233E"/>
    <w:rsid w:val="007328E5"/>
    <w:rsid w:val="0073294A"/>
    <w:rsid w:val="00732952"/>
    <w:rsid w:val="00732D39"/>
    <w:rsid w:val="00732E88"/>
    <w:rsid w:val="00732F00"/>
    <w:rsid w:val="007336DC"/>
    <w:rsid w:val="00733EE0"/>
    <w:rsid w:val="007340C4"/>
    <w:rsid w:val="00734336"/>
    <w:rsid w:val="007349EA"/>
    <w:rsid w:val="00734E62"/>
    <w:rsid w:val="0073504B"/>
    <w:rsid w:val="00735929"/>
    <w:rsid w:val="00735962"/>
    <w:rsid w:val="0073648E"/>
    <w:rsid w:val="00736B86"/>
    <w:rsid w:val="00736F2C"/>
    <w:rsid w:val="0073719C"/>
    <w:rsid w:val="00737B09"/>
    <w:rsid w:val="00737C43"/>
    <w:rsid w:val="007402A1"/>
    <w:rsid w:val="007406CE"/>
    <w:rsid w:val="00740CA0"/>
    <w:rsid w:val="00741003"/>
    <w:rsid w:val="007414C7"/>
    <w:rsid w:val="0074184D"/>
    <w:rsid w:val="00742274"/>
    <w:rsid w:val="00742E7D"/>
    <w:rsid w:val="00742EA7"/>
    <w:rsid w:val="00742F9D"/>
    <w:rsid w:val="0074301E"/>
    <w:rsid w:val="00743764"/>
    <w:rsid w:val="007439CB"/>
    <w:rsid w:val="00743CE4"/>
    <w:rsid w:val="00743DE5"/>
    <w:rsid w:val="00743F6E"/>
    <w:rsid w:val="00744888"/>
    <w:rsid w:val="00744E38"/>
    <w:rsid w:val="007458EE"/>
    <w:rsid w:val="00745A2C"/>
    <w:rsid w:val="00745BC4"/>
    <w:rsid w:val="00745BD7"/>
    <w:rsid w:val="0074642E"/>
    <w:rsid w:val="0074647F"/>
    <w:rsid w:val="00746A07"/>
    <w:rsid w:val="00746FB0"/>
    <w:rsid w:val="007475F5"/>
    <w:rsid w:val="007478CE"/>
    <w:rsid w:val="00747B60"/>
    <w:rsid w:val="00747E74"/>
    <w:rsid w:val="00750284"/>
    <w:rsid w:val="00750887"/>
    <w:rsid w:val="007511BC"/>
    <w:rsid w:val="007521D7"/>
    <w:rsid w:val="00752A33"/>
    <w:rsid w:val="00753349"/>
    <w:rsid w:val="007533D7"/>
    <w:rsid w:val="007534AA"/>
    <w:rsid w:val="00754597"/>
    <w:rsid w:val="00755450"/>
    <w:rsid w:val="00755726"/>
    <w:rsid w:val="007560D0"/>
    <w:rsid w:val="00756191"/>
    <w:rsid w:val="00756195"/>
    <w:rsid w:val="007567AA"/>
    <w:rsid w:val="007567EB"/>
    <w:rsid w:val="00756D54"/>
    <w:rsid w:val="00757069"/>
    <w:rsid w:val="00757B40"/>
    <w:rsid w:val="00757C47"/>
    <w:rsid w:val="00757EB3"/>
    <w:rsid w:val="00760589"/>
    <w:rsid w:val="00760EAE"/>
    <w:rsid w:val="00761B8E"/>
    <w:rsid w:val="00761CDF"/>
    <w:rsid w:val="00762431"/>
    <w:rsid w:val="00762691"/>
    <w:rsid w:val="0076285E"/>
    <w:rsid w:val="00762AA2"/>
    <w:rsid w:val="00762AD5"/>
    <w:rsid w:val="00762D65"/>
    <w:rsid w:val="00762FA6"/>
    <w:rsid w:val="00763462"/>
    <w:rsid w:val="00763A47"/>
    <w:rsid w:val="00763CFD"/>
    <w:rsid w:val="00764784"/>
    <w:rsid w:val="00764E01"/>
    <w:rsid w:val="007651F5"/>
    <w:rsid w:val="00765424"/>
    <w:rsid w:val="0076567B"/>
    <w:rsid w:val="0076569A"/>
    <w:rsid w:val="00765BFA"/>
    <w:rsid w:val="00765EAC"/>
    <w:rsid w:val="00766054"/>
    <w:rsid w:val="007667F1"/>
    <w:rsid w:val="00766937"/>
    <w:rsid w:val="0076748C"/>
    <w:rsid w:val="00767C0A"/>
    <w:rsid w:val="007702BB"/>
    <w:rsid w:val="00770387"/>
    <w:rsid w:val="007705A0"/>
    <w:rsid w:val="00770911"/>
    <w:rsid w:val="00770A1A"/>
    <w:rsid w:val="00770EBA"/>
    <w:rsid w:val="00771177"/>
    <w:rsid w:val="00771323"/>
    <w:rsid w:val="007716F5"/>
    <w:rsid w:val="00771CA3"/>
    <w:rsid w:val="00772459"/>
    <w:rsid w:val="007724BD"/>
    <w:rsid w:val="0077252C"/>
    <w:rsid w:val="00772751"/>
    <w:rsid w:val="00772956"/>
    <w:rsid w:val="00772B15"/>
    <w:rsid w:val="0077325B"/>
    <w:rsid w:val="0077346C"/>
    <w:rsid w:val="007734A0"/>
    <w:rsid w:val="00773CD5"/>
    <w:rsid w:val="00773ED4"/>
    <w:rsid w:val="007746C6"/>
    <w:rsid w:val="00774B61"/>
    <w:rsid w:val="00775795"/>
    <w:rsid w:val="007765AF"/>
    <w:rsid w:val="0077795C"/>
    <w:rsid w:val="00780A92"/>
    <w:rsid w:val="00781584"/>
    <w:rsid w:val="0078210E"/>
    <w:rsid w:val="0078223E"/>
    <w:rsid w:val="007825C7"/>
    <w:rsid w:val="00782D5A"/>
    <w:rsid w:val="00783A91"/>
    <w:rsid w:val="007841EE"/>
    <w:rsid w:val="007846D2"/>
    <w:rsid w:val="00784AE2"/>
    <w:rsid w:val="00784BE1"/>
    <w:rsid w:val="007859B0"/>
    <w:rsid w:val="00785B9F"/>
    <w:rsid w:val="0078624D"/>
    <w:rsid w:val="0078667C"/>
    <w:rsid w:val="007866C8"/>
    <w:rsid w:val="007871DC"/>
    <w:rsid w:val="00787310"/>
    <w:rsid w:val="00787327"/>
    <w:rsid w:val="007905F9"/>
    <w:rsid w:val="00790A5D"/>
    <w:rsid w:val="00790CAC"/>
    <w:rsid w:val="00790E2F"/>
    <w:rsid w:val="0079109C"/>
    <w:rsid w:val="007910F2"/>
    <w:rsid w:val="007915DA"/>
    <w:rsid w:val="007918EB"/>
    <w:rsid w:val="00791944"/>
    <w:rsid w:val="0079268E"/>
    <w:rsid w:val="007928B4"/>
    <w:rsid w:val="00792E10"/>
    <w:rsid w:val="007933D8"/>
    <w:rsid w:val="0079414E"/>
    <w:rsid w:val="00794ABA"/>
    <w:rsid w:val="00794B20"/>
    <w:rsid w:val="007957BA"/>
    <w:rsid w:val="00795B48"/>
    <w:rsid w:val="00795BD0"/>
    <w:rsid w:val="00795E9F"/>
    <w:rsid w:val="0079617C"/>
    <w:rsid w:val="00796364"/>
    <w:rsid w:val="00796568"/>
    <w:rsid w:val="007967D4"/>
    <w:rsid w:val="007A032F"/>
    <w:rsid w:val="007A0B81"/>
    <w:rsid w:val="007A120A"/>
    <w:rsid w:val="007A12A4"/>
    <w:rsid w:val="007A1FB5"/>
    <w:rsid w:val="007A22C4"/>
    <w:rsid w:val="007A2435"/>
    <w:rsid w:val="007A2654"/>
    <w:rsid w:val="007A2BD4"/>
    <w:rsid w:val="007A2E38"/>
    <w:rsid w:val="007A3513"/>
    <w:rsid w:val="007A3982"/>
    <w:rsid w:val="007A3FC3"/>
    <w:rsid w:val="007A4C68"/>
    <w:rsid w:val="007A4DB6"/>
    <w:rsid w:val="007A4FDF"/>
    <w:rsid w:val="007A50AC"/>
    <w:rsid w:val="007A5D90"/>
    <w:rsid w:val="007A6186"/>
    <w:rsid w:val="007A6318"/>
    <w:rsid w:val="007A66A9"/>
    <w:rsid w:val="007A72C8"/>
    <w:rsid w:val="007A75B2"/>
    <w:rsid w:val="007A79D6"/>
    <w:rsid w:val="007A7BB9"/>
    <w:rsid w:val="007A7F81"/>
    <w:rsid w:val="007A7F84"/>
    <w:rsid w:val="007A7FB1"/>
    <w:rsid w:val="007A7FD9"/>
    <w:rsid w:val="007B03FB"/>
    <w:rsid w:val="007B0CF0"/>
    <w:rsid w:val="007B1CD2"/>
    <w:rsid w:val="007B1FAC"/>
    <w:rsid w:val="007B244A"/>
    <w:rsid w:val="007B3C62"/>
    <w:rsid w:val="007B3E0E"/>
    <w:rsid w:val="007B4254"/>
    <w:rsid w:val="007B42B9"/>
    <w:rsid w:val="007B43DE"/>
    <w:rsid w:val="007B4719"/>
    <w:rsid w:val="007B4CF0"/>
    <w:rsid w:val="007B4F86"/>
    <w:rsid w:val="007B5E8D"/>
    <w:rsid w:val="007B5FAD"/>
    <w:rsid w:val="007B6008"/>
    <w:rsid w:val="007B6277"/>
    <w:rsid w:val="007B64E8"/>
    <w:rsid w:val="007B6A79"/>
    <w:rsid w:val="007B6F47"/>
    <w:rsid w:val="007B7011"/>
    <w:rsid w:val="007B73EE"/>
    <w:rsid w:val="007B76FC"/>
    <w:rsid w:val="007B7724"/>
    <w:rsid w:val="007B7FAB"/>
    <w:rsid w:val="007C010B"/>
    <w:rsid w:val="007C026A"/>
    <w:rsid w:val="007C0DC1"/>
    <w:rsid w:val="007C107C"/>
    <w:rsid w:val="007C1255"/>
    <w:rsid w:val="007C18CD"/>
    <w:rsid w:val="007C1BD4"/>
    <w:rsid w:val="007C1EA8"/>
    <w:rsid w:val="007C2003"/>
    <w:rsid w:val="007C2C40"/>
    <w:rsid w:val="007C2F11"/>
    <w:rsid w:val="007C3309"/>
    <w:rsid w:val="007C3A5A"/>
    <w:rsid w:val="007C3A87"/>
    <w:rsid w:val="007C3AAC"/>
    <w:rsid w:val="007C440E"/>
    <w:rsid w:val="007C49C5"/>
    <w:rsid w:val="007C4F6D"/>
    <w:rsid w:val="007C59D6"/>
    <w:rsid w:val="007C5DD3"/>
    <w:rsid w:val="007C6BD6"/>
    <w:rsid w:val="007C6F22"/>
    <w:rsid w:val="007C744E"/>
    <w:rsid w:val="007C7515"/>
    <w:rsid w:val="007C7D68"/>
    <w:rsid w:val="007C7EBF"/>
    <w:rsid w:val="007D1295"/>
    <w:rsid w:val="007D1D44"/>
    <w:rsid w:val="007D1EF0"/>
    <w:rsid w:val="007D2460"/>
    <w:rsid w:val="007D24DC"/>
    <w:rsid w:val="007D26AC"/>
    <w:rsid w:val="007D3877"/>
    <w:rsid w:val="007D3948"/>
    <w:rsid w:val="007D3B70"/>
    <w:rsid w:val="007D3D16"/>
    <w:rsid w:val="007D48DC"/>
    <w:rsid w:val="007D4BF2"/>
    <w:rsid w:val="007D533D"/>
    <w:rsid w:val="007D5587"/>
    <w:rsid w:val="007D6694"/>
    <w:rsid w:val="007D709D"/>
    <w:rsid w:val="007D7A52"/>
    <w:rsid w:val="007E07BF"/>
    <w:rsid w:val="007E0DC8"/>
    <w:rsid w:val="007E0E19"/>
    <w:rsid w:val="007E117C"/>
    <w:rsid w:val="007E1217"/>
    <w:rsid w:val="007E1338"/>
    <w:rsid w:val="007E199C"/>
    <w:rsid w:val="007E19C2"/>
    <w:rsid w:val="007E287D"/>
    <w:rsid w:val="007E2FDC"/>
    <w:rsid w:val="007E34FA"/>
    <w:rsid w:val="007E3618"/>
    <w:rsid w:val="007E47B3"/>
    <w:rsid w:val="007E4A3C"/>
    <w:rsid w:val="007E508C"/>
    <w:rsid w:val="007E5100"/>
    <w:rsid w:val="007E52EE"/>
    <w:rsid w:val="007E5987"/>
    <w:rsid w:val="007E62FC"/>
    <w:rsid w:val="007E728A"/>
    <w:rsid w:val="007F0504"/>
    <w:rsid w:val="007F080C"/>
    <w:rsid w:val="007F13BC"/>
    <w:rsid w:val="007F14B7"/>
    <w:rsid w:val="007F15C2"/>
    <w:rsid w:val="007F1969"/>
    <w:rsid w:val="007F1CD1"/>
    <w:rsid w:val="007F25A8"/>
    <w:rsid w:val="007F2709"/>
    <w:rsid w:val="007F2CEC"/>
    <w:rsid w:val="007F3776"/>
    <w:rsid w:val="007F3E78"/>
    <w:rsid w:val="007F5244"/>
    <w:rsid w:val="007F6713"/>
    <w:rsid w:val="007F7386"/>
    <w:rsid w:val="007F78F7"/>
    <w:rsid w:val="007F7BB4"/>
    <w:rsid w:val="00800D9E"/>
    <w:rsid w:val="00801142"/>
    <w:rsid w:val="00802121"/>
    <w:rsid w:val="00802155"/>
    <w:rsid w:val="008022EB"/>
    <w:rsid w:val="008039C1"/>
    <w:rsid w:val="008039F6"/>
    <w:rsid w:val="00803B8B"/>
    <w:rsid w:val="008040D5"/>
    <w:rsid w:val="008042A4"/>
    <w:rsid w:val="0080452D"/>
    <w:rsid w:val="00805490"/>
    <w:rsid w:val="00805517"/>
    <w:rsid w:val="00805FAA"/>
    <w:rsid w:val="008062F7"/>
    <w:rsid w:val="0080640B"/>
    <w:rsid w:val="008067FF"/>
    <w:rsid w:val="00806BCF"/>
    <w:rsid w:val="0080706D"/>
    <w:rsid w:val="00807449"/>
    <w:rsid w:val="008078D7"/>
    <w:rsid w:val="00807DCD"/>
    <w:rsid w:val="00810A5F"/>
    <w:rsid w:val="00810EA5"/>
    <w:rsid w:val="00811CAB"/>
    <w:rsid w:val="0081238D"/>
    <w:rsid w:val="0081251C"/>
    <w:rsid w:val="00812741"/>
    <w:rsid w:val="008128C8"/>
    <w:rsid w:val="00812A03"/>
    <w:rsid w:val="0081326E"/>
    <w:rsid w:val="00813367"/>
    <w:rsid w:val="0081352D"/>
    <w:rsid w:val="008161B8"/>
    <w:rsid w:val="008171BA"/>
    <w:rsid w:val="008174E5"/>
    <w:rsid w:val="00817738"/>
    <w:rsid w:val="00817E7E"/>
    <w:rsid w:val="008208C4"/>
    <w:rsid w:val="00820D3D"/>
    <w:rsid w:val="00820EA8"/>
    <w:rsid w:val="00821018"/>
    <w:rsid w:val="008213A6"/>
    <w:rsid w:val="0082161F"/>
    <w:rsid w:val="00821BC6"/>
    <w:rsid w:val="00822572"/>
    <w:rsid w:val="00822615"/>
    <w:rsid w:val="00822A8E"/>
    <w:rsid w:val="008232CA"/>
    <w:rsid w:val="00823629"/>
    <w:rsid w:val="00824B5A"/>
    <w:rsid w:val="00824C93"/>
    <w:rsid w:val="00825A71"/>
    <w:rsid w:val="00825B67"/>
    <w:rsid w:val="00825C56"/>
    <w:rsid w:val="008268E2"/>
    <w:rsid w:val="00827407"/>
    <w:rsid w:val="00827F3C"/>
    <w:rsid w:val="008301B4"/>
    <w:rsid w:val="00831A3D"/>
    <w:rsid w:val="00831BD6"/>
    <w:rsid w:val="0083283F"/>
    <w:rsid w:val="0083336A"/>
    <w:rsid w:val="008337A7"/>
    <w:rsid w:val="0083410C"/>
    <w:rsid w:val="0083416F"/>
    <w:rsid w:val="00834671"/>
    <w:rsid w:val="00834A70"/>
    <w:rsid w:val="00834C83"/>
    <w:rsid w:val="00834CBB"/>
    <w:rsid w:val="0083553E"/>
    <w:rsid w:val="00835C0A"/>
    <w:rsid w:val="0083685F"/>
    <w:rsid w:val="00836E6F"/>
    <w:rsid w:val="00837350"/>
    <w:rsid w:val="00837514"/>
    <w:rsid w:val="00837759"/>
    <w:rsid w:val="00837831"/>
    <w:rsid w:val="0084068A"/>
    <w:rsid w:val="008407DB"/>
    <w:rsid w:val="00840C41"/>
    <w:rsid w:val="00840D8A"/>
    <w:rsid w:val="008419E1"/>
    <w:rsid w:val="00841B61"/>
    <w:rsid w:val="008428BB"/>
    <w:rsid w:val="00842F37"/>
    <w:rsid w:val="00843C2E"/>
    <w:rsid w:val="00843CFF"/>
    <w:rsid w:val="00844820"/>
    <w:rsid w:val="00844E76"/>
    <w:rsid w:val="00845742"/>
    <w:rsid w:val="00845BF0"/>
    <w:rsid w:val="00845BF3"/>
    <w:rsid w:val="0084660A"/>
    <w:rsid w:val="00846DB2"/>
    <w:rsid w:val="00846E81"/>
    <w:rsid w:val="00847138"/>
    <w:rsid w:val="0084720D"/>
    <w:rsid w:val="00847580"/>
    <w:rsid w:val="008502D8"/>
    <w:rsid w:val="00851B89"/>
    <w:rsid w:val="008534B9"/>
    <w:rsid w:val="00853711"/>
    <w:rsid w:val="0085374E"/>
    <w:rsid w:val="008537C9"/>
    <w:rsid w:val="00853B9D"/>
    <w:rsid w:val="00853ED1"/>
    <w:rsid w:val="00854979"/>
    <w:rsid w:val="00854C59"/>
    <w:rsid w:val="00854CB5"/>
    <w:rsid w:val="008555AD"/>
    <w:rsid w:val="00856A42"/>
    <w:rsid w:val="00857A28"/>
    <w:rsid w:val="0086015A"/>
    <w:rsid w:val="00860460"/>
    <w:rsid w:val="0086054C"/>
    <w:rsid w:val="00860B6C"/>
    <w:rsid w:val="00860FDA"/>
    <w:rsid w:val="008612A0"/>
    <w:rsid w:val="00861820"/>
    <w:rsid w:val="00861BB3"/>
    <w:rsid w:val="00861C40"/>
    <w:rsid w:val="00862022"/>
    <w:rsid w:val="008623AD"/>
    <w:rsid w:val="00862610"/>
    <w:rsid w:val="00862654"/>
    <w:rsid w:val="008629D5"/>
    <w:rsid w:val="00862A17"/>
    <w:rsid w:val="008631DB"/>
    <w:rsid w:val="008633DA"/>
    <w:rsid w:val="00863CCE"/>
    <w:rsid w:val="00864C01"/>
    <w:rsid w:val="00864C0F"/>
    <w:rsid w:val="00864D9E"/>
    <w:rsid w:val="00864E12"/>
    <w:rsid w:val="00866286"/>
    <w:rsid w:val="00866D27"/>
    <w:rsid w:val="00866ECD"/>
    <w:rsid w:val="00866F5E"/>
    <w:rsid w:val="00867225"/>
    <w:rsid w:val="00867240"/>
    <w:rsid w:val="00867387"/>
    <w:rsid w:val="00870BAE"/>
    <w:rsid w:val="00870FF5"/>
    <w:rsid w:val="0087155D"/>
    <w:rsid w:val="008718AB"/>
    <w:rsid w:val="008721C5"/>
    <w:rsid w:val="008722FC"/>
    <w:rsid w:val="00872C2E"/>
    <w:rsid w:val="00872E82"/>
    <w:rsid w:val="00873193"/>
    <w:rsid w:val="00873BE3"/>
    <w:rsid w:val="00874206"/>
    <w:rsid w:val="00874286"/>
    <w:rsid w:val="00874593"/>
    <w:rsid w:val="0087467E"/>
    <w:rsid w:val="008747CE"/>
    <w:rsid w:val="008748E5"/>
    <w:rsid w:val="00874A8A"/>
    <w:rsid w:val="008757F1"/>
    <w:rsid w:val="00875DD6"/>
    <w:rsid w:val="008764C4"/>
    <w:rsid w:val="00876576"/>
    <w:rsid w:val="008765A9"/>
    <w:rsid w:val="008769AC"/>
    <w:rsid w:val="00876C05"/>
    <w:rsid w:val="00876CEE"/>
    <w:rsid w:val="00876EFF"/>
    <w:rsid w:val="008773DD"/>
    <w:rsid w:val="008775FD"/>
    <w:rsid w:val="008776FF"/>
    <w:rsid w:val="00877E5B"/>
    <w:rsid w:val="0088014A"/>
    <w:rsid w:val="00880592"/>
    <w:rsid w:val="008813E4"/>
    <w:rsid w:val="00881974"/>
    <w:rsid w:val="00881BE1"/>
    <w:rsid w:val="008823D0"/>
    <w:rsid w:val="00882D7C"/>
    <w:rsid w:val="008838DA"/>
    <w:rsid w:val="008845DE"/>
    <w:rsid w:val="008847B1"/>
    <w:rsid w:val="00884E47"/>
    <w:rsid w:val="00884F18"/>
    <w:rsid w:val="00885503"/>
    <w:rsid w:val="00885AC2"/>
    <w:rsid w:val="0088664D"/>
    <w:rsid w:val="008866E2"/>
    <w:rsid w:val="00886DED"/>
    <w:rsid w:val="00886E16"/>
    <w:rsid w:val="00887372"/>
    <w:rsid w:val="00887383"/>
    <w:rsid w:val="00887714"/>
    <w:rsid w:val="00887AA9"/>
    <w:rsid w:val="00887D76"/>
    <w:rsid w:val="00887FC4"/>
    <w:rsid w:val="00890165"/>
    <w:rsid w:val="00890448"/>
    <w:rsid w:val="00890826"/>
    <w:rsid w:val="00890B31"/>
    <w:rsid w:val="00890D89"/>
    <w:rsid w:val="00891682"/>
    <w:rsid w:val="0089189E"/>
    <w:rsid w:val="00891B29"/>
    <w:rsid w:val="00891B4F"/>
    <w:rsid w:val="00891FD5"/>
    <w:rsid w:val="0089222E"/>
    <w:rsid w:val="00892E8C"/>
    <w:rsid w:val="0089385E"/>
    <w:rsid w:val="008939F1"/>
    <w:rsid w:val="00895313"/>
    <w:rsid w:val="00896D36"/>
    <w:rsid w:val="0089718E"/>
    <w:rsid w:val="008978EA"/>
    <w:rsid w:val="008A0379"/>
    <w:rsid w:val="008A0E3B"/>
    <w:rsid w:val="008A20D4"/>
    <w:rsid w:val="008A2C0F"/>
    <w:rsid w:val="008A3CE0"/>
    <w:rsid w:val="008A41EE"/>
    <w:rsid w:val="008A4579"/>
    <w:rsid w:val="008A45A3"/>
    <w:rsid w:val="008A46D9"/>
    <w:rsid w:val="008A483E"/>
    <w:rsid w:val="008A544E"/>
    <w:rsid w:val="008A5AF9"/>
    <w:rsid w:val="008A75C7"/>
    <w:rsid w:val="008B0317"/>
    <w:rsid w:val="008B044A"/>
    <w:rsid w:val="008B10BD"/>
    <w:rsid w:val="008B11A0"/>
    <w:rsid w:val="008B12D6"/>
    <w:rsid w:val="008B2AEB"/>
    <w:rsid w:val="008B2B63"/>
    <w:rsid w:val="008B3809"/>
    <w:rsid w:val="008B3AA1"/>
    <w:rsid w:val="008B3B73"/>
    <w:rsid w:val="008B3FBB"/>
    <w:rsid w:val="008B4B5B"/>
    <w:rsid w:val="008B5321"/>
    <w:rsid w:val="008B5AE2"/>
    <w:rsid w:val="008B5CA9"/>
    <w:rsid w:val="008B5F88"/>
    <w:rsid w:val="008B6217"/>
    <w:rsid w:val="008B7E6C"/>
    <w:rsid w:val="008B7F15"/>
    <w:rsid w:val="008C034B"/>
    <w:rsid w:val="008C0456"/>
    <w:rsid w:val="008C08A8"/>
    <w:rsid w:val="008C0A46"/>
    <w:rsid w:val="008C186B"/>
    <w:rsid w:val="008C189F"/>
    <w:rsid w:val="008C18B9"/>
    <w:rsid w:val="008C1BED"/>
    <w:rsid w:val="008C1C9A"/>
    <w:rsid w:val="008C3C8C"/>
    <w:rsid w:val="008C3D36"/>
    <w:rsid w:val="008C3F7E"/>
    <w:rsid w:val="008C44E1"/>
    <w:rsid w:val="008C4BC6"/>
    <w:rsid w:val="008C4D49"/>
    <w:rsid w:val="008C501A"/>
    <w:rsid w:val="008C50BB"/>
    <w:rsid w:val="008C535F"/>
    <w:rsid w:val="008C5CBC"/>
    <w:rsid w:val="008C66D3"/>
    <w:rsid w:val="008C674F"/>
    <w:rsid w:val="008C76F4"/>
    <w:rsid w:val="008C7ACE"/>
    <w:rsid w:val="008D027D"/>
    <w:rsid w:val="008D06AD"/>
    <w:rsid w:val="008D0C39"/>
    <w:rsid w:val="008D1311"/>
    <w:rsid w:val="008D1A6A"/>
    <w:rsid w:val="008D2729"/>
    <w:rsid w:val="008D2F22"/>
    <w:rsid w:val="008D32B4"/>
    <w:rsid w:val="008D38BF"/>
    <w:rsid w:val="008D3AC2"/>
    <w:rsid w:val="008D4004"/>
    <w:rsid w:val="008D44FD"/>
    <w:rsid w:val="008D4737"/>
    <w:rsid w:val="008D48E2"/>
    <w:rsid w:val="008D5751"/>
    <w:rsid w:val="008D58B9"/>
    <w:rsid w:val="008D612D"/>
    <w:rsid w:val="008D68B2"/>
    <w:rsid w:val="008D69A2"/>
    <w:rsid w:val="008D6A0B"/>
    <w:rsid w:val="008D7801"/>
    <w:rsid w:val="008D7D57"/>
    <w:rsid w:val="008E0828"/>
    <w:rsid w:val="008E123E"/>
    <w:rsid w:val="008E16AD"/>
    <w:rsid w:val="008E1DFD"/>
    <w:rsid w:val="008E256D"/>
    <w:rsid w:val="008E2774"/>
    <w:rsid w:val="008E2B72"/>
    <w:rsid w:val="008E2F39"/>
    <w:rsid w:val="008E3609"/>
    <w:rsid w:val="008E3B41"/>
    <w:rsid w:val="008E40BA"/>
    <w:rsid w:val="008E4B87"/>
    <w:rsid w:val="008E616B"/>
    <w:rsid w:val="008E648C"/>
    <w:rsid w:val="008E7783"/>
    <w:rsid w:val="008E7FCE"/>
    <w:rsid w:val="008F0118"/>
    <w:rsid w:val="008F019E"/>
    <w:rsid w:val="008F01AD"/>
    <w:rsid w:val="008F0648"/>
    <w:rsid w:val="008F0B52"/>
    <w:rsid w:val="008F0CF9"/>
    <w:rsid w:val="008F0E3E"/>
    <w:rsid w:val="008F1930"/>
    <w:rsid w:val="008F22AB"/>
    <w:rsid w:val="008F2680"/>
    <w:rsid w:val="008F2797"/>
    <w:rsid w:val="008F2849"/>
    <w:rsid w:val="008F28FE"/>
    <w:rsid w:val="008F29BE"/>
    <w:rsid w:val="008F2C74"/>
    <w:rsid w:val="008F31DB"/>
    <w:rsid w:val="008F3D96"/>
    <w:rsid w:val="008F42F7"/>
    <w:rsid w:val="008F456A"/>
    <w:rsid w:val="008F4664"/>
    <w:rsid w:val="008F4BCC"/>
    <w:rsid w:val="008F50B4"/>
    <w:rsid w:val="008F5B28"/>
    <w:rsid w:val="008F5C0B"/>
    <w:rsid w:val="008F5E41"/>
    <w:rsid w:val="008F5E9D"/>
    <w:rsid w:val="008F65A7"/>
    <w:rsid w:val="008F6868"/>
    <w:rsid w:val="008F68EB"/>
    <w:rsid w:val="008F71BD"/>
    <w:rsid w:val="008F7389"/>
    <w:rsid w:val="008F79F7"/>
    <w:rsid w:val="008F7D81"/>
    <w:rsid w:val="0090019A"/>
    <w:rsid w:val="009010DF"/>
    <w:rsid w:val="009011AD"/>
    <w:rsid w:val="00901229"/>
    <w:rsid w:val="0090245C"/>
    <w:rsid w:val="00902584"/>
    <w:rsid w:val="00902712"/>
    <w:rsid w:val="00902725"/>
    <w:rsid w:val="009031F0"/>
    <w:rsid w:val="00903B9D"/>
    <w:rsid w:val="00904735"/>
    <w:rsid w:val="0090490D"/>
    <w:rsid w:val="00904FE8"/>
    <w:rsid w:val="00905BAE"/>
    <w:rsid w:val="00905D41"/>
    <w:rsid w:val="009061B6"/>
    <w:rsid w:val="009064F8"/>
    <w:rsid w:val="0090764A"/>
    <w:rsid w:val="0090783F"/>
    <w:rsid w:val="009078EA"/>
    <w:rsid w:val="00907A3A"/>
    <w:rsid w:val="00907F6B"/>
    <w:rsid w:val="0091019E"/>
    <w:rsid w:val="00910786"/>
    <w:rsid w:val="00911B6C"/>
    <w:rsid w:val="0091209C"/>
    <w:rsid w:val="0091303A"/>
    <w:rsid w:val="0091362B"/>
    <w:rsid w:val="009136D5"/>
    <w:rsid w:val="009141C1"/>
    <w:rsid w:val="009141FF"/>
    <w:rsid w:val="00914227"/>
    <w:rsid w:val="0091427B"/>
    <w:rsid w:val="00914409"/>
    <w:rsid w:val="00914EA8"/>
    <w:rsid w:val="00915065"/>
    <w:rsid w:val="0091536C"/>
    <w:rsid w:val="00915757"/>
    <w:rsid w:val="00917F2D"/>
    <w:rsid w:val="009207CD"/>
    <w:rsid w:val="00920A06"/>
    <w:rsid w:val="00920B58"/>
    <w:rsid w:val="009211EF"/>
    <w:rsid w:val="0092136C"/>
    <w:rsid w:val="009222B9"/>
    <w:rsid w:val="00922D3B"/>
    <w:rsid w:val="00923129"/>
    <w:rsid w:val="009237DD"/>
    <w:rsid w:val="00923AB6"/>
    <w:rsid w:val="00924B20"/>
    <w:rsid w:val="00924BF6"/>
    <w:rsid w:val="00925177"/>
    <w:rsid w:val="00925F29"/>
    <w:rsid w:val="00926068"/>
    <w:rsid w:val="00926FA6"/>
    <w:rsid w:val="00930327"/>
    <w:rsid w:val="00930360"/>
    <w:rsid w:val="00930D11"/>
    <w:rsid w:val="00931035"/>
    <w:rsid w:val="00932246"/>
    <w:rsid w:val="009323FF"/>
    <w:rsid w:val="00932711"/>
    <w:rsid w:val="00933751"/>
    <w:rsid w:val="00933779"/>
    <w:rsid w:val="00933917"/>
    <w:rsid w:val="00933EC2"/>
    <w:rsid w:val="00934B29"/>
    <w:rsid w:val="00935B81"/>
    <w:rsid w:val="00936B6C"/>
    <w:rsid w:val="00937000"/>
    <w:rsid w:val="00937082"/>
    <w:rsid w:val="009377A4"/>
    <w:rsid w:val="00937BD1"/>
    <w:rsid w:val="00937C9C"/>
    <w:rsid w:val="00937CB4"/>
    <w:rsid w:val="0094094E"/>
    <w:rsid w:val="009410DC"/>
    <w:rsid w:val="00941BBC"/>
    <w:rsid w:val="00941E1B"/>
    <w:rsid w:val="00942273"/>
    <w:rsid w:val="009425FC"/>
    <w:rsid w:val="00942DE8"/>
    <w:rsid w:val="00944337"/>
    <w:rsid w:val="00944721"/>
    <w:rsid w:val="00944CE5"/>
    <w:rsid w:val="009452FB"/>
    <w:rsid w:val="00945A60"/>
    <w:rsid w:val="00945B30"/>
    <w:rsid w:val="00945D59"/>
    <w:rsid w:val="00945E47"/>
    <w:rsid w:val="00945E54"/>
    <w:rsid w:val="009462D0"/>
    <w:rsid w:val="00946973"/>
    <w:rsid w:val="00946F86"/>
    <w:rsid w:val="00947001"/>
    <w:rsid w:val="00947761"/>
    <w:rsid w:val="00947A8A"/>
    <w:rsid w:val="00947B9C"/>
    <w:rsid w:val="00950156"/>
    <w:rsid w:val="009501B6"/>
    <w:rsid w:val="00950685"/>
    <w:rsid w:val="00950980"/>
    <w:rsid w:val="00950AA3"/>
    <w:rsid w:val="009519FF"/>
    <w:rsid w:val="00951C7C"/>
    <w:rsid w:val="00951CE6"/>
    <w:rsid w:val="00951D3B"/>
    <w:rsid w:val="00952754"/>
    <w:rsid w:val="00953AFD"/>
    <w:rsid w:val="00953FF5"/>
    <w:rsid w:val="009542E8"/>
    <w:rsid w:val="00954793"/>
    <w:rsid w:val="009547D0"/>
    <w:rsid w:val="00954EA6"/>
    <w:rsid w:val="0095510B"/>
    <w:rsid w:val="00956A4D"/>
    <w:rsid w:val="009575E7"/>
    <w:rsid w:val="00957FC4"/>
    <w:rsid w:val="00957FC5"/>
    <w:rsid w:val="00960041"/>
    <w:rsid w:val="009603FF"/>
    <w:rsid w:val="009606EE"/>
    <w:rsid w:val="00960742"/>
    <w:rsid w:val="00960954"/>
    <w:rsid w:val="0096172D"/>
    <w:rsid w:val="009617C1"/>
    <w:rsid w:val="00961DF4"/>
    <w:rsid w:val="00962746"/>
    <w:rsid w:val="0096306A"/>
    <w:rsid w:val="009634EE"/>
    <w:rsid w:val="009636AA"/>
    <w:rsid w:val="009637B1"/>
    <w:rsid w:val="00964082"/>
    <w:rsid w:val="009658FD"/>
    <w:rsid w:val="00965EBA"/>
    <w:rsid w:val="00965F4D"/>
    <w:rsid w:val="00966346"/>
    <w:rsid w:val="00966408"/>
    <w:rsid w:val="00967037"/>
    <w:rsid w:val="0096735B"/>
    <w:rsid w:val="009702FC"/>
    <w:rsid w:val="00970D5F"/>
    <w:rsid w:val="00970FA1"/>
    <w:rsid w:val="0097192A"/>
    <w:rsid w:val="00971B29"/>
    <w:rsid w:val="009734C8"/>
    <w:rsid w:val="009735F3"/>
    <w:rsid w:val="00973641"/>
    <w:rsid w:val="00973705"/>
    <w:rsid w:val="0097379F"/>
    <w:rsid w:val="0097420D"/>
    <w:rsid w:val="00974BE3"/>
    <w:rsid w:val="009753C7"/>
    <w:rsid w:val="009755AB"/>
    <w:rsid w:val="009758E7"/>
    <w:rsid w:val="00976038"/>
    <w:rsid w:val="009766C3"/>
    <w:rsid w:val="009769A3"/>
    <w:rsid w:val="009773DD"/>
    <w:rsid w:val="009774A1"/>
    <w:rsid w:val="0097750C"/>
    <w:rsid w:val="009778D0"/>
    <w:rsid w:val="00977A64"/>
    <w:rsid w:val="00980C72"/>
    <w:rsid w:val="00980E3A"/>
    <w:rsid w:val="009819B2"/>
    <w:rsid w:val="00981AEF"/>
    <w:rsid w:val="00982475"/>
    <w:rsid w:val="009824AA"/>
    <w:rsid w:val="00982817"/>
    <w:rsid w:val="00983A5D"/>
    <w:rsid w:val="009843B2"/>
    <w:rsid w:val="00984580"/>
    <w:rsid w:val="00984D5E"/>
    <w:rsid w:val="00984FC4"/>
    <w:rsid w:val="00984FFC"/>
    <w:rsid w:val="00985567"/>
    <w:rsid w:val="00985897"/>
    <w:rsid w:val="00985ED3"/>
    <w:rsid w:val="009875B8"/>
    <w:rsid w:val="0098763D"/>
    <w:rsid w:val="00987CB7"/>
    <w:rsid w:val="009901DB"/>
    <w:rsid w:val="0099048A"/>
    <w:rsid w:val="009905FC"/>
    <w:rsid w:val="00990811"/>
    <w:rsid w:val="00990B6F"/>
    <w:rsid w:val="00990F24"/>
    <w:rsid w:val="00991234"/>
    <w:rsid w:val="00991828"/>
    <w:rsid w:val="0099200A"/>
    <w:rsid w:val="00992514"/>
    <w:rsid w:val="00992573"/>
    <w:rsid w:val="00992BDB"/>
    <w:rsid w:val="0099325E"/>
    <w:rsid w:val="0099330B"/>
    <w:rsid w:val="0099377B"/>
    <w:rsid w:val="009941C4"/>
    <w:rsid w:val="00995280"/>
    <w:rsid w:val="0099535C"/>
    <w:rsid w:val="0099554C"/>
    <w:rsid w:val="009974D1"/>
    <w:rsid w:val="00997592"/>
    <w:rsid w:val="00997ACF"/>
    <w:rsid w:val="00997E7B"/>
    <w:rsid w:val="00997E8C"/>
    <w:rsid w:val="009A0CA1"/>
    <w:rsid w:val="009A0EAF"/>
    <w:rsid w:val="009A0FF5"/>
    <w:rsid w:val="009A1318"/>
    <w:rsid w:val="009A140F"/>
    <w:rsid w:val="009A1BEB"/>
    <w:rsid w:val="009A1C28"/>
    <w:rsid w:val="009A2510"/>
    <w:rsid w:val="009A2788"/>
    <w:rsid w:val="009A29F3"/>
    <w:rsid w:val="009A30E8"/>
    <w:rsid w:val="009A3F09"/>
    <w:rsid w:val="009A57B8"/>
    <w:rsid w:val="009A5BC9"/>
    <w:rsid w:val="009A6292"/>
    <w:rsid w:val="009A62D0"/>
    <w:rsid w:val="009A646B"/>
    <w:rsid w:val="009A6528"/>
    <w:rsid w:val="009A7783"/>
    <w:rsid w:val="009A78E8"/>
    <w:rsid w:val="009A7FD5"/>
    <w:rsid w:val="009B16C7"/>
    <w:rsid w:val="009B1D27"/>
    <w:rsid w:val="009B1E6C"/>
    <w:rsid w:val="009B20A7"/>
    <w:rsid w:val="009B24C8"/>
    <w:rsid w:val="009B2BB2"/>
    <w:rsid w:val="009B2C2E"/>
    <w:rsid w:val="009B2C59"/>
    <w:rsid w:val="009B3163"/>
    <w:rsid w:val="009B3347"/>
    <w:rsid w:val="009B3837"/>
    <w:rsid w:val="009B3AAD"/>
    <w:rsid w:val="009B3AB6"/>
    <w:rsid w:val="009B418D"/>
    <w:rsid w:val="009B466D"/>
    <w:rsid w:val="009B51AF"/>
    <w:rsid w:val="009B5289"/>
    <w:rsid w:val="009B5439"/>
    <w:rsid w:val="009B55A5"/>
    <w:rsid w:val="009B5AB5"/>
    <w:rsid w:val="009B651A"/>
    <w:rsid w:val="009B6A10"/>
    <w:rsid w:val="009B73BC"/>
    <w:rsid w:val="009B7791"/>
    <w:rsid w:val="009C0014"/>
    <w:rsid w:val="009C1247"/>
    <w:rsid w:val="009C1B77"/>
    <w:rsid w:val="009C1E78"/>
    <w:rsid w:val="009C21D0"/>
    <w:rsid w:val="009C23CD"/>
    <w:rsid w:val="009C2730"/>
    <w:rsid w:val="009C2C62"/>
    <w:rsid w:val="009C2E39"/>
    <w:rsid w:val="009C30C8"/>
    <w:rsid w:val="009C3119"/>
    <w:rsid w:val="009C3F3C"/>
    <w:rsid w:val="009C3F57"/>
    <w:rsid w:val="009C446F"/>
    <w:rsid w:val="009C4BBA"/>
    <w:rsid w:val="009C4F06"/>
    <w:rsid w:val="009C4F8D"/>
    <w:rsid w:val="009C4FAA"/>
    <w:rsid w:val="009C5AA8"/>
    <w:rsid w:val="009C657C"/>
    <w:rsid w:val="009C69BA"/>
    <w:rsid w:val="009C7012"/>
    <w:rsid w:val="009C7C0C"/>
    <w:rsid w:val="009C7EED"/>
    <w:rsid w:val="009D0425"/>
    <w:rsid w:val="009D09A3"/>
    <w:rsid w:val="009D0B58"/>
    <w:rsid w:val="009D0CD1"/>
    <w:rsid w:val="009D1EA4"/>
    <w:rsid w:val="009D2067"/>
    <w:rsid w:val="009D25ED"/>
    <w:rsid w:val="009D2B6E"/>
    <w:rsid w:val="009D4947"/>
    <w:rsid w:val="009D5597"/>
    <w:rsid w:val="009D57B6"/>
    <w:rsid w:val="009D5CCC"/>
    <w:rsid w:val="009D5EB2"/>
    <w:rsid w:val="009D60D3"/>
    <w:rsid w:val="009D693E"/>
    <w:rsid w:val="009D723D"/>
    <w:rsid w:val="009D7A62"/>
    <w:rsid w:val="009D7C21"/>
    <w:rsid w:val="009D7FEF"/>
    <w:rsid w:val="009E02CC"/>
    <w:rsid w:val="009E0328"/>
    <w:rsid w:val="009E065E"/>
    <w:rsid w:val="009E084F"/>
    <w:rsid w:val="009E1368"/>
    <w:rsid w:val="009E1373"/>
    <w:rsid w:val="009E1466"/>
    <w:rsid w:val="009E1649"/>
    <w:rsid w:val="009E21CC"/>
    <w:rsid w:val="009E2653"/>
    <w:rsid w:val="009E3271"/>
    <w:rsid w:val="009E38D3"/>
    <w:rsid w:val="009E3907"/>
    <w:rsid w:val="009E3BE0"/>
    <w:rsid w:val="009E47B7"/>
    <w:rsid w:val="009E48A6"/>
    <w:rsid w:val="009E4A74"/>
    <w:rsid w:val="009E55A9"/>
    <w:rsid w:val="009E5FD3"/>
    <w:rsid w:val="009E5FE5"/>
    <w:rsid w:val="009E604C"/>
    <w:rsid w:val="009E6934"/>
    <w:rsid w:val="009E6A2A"/>
    <w:rsid w:val="009E6F4A"/>
    <w:rsid w:val="009E723D"/>
    <w:rsid w:val="009E7398"/>
    <w:rsid w:val="009E7E61"/>
    <w:rsid w:val="009E7E65"/>
    <w:rsid w:val="009F02A7"/>
    <w:rsid w:val="009F075B"/>
    <w:rsid w:val="009F0EB7"/>
    <w:rsid w:val="009F11F7"/>
    <w:rsid w:val="009F126D"/>
    <w:rsid w:val="009F1F69"/>
    <w:rsid w:val="009F2211"/>
    <w:rsid w:val="009F22DC"/>
    <w:rsid w:val="009F2ACA"/>
    <w:rsid w:val="009F2AEB"/>
    <w:rsid w:val="009F2B85"/>
    <w:rsid w:val="009F2CDB"/>
    <w:rsid w:val="009F2E61"/>
    <w:rsid w:val="009F4009"/>
    <w:rsid w:val="009F41B9"/>
    <w:rsid w:val="009F4791"/>
    <w:rsid w:val="009F4E4E"/>
    <w:rsid w:val="009F5239"/>
    <w:rsid w:val="009F5B39"/>
    <w:rsid w:val="009F5DD0"/>
    <w:rsid w:val="009F665F"/>
    <w:rsid w:val="009F7307"/>
    <w:rsid w:val="009F7710"/>
    <w:rsid w:val="00A0077E"/>
    <w:rsid w:val="00A008B2"/>
    <w:rsid w:val="00A00BED"/>
    <w:rsid w:val="00A01465"/>
    <w:rsid w:val="00A023D7"/>
    <w:rsid w:val="00A0243F"/>
    <w:rsid w:val="00A02844"/>
    <w:rsid w:val="00A038AC"/>
    <w:rsid w:val="00A039C9"/>
    <w:rsid w:val="00A03AFB"/>
    <w:rsid w:val="00A04189"/>
    <w:rsid w:val="00A04241"/>
    <w:rsid w:val="00A04435"/>
    <w:rsid w:val="00A044A2"/>
    <w:rsid w:val="00A049EF"/>
    <w:rsid w:val="00A04B6C"/>
    <w:rsid w:val="00A04B78"/>
    <w:rsid w:val="00A04EDE"/>
    <w:rsid w:val="00A05493"/>
    <w:rsid w:val="00A059C2"/>
    <w:rsid w:val="00A05DE6"/>
    <w:rsid w:val="00A06425"/>
    <w:rsid w:val="00A066F9"/>
    <w:rsid w:val="00A07139"/>
    <w:rsid w:val="00A07794"/>
    <w:rsid w:val="00A1073C"/>
    <w:rsid w:val="00A1114D"/>
    <w:rsid w:val="00A1123A"/>
    <w:rsid w:val="00A115BA"/>
    <w:rsid w:val="00A1211D"/>
    <w:rsid w:val="00A12260"/>
    <w:rsid w:val="00A12D3A"/>
    <w:rsid w:val="00A12F20"/>
    <w:rsid w:val="00A13095"/>
    <w:rsid w:val="00A1314F"/>
    <w:rsid w:val="00A13BF0"/>
    <w:rsid w:val="00A13E9D"/>
    <w:rsid w:val="00A155CD"/>
    <w:rsid w:val="00A156CE"/>
    <w:rsid w:val="00A1593C"/>
    <w:rsid w:val="00A15A2F"/>
    <w:rsid w:val="00A16528"/>
    <w:rsid w:val="00A16CEB"/>
    <w:rsid w:val="00A175EA"/>
    <w:rsid w:val="00A20592"/>
    <w:rsid w:val="00A213EE"/>
    <w:rsid w:val="00A2150D"/>
    <w:rsid w:val="00A21987"/>
    <w:rsid w:val="00A21DA8"/>
    <w:rsid w:val="00A22602"/>
    <w:rsid w:val="00A2292A"/>
    <w:rsid w:val="00A22C27"/>
    <w:rsid w:val="00A22DA8"/>
    <w:rsid w:val="00A23642"/>
    <w:rsid w:val="00A238E4"/>
    <w:rsid w:val="00A23913"/>
    <w:rsid w:val="00A23A96"/>
    <w:rsid w:val="00A2435E"/>
    <w:rsid w:val="00A25055"/>
    <w:rsid w:val="00A258CA"/>
    <w:rsid w:val="00A26448"/>
    <w:rsid w:val="00A268AE"/>
    <w:rsid w:val="00A2697E"/>
    <w:rsid w:val="00A27A14"/>
    <w:rsid w:val="00A27D75"/>
    <w:rsid w:val="00A27F6E"/>
    <w:rsid w:val="00A301D7"/>
    <w:rsid w:val="00A305A8"/>
    <w:rsid w:val="00A3147F"/>
    <w:rsid w:val="00A31C14"/>
    <w:rsid w:val="00A31E84"/>
    <w:rsid w:val="00A322B3"/>
    <w:rsid w:val="00A32AC9"/>
    <w:rsid w:val="00A3332F"/>
    <w:rsid w:val="00A33872"/>
    <w:rsid w:val="00A34DA5"/>
    <w:rsid w:val="00A35713"/>
    <w:rsid w:val="00A357EA"/>
    <w:rsid w:val="00A37000"/>
    <w:rsid w:val="00A378A4"/>
    <w:rsid w:val="00A37FB1"/>
    <w:rsid w:val="00A4049C"/>
    <w:rsid w:val="00A41411"/>
    <w:rsid w:val="00A4174A"/>
    <w:rsid w:val="00A42039"/>
    <w:rsid w:val="00A42801"/>
    <w:rsid w:val="00A42944"/>
    <w:rsid w:val="00A431F9"/>
    <w:rsid w:val="00A43749"/>
    <w:rsid w:val="00A43832"/>
    <w:rsid w:val="00A439AF"/>
    <w:rsid w:val="00A45024"/>
    <w:rsid w:val="00A4522B"/>
    <w:rsid w:val="00A455E3"/>
    <w:rsid w:val="00A4578A"/>
    <w:rsid w:val="00A46913"/>
    <w:rsid w:val="00A46A53"/>
    <w:rsid w:val="00A47763"/>
    <w:rsid w:val="00A47891"/>
    <w:rsid w:val="00A47985"/>
    <w:rsid w:val="00A47A3D"/>
    <w:rsid w:val="00A503B6"/>
    <w:rsid w:val="00A5158C"/>
    <w:rsid w:val="00A51971"/>
    <w:rsid w:val="00A520F6"/>
    <w:rsid w:val="00A52596"/>
    <w:rsid w:val="00A52912"/>
    <w:rsid w:val="00A52BDF"/>
    <w:rsid w:val="00A5310B"/>
    <w:rsid w:val="00A53B87"/>
    <w:rsid w:val="00A53BDA"/>
    <w:rsid w:val="00A53E1D"/>
    <w:rsid w:val="00A53F7B"/>
    <w:rsid w:val="00A540E2"/>
    <w:rsid w:val="00A545E0"/>
    <w:rsid w:val="00A54A86"/>
    <w:rsid w:val="00A55281"/>
    <w:rsid w:val="00A555A7"/>
    <w:rsid w:val="00A55645"/>
    <w:rsid w:val="00A55682"/>
    <w:rsid w:val="00A5568D"/>
    <w:rsid w:val="00A55819"/>
    <w:rsid w:val="00A558DA"/>
    <w:rsid w:val="00A55996"/>
    <w:rsid w:val="00A562AA"/>
    <w:rsid w:val="00A562F9"/>
    <w:rsid w:val="00A56D3F"/>
    <w:rsid w:val="00A600A7"/>
    <w:rsid w:val="00A604A6"/>
    <w:rsid w:val="00A60BDB"/>
    <w:rsid w:val="00A60CEC"/>
    <w:rsid w:val="00A62123"/>
    <w:rsid w:val="00A62244"/>
    <w:rsid w:val="00A62393"/>
    <w:rsid w:val="00A62A71"/>
    <w:rsid w:val="00A62A89"/>
    <w:rsid w:val="00A62D8A"/>
    <w:rsid w:val="00A62F62"/>
    <w:rsid w:val="00A63473"/>
    <w:rsid w:val="00A638C0"/>
    <w:rsid w:val="00A639B7"/>
    <w:rsid w:val="00A63FD1"/>
    <w:rsid w:val="00A64623"/>
    <w:rsid w:val="00A64878"/>
    <w:rsid w:val="00A660E1"/>
    <w:rsid w:val="00A6617F"/>
    <w:rsid w:val="00A6625C"/>
    <w:rsid w:val="00A6629F"/>
    <w:rsid w:val="00A666B8"/>
    <w:rsid w:val="00A67399"/>
    <w:rsid w:val="00A709F6"/>
    <w:rsid w:val="00A7117A"/>
    <w:rsid w:val="00A717D7"/>
    <w:rsid w:val="00A718E3"/>
    <w:rsid w:val="00A71C19"/>
    <w:rsid w:val="00A728CC"/>
    <w:rsid w:val="00A72A86"/>
    <w:rsid w:val="00A72AAA"/>
    <w:rsid w:val="00A72B3C"/>
    <w:rsid w:val="00A734C1"/>
    <w:rsid w:val="00A73E75"/>
    <w:rsid w:val="00A73FA2"/>
    <w:rsid w:val="00A74483"/>
    <w:rsid w:val="00A747B4"/>
    <w:rsid w:val="00A7499E"/>
    <w:rsid w:val="00A74A70"/>
    <w:rsid w:val="00A74B24"/>
    <w:rsid w:val="00A74ED0"/>
    <w:rsid w:val="00A75095"/>
    <w:rsid w:val="00A75780"/>
    <w:rsid w:val="00A75929"/>
    <w:rsid w:val="00A76467"/>
    <w:rsid w:val="00A76AA6"/>
    <w:rsid w:val="00A76F2F"/>
    <w:rsid w:val="00A778E5"/>
    <w:rsid w:val="00A7793C"/>
    <w:rsid w:val="00A77C29"/>
    <w:rsid w:val="00A77C72"/>
    <w:rsid w:val="00A77DD5"/>
    <w:rsid w:val="00A8025F"/>
    <w:rsid w:val="00A8034E"/>
    <w:rsid w:val="00A8134F"/>
    <w:rsid w:val="00A81555"/>
    <w:rsid w:val="00A8158D"/>
    <w:rsid w:val="00A81E32"/>
    <w:rsid w:val="00A822F3"/>
    <w:rsid w:val="00A82363"/>
    <w:rsid w:val="00A83454"/>
    <w:rsid w:val="00A8364E"/>
    <w:rsid w:val="00A83953"/>
    <w:rsid w:val="00A839E1"/>
    <w:rsid w:val="00A83D5F"/>
    <w:rsid w:val="00A83FE6"/>
    <w:rsid w:val="00A84893"/>
    <w:rsid w:val="00A84B08"/>
    <w:rsid w:val="00A851AF"/>
    <w:rsid w:val="00A85474"/>
    <w:rsid w:val="00A85E23"/>
    <w:rsid w:val="00A86063"/>
    <w:rsid w:val="00A86199"/>
    <w:rsid w:val="00A8644F"/>
    <w:rsid w:val="00A865A2"/>
    <w:rsid w:val="00A86B8A"/>
    <w:rsid w:val="00A86E47"/>
    <w:rsid w:val="00A86EB5"/>
    <w:rsid w:val="00A86F26"/>
    <w:rsid w:val="00A874C5"/>
    <w:rsid w:val="00A876FA"/>
    <w:rsid w:val="00A908A8"/>
    <w:rsid w:val="00A90F5E"/>
    <w:rsid w:val="00A915F0"/>
    <w:rsid w:val="00A9176A"/>
    <w:rsid w:val="00A91BF7"/>
    <w:rsid w:val="00A91EF4"/>
    <w:rsid w:val="00A934EB"/>
    <w:rsid w:val="00A93704"/>
    <w:rsid w:val="00A93DD8"/>
    <w:rsid w:val="00A94415"/>
    <w:rsid w:val="00A94771"/>
    <w:rsid w:val="00A9542F"/>
    <w:rsid w:val="00A9605C"/>
    <w:rsid w:val="00A9695C"/>
    <w:rsid w:val="00A96EA3"/>
    <w:rsid w:val="00A97EF5"/>
    <w:rsid w:val="00AA086B"/>
    <w:rsid w:val="00AA145F"/>
    <w:rsid w:val="00AA1552"/>
    <w:rsid w:val="00AA1680"/>
    <w:rsid w:val="00AA1739"/>
    <w:rsid w:val="00AA2220"/>
    <w:rsid w:val="00AA2317"/>
    <w:rsid w:val="00AA2389"/>
    <w:rsid w:val="00AA264C"/>
    <w:rsid w:val="00AA26A4"/>
    <w:rsid w:val="00AA32F0"/>
    <w:rsid w:val="00AA3463"/>
    <w:rsid w:val="00AA3DA8"/>
    <w:rsid w:val="00AA48A4"/>
    <w:rsid w:val="00AA498E"/>
    <w:rsid w:val="00AA4E40"/>
    <w:rsid w:val="00AA52A8"/>
    <w:rsid w:val="00AA5404"/>
    <w:rsid w:val="00AA5A50"/>
    <w:rsid w:val="00AA5A56"/>
    <w:rsid w:val="00AA5FF2"/>
    <w:rsid w:val="00AA63C8"/>
    <w:rsid w:val="00AA66D6"/>
    <w:rsid w:val="00AB0787"/>
    <w:rsid w:val="00AB086E"/>
    <w:rsid w:val="00AB0946"/>
    <w:rsid w:val="00AB1665"/>
    <w:rsid w:val="00AB2338"/>
    <w:rsid w:val="00AB4133"/>
    <w:rsid w:val="00AB421D"/>
    <w:rsid w:val="00AB42D2"/>
    <w:rsid w:val="00AB4971"/>
    <w:rsid w:val="00AB4B6B"/>
    <w:rsid w:val="00AB55C7"/>
    <w:rsid w:val="00AB57A2"/>
    <w:rsid w:val="00AB5CFB"/>
    <w:rsid w:val="00AB5F22"/>
    <w:rsid w:val="00AB76FC"/>
    <w:rsid w:val="00AB7845"/>
    <w:rsid w:val="00AC05F7"/>
    <w:rsid w:val="00AC0976"/>
    <w:rsid w:val="00AC1448"/>
    <w:rsid w:val="00AC148D"/>
    <w:rsid w:val="00AC1E3B"/>
    <w:rsid w:val="00AC2813"/>
    <w:rsid w:val="00AC312D"/>
    <w:rsid w:val="00AC35B4"/>
    <w:rsid w:val="00AC371B"/>
    <w:rsid w:val="00AC384C"/>
    <w:rsid w:val="00AC3A6C"/>
    <w:rsid w:val="00AC3D94"/>
    <w:rsid w:val="00AC3FDF"/>
    <w:rsid w:val="00AC44EC"/>
    <w:rsid w:val="00AC51C1"/>
    <w:rsid w:val="00AC5988"/>
    <w:rsid w:val="00AC5DE8"/>
    <w:rsid w:val="00AC714B"/>
    <w:rsid w:val="00AC7ACE"/>
    <w:rsid w:val="00AC7AF7"/>
    <w:rsid w:val="00AC7EB6"/>
    <w:rsid w:val="00AD06FF"/>
    <w:rsid w:val="00AD09D1"/>
    <w:rsid w:val="00AD19B0"/>
    <w:rsid w:val="00AD241A"/>
    <w:rsid w:val="00AD3981"/>
    <w:rsid w:val="00AD3CD2"/>
    <w:rsid w:val="00AD4539"/>
    <w:rsid w:val="00AD4BB3"/>
    <w:rsid w:val="00AD5D35"/>
    <w:rsid w:val="00AD6824"/>
    <w:rsid w:val="00AD6966"/>
    <w:rsid w:val="00AD7B6E"/>
    <w:rsid w:val="00AE1445"/>
    <w:rsid w:val="00AE18F6"/>
    <w:rsid w:val="00AE2034"/>
    <w:rsid w:val="00AE23EE"/>
    <w:rsid w:val="00AE2768"/>
    <w:rsid w:val="00AE2893"/>
    <w:rsid w:val="00AE2ABE"/>
    <w:rsid w:val="00AE2E62"/>
    <w:rsid w:val="00AE30B0"/>
    <w:rsid w:val="00AE3505"/>
    <w:rsid w:val="00AE3D60"/>
    <w:rsid w:val="00AE4286"/>
    <w:rsid w:val="00AE4803"/>
    <w:rsid w:val="00AE4D38"/>
    <w:rsid w:val="00AE4D50"/>
    <w:rsid w:val="00AE4DF1"/>
    <w:rsid w:val="00AE4E6D"/>
    <w:rsid w:val="00AE5278"/>
    <w:rsid w:val="00AE542A"/>
    <w:rsid w:val="00AE589D"/>
    <w:rsid w:val="00AE5B02"/>
    <w:rsid w:val="00AE6096"/>
    <w:rsid w:val="00AE661A"/>
    <w:rsid w:val="00AF0493"/>
    <w:rsid w:val="00AF04F3"/>
    <w:rsid w:val="00AF0EFC"/>
    <w:rsid w:val="00AF0FC5"/>
    <w:rsid w:val="00AF1C02"/>
    <w:rsid w:val="00AF1E0A"/>
    <w:rsid w:val="00AF31D7"/>
    <w:rsid w:val="00AF3CFD"/>
    <w:rsid w:val="00AF3E1D"/>
    <w:rsid w:val="00AF42B5"/>
    <w:rsid w:val="00AF45B3"/>
    <w:rsid w:val="00AF4C57"/>
    <w:rsid w:val="00AF517C"/>
    <w:rsid w:val="00AF61F1"/>
    <w:rsid w:val="00AF6247"/>
    <w:rsid w:val="00AF63B6"/>
    <w:rsid w:val="00AF6915"/>
    <w:rsid w:val="00AF69D2"/>
    <w:rsid w:val="00AF6F4C"/>
    <w:rsid w:val="00B002B4"/>
    <w:rsid w:val="00B00848"/>
    <w:rsid w:val="00B0183E"/>
    <w:rsid w:val="00B018C6"/>
    <w:rsid w:val="00B01BEE"/>
    <w:rsid w:val="00B01C26"/>
    <w:rsid w:val="00B01FDC"/>
    <w:rsid w:val="00B0253B"/>
    <w:rsid w:val="00B02881"/>
    <w:rsid w:val="00B035CC"/>
    <w:rsid w:val="00B039DD"/>
    <w:rsid w:val="00B0421D"/>
    <w:rsid w:val="00B0462E"/>
    <w:rsid w:val="00B04ED9"/>
    <w:rsid w:val="00B064F7"/>
    <w:rsid w:val="00B070CF"/>
    <w:rsid w:val="00B07FC8"/>
    <w:rsid w:val="00B10023"/>
    <w:rsid w:val="00B10153"/>
    <w:rsid w:val="00B10184"/>
    <w:rsid w:val="00B10229"/>
    <w:rsid w:val="00B1088E"/>
    <w:rsid w:val="00B10BE2"/>
    <w:rsid w:val="00B10C94"/>
    <w:rsid w:val="00B10D08"/>
    <w:rsid w:val="00B10D1A"/>
    <w:rsid w:val="00B10EF8"/>
    <w:rsid w:val="00B1179C"/>
    <w:rsid w:val="00B117F8"/>
    <w:rsid w:val="00B11A73"/>
    <w:rsid w:val="00B11E2A"/>
    <w:rsid w:val="00B12174"/>
    <w:rsid w:val="00B12713"/>
    <w:rsid w:val="00B12840"/>
    <w:rsid w:val="00B12941"/>
    <w:rsid w:val="00B13721"/>
    <w:rsid w:val="00B1396C"/>
    <w:rsid w:val="00B13A6E"/>
    <w:rsid w:val="00B13DF6"/>
    <w:rsid w:val="00B1425F"/>
    <w:rsid w:val="00B146CC"/>
    <w:rsid w:val="00B14B61"/>
    <w:rsid w:val="00B153A9"/>
    <w:rsid w:val="00B15EE1"/>
    <w:rsid w:val="00B1652F"/>
    <w:rsid w:val="00B165E3"/>
    <w:rsid w:val="00B16AE9"/>
    <w:rsid w:val="00B16B96"/>
    <w:rsid w:val="00B16F68"/>
    <w:rsid w:val="00B16F6F"/>
    <w:rsid w:val="00B170CA"/>
    <w:rsid w:val="00B1743E"/>
    <w:rsid w:val="00B1745D"/>
    <w:rsid w:val="00B17780"/>
    <w:rsid w:val="00B178A8"/>
    <w:rsid w:val="00B17A11"/>
    <w:rsid w:val="00B20109"/>
    <w:rsid w:val="00B203E3"/>
    <w:rsid w:val="00B2127E"/>
    <w:rsid w:val="00B21F56"/>
    <w:rsid w:val="00B21FBB"/>
    <w:rsid w:val="00B220F9"/>
    <w:rsid w:val="00B228FB"/>
    <w:rsid w:val="00B22CB7"/>
    <w:rsid w:val="00B22D99"/>
    <w:rsid w:val="00B238F0"/>
    <w:rsid w:val="00B23907"/>
    <w:rsid w:val="00B23CD2"/>
    <w:rsid w:val="00B23F97"/>
    <w:rsid w:val="00B24D5A"/>
    <w:rsid w:val="00B24DCB"/>
    <w:rsid w:val="00B256F6"/>
    <w:rsid w:val="00B25915"/>
    <w:rsid w:val="00B25B40"/>
    <w:rsid w:val="00B25C45"/>
    <w:rsid w:val="00B25CD7"/>
    <w:rsid w:val="00B25D35"/>
    <w:rsid w:val="00B275D7"/>
    <w:rsid w:val="00B275FF"/>
    <w:rsid w:val="00B27C77"/>
    <w:rsid w:val="00B27E92"/>
    <w:rsid w:val="00B27E97"/>
    <w:rsid w:val="00B27FC8"/>
    <w:rsid w:val="00B301AD"/>
    <w:rsid w:val="00B30366"/>
    <w:rsid w:val="00B3160B"/>
    <w:rsid w:val="00B31D26"/>
    <w:rsid w:val="00B322D0"/>
    <w:rsid w:val="00B33DA7"/>
    <w:rsid w:val="00B3404C"/>
    <w:rsid w:val="00B346B1"/>
    <w:rsid w:val="00B3485E"/>
    <w:rsid w:val="00B348DC"/>
    <w:rsid w:val="00B34903"/>
    <w:rsid w:val="00B349B6"/>
    <w:rsid w:val="00B34D14"/>
    <w:rsid w:val="00B350E2"/>
    <w:rsid w:val="00B358CF"/>
    <w:rsid w:val="00B36826"/>
    <w:rsid w:val="00B36ACF"/>
    <w:rsid w:val="00B36B75"/>
    <w:rsid w:val="00B37865"/>
    <w:rsid w:val="00B37B51"/>
    <w:rsid w:val="00B37D46"/>
    <w:rsid w:val="00B37EC0"/>
    <w:rsid w:val="00B40176"/>
    <w:rsid w:val="00B4033B"/>
    <w:rsid w:val="00B40605"/>
    <w:rsid w:val="00B408F4"/>
    <w:rsid w:val="00B40C61"/>
    <w:rsid w:val="00B4119A"/>
    <w:rsid w:val="00B41248"/>
    <w:rsid w:val="00B41943"/>
    <w:rsid w:val="00B419F1"/>
    <w:rsid w:val="00B41A46"/>
    <w:rsid w:val="00B41FA6"/>
    <w:rsid w:val="00B42544"/>
    <w:rsid w:val="00B429E8"/>
    <w:rsid w:val="00B42A87"/>
    <w:rsid w:val="00B42DB1"/>
    <w:rsid w:val="00B4301F"/>
    <w:rsid w:val="00B431E8"/>
    <w:rsid w:val="00B439D9"/>
    <w:rsid w:val="00B439FD"/>
    <w:rsid w:val="00B43CF7"/>
    <w:rsid w:val="00B444C5"/>
    <w:rsid w:val="00B44E86"/>
    <w:rsid w:val="00B451D9"/>
    <w:rsid w:val="00B4544D"/>
    <w:rsid w:val="00B4545D"/>
    <w:rsid w:val="00B456C8"/>
    <w:rsid w:val="00B45AAE"/>
    <w:rsid w:val="00B46231"/>
    <w:rsid w:val="00B464DF"/>
    <w:rsid w:val="00B4670F"/>
    <w:rsid w:val="00B46724"/>
    <w:rsid w:val="00B46D2F"/>
    <w:rsid w:val="00B46F45"/>
    <w:rsid w:val="00B47D03"/>
    <w:rsid w:val="00B47E41"/>
    <w:rsid w:val="00B5016A"/>
    <w:rsid w:val="00B501A7"/>
    <w:rsid w:val="00B50446"/>
    <w:rsid w:val="00B5054E"/>
    <w:rsid w:val="00B506E8"/>
    <w:rsid w:val="00B50786"/>
    <w:rsid w:val="00B50E58"/>
    <w:rsid w:val="00B510FD"/>
    <w:rsid w:val="00B513C7"/>
    <w:rsid w:val="00B51642"/>
    <w:rsid w:val="00B51F4F"/>
    <w:rsid w:val="00B52ACE"/>
    <w:rsid w:val="00B52F19"/>
    <w:rsid w:val="00B53038"/>
    <w:rsid w:val="00B534B7"/>
    <w:rsid w:val="00B53556"/>
    <w:rsid w:val="00B537C4"/>
    <w:rsid w:val="00B5386E"/>
    <w:rsid w:val="00B541F8"/>
    <w:rsid w:val="00B5423E"/>
    <w:rsid w:val="00B5484E"/>
    <w:rsid w:val="00B54BB9"/>
    <w:rsid w:val="00B55920"/>
    <w:rsid w:val="00B55943"/>
    <w:rsid w:val="00B5597B"/>
    <w:rsid w:val="00B55C60"/>
    <w:rsid w:val="00B56CA6"/>
    <w:rsid w:val="00B573BA"/>
    <w:rsid w:val="00B573C2"/>
    <w:rsid w:val="00B57BEE"/>
    <w:rsid w:val="00B57D7A"/>
    <w:rsid w:val="00B605B5"/>
    <w:rsid w:val="00B60756"/>
    <w:rsid w:val="00B60B65"/>
    <w:rsid w:val="00B612A6"/>
    <w:rsid w:val="00B6138F"/>
    <w:rsid w:val="00B6139F"/>
    <w:rsid w:val="00B62214"/>
    <w:rsid w:val="00B62DA9"/>
    <w:rsid w:val="00B62E84"/>
    <w:rsid w:val="00B62F60"/>
    <w:rsid w:val="00B6366B"/>
    <w:rsid w:val="00B638F5"/>
    <w:rsid w:val="00B6404C"/>
    <w:rsid w:val="00B64205"/>
    <w:rsid w:val="00B6436F"/>
    <w:rsid w:val="00B646B2"/>
    <w:rsid w:val="00B64710"/>
    <w:rsid w:val="00B65E9C"/>
    <w:rsid w:val="00B65EDD"/>
    <w:rsid w:val="00B6667F"/>
    <w:rsid w:val="00B666B9"/>
    <w:rsid w:val="00B6732E"/>
    <w:rsid w:val="00B674E9"/>
    <w:rsid w:val="00B70433"/>
    <w:rsid w:val="00B70956"/>
    <w:rsid w:val="00B70A96"/>
    <w:rsid w:val="00B70DCB"/>
    <w:rsid w:val="00B7146A"/>
    <w:rsid w:val="00B71B55"/>
    <w:rsid w:val="00B71E4B"/>
    <w:rsid w:val="00B71FBF"/>
    <w:rsid w:val="00B721A5"/>
    <w:rsid w:val="00B72208"/>
    <w:rsid w:val="00B7283B"/>
    <w:rsid w:val="00B72943"/>
    <w:rsid w:val="00B72D16"/>
    <w:rsid w:val="00B72F5A"/>
    <w:rsid w:val="00B734EC"/>
    <w:rsid w:val="00B73698"/>
    <w:rsid w:val="00B742E9"/>
    <w:rsid w:val="00B746B7"/>
    <w:rsid w:val="00B74839"/>
    <w:rsid w:val="00B74CC0"/>
    <w:rsid w:val="00B75124"/>
    <w:rsid w:val="00B7552E"/>
    <w:rsid w:val="00B75C48"/>
    <w:rsid w:val="00B7666E"/>
    <w:rsid w:val="00B7667F"/>
    <w:rsid w:val="00B7670C"/>
    <w:rsid w:val="00B7678A"/>
    <w:rsid w:val="00B76A6C"/>
    <w:rsid w:val="00B76F56"/>
    <w:rsid w:val="00B7731E"/>
    <w:rsid w:val="00B7745C"/>
    <w:rsid w:val="00B7798C"/>
    <w:rsid w:val="00B779B6"/>
    <w:rsid w:val="00B8037A"/>
    <w:rsid w:val="00B80FE9"/>
    <w:rsid w:val="00B8177E"/>
    <w:rsid w:val="00B81981"/>
    <w:rsid w:val="00B81D7A"/>
    <w:rsid w:val="00B81F9A"/>
    <w:rsid w:val="00B82004"/>
    <w:rsid w:val="00B828A9"/>
    <w:rsid w:val="00B82FA6"/>
    <w:rsid w:val="00B8315C"/>
    <w:rsid w:val="00B83178"/>
    <w:rsid w:val="00B83227"/>
    <w:rsid w:val="00B833AF"/>
    <w:rsid w:val="00B836C7"/>
    <w:rsid w:val="00B837CC"/>
    <w:rsid w:val="00B84D64"/>
    <w:rsid w:val="00B84E7B"/>
    <w:rsid w:val="00B84FD8"/>
    <w:rsid w:val="00B850D8"/>
    <w:rsid w:val="00B85A33"/>
    <w:rsid w:val="00B85A6A"/>
    <w:rsid w:val="00B86612"/>
    <w:rsid w:val="00B86F40"/>
    <w:rsid w:val="00B86FD5"/>
    <w:rsid w:val="00B875EF"/>
    <w:rsid w:val="00B878DF"/>
    <w:rsid w:val="00B900CD"/>
    <w:rsid w:val="00B913B5"/>
    <w:rsid w:val="00B91D9C"/>
    <w:rsid w:val="00B92339"/>
    <w:rsid w:val="00B92D81"/>
    <w:rsid w:val="00B93BFF"/>
    <w:rsid w:val="00B940B6"/>
    <w:rsid w:val="00B9522B"/>
    <w:rsid w:val="00B9578C"/>
    <w:rsid w:val="00B9590C"/>
    <w:rsid w:val="00B95A93"/>
    <w:rsid w:val="00B95F51"/>
    <w:rsid w:val="00B964FF"/>
    <w:rsid w:val="00B97A15"/>
    <w:rsid w:val="00B97BD4"/>
    <w:rsid w:val="00B97EDA"/>
    <w:rsid w:val="00BA02AB"/>
    <w:rsid w:val="00BA06B6"/>
    <w:rsid w:val="00BA0B63"/>
    <w:rsid w:val="00BA0F57"/>
    <w:rsid w:val="00BA0F7A"/>
    <w:rsid w:val="00BA12EE"/>
    <w:rsid w:val="00BA2088"/>
    <w:rsid w:val="00BA4074"/>
    <w:rsid w:val="00BA479E"/>
    <w:rsid w:val="00BA4E7D"/>
    <w:rsid w:val="00BA4F11"/>
    <w:rsid w:val="00BA50DF"/>
    <w:rsid w:val="00BA539B"/>
    <w:rsid w:val="00BA5DBB"/>
    <w:rsid w:val="00BA5F76"/>
    <w:rsid w:val="00BA7E04"/>
    <w:rsid w:val="00BB0621"/>
    <w:rsid w:val="00BB06F3"/>
    <w:rsid w:val="00BB07D7"/>
    <w:rsid w:val="00BB0D3A"/>
    <w:rsid w:val="00BB12BD"/>
    <w:rsid w:val="00BB2153"/>
    <w:rsid w:val="00BB2777"/>
    <w:rsid w:val="00BB407E"/>
    <w:rsid w:val="00BB423B"/>
    <w:rsid w:val="00BB47E1"/>
    <w:rsid w:val="00BB4A04"/>
    <w:rsid w:val="00BB6297"/>
    <w:rsid w:val="00BB64AD"/>
    <w:rsid w:val="00BB6A31"/>
    <w:rsid w:val="00BB6F2A"/>
    <w:rsid w:val="00BB70C2"/>
    <w:rsid w:val="00BB7D3C"/>
    <w:rsid w:val="00BC0829"/>
    <w:rsid w:val="00BC10BB"/>
    <w:rsid w:val="00BC1194"/>
    <w:rsid w:val="00BC11C6"/>
    <w:rsid w:val="00BC1BD1"/>
    <w:rsid w:val="00BC1F66"/>
    <w:rsid w:val="00BC21CA"/>
    <w:rsid w:val="00BC2490"/>
    <w:rsid w:val="00BC2CB6"/>
    <w:rsid w:val="00BC2DB0"/>
    <w:rsid w:val="00BC4542"/>
    <w:rsid w:val="00BC4CA3"/>
    <w:rsid w:val="00BC50C6"/>
    <w:rsid w:val="00BC5B58"/>
    <w:rsid w:val="00BC5C7F"/>
    <w:rsid w:val="00BC6038"/>
    <w:rsid w:val="00BC7611"/>
    <w:rsid w:val="00BC7A89"/>
    <w:rsid w:val="00BD0417"/>
    <w:rsid w:val="00BD055A"/>
    <w:rsid w:val="00BD063D"/>
    <w:rsid w:val="00BD0F1C"/>
    <w:rsid w:val="00BD169C"/>
    <w:rsid w:val="00BD1851"/>
    <w:rsid w:val="00BD1C34"/>
    <w:rsid w:val="00BD1F1E"/>
    <w:rsid w:val="00BD2D0B"/>
    <w:rsid w:val="00BD413C"/>
    <w:rsid w:val="00BD4920"/>
    <w:rsid w:val="00BD55FF"/>
    <w:rsid w:val="00BD57D1"/>
    <w:rsid w:val="00BD5914"/>
    <w:rsid w:val="00BD72E7"/>
    <w:rsid w:val="00BD7529"/>
    <w:rsid w:val="00BD783A"/>
    <w:rsid w:val="00BD794A"/>
    <w:rsid w:val="00BD7B4F"/>
    <w:rsid w:val="00BD7C7A"/>
    <w:rsid w:val="00BD7D30"/>
    <w:rsid w:val="00BD7FCE"/>
    <w:rsid w:val="00BE0BBF"/>
    <w:rsid w:val="00BE1098"/>
    <w:rsid w:val="00BE1263"/>
    <w:rsid w:val="00BE18D0"/>
    <w:rsid w:val="00BE1AC7"/>
    <w:rsid w:val="00BE289D"/>
    <w:rsid w:val="00BE2AB9"/>
    <w:rsid w:val="00BE2B9C"/>
    <w:rsid w:val="00BE30D6"/>
    <w:rsid w:val="00BE33D8"/>
    <w:rsid w:val="00BE477A"/>
    <w:rsid w:val="00BE52C2"/>
    <w:rsid w:val="00BE5424"/>
    <w:rsid w:val="00BE6217"/>
    <w:rsid w:val="00BE689E"/>
    <w:rsid w:val="00BE6AD5"/>
    <w:rsid w:val="00BE6BA1"/>
    <w:rsid w:val="00BE7214"/>
    <w:rsid w:val="00BE76A9"/>
    <w:rsid w:val="00BE7E84"/>
    <w:rsid w:val="00BF00D7"/>
    <w:rsid w:val="00BF0685"/>
    <w:rsid w:val="00BF0855"/>
    <w:rsid w:val="00BF1557"/>
    <w:rsid w:val="00BF2B63"/>
    <w:rsid w:val="00BF2EC9"/>
    <w:rsid w:val="00BF3E1E"/>
    <w:rsid w:val="00BF49FE"/>
    <w:rsid w:val="00BF4D3C"/>
    <w:rsid w:val="00BF4E51"/>
    <w:rsid w:val="00BF4E82"/>
    <w:rsid w:val="00BF524A"/>
    <w:rsid w:val="00BF52BA"/>
    <w:rsid w:val="00BF56A0"/>
    <w:rsid w:val="00BF640C"/>
    <w:rsid w:val="00BF6705"/>
    <w:rsid w:val="00BF6928"/>
    <w:rsid w:val="00BF6BE9"/>
    <w:rsid w:val="00BF74D1"/>
    <w:rsid w:val="00BF771B"/>
    <w:rsid w:val="00BF77F7"/>
    <w:rsid w:val="00C007F5"/>
    <w:rsid w:val="00C00A28"/>
    <w:rsid w:val="00C00C0B"/>
    <w:rsid w:val="00C00EA4"/>
    <w:rsid w:val="00C01791"/>
    <w:rsid w:val="00C018F8"/>
    <w:rsid w:val="00C0267C"/>
    <w:rsid w:val="00C02E16"/>
    <w:rsid w:val="00C02FD8"/>
    <w:rsid w:val="00C03508"/>
    <w:rsid w:val="00C04579"/>
    <w:rsid w:val="00C04D46"/>
    <w:rsid w:val="00C04ED4"/>
    <w:rsid w:val="00C0566F"/>
    <w:rsid w:val="00C05D72"/>
    <w:rsid w:val="00C069D5"/>
    <w:rsid w:val="00C06AFA"/>
    <w:rsid w:val="00C06C47"/>
    <w:rsid w:val="00C07D28"/>
    <w:rsid w:val="00C07F39"/>
    <w:rsid w:val="00C107CA"/>
    <w:rsid w:val="00C10982"/>
    <w:rsid w:val="00C10C88"/>
    <w:rsid w:val="00C10FC5"/>
    <w:rsid w:val="00C1148A"/>
    <w:rsid w:val="00C11CE3"/>
    <w:rsid w:val="00C1221B"/>
    <w:rsid w:val="00C13DDE"/>
    <w:rsid w:val="00C13FA0"/>
    <w:rsid w:val="00C146BD"/>
    <w:rsid w:val="00C14AE6"/>
    <w:rsid w:val="00C14C5C"/>
    <w:rsid w:val="00C1551F"/>
    <w:rsid w:val="00C16588"/>
    <w:rsid w:val="00C170DC"/>
    <w:rsid w:val="00C20397"/>
    <w:rsid w:val="00C203FB"/>
    <w:rsid w:val="00C208E1"/>
    <w:rsid w:val="00C209FE"/>
    <w:rsid w:val="00C20CE0"/>
    <w:rsid w:val="00C21697"/>
    <w:rsid w:val="00C2180F"/>
    <w:rsid w:val="00C21DD7"/>
    <w:rsid w:val="00C2271B"/>
    <w:rsid w:val="00C23A94"/>
    <w:rsid w:val="00C23DF1"/>
    <w:rsid w:val="00C2428E"/>
    <w:rsid w:val="00C24421"/>
    <w:rsid w:val="00C246E2"/>
    <w:rsid w:val="00C25416"/>
    <w:rsid w:val="00C26612"/>
    <w:rsid w:val="00C26869"/>
    <w:rsid w:val="00C26913"/>
    <w:rsid w:val="00C269D4"/>
    <w:rsid w:val="00C26BAD"/>
    <w:rsid w:val="00C26BF7"/>
    <w:rsid w:val="00C271F8"/>
    <w:rsid w:val="00C2767A"/>
    <w:rsid w:val="00C279AD"/>
    <w:rsid w:val="00C27E3D"/>
    <w:rsid w:val="00C30189"/>
    <w:rsid w:val="00C301E4"/>
    <w:rsid w:val="00C301EA"/>
    <w:rsid w:val="00C30F41"/>
    <w:rsid w:val="00C323CF"/>
    <w:rsid w:val="00C32809"/>
    <w:rsid w:val="00C32835"/>
    <w:rsid w:val="00C32AF9"/>
    <w:rsid w:val="00C32CFA"/>
    <w:rsid w:val="00C32FF5"/>
    <w:rsid w:val="00C3309E"/>
    <w:rsid w:val="00C3325D"/>
    <w:rsid w:val="00C337D8"/>
    <w:rsid w:val="00C33B3D"/>
    <w:rsid w:val="00C34597"/>
    <w:rsid w:val="00C346B6"/>
    <w:rsid w:val="00C34AB3"/>
    <w:rsid w:val="00C35020"/>
    <w:rsid w:val="00C35215"/>
    <w:rsid w:val="00C35A6C"/>
    <w:rsid w:val="00C3612A"/>
    <w:rsid w:val="00C3647B"/>
    <w:rsid w:val="00C37301"/>
    <w:rsid w:val="00C3793E"/>
    <w:rsid w:val="00C37A1E"/>
    <w:rsid w:val="00C37D06"/>
    <w:rsid w:val="00C37FEF"/>
    <w:rsid w:val="00C4154C"/>
    <w:rsid w:val="00C41A16"/>
    <w:rsid w:val="00C41ED6"/>
    <w:rsid w:val="00C42208"/>
    <w:rsid w:val="00C42521"/>
    <w:rsid w:val="00C42742"/>
    <w:rsid w:val="00C42B17"/>
    <w:rsid w:val="00C42D01"/>
    <w:rsid w:val="00C43291"/>
    <w:rsid w:val="00C43889"/>
    <w:rsid w:val="00C43B40"/>
    <w:rsid w:val="00C44455"/>
    <w:rsid w:val="00C44543"/>
    <w:rsid w:val="00C4466C"/>
    <w:rsid w:val="00C448D4"/>
    <w:rsid w:val="00C44A78"/>
    <w:rsid w:val="00C45A18"/>
    <w:rsid w:val="00C46572"/>
    <w:rsid w:val="00C46851"/>
    <w:rsid w:val="00C46A70"/>
    <w:rsid w:val="00C46BA5"/>
    <w:rsid w:val="00C4735A"/>
    <w:rsid w:val="00C47438"/>
    <w:rsid w:val="00C4774F"/>
    <w:rsid w:val="00C47C03"/>
    <w:rsid w:val="00C47DF0"/>
    <w:rsid w:val="00C501DB"/>
    <w:rsid w:val="00C501E3"/>
    <w:rsid w:val="00C50A05"/>
    <w:rsid w:val="00C50AB0"/>
    <w:rsid w:val="00C50F56"/>
    <w:rsid w:val="00C511D5"/>
    <w:rsid w:val="00C518A9"/>
    <w:rsid w:val="00C51946"/>
    <w:rsid w:val="00C51CDD"/>
    <w:rsid w:val="00C51E7E"/>
    <w:rsid w:val="00C51EDD"/>
    <w:rsid w:val="00C52222"/>
    <w:rsid w:val="00C52969"/>
    <w:rsid w:val="00C529A5"/>
    <w:rsid w:val="00C52A8D"/>
    <w:rsid w:val="00C52BB3"/>
    <w:rsid w:val="00C52FD0"/>
    <w:rsid w:val="00C536BE"/>
    <w:rsid w:val="00C5377D"/>
    <w:rsid w:val="00C53895"/>
    <w:rsid w:val="00C53F3F"/>
    <w:rsid w:val="00C543FE"/>
    <w:rsid w:val="00C54A5B"/>
    <w:rsid w:val="00C55823"/>
    <w:rsid w:val="00C5637A"/>
    <w:rsid w:val="00C565F5"/>
    <w:rsid w:val="00C60746"/>
    <w:rsid w:val="00C608A7"/>
    <w:rsid w:val="00C60D93"/>
    <w:rsid w:val="00C621B3"/>
    <w:rsid w:val="00C625B3"/>
    <w:rsid w:val="00C6319D"/>
    <w:rsid w:val="00C6329A"/>
    <w:rsid w:val="00C63548"/>
    <w:rsid w:val="00C63A36"/>
    <w:rsid w:val="00C64CFB"/>
    <w:rsid w:val="00C64D21"/>
    <w:rsid w:val="00C65753"/>
    <w:rsid w:val="00C66AC2"/>
    <w:rsid w:val="00C6702E"/>
    <w:rsid w:val="00C67609"/>
    <w:rsid w:val="00C67777"/>
    <w:rsid w:val="00C678A0"/>
    <w:rsid w:val="00C678E4"/>
    <w:rsid w:val="00C67999"/>
    <w:rsid w:val="00C700C2"/>
    <w:rsid w:val="00C702F5"/>
    <w:rsid w:val="00C71987"/>
    <w:rsid w:val="00C72130"/>
    <w:rsid w:val="00C721F2"/>
    <w:rsid w:val="00C7279E"/>
    <w:rsid w:val="00C72FC8"/>
    <w:rsid w:val="00C73655"/>
    <w:rsid w:val="00C73E56"/>
    <w:rsid w:val="00C7466D"/>
    <w:rsid w:val="00C74694"/>
    <w:rsid w:val="00C7486C"/>
    <w:rsid w:val="00C74897"/>
    <w:rsid w:val="00C74C5C"/>
    <w:rsid w:val="00C7500F"/>
    <w:rsid w:val="00C75023"/>
    <w:rsid w:val="00C75356"/>
    <w:rsid w:val="00C75522"/>
    <w:rsid w:val="00C762F3"/>
    <w:rsid w:val="00C76376"/>
    <w:rsid w:val="00C76751"/>
    <w:rsid w:val="00C768E8"/>
    <w:rsid w:val="00C76C64"/>
    <w:rsid w:val="00C80406"/>
    <w:rsid w:val="00C80A0B"/>
    <w:rsid w:val="00C80AA6"/>
    <w:rsid w:val="00C81D0D"/>
    <w:rsid w:val="00C81FF5"/>
    <w:rsid w:val="00C82281"/>
    <w:rsid w:val="00C83340"/>
    <w:rsid w:val="00C834A3"/>
    <w:rsid w:val="00C835AF"/>
    <w:rsid w:val="00C838B5"/>
    <w:rsid w:val="00C838F3"/>
    <w:rsid w:val="00C83B86"/>
    <w:rsid w:val="00C83D8B"/>
    <w:rsid w:val="00C84DA0"/>
    <w:rsid w:val="00C84E1A"/>
    <w:rsid w:val="00C85459"/>
    <w:rsid w:val="00C85B84"/>
    <w:rsid w:val="00C85BD4"/>
    <w:rsid w:val="00C8640B"/>
    <w:rsid w:val="00C86F11"/>
    <w:rsid w:val="00C86F62"/>
    <w:rsid w:val="00C8707A"/>
    <w:rsid w:val="00C87325"/>
    <w:rsid w:val="00C8776F"/>
    <w:rsid w:val="00C87A11"/>
    <w:rsid w:val="00C901B0"/>
    <w:rsid w:val="00C90810"/>
    <w:rsid w:val="00C91039"/>
    <w:rsid w:val="00C91FE9"/>
    <w:rsid w:val="00C9203A"/>
    <w:rsid w:val="00C92159"/>
    <w:rsid w:val="00C9221F"/>
    <w:rsid w:val="00C92A51"/>
    <w:rsid w:val="00C92A6B"/>
    <w:rsid w:val="00C930EA"/>
    <w:rsid w:val="00C9328C"/>
    <w:rsid w:val="00C932F2"/>
    <w:rsid w:val="00C94578"/>
    <w:rsid w:val="00C9467A"/>
    <w:rsid w:val="00C947A2"/>
    <w:rsid w:val="00C94A78"/>
    <w:rsid w:val="00C953CA"/>
    <w:rsid w:val="00C959AC"/>
    <w:rsid w:val="00C96143"/>
    <w:rsid w:val="00C969A3"/>
    <w:rsid w:val="00C97FD2"/>
    <w:rsid w:val="00CA0410"/>
    <w:rsid w:val="00CA0690"/>
    <w:rsid w:val="00CA073F"/>
    <w:rsid w:val="00CA14C4"/>
    <w:rsid w:val="00CA2A9D"/>
    <w:rsid w:val="00CA2C1C"/>
    <w:rsid w:val="00CA365B"/>
    <w:rsid w:val="00CA417D"/>
    <w:rsid w:val="00CA42A3"/>
    <w:rsid w:val="00CA4474"/>
    <w:rsid w:val="00CA4941"/>
    <w:rsid w:val="00CA4F0A"/>
    <w:rsid w:val="00CA62B4"/>
    <w:rsid w:val="00CA635E"/>
    <w:rsid w:val="00CA6C1B"/>
    <w:rsid w:val="00CA6CA4"/>
    <w:rsid w:val="00CA7786"/>
    <w:rsid w:val="00CB084E"/>
    <w:rsid w:val="00CB09A2"/>
    <w:rsid w:val="00CB0A5B"/>
    <w:rsid w:val="00CB0F2F"/>
    <w:rsid w:val="00CB1C79"/>
    <w:rsid w:val="00CB1D83"/>
    <w:rsid w:val="00CB1F12"/>
    <w:rsid w:val="00CB26FE"/>
    <w:rsid w:val="00CB2A95"/>
    <w:rsid w:val="00CB2E16"/>
    <w:rsid w:val="00CB35C6"/>
    <w:rsid w:val="00CB3775"/>
    <w:rsid w:val="00CB3A68"/>
    <w:rsid w:val="00CB3DA7"/>
    <w:rsid w:val="00CB42E1"/>
    <w:rsid w:val="00CB56BF"/>
    <w:rsid w:val="00CB60A8"/>
    <w:rsid w:val="00CB6459"/>
    <w:rsid w:val="00CB6EB1"/>
    <w:rsid w:val="00CB7108"/>
    <w:rsid w:val="00CB7149"/>
    <w:rsid w:val="00CC0867"/>
    <w:rsid w:val="00CC0992"/>
    <w:rsid w:val="00CC0C0B"/>
    <w:rsid w:val="00CC114C"/>
    <w:rsid w:val="00CC153A"/>
    <w:rsid w:val="00CC1CC5"/>
    <w:rsid w:val="00CC1DE9"/>
    <w:rsid w:val="00CC21F5"/>
    <w:rsid w:val="00CC305A"/>
    <w:rsid w:val="00CC3E0F"/>
    <w:rsid w:val="00CC48F6"/>
    <w:rsid w:val="00CC4B77"/>
    <w:rsid w:val="00CC5351"/>
    <w:rsid w:val="00CC5AFC"/>
    <w:rsid w:val="00CC5FB2"/>
    <w:rsid w:val="00CC615E"/>
    <w:rsid w:val="00CC61A2"/>
    <w:rsid w:val="00CC634C"/>
    <w:rsid w:val="00CC647E"/>
    <w:rsid w:val="00CC64AF"/>
    <w:rsid w:val="00CC66D9"/>
    <w:rsid w:val="00CC6A61"/>
    <w:rsid w:val="00CC6CB3"/>
    <w:rsid w:val="00CC73EC"/>
    <w:rsid w:val="00CC7D0F"/>
    <w:rsid w:val="00CC7DBF"/>
    <w:rsid w:val="00CC7DD3"/>
    <w:rsid w:val="00CD26B0"/>
    <w:rsid w:val="00CD351B"/>
    <w:rsid w:val="00CD3615"/>
    <w:rsid w:val="00CD3B47"/>
    <w:rsid w:val="00CD46DB"/>
    <w:rsid w:val="00CD4B4C"/>
    <w:rsid w:val="00CD4E74"/>
    <w:rsid w:val="00CD4EF6"/>
    <w:rsid w:val="00CD4EFE"/>
    <w:rsid w:val="00CD5702"/>
    <w:rsid w:val="00CD5848"/>
    <w:rsid w:val="00CD5BC7"/>
    <w:rsid w:val="00CD5C3C"/>
    <w:rsid w:val="00CD6570"/>
    <w:rsid w:val="00CD68A7"/>
    <w:rsid w:val="00CD6B5E"/>
    <w:rsid w:val="00CD6F28"/>
    <w:rsid w:val="00CD7499"/>
    <w:rsid w:val="00CD758F"/>
    <w:rsid w:val="00CD772B"/>
    <w:rsid w:val="00CD7892"/>
    <w:rsid w:val="00CD7BCA"/>
    <w:rsid w:val="00CD7BE1"/>
    <w:rsid w:val="00CE286D"/>
    <w:rsid w:val="00CE2DDD"/>
    <w:rsid w:val="00CE3556"/>
    <w:rsid w:val="00CE358C"/>
    <w:rsid w:val="00CE3B41"/>
    <w:rsid w:val="00CE3DE2"/>
    <w:rsid w:val="00CE3E86"/>
    <w:rsid w:val="00CE43EF"/>
    <w:rsid w:val="00CE486B"/>
    <w:rsid w:val="00CE4901"/>
    <w:rsid w:val="00CE4CB8"/>
    <w:rsid w:val="00CE4E11"/>
    <w:rsid w:val="00CE52B3"/>
    <w:rsid w:val="00CE52E8"/>
    <w:rsid w:val="00CE5762"/>
    <w:rsid w:val="00CE60C9"/>
    <w:rsid w:val="00CE624E"/>
    <w:rsid w:val="00CE65EB"/>
    <w:rsid w:val="00CE6621"/>
    <w:rsid w:val="00CE6A91"/>
    <w:rsid w:val="00CE7089"/>
    <w:rsid w:val="00CE7357"/>
    <w:rsid w:val="00CE743E"/>
    <w:rsid w:val="00CE76E7"/>
    <w:rsid w:val="00CE783A"/>
    <w:rsid w:val="00CF0687"/>
    <w:rsid w:val="00CF07F2"/>
    <w:rsid w:val="00CF2B23"/>
    <w:rsid w:val="00CF338B"/>
    <w:rsid w:val="00CF349F"/>
    <w:rsid w:val="00CF3D6F"/>
    <w:rsid w:val="00CF4F7E"/>
    <w:rsid w:val="00CF61C5"/>
    <w:rsid w:val="00CF785A"/>
    <w:rsid w:val="00D002A2"/>
    <w:rsid w:val="00D00599"/>
    <w:rsid w:val="00D00C7A"/>
    <w:rsid w:val="00D00E4D"/>
    <w:rsid w:val="00D00EC7"/>
    <w:rsid w:val="00D00F6A"/>
    <w:rsid w:val="00D017CC"/>
    <w:rsid w:val="00D019FB"/>
    <w:rsid w:val="00D01CE1"/>
    <w:rsid w:val="00D01D65"/>
    <w:rsid w:val="00D01E01"/>
    <w:rsid w:val="00D022BF"/>
    <w:rsid w:val="00D02BA9"/>
    <w:rsid w:val="00D031C3"/>
    <w:rsid w:val="00D03641"/>
    <w:rsid w:val="00D03701"/>
    <w:rsid w:val="00D03898"/>
    <w:rsid w:val="00D045EB"/>
    <w:rsid w:val="00D04E40"/>
    <w:rsid w:val="00D0572F"/>
    <w:rsid w:val="00D058CA"/>
    <w:rsid w:val="00D05AC2"/>
    <w:rsid w:val="00D05FC6"/>
    <w:rsid w:val="00D06AED"/>
    <w:rsid w:val="00D06C58"/>
    <w:rsid w:val="00D07059"/>
    <w:rsid w:val="00D10604"/>
    <w:rsid w:val="00D106C3"/>
    <w:rsid w:val="00D10CCD"/>
    <w:rsid w:val="00D11981"/>
    <w:rsid w:val="00D12311"/>
    <w:rsid w:val="00D12632"/>
    <w:rsid w:val="00D128C4"/>
    <w:rsid w:val="00D12C5B"/>
    <w:rsid w:val="00D12CD8"/>
    <w:rsid w:val="00D12CF6"/>
    <w:rsid w:val="00D13F2A"/>
    <w:rsid w:val="00D14264"/>
    <w:rsid w:val="00D14578"/>
    <w:rsid w:val="00D146D2"/>
    <w:rsid w:val="00D14FDE"/>
    <w:rsid w:val="00D15A77"/>
    <w:rsid w:val="00D15EE7"/>
    <w:rsid w:val="00D172C8"/>
    <w:rsid w:val="00D20626"/>
    <w:rsid w:val="00D20FCA"/>
    <w:rsid w:val="00D2167B"/>
    <w:rsid w:val="00D21A19"/>
    <w:rsid w:val="00D21BE7"/>
    <w:rsid w:val="00D21F1B"/>
    <w:rsid w:val="00D22A8C"/>
    <w:rsid w:val="00D25061"/>
    <w:rsid w:val="00D25990"/>
    <w:rsid w:val="00D2696F"/>
    <w:rsid w:val="00D26FF6"/>
    <w:rsid w:val="00D27227"/>
    <w:rsid w:val="00D27BC5"/>
    <w:rsid w:val="00D308FF"/>
    <w:rsid w:val="00D31235"/>
    <w:rsid w:val="00D316B6"/>
    <w:rsid w:val="00D329FE"/>
    <w:rsid w:val="00D3330A"/>
    <w:rsid w:val="00D337CE"/>
    <w:rsid w:val="00D3397A"/>
    <w:rsid w:val="00D33A9F"/>
    <w:rsid w:val="00D33D73"/>
    <w:rsid w:val="00D340E6"/>
    <w:rsid w:val="00D341C2"/>
    <w:rsid w:val="00D343B0"/>
    <w:rsid w:val="00D349BC"/>
    <w:rsid w:val="00D34A5D"/>
    <w:rsid w:val="00D34C59"/>
    <w:rsid w:val="00D352AB"/>
    <w:rsid w:val="00D35594"/>
    <w:rsid w:val="00D363C1"/>
    <w:rsid w:val="00D36B0F"/>
    <w:rsid w:val="00D36BF3"/>
    <w:rsid w:val="00D37579"/>
    <w:rsid w:val="00D37F61"/>
    <w:rsid w:val="00D410DD"/>
    <w:rsid w:val="00D413A7"/>
    <w:rsid w:val="00D41D8D"/>
    <w:rsid w:val="00D41FFB"/>
    <w:rsid w:val="00D4210E"/>
    <w:rsid w:val="00D43E2D"/>
    <w:rsid w:val="00D43F3D"/>
    <w:rsid w:val="00D446EA"/>
    <w:rsid w:val="00D447FF"/>
    <w:rsid w:val="00D4492B"/>
    <w:rsid w:val="00D44C6C"/>
    <w:rsid w:val="00D4521F"/>
    <w:rsid w:val="00D4533C"/>
    <w:rsid w:val="00D46314"/>
    <w:rsid w:val="00D4657A"/>
    <w:rsid w:val="00D4689F"/>
    <w:rsid w:val="00D47377"/>
    <w:rsid w:val="00D47415"/>
    <w:rsid w:val="00D47950"/>
    <w:rsid w:val="00D507AE"/>
    <w:rsid w:val="00D5080F"/>
    <w:rsid w:val="00D51132"/>
    <w:rsid w:val="00D514CE"/>
    <w:rsid w:val="00D5154F"/>
    <w:rsid w:val="00D515BF"/>
    <w:rsid w:val="00D518F4"/>
    <w:rsid w:val="00D51B52"/>
    <w:rsid w:val="00D520E3"/>
    <w:rsid w:val="00D52121"/>
    <w:rsid w:val="00D5227B"/>
    <w:rsid w:val="00D52D03"/>
    <w:rsid w:val="00D53047"/>
    <w:rsid w:val="00D53A82"/>
    <w:rsid w:val="00D54093"/>
    <w:rsid w:val="00D542E3"/>
    <w:rsid w:val="00D5508C"/>
    <w:rsid w:val="00D55849"/>
    <w:rsid w:val="00D560B9"/>
    <w:rsid w:val="00D56418"/>
    <w:rsid w:val="00D56551"/>
    <w:rsid w:val="00D56677"/>
    <w:rsid w:val="00D5670B"/>
    <w:rsid w:val="00D56B52"/>
    <w:rsid w:val="00D60746"/>
    <w:rsid w:val="00D614BE"/>
    <w:rsid w:val="00D620C1"/>
    <w:rsid w:val="00D62E8A"/>
    <w:rsid w:val="00D6315D"/>
    <w:rsid w:val="00D63343"/>
    <w:rsid w:val="00D63F48"/>
    <w:rsid w:val="00D64064"/>
    <w:rsid w:val="00D64093"/>
    <w:rsid w:val="00D6453A"/>
    <w:rsid w:val="00D64700"/>
    <w:rsid w:val="00D64F7E"/>
    <w:rsid w:val="00D650BB"/>
    <w:rsid w:val="00D6761C"/>
    <w:rsid w:val="00D70CA0"/>
    <w:rsid w:val="00D71143"/>
    <w:rsid w:val="00D71D53"/>
    <w:rsid w:val="00D71FED"/>
    <w:rsid w:val="00D72062"/>
    <w:rsid w:val="00D728D2"/>
    <w:rsid w:val="00D730C7"/>
    <w:rsid w:val="00D732A6"/>
    <w:rsid w:val="00D73668"/>
    <w:rsid w:val="00D7408B"/>
    <w:rsid w:val="00D74334"/>
    <w:rsid w:val="00D74B0A"/>
    <w:rsid w:val="00D75291"/>
    <w:rsid w:val="00D761AE"/>
    <w:rsid w:val="00D76D4B"/>
    <w:rsid w:val="00D770C0"/>
    <w:rsid w:val="00D77228"/>
    <w:rsid w:val="00D778F5"/>
    <w:rsid w:val="00D8016E"/>
    <w:rsid w:val="00D80321"/>
    <w:rsid w:val="00D81347"/>
    <w:rsid w:val="00D81386"/>
    <w:rsid w:val="00D81C8D"/>
    <w:rsid w:val="00D82103"/>
    <w:rsid w:val="00D82157"/>
    <w:rsid w:val="00D831FD"/>
    <w:rsid w:val="00D8351C"/>
    <w:rsid w:val="00D8390A"/>
    <w:rsid w:val="00D846D6"/>
    <w:rsid w:val="00D84ACA"/>
    <w:rsid w:val="00D85453"/>
    <w:rsid w:val="00D857E7"/>
    <w:rsid w:val="00D859EF"/>
    <w:rsid w:val="00D85DCE"/>
    <w:rsid w:val="00D8713D"/>
    <w:rsid w:val="00D90975"/>
    <w:rsid w:val="00D90BBE"/>
    <w:rsid w:val="00D90CE5"/>
    <w:rsid w:val="00D912CF"/>
    <w:rsid w:val="00D91525"/>
    <w:rsid w:val="00D91528"/>
    <w:rsid w:val="00D92215"/>
    <w:rsid w:val="00D92265"/>
    <w:rsid w:val="00D929AD"/>
    <w:rsid w:val="00D933CE"/>
    <w:rsid w:val="00D933DA"/>
    <w:rsid w:val="00D936BF"/>
    <w:rsid w:val="00D93FB7"/>
    <w:rsid w:val="00D94302"/>
    <w:rsid w:val="00D9462F"/>
    <w:rsid w:val="00D9644F"/>
    <w:rsid w:val="00D96664"/>
    <w:rsid w:val="00D96F3C"/>
    <w:rsid w:val="00D97838"/>
    <w:rsid w:val="00D97C54"/>
    <w:rsid w:val="00D97D80"/>
    <w:rsid w:val="00D97F70"/>
    <w:rsid w:val="00DA097F"/>
    <w:rsid w:val="00DA0E5F"/>
    <w:rsid w:val="00DA1023"/>
    <w:rsid w:val="00DA1362"/>
    <w:rsid w:val="00DA1BEF"/>
    <w:rsid w:val="00DA1E73"/>
    <w:rsid w:val="00DA1EA4"/>
    <w:rsid w:val="00DA1FD4"/>
    <w:rsid w:val="00DA246D"/>
    <w:rsid w:val="00DA27B6"/>
    <w:rsid w:val="00DA2E12"/>
    <w:rsid w:val="00DA3469"/>
    <w:rsid w:val="00DA34B0"/>
    <w:rsid w:val="00DA3CC3"/>
    <w:rsid w:val="00DA41D3"/>
    <w:rsid w:val="00DA4310"/>
    <w:rsid w:val="00DA462C"/>
    <w:rsid w:val="00DA4A0D"/>
    <w:rsid w:val="00DA4D02"/>
    <w:rsid w:val="00DA52EC"/>
    <w:rsid w:val="00DA5C82"/>
    <w:rsid w:val="00DA60C2"/>
    <w:rsid w:val="00DA6F20"/>
    <w:rsid w:val="00DA78AE"/>
    <w:rsid w:val="00DA7D85"/>
    <w:rsid w:val="00DA7E60"/>
    <w:rsid w:val="00DB00CF"/>
    <w:rsid w:val="00DB05B5"/>
    <w:rsid w:val="00DB0BBE"/>
    <w:rsid w:val="00DB0C15"/>
    <w:rsid w:val="00DB27D3"/>
    <w:rsid w:val="00DB2F5C"/>
    <w:rsid w:val="00DB32B7"/>
    <w:rsid w:val="00DB3379"/>
    <w:rsid w:val="00DB3608"/>
    <w:rsid w:val="00DB385F"/>
    <w:rsid w:val="00DB3869"/>
    <w:rsid w:val="00DB3D92"/>
    <w:rsid w:val="00DB3ED2"/>
    <w:rsid w:val="00DB4603"/>
    <w:rsid w:val="00DB466C"/>
    <w:rsid w:val="00DB46BD"/>
    <w:rsid w:val="00DB6672"/>
    <w:rsid w:val="00DB6B36"/>
    <w:rsid w:val="00DB776E"/>
    <w:rsid w:val="00DB77EE"/>
    <w:rsid w:val="00DC029B"/>
    <w:rsid w:val="00DC1126"/>
    <w:rsid w:val="00DC12E6"/>
    <w:rsid w:val="00DC1638"/>
    <w:rsid w:val="00DC1B6E"/>
    <w:rsid w:val="00DC1FA8"/>
    <w:rsid w:val="00DC2161"/>
    <w:rsid w:val="00DC244B"/>
    <w:rsid w:val="00DC24B7"/>
    <w:rsid w:val="00DC25C1"/>
    <w:rsid w:val="00DC2617"/>
    <w:rsid w:val="00DC28DD"/>
    <w:rsid w:val="00DC3661"/>
    <w:rsid w:val="00DC3710"/>
    <w:rsid w:val="00DC38B7"/>
    <w:rsid w:val="00DC3B39"/>
    <w:rsid w:val="00DC5769"/>
    <w:rsid w:val="00DC5B13"/>
    <w:rsid w:val="00DC5CB6"/>
    <w:rsid w:val="00DC5CDC"/>
    <w:rsid w:val="00DC5D65"/>
    <w:rsid w:val="00DC60F4"/>
    <w:rsid w:val="00DC6171"/>
    <w:rsid w:val="00DC63AF"/>
    <w:rsid w:val="00DC73F4"/>
    <w:rsid w:val="00DC7480"/>
    <w:rsid w:val="00DC7A7D"/>
    <w:rsid w:val="00DD0942"/>
    <w:rsid w:val="00DD0A32"/>
    <w:rsid w:val="00DD1471"/>
    <w:rsid w:val="00DD288A"/>
    <w:rsid w:val="00DD2D1D"/>
    <w:rsid w:val="00DD3245"/>
    <w:rsid w:val="00DD35BB"/>
    <w:rsid w:val="00DD3B89"/>
    <w:rsid w:val="00DD3D7A"/>
    <w:rsid w:val="00DD402D"/>
    <w:rsid w:val="00DD4FE0"/>
    <w:rsid w:val="00DD5272"/>
    <w:rsid w:val="00DD63CB"/>
    <w:rsid w:val="00DD641C"/>
    <w:rsid w:val="00DD6895"/>
    <w:rsid w:val="00DD692D"/>
    <w:rsid w:val="00DD70F3"/>
    <w:rsid w:val="00DD72A7"/>
    <w:rsid w:val="00DD7B91"/>
    <w:rsid w:val="00DE04C9"/>
    <w:rsid w:val="00DE05C5"/>
    <w:rsid w:val="00DE066B"/>
    <w:rsid w:val="00DE0951"/>
    <w:rsid w:val="00DE0B76"/>
    <w:rsid w:val="00DE1769"/>
    <w:rsid w:val="00DE2124"/>
    <w:rsid w:val="00DE2301"/>
    <w:rsid w:val="00DE2B80"/>
    <w:rsid w:val="00DE33D5"/>
    <w:rsid w:val="00DE3FE5"/>
    <w:rsid w:val="00DE4A60"/>
    <w:rsid w:val="00DE55D8"/>
    <w:rsid w:val="00DE5D50"/>
    <w:rsid w:val="00DE6156"/>
    <w:rsid w:val="00DE61D8"/>
    <w:rsid w:val="00DE652E"/>
    <w:rsid w:val="00DE67F4"/>
    <w:rsid w:val="00DE698E"/>
    <w:rsid w:val="00DE7E6A"/>
    <w:rsid w:val="00DF064C"/>
    <w:rsid w:val="00DF08A9"/>
    <w:rsid w:val="00DF0AD7"/>
    <w:rsid w:val="00DF0B6F"/>
    <w:rsid w:val="00DF0C68"/>
    <w:rsid w:val="00DF1AD8"/>
    <w:rsid w:val="00DF1BC8"/>
    <w:rsid w:val="00DF2C2C"/>
    <w:rsid w:val="00DF2EF3"/>
    <w:rsid w:val="00DF3CE6"/>
    <w:rsid w:val="00DF4102"/>
    <w:rsid w:val="00DF476C"/>
    <w:rsid w:val="00DF4E71"/>
    <w:rsid w:val="00DF4EB5"/>
    <w:rsid w:val="00DF5CE8"/>
    <w:rsid w:val="00DF5E03"/>
    <w:rsid w:val="00DF5EA2"/>
    <w:rsid w:val="00DF5F72"/>
    <w:rsid w:val="00DF64EF"/>
    <w:rsid w:val="00DF6890"/>
    <w:rsid w:val="00DF6D18"/>
    <w:rsid w:val="00DF6FC2"/>
    <w:rsid w:val="00DF725B"/>
    <w:rsid w:val="00DF77FE"/>
    <w:rsid w:val="00E00E18"/>
    <w:rsid w:val="00E00F14"/>
    <w:rsid w:val="00E010AC"/>
    <w:rsid w:val="00E017E7"/>
    <w:rsid w:val="00E0194E"/>
    <w:rsid w:val="00E02113"/>
    <w:rsid w:val="00E0229E"/>
    <w:rsid w:val="00E02824"/>
    <w:rsid w:val="00E02D5D"/>
    <w:rsid w:val="00E033EE"/>
    <w:rsid w:val="00E037B5"/>
    <w:rsid w:val="00E03AD0"/>
    <w:rsid w:val="00E04B3D"/>
    <w:rsid w:val="00E05EAC"/>
    <w:rsid w:val="00E0641D"/>
    <w:rsid w:val="00E06607"/>
    <w:rsid w:val="00E066EA"/>
    <w:rsid w:val="00E06B3F"/>
    <w:rsid w:val="00E07184"/>
    <w:rsid w:val="00E0734E"/>
    <w:rsid w:val="00E106E7"/>
    <w:rsid w:val="00E10887"/>
    <w:rsid w:val="00E10F90"/>
    <w:rsid w:val="00E1103C"/>
    <w:rsid w:val="00E11491"/>
    <w:rsid w:val="00E11771"/>
    <w:rsid w:val="00E11AD7"/>
    <w:rsid w:val="00E12134"/>
    <w:rsid w:val="00E126F4"/>
    <w:rsid w:val="00E12739"/>
    <w:rsid w:val="00E1293D"/>
    <w:rsid w:val="00E1321B"/>
    <w:rsid w:val="00E14966"/>
    <w:rsid w:val="00E14CCB"/>
    <w:rsid w:val="00E15173"/>
    <w:rsid w:val="00E153FA"/>
    <w:rsid w:val="00E15A51"/>
    <w:rsid w:val="00E15B2B"/>
    <w:rsid w:val="00E16D9F"/>
    <w:rsid w:val="00E17424"/>
    <w:rsid w:val="00E207D6"/>
    <w:rsid w:val="00E20B88"/>
    <w:rsid w:val="00E210AF"/>
    <w:rsid w:val="00E211CC"/>
    <w:rsid w:val="00E22697"/>
    <w:rsid w:val="00E24070"/>
    <w:rsid w:val="00E24801"/>
    <w:rsid w:val="00E2499F"/>
    <w:rsid w:val="00E24B95"/>
    <w:rsid w:val="00E24E29"/>
    <w:rsid w:val="00E24FE0"/>
    <w:rsid w:val="00E25888"/>
    <w:rsid w:val="00E25E91"/>
    <w:rsid w:val="00E25FAC"/>
    <w:rsid w:val="00E26D01"/>
    <w:rsid w:val="00E26F69"/>
    <w:rsid w:val="00E2723D"/>
    <w:rsid w:val="00E27829"/>
    <w:rsid w:val="00E30673"/>
    <w:rsid w:val="00E31B8C"/>
    <w:rsid w:val="00E324C7"/>
    <w:rsid w:val="00E324E6"/>
    <w:rsid w:val="00E32DD8"/>
    <w:rsid w:val="00E33844"/>
    <w:rsid w:val="00E339F1"/>
    <w:rsid w:val="00E33EAB"/>
    <w:rsid w:val="00E34013"/>
    <w:rsid w:val="00E34233"/>
    <w:rsid w:val="00E3476C"/>
    <w:rsid w:val="00E373C0"/>
    <w:rsid w:val="00E3758B"/>
    <w:rsid w:val="00E3772D"/>
    <w:rsid w:val="00E37850"/>
    <w:rsid w:val="00E408C6"/>
    <w:rsid w:val="00E4093B"/>
    <w:rsid w:val="00E40BDA"/>
    <w:rsid w:val="00E418F1"/>
    <w:rsid w:val="00E42114"/>
    <w:rsid w:val="00E42FF8"/>
    <w:rsid w:val="00E432F8"/>
    <w:rsid w:val="00E43982"/>
    <w:rsid w:val="00E44001"/>
    <w:rsid w:val="00E44AFD"/>
    <w:rsid w:val="00E4530C"/>
    <w:rsid w:val="00E45A53"/>
    <w:rsid w:val="00E45BD9"/>
    <w:rsid w:val="00E4686E"/>
    <w:rsid w:val="00E46F66"/>
    <w:rsid w:val="00E470E3"/>
    <w:rsid w:val="00E47B6C"/>
    <w:rsid w:val="00E47F49"/>
    <w:rsid w:val="00E5097F"/>
    <w:rsid w:val="00E51286"/>
    <w:rsid w:val="00E51A87"/>
    <w:rsid w:val="00E5209D"/>
    <w:rsid w:val="00E524A4"/>
    <w:rsid w:val="00E52EB5"/>
    <w:rsid w:val="00E5320D"/>
    <w:rsid w:val="00E541EA"/>
    <w:rsid w:val="00E54787"/>
    <w:rsid w:val="00E549ED"/>
    <w:rsid w:val="00E55283"/>
    <w:rsid w:val="00E56472"/>
    <w:rsid w:val="00E569EC"/>
    <w:rsid w:val="00E56A26"/>
    <w:rsid w:val="00E56DB7"/>
    <w:rsid w:val="00E56DCA"/>
    <w:rsid w:val="00E56FA0"/>
    <w:rsid w:val="00E57750"/>
    <w:rsid w:val="00E57A60"/>
    <w:rsid w:val="00E60756"/>
    <w:rsid w:val="00E60860"/>
    <w:rsid w:val="00E609BA"/>
    <w:rsid w:val="00E60C14"/>
    <w:rsid w:val="00E61049"/>
    <w:rsid w:val="00E611BF"/>
    <w:rsid w:val="00E611D2"/>
    <w:rsid w:val="00E628B6"/>
    <w:rsid w:val="00E6329E"/>
    <w:rsid w:val="00E633F9"/>
    <w:rsid w:val="00E63A0C"/>
    <w:rsid w:val="00E64007"/>
    <w:rsid w:val="00E64204"/>
    <w:rsid w:val="00E642C0"/>
    <w:rsid w:val="00E64C6F"/>
    <w:rsid w:val="00E64E92"/>
    <w:rsid w:val="00E64F17"/>
    <w:rsid w:val="00E65FB8"/>
    <w:rsid w:val="00E66183"/>
    <w:rsid w:val="00E66731"/>
    <w:rsid w:val="00E67E31"/>
    <w:rsid w:val="00E702CC"/>
    <w:rsid w:val="00E7036F"/>
    <w:rsid w:val="00E70929"/>
    <w:rsid w:val="00E70ACD"/>
    <w:rsid w:val="00E717F7"/>
    <w:rsid w:val="00E71B8F"/>
    <w:rsid w:val="00E72F47"/>
    <w:rsid w:val="00E72FB0"/>
    <w:rsid w:val="00E73AD0"/>
    <w:rsid w:val="00E74354"/>
    <w:rsid w:val="00E7440A"/>
    <w:rsid w:val="00E74B6B"/>
    <w:rsid w:val="00E74DEE"/>
    <w:rsid w:val="00E75E21"/>
    <w:rsid w:val="00E76282"/>
    <w:rsid w:val="00E763CB"/>
    <w:rsid w:val="00E768AF"/>
    <w:rsid w:val="00E772C4"/>
    <w:rsid w:val="00E7764E"/>
    <w:rsid w:val="00E778FE"/>
    <w:rsid w:val="00E77BE3"/>
    <w:rsid w:val="00E77FDC"/>
    <w:rsid w:val="00E805A5"/>
    <w:rsid w:val="00E80AFC"/>
    <w:rsid w:val="00E80B8E"/>
    <w:rsid w:val="00E81726"/>
    <w:rsid w:val="00E81B68"/>
    <w:rsid w:val="00E81EC5"/>
    <w:rsid w:val="00E81F1D"/>
    <w:rsid w:val="00E823AD"/>
    <w:rsid w:val="00E823B7"/>
    <w:rsid w:val="00E830C1"/>
    <w:rsid w:val="00E83428"/>
    <w:rsid w:val="00E839E3"/>
    <w:rsid w:val="00E8462C"/>
    <w:rsid w:val="00E84F71"/>
    <w:rsid w:val="00E85529"/>
    <w:rsid w:val="00E85AEC"/>
    <w:rsid w:val="00E85CEE"/>
    <w:rsid w:val="00E85D91"/>
    <w:rsid w:val="00E863AA"/>
    <w:rsid w:val="00E868D0"/>
    <w:rsid w:val="00E877F6"/>
    <w:rsid w:val="00E87E86"/>
    <w:rsid w:val="00E900A0"/>
    <w:rsid w:val="00E900E9"/>
    <w:rsid w:val="00E900F9"/>
    <w:rsid w:val="00E9049C"/>
    <w:rsid w:val="00E90D14"/>
    <w:rsid w:val="00E917E1"/>
    <w:rsid w:val="00E91D2F"/>
    <w:rsid w:val="00E929B8"/>
    <w:rsid w:val="00E93380"/>
    <w:rsid w:val="00E935DC"/>
    <w:rsid w:val="00E93783"/>
    <w:rsid w:val="00E94DFD"/>
    <w:rsid w:val="00E95001"/>
    <w:rsid w:val="00E952A1"/>
    <w:rsid w:val="00E95603"/>
    <w:rsid w:val="00E95613"/>
    <w:rsid w:val="00E9671D"/>
    <w:rsid w:val="00E968E0"/>
    <w:rsid w:val="00E97167"/>
    <w:rsid w:val="00E977E8"/>
    <w:rsid w:val="00E97813"/>
    <w:rsid w:val="00E97AA4"/>
    <w:rsid w:val="00EA0587"/>
    <w:rsid w:val="00EA0603"/>
    <w:rsid w:val="00EA0D51"/>
    <w:rsid w:val="00EA1302"/>
    <w:rsid w:val="00EA1526"/>
    <w:rsid w:val="00EA17DE"/>
    <w:rsid w:val="00EA24F3"/>
    <w:rsid w:val="00EA266B"/>
    <w:rsid w:val="00EA33E1"/>
    <w:rsid w:val="00EA3595"/>
    <w:rsid w:val="00EA3EC5"/>
    <w:rsid w:val="00EA3F09"/>
    <w:rsid w:val="00EA434F"/>
    <w:rsid w:val="00EA4CF1"/>
    <w:rsid w:val="00EA57DA"/>
    <w:rsid w:val="00EA589A"/>
    <w:rsid w:val="00EA5905"/>
    <w:rsid w:val="00EA6115"/>
    <w:rsid w:val="00EA6298"/>
    <w:rsid w:val="00EA67BF"/>
    <w:rsid w:val="00EA72CD"/>
    <w:rsid w:val="00EA7A71"/>
    <w:rsid w:val="00EB0578"/>
    <w:rsid w:val="00EB0885"/>
    <w:rsid w:val="00EB08E9"/>
    <w:rsid w:val="00EB1098"/>
    <w:rsid w:val="00EB2D05"/>
    <w:rsid w:val="00EB2EF5"/>
    <w:rsid w:val="00EB31A8"/>
    <w:rsid w:val="00EB33D8"/>
    <w:rsid w:val="00EB350D"/>
    <w:rsid w:val="00EB4206"/>
    <w:rsid w:val="00EB4335"/>
    <w:rsid w:val="00EB43EB"/>
    <w:rsid w:val="00EB49C2"/>
    <w:rsid w:val="00EB4C85"/>
    <w:rsid w:val="00EB568C"/>
    <w:rsid w:val="00EB573D"/>
    <w:rsid w:val="00EB5F23"/>
    <w:rsid w:val="00EB626E"/>
    <w:rsid w:val="00EB69CC"/>
    <w:rsid w:val="00EB6A94"/>
    <w:rsid w:val="00EB6CEF"/>
    <w:rsid w:val="00EB7725"/>
    <w:rsid w:val="00EC1358"/>
    <w:rsid w:val="00EC1E89"/>
    <w:rsid w:val="00EC203B"/>
    <w:rsid w:val="00EC2D58"/>
    <w:rsid w:val="00EC2EA2"/>
    <w:rsid w:val="00EC441E"/>
    <w:rsid w:val="00EC486D"/>
    <w:rsid w:val="00EC49C1"/>
    <w:rsid w:val="00EC4BFE"/>
    <w:rsid w:val="00EC500D"/>
    <w:rsid w:val="00EC5203"/>
    <w:rsid w:val="00EC5583"/>
    <w:rsid w:val="00EC55C2"/>
    <w:rsid w:val="00EC5A0E"/>
    <w:rsid w:val="00EC5AD3"/>
    <w:rsid w:val="00EC62AF"/>
    <w:rsid w:val="00EC62F0"/>
    <w:rsid w:val="00EC67C5"/>
    <w:rsid w:val="00EC738D"/>
    <w:rsid w:val="00EC77F4"/>
    <w:rsid w:val="00EC7C64"/>
    <w:rsid w:val="00EC7F21"/>
    <w:rsid w:val="00ED0488"/>
    <w:rsid w:val="00ED0B67"/>
    <w:rsid w:val="00ED0CAA"/>
    <w:rsid w:val="00ED16DB"/>
    <w:rsid w:val="00ED1AB7"/>
    <w:rsid w:val="00ED2049"/>
    <w:rsid w:val="00ED2509"/>
    <w:rsid w:val="00ED353B"/>
    <w:rsid w:val="00ED4252"/>
    <w:rsid w:val="00ED4932"/>
    <w:rsid w:val="00ED4BA0"/>
    <w:rsid w:val="00ED4BC0"/>
    <w:rsid w:val="00ED526A"/>
    <w:rsid w:val="00ED663B"/>
    <w:rsid w:val="00ED6765"/>
    <w:rsid w:val="00ED763C"/>
    <w:rsid w:val="00EE015D"/>
    <w:rsid w:val="00EE042D"/>
    <w:rsid w:val="00EE042E"/>
    <w:rsid w:val="00EE1412"/>
    <w:rsid w:val="00EE1716"/>
    <w:rsid w:val="00EE181F"/>
    <w:rsid w:val="00EE1FD1"/>
    <w:rsid w:val="00EE26AC"/>
    <w:rsid w:val="00EE301F"/>
    <w:rsid w:val="00EE43DF"/>
    <w:rsid w:val="00EE4E87"/>
    <w:rsid w:val="00EE4EDE"/>
    <w:rsid w:val="00EE4FBC"/>
    <w:rsid w:val="00EE5006"/>
    <w:rsid w:val="00EE5274"/>
    <w:rsid w:val="00EE6A4B"/>
    <w:rsid w:val="00EE6C2A"/>
    <w:rsid w:val="00EE6F92"/>
    <w:rsid w:val="00EE7AC7"/>
    <w:rsid w:val="00EE7CB0"/>
    <w:rsid w:val="00EE7D0A"/>
    <w:rsid w:val="00EF0336"/>
    <w:rsid w:val="00EF092F"/>
    <w:rsid w:val="00EF0B6A"/>
    <w:rsid w:val="00EF0DCD"/>
    <w:rsid w:val="00EF112E"/>
    <w:rsid w:val="00EF1218"/>
    <w:rsid w:val="00EF14BA"/>
    <w:rsid w:val="00EF225B"/>
    <w:rsid w:val="00EF27C0"/>
    <w:rsid w:val="00EF2C5A"/>
    <w:rsid w:val="00EF313A"/>
    <w:rsid w:val="00EF32A8"/>
    <w:rsid w:val="00EF3BD4"/>
    <w:rsid w:val="00EF4595"/>
    <w:rsid w:val="00EF475C"/>
    <w:rsid w:val="00EF4A0C"/>
    <w:rsid w:val="00EF4D11"/>
    <w:rsid w:val="00EF5366"/>
    <w:rsid w:val="00EF5A4D"/>
    <w:rsid w:val="00EF5A9B"/>
    <w:rsid w:val="00EF5D63"/>
    <w:rsid w:val="00EF6CD7"/>
    <w:rsid w:val="00EF6DDE"/>
    <w:rsid w:val="00EF7242"/>
    <w:rsid w:val="00EF75D3"/>
    <w:rsid w:val="00EF77DF"/>
    <w:rsid w:val="00EF7805"/>
    <w:rsid w:val="00EF7D8A"/>
    <w:rsid w:val="00F00092"/>
    <w:rsid w:val="00F00140"/>
    <w:rsid w:val="00F00161"/>
    <w:rsid w:val="00F01570"/>
    <w:rsid w:val="00F01791"/>
    <w:rsid w:val="00F01B64"/>
    <w:rsid w:val="00F02C11"/>
    <w:rsid w:val="00F02F5F"/>
    <w:rsid w:val="00F0325A"/>
    <w:rsid w:val="00F0359B"/>
    <w:rsid w:val="00F0424C"/>
    <w:rsid w:val="00F04CED"/>
    <w:rsid w:val="00F04D4A"/>
    <w:rsid w:val="00F0564E"/>
    <w:rsid w:val="00F06085"/>
    <w:rsid w:val="00F06148"/>
    <w:rsid w:val="00F06CBB"/>
    <w:rsid w:val="00F06EA4"/>
    <w:rsid w:val="00F071E9"/>
    <w:rsid w:val="00F078FB"/>
    <w:rsid w:val="00F07E04"/>
    <w:rsid w:val="00F07E61"/>
    <w:rsid w:val="00F105AE"/>
    <w:rsid w:val="00F10653"/>
    <w:rsid w:val="00F10C02"/>
    <w:rsid w:val="00F10F77"/>
    <w:rsid w:val="00F11063"/>
    <w:rsid w:val="00F1109C"/>
    <w:rsid w:val="00F11481"/>
    <w:rsid w:val="00F11D7E"/>
    <w:rsid w:val="00F11E5F"/>
    <w:rsid w:val="00F11E80"/>
    <w:rsid w:val="00F1209B"/>
    <w:rsid w:val="00F1304A"/>
    <w:rsid w:val="00F134CA"/>
    <w:rsid w:val="00F139A1"/>
    <w:rsid w:val="00F14A19"/>
    <w:rsid w:val="00F151F9"/>
    <w:rsid w:val="00F15857"/>
    <w:rsid w:val="00F159F1"/>
    <w:rsid w:val="00F15AE0"/>
    <w:rsid w:val="00F15C6E"/>
    <w:rsid w:val="00F16529"/>
    <w:rsid w:val="00F166BD"/>
    <w:rsid w:val="00F16A39"/>
    <w:rsid w:val="00F1720A"/>
    <w:rsid w:val="00F172C0"/>
    <w:rsid w:val="00F17D12"/>
    <w:rsid w:val="00F17D35"/>
    <w:rsid w:val="00F17F0B"/>
    <w:rsid w:val="00F205EC"/>
    <w:rsid w:val="00F221AE"/>
    <w:rsid w:val="00F22A37"/>
    <w:rsid w:val="00F23338"/>
    <w:rsid w:val="00F234B9"/>
    <w:rsid w:val="00F2353D"/>
    <w:rsid w:val="00F23842"/>
    <w:rsid w:val="00F23FAF"/>
    <w:rsid w:val="00F25375"/>
    <w:rsid w:val="00F25C01"/>
    <w:rsid w:val="00F25CBF"/>
    <w:rsid w:val="00F2666B"/>
    <w:rsid w:val="00F26A8A"/>
    <w:rsid w:val="00F26B7F"/>
    <w:rsid w:val="00F26E0D"/>
    <w:rsid w:val="00F279EF"/>
    <w:rsid w:val="00F27C24"/>
    <w:rsid w:val="00F27C31"/>
    <w:rsid w:val="00F30025"/>
    <w:rsid w:val="00F306D4"/>
    <w:rsid w:val="00F30886"/>
    <w:rsid w:val="00F31038"/>
    <w:rsid w:val="00F31B05"/>
    <w:rsid w:val="00F32287"/>
    <w:rsid w:val="00F324A7"/>
    <w:rsid w:val="00F32A8A"/>
    <w:rsid w:val="00F32BFF"/>
    <w:rsid w:val="00F3393E"/>
    <w:rsid w:val="00F33C1A"/>
    <w:rsid w:val="00F33D67"/>
    <w:rsid w:val="00F33F68"/>
    <w:rsid w:val="00F343C9"/>
    <w:rsid w:val="00F344F8"/>
    <w:rsid w:val="00F349AF"/>
    <w:rsid w:val="00F352B0"/>
    <w:rsid w:val="00F35C25"/>
    <w:rsid w:val="00F3640B"/>
    <w:rsid w:val="00F36C3C"/>
    <w:rsid w:val="00F3754C"/>
    <w:rsid w:val="00F3772F"/>
    <w:rsid w:val="00F400C0"/>
    <w:rsid w:val="00F4011C"/>
    <w:rsid w:val="00F40A92"/>
    <w:rsid w:val="00F40C5C"/>
    <w:rsid w:val="00F41118"/>
    <w:rsid w:val="00F411DE"/>
    <w:rsid w:val="00F419AD"/>
    <w:rsid w:val="00F428F2"/>
    <w:rsid w:val="00F42A20"/>
    <w:rsid w:val="00F42D51"/>
    <w:rsid w:val="00F43225"/>
    <w:rsid w:val="00F43E4E"/>
    <w:rsid w:val="00F44477"/>
    <w:rsid w:val="00F444E8"/>
    <w:rsid w:val="00F44701"/>
    <w:rsid w:val="00F44723"/>
    <w:rsid w:val="00F45093"/>
    <w:rsid w:val="00F45448"/>
    <w:rsid w:val="00F45487"/>
    <w:rsid w:val="00F47393"/>
    <w:rsid w:val="00F479BC"/>
    <w:rsid w:val="00F5070F"/>
    <w:rsid w:val="00F51004"/>
    <w:rsid w:val="00F51134"/>
    <w:rsid w:val="00F5133C"/>
    <w:rsid w:val="00F513AE"/>
    <w:rsid w:val="00F5168C"/>
    <w:rsid w:val="00F519F6"/>
    <w:rsid w:val="00F52604"/>
    <w:rsid w:val="00F526E1"/>
    <w:rsid w:val="00F53802"/>
    <w:rsid w:val="00F53ADE"/>
    <w:rsid w:val="00F54325"/>
    <w:rsid w:val="00F54494"/>
    <w:rsid w:val="00F54FD2"/>
    <w:rsid w:val="00F556D9"/>
    <w:rsid w:val="00F5577A"/>
    <w:rsid w:val="00F559E2"/>
    <w:rsid w:val="00F559E3"/>
    <w:rsid w:val="00F55B37"/>
    <w:rsid w:val="00F55CAA"/>
    <w:rsid w:val="00F55E6F"/>
    <w:rsid w:val="00F56C9D"/>
    <w:rsid w:val="00F5719F"/>
    <w:rsid w:val="00F57483"/>
    <w:rsid w:val="00F60C6F"/>
    <w:rsid w:val="00F60E4C"/>
    <w:rsid w:val="00F6143D"/>
    <w:rsid w:val="00F6154B"/>
    <w:rsid w:val="00F62093"/>
    <w:rsid w:val="00F62648"/>
    <w:rsid w:val="00F627DA"/>
    <w:rsid w:val="00F64682"/>
    <w:rsid w:val="00F654F6"/>
    <w:rsid w:val="00F657B1"/>
    <w:rsid w:val="00F6604C"/>
    <w:rsid w:val="00F6635B"/>
    <w:rsid w:val="00F664FC"/>
    <w:rsid w:val="00F6690A"/>
    <w:rsid w:val="00F66990"/>
    <w:rsid w:val="00F67320"/>
    <w:rsid w:val="00F67E19"/>
    <w:rsid w:val="00F709B2"/>
    <w:rsid w:val="00F70B6B"/>
    <w:rsid w:val="00F70D4F"/>
    <w:rsid w:val="00F72517"/>
    <w:rsid w:val="00F73109"/>
    <w:rsid w:val="00F73894"/>
    <w:rsid w:val="00F738A2"/>
    <w:rsid w:val="00F73A5E"/>
    <w:rsid w:val="00F73ACC"/>
    <w:rsid w:val="00F74700"/>
    <w:rsid w:val="00F74DCF"/>
    <w:rsid w:val="00F75B21"/>
    <w:rsid w:val="00F7613A"/>
    <w:rsid w:val="00F763BB"/>
    <w:rsid w:val="00F766FD"/>
    <w:rsid w:val="00F76906"/>
    <w:rsid w:val="00F76CF1"/>
    <w:rsid w:val="00F7785D"/>
    <w:rsid w:val="00F779A9"/>
    <w:rsid w:val="00F80104"/>
    <w:rsid w:val="00F80848"/>
    <w:rsid w:val="00F80F76"/>
    <w:rsid w:val="00F813D2"/>
    <w:rsid w:val="00F818C7"/>
    <w:rsid w:val="00F81C1D"/>
    <w:rsid w:val="00F820F5"/>
    <w:rsid w:val="00F831E0"/>
    <w:rsid w:val="00F83891"/>
    <w:rsid w:val="00F83FA2"/>
    <w:rsid w:val="00F844DE"/>
    <w:rsid w:val="00F84592"/>
    <w:rsid w:val="00F84600"/>
    <w:rsid w:val="00F8473C"/>
    <w:rsid w:val="00F85385"/>
    <w:rsid w:val="00F85782"/>
    <w:rsid w:val="00F858E7"/>
    <w:rsid w:val="00F8590F"/>
    <w:rsid w:val="00F85DAA"/>
    <w:rsid w:val="00F86048"/>
    <w:rsid w:val="00F86ACA"/>
    <w:rsid w:val="00F86B1C"/>
    <w:rsid w:val="00F8753F"/>
    <w:rsid w:val="00F87563"/>
    <w:rsid w:val="00F90121"/>
    <w:rsid w:val="00F90238"/>
    <w:rsid w:val="00F902FF"/>
    <w:rsid w:val="00F90715"/>
    <w:rsid w:val="00F908AB"/>
    <w:rsid w:val="00F90F54"/>
    <w:rsid w:val="00F91592"/>
    <w:rsid w:val="00F92B73"/>
    <w:rsid w:val="00F92EAB"/>
    <w:rsid w:val="00F92FAF"/>
    <w:rsid w:val="00F93ED4"/>
    <w:rsid w:val="00F94D92"/>
    <w:rsid w:val="00F9518C"/>
    <w:rsid w:val="00F9532D"/>
    <w:rsid w:val="00F953F6"/>
    <w:rsid w:val="00F95958"/>
    <w:rsid w:val="00F95B44"/>
    <w:rsid w:val="00F95C12"/>
    <w:rsid w:val="00F964F4"/>
    <w:rsid w:val="00F96A8B"/>
    <w:rsid w:val="00F96B01"/>
    <w:rsid w:val="00F96D79"/>
    <w:rsid w:val="00F96F03"/>
    <w:rsid w:val="00F9707E"/>
    <w:rsid w:val="00F97A3A"/>
    <w:rsid w:val="00F97E67"/>
    <w:rsid w:val="00F97F26"/>
    <w:rsid w:val="00FA1A49"/>
    <w:rsid w:val="00FA1AAC"/>
    <w:rsid w:val="00FA2238"/>
    <w:rsid w:val="00FA266E"/>
    <w:rsid w:val="00FA29D5"/>
    <w:rsid w:val="00FA2A95"/>
    <w:rsid w:val="00FA3167"/>
    <w:rsid w:val="00FA337C"/>
    <w:rsid w:val="00FA34DF"/>
    <w:rsid w:val="00FA3598"/>
    <w:rsid w:val="00FA370B"/>
    <w:rsid w:val="00FA3AFB"/>
    <w:rsid w:val="00FA3B77"/>
    <w:rsid w:val="00FA3FA1"/>
    <w:rsid w:val="00FA4109"/>
    <w:rsid w:val="00FA523B"/>
    <w:rsid w:val="00FA563E"/>
    <w:rsid w:val="00FA5A81"/>
    <w:rsid w:val="00FA685A"/>
    <w:rsid w:val="00FA69E8"/>
    <w:rsid w:val="00FA6B2E"/>
    <w:rsid w:val="00FA6D0A"/>
    <w:rsid w:val="00FA7827"/>
    <w:rsid w:val="00FB0A15"/>
    <w:rsid w:val="00FB1160"/>
    <w:rsid w:val="00FB14BC"/>
    <w:rsid w:val="00FB2639"/>
    <w:rsid w:val="00FB29C2"/>
    <w:rsid w:val="00FB2AFF"/>
    <w:rsid w:val="00FB31C3"/>
    <w:rsid w:val="00FB33D4"/>
    <w:rsid w:val="00FB373C"/>
    <w:rsid w:val="00FB5182"/>
    <w:rsid w:val="00FB5667"/>
    <w:rsid w:val="00FB571F"/>
    <w:rsid w:val="00FB5DA6"/>
    <w:rsid w:val="00FB60E2"/>
    <w:rsid w:val="00FB6275"/>
    <w:rsid w:val="00FB6971"/>
    <w:rsid w:val="00FB69B7"/>
    <w:rsid w:val="00FB6DC7"/>
    <w:rsid w:val="00FC02AD"/>
    <w:rsid w:val="00FC0D90"/>
    <w:rsid w:val="00FC2019"/>
    <w:rsid w:val="00FC2137"/>
    <w:rsid w:val="00FC22AA"/>
    <w:rsid w:val="00FC248D"/>
    <w:rsid w:val="00FC2C9A"/>
    <w:rsid w:val="00FC3072"/>
    <w:rsid w:val="00FC3438"/>
    <w:rsid w:val="00FC374F"/>
    <w:rsid w:val="00FC3B38"/>
    <w:rsid w:val="00FC4BF5"/>
    <w:rsid w:val="00FC5AA3"/>
    <w:rsid w:val="00FC693C"/>
    <w:rsid w:val="00FC6CA3"/>
    <w:rsid w:val="00FC6D9F"/>
    <w:rsid w:val="00FC6E0E"/>
    <w:rsid w:val="00FC7C0E"/>
    <w:rsid w:val="00FC7EC1"/>
    <w:rsid w:val="00FC7F6C"/>
    <w:rsid w:val="00FD06D1"/>
    <w:rsid w:val="00FD0719"/>
    <w:rsid w:val="00FD0A26"/>
    <w:rsid w:val="00FD12D5"/>
    <w:rsid w:val="00FD23EF"/>
    <w:rsid w:val="00FD27AC"/>
    <w:rsid w:val="00FD2A10"/>
    <w:rsid w:val="00FD30E9"/>
    <w:rsid w:val="00FD3426"/>
    <w:rsid w:val="00FD37CD"/>
    <w:rsid w:val="00FD3B7C"/>
    <w:rsid w:val="00FD3F74"/>
    <w:rsid w:val="00FD406A"/>
    <w:rsid w:val="00FD43D0"/>
    <w:rsid w:val="00FD4722"/>
    <w:rsid w:val="00FD5287"/>
    <w:rsid w:val="00FD542E"/>
    <w:rsid w:val="00FD5D94"/>
    <w:rsid w:val="00FD63AE"/>
    <w:rsid w:val="00FD6630"/>
    <w:rsid w:val="00FD687B"/>
    <w:rsid w:val="00FD6D0F"/>
    <w:rsid w:val="00FD71C6"/>
    <w:rsid w:val="00FD7338"/>
    <w:rsid w:val="00FD74CA"/>
    <w:rsid w:val="00FE02A8"/>
    <w:rsid w:val="00FE05EB"/>
    <w:rsid w:val="00FE0A36"/>
    <w:rsid w:val="00FE1694"/>
    <w:rsid w:val="00FE1D00"/>
    <w:rsid w:val="00FE204C"/>
    <w:rsid w:val="00FE25EE"/>
    <w:rsid w:val="00FE31EB"/>
    <w:rsid w:val="00FE34F3"/>
    <w:rsid w:val="00FE3E97"/>
    <w:rsid w:val="00FE41D6"/>
    <w:rsid w:val="00FE4CE0"/>
    <w:rsid w:val="00FE4EDD"/>
    <w:rsid w:val="00FE53A2"/>
    <w:rsid w:val="00FE5A4F"/>
    <w:rsid w:val="00FE5F87"/>
    <w:rsid w:val="00FE6332"/>
    <w:rsid w:val="00FE640C"/>
    <w:rsid w:val="00FE6798"/>
    <w:rsid w:val="00FE6CE1"/>
    <w:rsid w:val="00FE77B8"/>
    <w:rsid w:val="00FE79D5"/>
    <w:rsid w:val="00FE7EB3"/>
    <w:rsid w:val="00FF01FB"/>
    <w:rsid w:val="00FF0BEC"/>
    <w:rsid w:val="00FF116B"/>
    <w:rsid w:val="00FF1AB8"/>
    <w:rsid w:val="00FF251E"/>
    <w:rsid w:val="00FF2D6D"/>
    <w:rsid w:val="00FF2E3D"/>
    <w:rsid w:val="00FF37C3"/>
    <w:rsid w:val="00FF37DE"/>
    <w:rsid w:val="00FF3BA8"/>
    <w:rsid w:val="00FF434E"/>
    <w:rsid w:val="00FF44A5"/>
    <w:rsid w:val="00FF4681"/>
    <w:rsid w:val="00FF504D"/>
    <w:rsid w:val="00FF50DF"/>
    <w:rsid w:val="00FF5154"/>
    <w:rsid w:val="00FF5686"/>
    <w:rsid w:val="00FF60FF"/>
    <w:rsid w:val="00FF6515"/>
    <w:rsid w:val="00FF6921"/>
    <w:rsid w:val="00FF76EB"/>
    <w:rsid w:val="00FF7ACC"/>
    <w:rsid w:val="00FF7B91"/>
    <w:rsid w:val="010A3AA3"/>
    <w:rsid w:val="01FC1E75"/>
    <w:rsid w:val="02985BF9"/>
    <w:rsid w:val="02DF39F5"/>
    <w:rsid w:val="03C926DB"/>
    <w:rsid w:val="03E77005"/>
    <w:rsid w:val="07C531B9"/>
    <w:rsid w:val="084D39C5"/>
    <w:rsid w:val="08E60CDD"/>
    <w:rsid w:val="091F0B7D"/>
    <w:rsid w:val="0AAC136A"/>
    <w:rsid w:val="0C59351C"/>
    <w:rsid w:val="0CDA7707"/>
    <w:rsid w:val="0DD4221A"/>
    <w:rsid w:val="0E4B1F3E"/>
    <w:rsid w:val="0F985657"/>
    <w:rsid w:val="100131FC"/>
    <w:rsid w:val="10213E7A"/>
    <w:rsid w:val="1247373D"/>
    <w:rsid w:val="1312127D"/>
    <w:rsid w:val="13BB51F3"/>
    <w:rsid w:val="13DF3855"/>
    <w:rsid w:val="14477452"/>
    <w:rsid w:val="14A93268"/>
    <w:rsid w:val="15284D87"/>
    <w:rsid w:val="156E2AB7"/>
    <w:rsid w:val="157011DD"/>
    <w:rsid w:val="16316407"/>
    <w:rsid w:val="169A3A63"/>
    <w:rsid w:val="17CF440C"/>
    <w:rsid w:val="182E4DAB"/>
    <w:rsid w:val="188350F6"/>
    <w:rsid w:val="199F52AB"/>
    <w:rsid w:val="19E91EC4"/>
    <w:rsid w:val="1B5F5177"/>
    <w:rsid w:val="1BDF39F3"/>
    <w:rsid w:val="1C0D4CD7"/>
    <w:rsid w:val="1C662D65"/>
    <w:rsid w:val="1CA87B05"/>
    <w:rsid w:val="1D521B84"/>
    <w:rsid w:val="1D9D55EB"/>
    <w:rsid w:val="1DFF77C9"/>
    <w:rsid w:val="1E8E7196"/>
    <w:rsid w:val="1ECB496D"/>
    <w:rsid w:val="2272587D"/>
    <w:rsid w:val="24001CBB"/>
    <w:rsid w:val="240B41F2"/>
    <w:rsid w:val="243E6F78"/>
    <w:rsid w:val="253B28B5"/>
    <w:rsid w:val="26341DF0"/>
    <w:rsid w:val="26C54B2C"/>
    <w:rsid w:val="270B7B32"/>
    <w:rsid w:val="27313F6F"/>
    <w:rsid w:val="27710E37"/>
    <w:rsid w:val="28BE1833"/>
    <w:rsid w:val="29C84254"/>
    <w:rsid w:val="2ABF1D23"/>
    <w:rsid w:val="2B2838DB"/>
    <w:rsid w:val="2B3758CC"/>
    <w:rsid w:val="2DD32170"/>
    <w:rsid w:val="2EF41B14"/>
    <w:rsid w:val="2F051073"/>
    <w:rsid w:val="2FC55B9D"/>
    <w:rsid w:val="30FC55EE"/>
    <w:rsid w:val="31170D51"/>
    <w:rsid w:val="325A2E23"/>
    <w:rsid w:val="34FA3BF3"/>
    <w:rsid w:val="37185A50"/>
    <w:rsid w:val="38D66725"/>
    <w:rsid w:val="38E5083F"/>
    <w:rsid w:val="39135A26"/>
    <w:rsid w:val="3ABE099E"/>
    <w:rsid w:val="3AC53FE9"/>
    <w:rsid w:val="3AD31265"/>
    <w:rsid w:val="3B787F67"/>
    <w:rsid w:val="3C1116F5"/>
    <w:rsid w:val="3C544530"/>
    <w:rsid w:val="3CAE2B9C"/>
    <w:rsid w:val="3DC47494"/>
    <w:rsid w:val="3DF92D0A"/>
    <w:rsid w:val="3F15783F"/>
    <w:rsid w:val="3F9F4324"/>
    <w:rsid w:val="41A653BC"/>
    <w:rsid w:val="422624CB"/>
    <w:rsid w:val="45572E66"/>
    <w:rsid w:val="47024B89"/>
    <w:rsid w:val="473C6461"/>
    <w:rsid w:val="4ACE1952"/>
    <w:rsid w:val="4AFF7376"/>
    <w:rsid w:val="4B045373"/>
    <w:rsid w:val="4D4253ED"/>
    <w:rsid w:val="50175CD2"/>
    <w:rsid w:val="50AF4DF3"/>
    <w:rsid w:val="513149E8"/>
    <w:rsid w:val="51701F58"/>
    <w:rsid w:val="5271679A"/>
    <w:rsid w:val="52D05A23"/>
    <w:rsid w:val="53A3458E"/>
    <w:rsid w:val="55216B22"/>
    <w:rsid w:val="5650745D"/>
    <w:rsid w:val="572D5C52"/>
    <w:rsid w:val="575E27AC"/>
    <w:rsid w:val="57995095"/>
    <w:rsid w:val="5A1A61B8"/>
    <w:rsid w:val="5A5F6A29"/>
    <w:rsid w:val="5A9157E6"/>
    <w:rsid w:val="5B7E4CCE"/>
    <w:rsid w:val="5C9047E7"/>
    <w:rsid w:val="5CA97838"/>
    <w:rsid w:val="5DFE53D6"/>
    <w:rsid w:val="60AD04DE"/>
    <w:rsid w:val="62107275"/>
    <w:rsid w:val="629F5350"/>
    <w:rsid w:val="63F62FDB"/>
    <w:rsid w:val="64936E5A"/>
    <w:rsid w:val="650879B7"/>
    <w:rsid w:val="67650AF0"/>
    <w:rsid w:val="68B7537B"/>
    <w:rsid w:val="69AA7503"/>
    <w:rsid w:val="6AD02E9D"/>
    <w:rsid w:val="6C3A4A61"/>
    <w:rsid w:val="6C551EE6"/>
    <w:rsid w:val="6CED4C1B"/>
    <w:rsid w:val="6DDA78DA"/>
    <w:rsid w:val="6EA2087C"/>
    <w:rsid w:val="6F0B6947"/>
    <w:rsid w:val="6FFD47FB"/>
    <w:rsid w:val="71A36DE5"/>
    <w:rsid w:val="72177DF2"/>
    <w:rsid w:val="734239BD"/>
    <w:rsid w:val="73E3796C"/>
    <w:rsid w:val="75B01F58"/>
    <w:rsid w:val="76974893"/>
    <w:rsid w:val="77913F84"/>
    <w:rsid w:val="7873416C"/>
    <w:rsid w:val="7A2D4AB3"/>
    <w:rsid w:val="7C68003A"/>
    <w:rsid w:val="7C9522BE"/>
    <w:rsid w:val="7DA44071"/>
    <w:rsid w:val="7DAC5273"/>
    <w:rsid w:val="7E86492D"/>
    <w:rsid w:val="7E9A331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paragraph" w:styleId="5">
    <w:name w:val="heading 5"/>
    <w:basedOn w:val="1"/>
    <w:next w:val="6"/>
    <w:qFormat/>
    <w:uiPriority w:val="0"/>
    <w:pPr>
      <w:keepNext/>
      <w:keepLines/>
      <w:numPr>
        <w:ilvl w:val="4"/>
        <w:numId w:val="1"/>
      </w:numPr>
      <w:spacing w:before="280" w:after="290" w:line="376" w:lineRule="auto"/>
      <w:outlineLvl w:val="4"/>
    </w:pPr>
    <w:rPr>
      <w:b/>
      <w:sz w:val="28"/>
    </w:rPr>
  </w:style>
  <w:style w:type="paragraph" w:styleId="7">
    <w:name w:val="heading 6"/>
    <w:basedOn w:val="1"/>
    <w:next w:val="6"/>
    <w:qFormat/>
    <w:uiPriority w:val="0"/>
    <w:pPr>
      <w:keepNext/>
      <w:keepLines/>
      <w:numPr>
        <w:ilvl w:val="5"/>
        <w:numId w:val="1"/>
      </w:numPr>
      <w:spacing w:before="240" w:after="64" w:line="320" w:lineRule="auto"/>
      <w:outlineLvl w:val="5"/>
    </w:pPr>
    <w:rPr>
      <w:rFonts w:ascii="Arial" w:hAnsi="Arial" w:eastAsia="黑体"/>
      <w:b/>
      <w:sz w:val="24"/>
    </w:rPr>
  </w:style>
  <w:style w:type="paragraph" w:styleId="8">
    <w:name w:val="heading 7"/>
    <w:basedOn w:val="1"/>
    <w:next w:val="6"/>
    <w:qFormat/>
    <w:uiPriority w:val="0"/>
    <w:pPr>
      <w:keepNext/>
      <w:keepLines/>
      <w:numPr>
        <w:ilvl w:val="6"/>
        <w:numId w:val="1"/>
      </w:numPr>
      <w:spacing w:before="240" w:after="64" w:line="320" w:lineRule="auto"/>
      <w:outlineLvl w:val="6"/>
    </w:pPr>
    <w:rPr>
      <w:b/>
      <w:sz w:val="24"/>
    </w:rPr>
  </w:style>
  <w:style w:type="paragraph" w:styleId="9">
    <w:name w:val="heading 8"/>
    <w:basedOn w:val="1"/>
    <w:next w:val="6"/>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6"/>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qFormat/>
    <w:uiPriority w:val="0"/>
  </w:style>
  <w:style w:type="table" w:default="1" w:styleId="3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1">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47"/>
    <w:qFormat/>
    <w:uiPriority w:val="0"/>
    <w:pPr>
      <w:jc w:val="left"/>
    </w:pPr>
  </w:style>
  <w:style w:type="paragraph" w:styleId="15">
    <w:name w:val="Body Text 3"/>
    <w:basedOn w:val="1"/>
    <w:qFormat/>
    <w:uiPriority w:val="0"/>
    <w:pPr>
      <w:spacing w:line="500" w:lineRule="exact"/>
    </w:pPr>
    <w:rPr>
      <w:b/>
      <w:bCs/>
      <w:sz w:val="24"/>
    </w:rPr>
  </w:style>
  <w:style w:type="paragraph" w:styleId="16">
    <w:name w:val="Body Text"/>
    <w:basedOn w:val="1"/>
    <w:qFormat/>
    <w:uiPriority w:val="0"/>
    <w:pPr>
      <w:spacing w:line="380" w:lineRule="exact"/>
    </w:pPr>
    <w:rPr>
      <w:sz w:val="24"/>
    </w:rPr>
  </w:style>
  <w:style w:type="paragraph" w:styleId="17">
    <w:name w:val="Body Text Indent"/>
    <w:basedOn w:val="1"/>
    <w:link w:val="48"/>
    <w:qFormat/>
    <w:uiPriority w:val="0"/>
    <w:pPr>
      <w:ind w:firstLine="830" w:firstLineChars="352"/>
    </w:pPr>
    <w:rPr>
      <w:rFonts w:ascii="仿宋_GB2312" w:eastAsia="仿宋_GB2312"/>
      <w:sz w:val="32"/>
      <w:szCs w:val="20"/>
    </w:rPr>
  </w:style>
  <w:style w:type="paragraph" w:styleId="18">
    <w:name w:val="List Number 3"/>
    <w:basedOn w:val="1"/>
    <w:qFormat/>
    <w:uiPriority w:val="0"/>
    <w:pPr>
      <w:numPr>
        <w:ilvl w:val="0"/>
        <w:numId w:val="2"/>
      </w:numPr>
    </w:pPr>
  </w:style>
  <w:style w:type="paragraph" w:styleId="19">
    <w:name w:val="List 2"/>
    <w:basedOn w:val="1"/>
    <w:qFormat/>
    <w:uiPriority w:val="0"/>
    <w:pPr>
      <w:ind w:left="100" w:leftChars="200" w:hanging="200" w:hangingChars="200"/>
    </w:pPr>
    <w:rPr>
      <w:sz w:val="28"/>
    </w:rPr>
  </w:style>
  <w:style w:type="paragraph" w:styleId="20">
    <w:name w:val="Plain Text"/>
    <w:basedOn w:val="1"/>
    <w:link w:val="49"/>
    <w:qFormat/>
    <w:uiPriority w:val="0"/>
    <w:rPr>
      <w:rFonts w:ascii="宋体" w:hAnsi="Courier New" w:cs="Courier New"/>
      <w:szCs w:val="21"/>
    </w:rPr>
  </w:style>
  <w:style w:type="paragraph" w:styleId="21">
    <w:name w:val="Date"/>
    <w:basedOn w:val="1"/>
    <w:next w:val="1"/>
    <w:qFormat/>
    <w:uiPriority w:val="0"/>
    <w:pPr>
      <w:ind w:left="100" w:leftChars="2500"/>
    </w:pPr>
    <w:rPr>
      <w:rFonts w:ascii="宋体" w:hAnsi="Courier New" w:cs="Courier New"/>
      <w:szCs w:val="21"/>
    </w:rPr>
  </w:style>
  <w:style w:type="paragraph" w:styleId="22">
    <w:name w:val="Body Text Indent 2"/>
    <w:basedOn w:val="1"/>
    <w:qFormat/>
    <w:uiPriority w:val="0"/>
    <w:pPr>
      <w:ind w:firstLine="630"/>
    </w:pPr>
    <w:rPr>
      <w:sz w:val="32"/>
      <w:szCs w:val="20"/>
    </w:rPr>
  </w:style>
  <w:style w:type="paragraph" w:styleId="23">
    <w:name w:val="Balloon Text"/>
    <w:basedOn w:val="1"/>
    <w:semiHidden/>
    <w:qFormat/>
    <w:uiPriority w:val="0"/>
    <w:rPr>
      <w:sz w:val="18"/>
      <w:szCs w:val="18"/>
    </w:rPr>
  </w:style>
  <w:style w:type="paragraph" w:styleId="24">
    <w:name w:val="footer"/>
    <w:basedOn w:val="1"/>
    <w:qFormat/>
    <w:uiPriority w:val="0"/>
    <w:pPr>
      <w:tabs>
        <w:tab w:val="center" w:pos="4153"/>
        <w:tab w:val="right" w:pos="8306"/>
      </w:tabs>
      <w:snapToGrid w:val="0"/>
      <w:jc w:val="left"/>
    </w:pPr>
    <w:rPr>
      <w:sz w:val="18"/>
      <w:szCs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style>
  <w:style w:type="paragraph" w:styleId="27">
    <w:name w:val="List"/>
    <w:basedOn w:val="1"/>
    <w:qFormat/>
    <w:uiPriority w:val="0"/>
    <w:pPr>
      <w:ind w:left="200" w:hanging="200" w:hangingChars="200"/>
    </w:pPr>
    <w:rPr>
      <w:sz w:val="28"/>
    </w:rPr>
  </w:style>
  <w:style w:type="paragraph" w:styleId="28">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29">
    <w:name w:val="Body Text Indent 3"/>
    <w:basedOn w:val="1"/>
    <w:qFormat/>
    <w:uiPriority w:val="0"/>
    <w:pPr>
      <w:spacing w:after="120"/>
      <w:ind w:left="420" w:leftChars="200"/>
    </w:pPr>
    <w:rPr>
      <w:sz w:val="16"/>
      <w:szCs w:val="16"/>
    </w:rPr>
  </w:style>
  <w:style w:type="paragraph" w:styleId="3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31">
    <w:name w:val="Body Text 2"/>
    <w:basedOn w:val="1"/>
    <w:qFormat/>
    <w:uiPriority w:val="0"/>
    <w:pPr>
      <w:spacing w:after="120" w:line="480" w:lineRule="auto"/>
    </w:pPr>
  </w:style>
  <w:style w:type="paragraph" w:styleId="32">
    <w:name w:val="Normal (Web)"/>
    <w:basedOn w:val="1"/>
    <w:qFormat/>
    <w:uiPriority w:val="0"/>
    <w:pPr>
      <w:widowControl/>
      <w:spacing w:before="100" w:beforeAutospacing="1" w:after="100" w:afterAutospacing="1"/>
      <w:jc w:val="left"/>
    </w:pPr>
    <w:rPr>
      <w:rFonts w:ascii="宋体" w:hAnsi="宋体"/>
      <w:kern w:val="0"/>
      <w:sz w:val="24"/>
    </w:rPr>
  </w:style>
  <w:style w:type="paragraph" w:styleId="33">
    <w:name w:val="index 1"/>
    <w:basedOn w:val="1"/>
    <w:next w:val="1"/>
    <w:semiHidden/>
    <w:qFormat/>
    <w:uiPriority w:val="0"/>
    <w:pPr>
      <w:spacing w:line="400" w:lineRule="exact"/>
      <w:ind w:firstLine="420" w:firstLineChars="200"/>
    </w:pPr>
    <w:rPr>
      <w:rFonts w:ascii="宋体" w:hAnsi="Courier New"/>
      <w:b/>
      <w:szCs w:val="20"/>
    </w:rPr>
  </w:style>
  <w:style w:type="paragraph" w:styleId="34">
    <w:name w:val="Title"/>
    <w:basedOn w:val="1"/>
    <w:next w:val="1"/>
    <w:link w:val="50"/>
    <w:qFormat/>
    <w:uiPriority w:val="0"/>
    <w:pPr>
      <w:spacing w:before="240" w:after="60"/>
      <w:jc w:val="center"/>
      <w:outlineLvl w:val="0"/>
    </w:pPr>
    <w:rPr>
      <w:rFonts w:ascii="Cambria" w:hAnsi="Cambria"/>
      <w:b/>
      <w:bCs/>
      <w:sz w:val="32"/>
      <w:szCs w:val="32"/>
    </w:rPr>
  </w:style>
  <w:style w:type="paragraph" w:styleId="35">
    <w:name w:val="annotation subject"/>
    <w:basedOn w:val="14"/>
    <w:next w:val="14"/>
    <w:link w:val="51"/>
    <w:qFormat/>
    <w:uiPriority w:val="0"/>
    <w:rPr>
      <w:b/>
      <w:bCs/>
    </w:rPr>
  </w:style>
  <w:style w:type="paragraph" w:styleId="36">
    <w:name w:val="Body Text First Indent"/>
    <w:basedOn w:val="16"/>
    <w:next w:val="28"/>
    <w:unhideWhenUsed/>
    <w:qFormat/>
    <w:uiPriority w:val="99"/>
    <w:pPr>
      <w:spacing w:beforeLines="0" w:afterLines="0"/>
      <w:ind w:firstLine="420" w:firstLineChars="100"/>
    </w:pPr>
    <w:rPr>
      <w:rFonts w:hint="default"/>
      <w:sz w:val="24"/>
    </w:rPr>
  </w:style>
  <w:style w:type="table" w:styleId="38">
    <w:name w:val="Table Grid"/>
    <w:basedOn w:val="3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0"/>
    <w:rPr>
      <w:b/>
    </w:rPr>
  </w:style>
  <w:style w:type="character" w:styleId="41">
    <w:name w:val="page number"/>
    <w:basedOn w:val="39"/>
    <w:qFormat/>
    <w:uiPriority w:val="0"/>
  </w:style>
  <w:style w:type="character" w:styleId="42">
    <w:name w:val="Emphasis"/>
    <w:qFormat/>
    <w:uiPriority w:val="0"/>
    <w:rPr>
      <w:i/>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basedOn w:val="39"/>
    <w:link w:val="3"/>
    <w:semiHidden/>
    <w:qFormat/>
    <w:uiPriority w:val="0"/>
    <w:rPr>
      <w:rFonts w:ascii="Cambria" w:hAnsi="Cambria" w:eastAsia="宋体" w:cs="Times New Roman"/>
      <w:b/>
      <w:bCs/>
      <w:kern w:val="2"/>
      <w:sz w:val="32"/>
      <w:szCs w:val="32"/>
    </w:rPr>
  </w:style>
  <w:style w:type="character" w:customStyle="1" w:styleId="47">
    <w:name w:val="批注文字 Char"/>
    <w:link w:val="14"/>
    <w:qFormat/>
    <w:uiPriority w:val="0"/>
    <w:rPr>
      <w:kern w:val="2"/>
      <w:sz w:val="21"/>
      <w:szCs w:val="24"/>
    </w:rPr>
  </w:style>
  <w:style w:type="character" w:customStyle="1" w:styleId="48">
    <w:name w:val="正文文本缩进 Char"/>
    <w:link w:val="17"/>
    <w:qFormat/>
    <w:uiPriority w:val="0"/>
    <w:rPr>
      <w:rFonts w:ascii="仿宋_GB2312" w:eastAsia="仿宋_GB2312"/>
      <w:kern w:val="2"/>
      <w:sz w:val="32"/>
    </w:rPr>
  </w:style>
  <w:style w:type="character" w:customStyle="1" w:styleId="49">
    <w:name w:val="纯文本 Char"/>
    <w:link w:val="20"/>
    <w:qFormat/>
    <w:uiPriority w:val="0"/>
    <w:rPr>
      <w:rFonts w:ascii="宋体" w:hAnsi="Courier New" w:eastAsia="宋体" w:cs="Courier New"/>
      <w:kern w:val="2"/>
      <w:sz w:val="21"/>
      <w:szCs w:val="21"/>
      <w:lang w:val="en-US" w:eastAsia="zh-CN" w:bidi="ar-SA"/>
    </w:rPr>
  </w:style>
  <w:style w:type="character" w:customStyle="1" w:styleId="50">
    <w:name w:val="标题 Char"/>
    <w:link w:val="34"/>
    <w:qFormat/>
    <w:uiPriority w:val="0"/>
    <w:rPr>
      <w:rFonts w:ascii="Cambria" w:hAnsi="Cambria" w:cs="Times New Roman"/>
      <w:b/>
      <w:bCs/>
      <w:kern w:val="2"/>
      <w:sz w:val="32"/>
      <w:szCs w:val="32"/>
    </w:rPr>
  </w:style>
  <w:style w:type="character" w:customStyle="1" w:styleId="51">
    <w:name w:val="批注主题 Char"/>
    <w:link w:val="35"/>
    <w:qFormat/>
    <w:uiPriority w:val="0"/>
    <w:rPr>
      <w:b/>
      <w:bCs/>
      <w:kern w:val="2"/>
      <w:sz w:val="21"/>
      <w:szCs w:val="24"/>
    </w:rPr>
  </w:style>
  <w:style w:type="character" w:customStyle="1" w:styleId="52">
    <w:name w:val="font21"/>
    <w:qFormat/>
    <w:uiPriority w:val="0"/>
    <w:rPr>
      <w:rFonts w:hint="default" w:ascii="Times New Roman" w:hAnsi="Times New Roman" w:cs="Times New Roman"/>
      <w:color w:val="000000"/>
      <w:sz w:val="21"/>
      <w:szCs w:val="21"/>
      <w:u w:val="none"/>
    </w:rPr>
  </w:style>
  <w:style w:type="character" w:customStyle="1" w:styleId="53">
    <w:name w:val="Comment Text Char"/>
    <w:qFormat/>
    <w:locked/>
    <w:uiPriority w:val="0"/>
    <w:rPr>
      <w:rFonts w:cs="Times New Roman"/>
      <w:kern w:val="2"/>
      <w:sz w:val="24"/>
      <w:szCs w:val="24"/>
    </w:rPr>
  </w:style>
  <w:style w:type="character" w:customStyle="1" w:styleId="54">
    <w:name w:val="普通文字 Char Char3"/>
    <w:qFormat/>
    <w:uiPriority w:val="0"/>
    <w:rPr>
      <w:rFonts w:ascii="宋体" w:hAnsi="Courier New" w:eastAsia="宋体" w:cs="Courier New"/>
      <w:kern w:val="2"/>
      <w:sz w:val="21"/>
      <w:szCs w:val="21"/>
      <w:lang w:val="en-US" w:eastAsia="zh-CN" w:bidi="ar-SA"/>
    </w:rPr>
  </w:style>
  <w:style w:type="character" w:customStyle="1" w:styleId="55">
    <w:name w:val="普通文字 Char Char2"/>
    <w:qFormat/>
    <w:uiPriority w:val="0"/>
    <w:rPr>
      <w:rFonts w:ascii="宋体" w:hAnsi="Courier New" w:eastAsia="宋体"/>
      <w:kern w:val="2"/>
      <w:sz w:val="21"/>
      <w:lang w:val="en-US" w:eastAsia="zh-CN" w:bidi="ar-SA"/>
    </w:rPr>
  </w:style>
  <w:style w:type="character" w:customStyle="1" w:styleId="56">
    <w:name w:val="1ji Char"/>
    <w:link w:val="57"/>
    <w:qFormat/>
    <w:uiPriority w:val="0"/>
    <w:rPr>
      <w:rFonts w:ascii="宋体" w:hAnsi="宋体" w:eastAsia="宋体"/>
      <w:b/>
      <w:bCs/>
      <w:kern w:val="44"/>
      <w:sz w:val="36"/>
      <w:szCs w:val="44"/>
      <w:lang w:val="en-US" w:eastAsia="zh-CN" w:bidi="ar-SA"/>
    </w:rPr>
  </w:style>
  <w:style w:type="paragraph" w:customStyle="1" w:styleId="57">
    <w:name w:val="1ji"/>
    <w:basedOn w:val="2"/>
    <w:link w:val="56"/>
    <w:qFormat/>
    <w:uiPriority w:val="0"/>
    <w:pPr>
      <w:keepLines w:val="0"/>
      <w:widowControl/>
      <w:spacing w:before="0" w:after="0" w:line="240" w:lineRule="auto"/>
      <w:jc w:val="center"/>
    </w:pPr>
    <w:rPr>
      <w:rFonts w:ascii="宋体" w:hAnsi="宋体"/>
      <w:sz w:val="36"/>
    </w:rPr>
  </w:style>
  <w:style w:type="paragraph" w:customStyle="1" w:styleId="58">
    <w:name w:val="1"/>
    <w:basedOn w:val="1"/>
    <w:next w:val="20"/>
    <w:qFormat/>
    <w:uiPriority w:val="0"/>
    <w:rPr>
      <w:rFonts w:ascii="宋体" w:hAnsi="Courier New"/>
      <w:szCs w:val="20"/>
    </w:rPr>
  </w:style>
  <w:style w:type="paragraph" w:customStyle="1" w:styleId="59">
    <w:name w:val="List Paragraph"/>
    <w:basedOn w:val="1"/>
    <w:qFormat/>
    <w:uiPriority w:val="34"/>
    <w:pPr>
      <w:widowControl/>
      <w:ind w:firstLine="420" w:firstLineChars="200"/>
      <w:jc w:val="left"/>
    </w:pPr>
    <w:rPr>
      <w:rFonts w:ascii="宋体" w:hAnsi="宋体" w:cs="宋体"/>
      <w:kern w:val="0"/>
    </w:rPr>
  </w:style>
  <w:style w:type="paragraph" w:customStyle="1" w:styleId="60">
    <w:name w:val="Char"/>
    <w:basedOn w:val="13"/>
    <w:qFormat/>
    <w:uiPriority w:val="0"/>
    <w:pPr>
      <w:widowControl/>
      <w:ind w:firstLine="454"/>
      <w:jc w:val="left"/>
    </w:pPr>
    <w:rPr>
      <w:rFonts w:ascii="Tahoma" w:hAnsi="Tahoma" w:cs="宋体"/>
      <w:kern w:val="0"/>
      <w:sz w:val="24"/>
      <w:szCs w:val="20"/>
    </w:rPr>
  </w:style>
  <w:style w:type="paragraph" w:customStyle="1" w:styleId="61">
    <w:name w:val="正文段"/>
    <w:basedOn w:val="1"/>
    <w:qFormat/>
    <w:uiPriority w:val="0"/>
    <w:pPr>
      <w:widowControl/>
      <w:snapToGrid w:val="0"/>
      <w:spacing w:after="50" w:afterLines="50"/>
      <w:ind w:firstLine="200" w:firstLineChars="200"/>
    </w:pPr>
    <w:rPr>
      <w:kern w:val="0"/>
      <w:sz w:val="24"/>
      <w:szCs w:val="20"/>
    </w:rPr>
  </w:style>
  <w:style w:type="paragraph" w:customStyle="1" w:styleId="6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63">
    <w:name w:val=" Char"/>
    <w:basedOn w:val="13"/>
    <w:qFormat/>
    <w:uiPriority w:val="0"/>
    <w:pPr>
      <w:widowControl/>
      <w:ind w:firstLine="454"/>
      <w:jc w:val="left"/>
    </w:pPr>
    <w:rPr>
      <w:rFonts w:ascii="Tahoma" w:hAnsi="Tahoma" w:cs="宋体"/>
      <w:kern w:val="0"/>
      <w:sz w:val="24"/>
      <w:szCs w:val="20"/>
    </w:rPr>
  </w:style>
  <w:style w:type="paragraph" w:customStyle="1" w:styleId="64">
    <w:name w:val="默认段落字体 Para Char Char Char Char Char Char Char Char Char1 Char Char Char Char"/>
    <w:basedOn w:val="1"/>
    <w:qFormat/>
    <w:uiPriority w:val="0"/>
    <w:rPr>
      <w:rFonts w:ascii="Tahoma" w:hAnsi="Tahoma"/>
      <w:sz w:val="24"/>
      <w:szCs w:val="20"/>
    </w:rPr>
  </w:style>
  <w:style w:type="paragraph" w:customStyle="1" w:styleId="65">
    <w:name w:val="_Style 63"/>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66">
    <w:name w:val="_Style 35"/>
    <w:basedOn w:val="13"/>
    <w:qFormat/>
    <w:uiPriority w:val="0"/>
    <w:pPr>
      <w:widowControl/>
      <w:ind w:firstLine="454"/>
      <w:jc w:val="left"/>
    </w:pPr>
  </w:style>
  <w:style w:type="paragraph" w:customStyle="1" w:styleId="67">
    <w:name w:val="列出段落1"/>
    <w:basedOn w:val="1"/>
    <w:qFormat/>
    <w:uiPriority w:val="34"/>
    <w:pPr>
      <w:spacing w:line="312" w:lineRule="auto"/>
      <w:ind w:firstLine="420" w:firstLineChars="200"/>
    </w:pPr>
  </w:style>
  <w:style w:type="character" w:customStyle="1" w:styleId="68">
    <w:name w:val="正文文本缩进 Char1"/>
    <w:qFormat/>
    <w:uiPriority w:val="0"/>
    <w:rPr>
      <w:kern w:val="2"/>
      <w:sz w:val="21"/>
      <w:szCs w:val="22"/>
    </w:rPr>
  </w:style>
  <w:style w:type="character" w:customStyle="1" w:styleId="69">
    <w:name w:val="llyf92"/>
    <w:qFormat/>
    <w:uiPriority w:val="0"/>
    <w:rPr>
      <w:sz w:val="18"/>
      <w:szCs w:val="18"/>
    </w:rPr>
  </w:style>
  <w:style w:type="character" w:customStyle="1" w:styleId="70">
    <w:name w:val="纯文本 Char2"/>
    <w:qFormat/>
    <w:uiPriority w:val="0"/>
    <w:rPr>
      <w:rFonts w:ascii="宋体" w:hAnsi="宋体" w:eastAsia="宋体" w:cs="Courier New"/>
      <w:color w:val="000000"/>
      <w:kern w:val="1"/>
      <w:sz w:val="21"/>
      <w:szCs w:val="21"/>
      <w:lang w:val="en-US" w:eastAsia="zh-CN" w:bidi="ar-SA"/>
    </w:rPr>
  </w:style>
  <w:style w:type="character" w:customStyle="1" w:styleId="71">
    <w:name w:val="p1"/>
    <w:basedOn w:val="39"/>
    <w:qFormat/>
    <w:uiPriority w:val="0"/>
  </w:style>
  <w:style w:type="paragraph" w:customStyle="1" w:styleId="72">
    <w:name w:val="_Style 70"/>
    <w:qFormat/>
    <w:uiPriority w:val="0"/>
    <w:rPr>
      <w:rFonts w:ascii="Times New Roman" w:hAnsi="Times New Roman" w:eastAsia="宋体" w:cs="Times New Roman"/>
      <w:kern w:val="2"/>
      <w:sz w:val="21"/>
      <w:szCs w:val="24"/>
      <w:lang w:val="en-US" w:eastAsia="zh-CN" w:bidi="ar-SA"/>
    </w:rPr>
  </w:style>
  <w:style w:type="paragraph" w:customStyle="1" w:styleId="73">
    <w:name w:val="表格文字"/>
    <w:basedOn w:val="17"/>
    <w:qFormat/>
    <w:uiPriority w:val="0"/>
    <w:pPr>
      <w:adjustRightInd w:val="0"/>
      <w:spacing w:line="420" w:lineRule="atLeast"/>
      <w:jc w:val="left"/>
      <w:textAlignment w:val="baseline"/>
    </w:pPr>
    <w:rPr>
      <w:kern w:val="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34932193-ad40-4b54-97b6-ce46b6512de4</errorID>
      <errorWord>（</errorWord>
      <group>L1_Format</group>
      <groupName>格式问题</groupName>
      <ability>L2_HalfPunc_CN</ability>
      <abilityName>全半角问题</abilityName>
      <candidateList>
        <item>(</item>
      </candidateList>
      <explain>文本全半角错误。</explain>
      <paraID>23D1D3DB</paraID>
      <start>0</start>
      <end>1</end>
      <status>unmodified</status>
      <modifiedWord/>
      <trackRevisions>false</trackRevisions>
    </reviewItem>
    <reviewItem>
      <errorID>f170ff39-4483-4999-b2a8-2f80c5489f75</errorID>
      <errorWord>）</errorWord>
      <group>L1_Format</group>
      <groupName>格式问题</groupName>
      <ability>L2_HalfPunc_CN</ability>
      <abilityName>全半角问题</abilityName>
      <candidateList>
        <item>)</item>
      </candidateList>
      <explain>文本全半角错误。</explain>
      <paraID>23D1D3DB</paraID>
      <start>17</start>
      <end>18</end>
      <status>unmodified</status>
      <modifiedWord/>
      <trackRevisions>false</trackRevisions>
    </reviewItem>
    <reviewItem>
      <errorID>258b684f-8c7d-49df-9986-310c155c9344</errorID>
      <errorWord>-</errorWord>
      <group>L1_Format</group>
      <groupName>格式问题</groupName>
      <ability>L2_HalfPunc_CN</ability>
      <abilityName>全半角问题</abilityName>
      <candidateList>
        <item>－</item>
      </candidateList>
      <explain>文本全半角错误。</explain>
      <paraID>3C25A47C</paraID>
      <start>29</start>
      <end>30</end>
      <status>unmodified</status>
      <modifiedWord/>
      <trackRevisions>false</trackRevisions>
    </reviewItem>
    <reviewItem>
      <errorID>8cd430ff-809f-4bd0-817e-f00f7185aefa</errorID>
      <errorWord>日至2026年</errorWord>
      <group>L1_Word</group>
      <groupName>字词问题</groupName>
      <ability>L2_Typo</ability>
      <abilityName>字词错误</abilityName>
      <candidateList>
        <item>日起至2026年</item>
      </candidateList>
      <explain/>
      <paraID>67774BE2</paraID>
      <start>12</start>
      <end>19</end>
      <status>unmodified</status>
      <modifiedWord/>
      <trackRevisions>false</trackRevisions>
    </reviewItem>
    <reviewItem>
      <errorID>cc047a90-559e-4918-bf62-c235ad2ab4a3</errorID>
      <errorWord>交纳</errorWord>
      <group>L1_Word</group>
      <groupName>字词问题</groupName>
      <ability>L2_Typo</ability>
      <abilityName>字词错误</abilityName>
      <candidateList>
        <item>缴纳</item>
      </candidateList>
      <explain>〈动〉交纳：～税款。</explain>
      <paraID>50F88928</paraID>
      <start>49</start>
      <end>51</end>
      <status>unmodified</status>
      <modifiedWord/>
      <trackRevisions>false</trackRevisions>
    </reviewItem>
    <reviewItem>
      <errorID>fdbd86b1-e7f1-4d1a-96ab-a0ae992cee49</errorID>
      <errorWord>-</errorWord>
      <group>L1_Format</group>
      <groupName>格式问题</groupName>
      <ability>L2_HalfPunc_CN</ability>
      <abilityName>全半角问题</abilityName>
      <candidateList>
        <item>－</item>
      </candidateList>
      <explain>文本全半角错误。</explain>
      <paraID>5582D3D1</paraID>
      <start>86</start>
      <end>87</end>
      <status>unmodified</status>
      <modifiedWord/>
      <trackRevisions>false</trackRevisions>
    </reviewItem>
    <reviewItem>
      <errorID>8cecc006-6bc5-4a24-90fb-85570ab22167</errorID>
      <errorWord>-</errorWord>
      <group>L1_Format</group>
      <groupName>格式问题</groupName>
      <ability>L2_HalfPunc_CN</ability>
      <abilityName>全半角问题</abilityName>
      <candidateList>
        <item>－</item>
      </candidateList>
      <explain>文本全半角错误。</explain>
      <paraID>5582D3D1</paraID>
      <start>108</start>
      <end>109</end>
      <status>unmodified</status>
      <modifiedWord/>
      <trackRevisions>false</trackRevisions>
    </reviewItem>
    <reviewItem>
      <errorID>1d372bc2-69ae-4a19-939e-7dc480f38405</errorID>
      <errorWord>-</errorWord>
      <group>L1_Format</group>
      <groupName>格式问题</groupName>
      <ability>L2_HalfPunc_CN</ability>
      <abilityName>全半角问题</abilityName>
      <candidateList>
        <item>－</item>
      </candidateList>
      <explain>文本全半角错误。</explain>
      <paraID>5582D3D1</paraID>
      <start>109</start>
      <end>110</end>
      <status>unmodified</status>
      <modifiedWord/>
      <trackRevisions>false</trackRevisions>
    </reviewItem>
    <reviewItem>
      <errorID>e218e6c3-4599-4a19-baa4-34a030d688d6</errorID>
      <errorWord>详细</errorWord>
      <group>L1_Word</group>
      <groupName>字词问题</groupName>
      <ability>L2_Typo</ability>
      <abilityName>字词错误</abilityName>
      <candidateList>
        <item>详</item>
      </candidateList>
      <explain/>
      <paraID> A5C9E3D</paraID>
      <start>12</start>
      <end>14</end>
      <status>unmodified</status>
      <modifiedWord/>
      <trackRevisions>false</trackRevisions>
    </reviewItem>
    <reviewItem>
      <errorID>f4c3f92f-1e2c-4206-99a7-009b69ca575a</errorID>
      <errorWord>，</errorWord>
      <group>L1_Word</group>
      <groupName>字词问题</groupName>
      <ability>L2_Typo</ability>
      <abilityName>字词错误</abilityName>
      <candidateList>
        <item>，使</item>
      </candidateList>
      <explain/>
      <paraID>6FF2D698</paraID>
      <start>32</start>
      <end>33</end>
      <status>unmodified</status>
      <modifiedWord/>
      <trackRevisions>false</trackRevisions>
    </reviewItem>
    <reviewItem>
      <errorID>28e89c7e-f29b-404d-b51f-73c760216b27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4F1A3DFD</paraID>
      <start>15</start>
      <end>18</end>
      <status>unmodified</status>
      <modifiedWord/>
      <trackRevisions>false</trackRevisions>
    </reviewItem>
    <reviewItem>
      <errorID>83a4e834-3e15-4aab-a008-98463bf44303</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1A051307</paraID>
      <start>47</start>
      <end>52</end>
      <status>unmodified</status>
      <modifiedWord/>
      <trackRevisions>false</trackRevisions>
    </reviewItem>
    <reviewItem>
      <errorID>9275b304-92bb-4ff8-96bf-20b7ba4f2cc3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4DD62A5F</paraID>
      <start>0</start>
      <end>2</end>
      <status>unmodified</status>
      <modifiedWord/>
      <trackRevisions>false</trackRevisions>
    </reviewItem>
    <reviewItem>
      <errorID>453d9a5c-54e3-4917-a7af-280d6b445791</errorID>
      <errorWord>(</errorWord>
      <group>L1_Format</group>
      <groupName>格式问题</groupName>
      <ability>L2_HalfPunc_CN</ability>
      <abilityName>全半角问题</abilityName>
      <candidateList>
        <item>（</item>
      </candidateList>
      <explain>文本全半角错误。</explain>
      <paraID>380A1CEC</paraID>
      <start>13</start>
      <end>14</end>
      <status>unmodified</status>
      <modifiedWord/>
      <trackRevisions>false</trackRevisions>
    </reviewItem>
    <reviewItem>
      <errorID>b80c88cc-46f2-4909-bc77-a08f57714e0b</errorID>
      <errorWord>)</errorWord>
      <group>L1_Format</group>
      <groupName>格式问题</groupName>
      <ability>L2_HalfPunc_CN</ability>
      <abilityName>全半角问题</abilityName>
      <candidateList>
        <item>）</item>
      </candidateList>
      <explain>文本全半角错误。</explain>
      <paraID>380A1CEC</paraID>
      <start>17</start>
      <end>18</end>
      <status>unmodified</status>
      <modifiedWord/>
      <trackRevisions>false</trackRevisions>
    </reviewItem>
    <reviewItem>
      <errorID>9dcf7159-3506-40bd-88b8-e138de5a69da</errorID>
      <errorWord>(</errorWord>
      <group>L1_Format</group>
      <groupName>格式问题</groupName>
      <ability>L2_HalfPunc_CN</ability>
      <abilityName>全半角问题</abilityName>
      <candidateList>
        <item>（</item>
      </candidateList>
      <explain>文本全半角错误。</explain>
      <paraID>380A1CEC</paraID>
      <start>26</start>
      <end>27</end>
      <status>unmodified</status>
      <modifiedWord/>
      <trackRevisions>false</trackRevisions>
    </reviewItem>
    <reviewItem>
      <errorID>ab45a6b1-ae28-4a16-9751-65b76d7dc565</errorID>
      <errorWord>)</errorWord>
      <group>L1_Format</group>
      <groupName>格式问题</groupName>
      <ability>L2_HalfPunc_CN</ability>
      <abilityName>全半角问题</abilityName>
      <candidateList>
        <item>）</item>
      </candidateList>
      <explain>文本全半角错误。</explain>
      <paraID>380A1CEC</paraID>
      <start>30</start>
      <end>31</end>
      <status>unmodified</status>
      <modifiedWord/>
      <trackRevisions>false</trackRevisions>
    </reviewItem>
    <reviewItem>
      <errorID>45f764fa-9bf3-4621-a4bc-dba708cdfddb</errorID>
      <errorWord>采购采购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 DCCEA78</paraID>
      <start>29</start>
      <end>31</end>
      <status>modified</status>
      <modifiedWord>采购</modifiedWord>
      <trackRevisions>false</trackRevisions>
    </reviewItem>
    <reviewItem>
      <errorID>3ea590c0-2f23-4ac2-adee-712796ccf4f4</errorID>
      <errorWord>采购采购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 DCCEA78</paraID>
      <start>34</start>
      <end>36</end>
      <status>modified</status>
      <modifiedWord>采购</modifiedWord>
      <trackRevisions>false</trackRevisions>
    </reviewItem>
    <reviewItem>
      <errorID>57e9f18c-beba-46e0-8b5c-9a0168b01bba</errorID>
      <errorWord>延长的</errorWord>
      <group>L1_Word</group>
      <groupName>字词问题</groupName>
      <ability>L2_Typo</ability>
      <abilityName>字词错误</abilityName>
      <candidateList>
        <item>延长</item>
      </candidateList>
      <explain/>
      <paraID>48B7B688</paraID>
      <start>8</start>
      <end>11</end>
      <status>unmodified</status>
      <modifiedWord/>
      <trackRevisions>false</trackRevisions>
    </reviewItem>
    <reviewItem>
      <errorID>312c4554-b7ec-44a3-b384-bca108ca21f1</errorID>
      <errorWord>(</errorWord>
      <group>L1_Format</group>
      <groupName>格式问题</groupName>
      <ability>L2_HalfPunc_CN</ability>
      <abilityName>全半角问题</abilityName>
      <candidateList>
        <item>（</item>
      </candidateList>
      <explain>文本全半角错误。</explain>
      <paraID>68A63501</paraID>
      <start>13</start>
      <end>14</end>
      <status>unmodified</status>
      <modifiedWord/>
      <trackRevisions>false</trackRevisions>
    </reviewItem>
    <reviewItem>
      <errorID>8474842c-935c-4545-aa36-fccdfa3f3134</errorID>
      <errorWord>)</errorWord>
      <group>L1_Format</group>
      <groupName>格式问题</groupName>
      <ability>L2_HalfPunc_CN</ability>
      <abilityName>全半角问题</abilityName>
      <candidateList>
        <item>）</item>
      </candidateList>
      <explain>文本全半角错误。</explain>
      <paraID>68A63501</paraID>
      <start>36</start>
      <end>37</end>
      <status>unmodified</status>
      <modifiedWord/>
      <trackRevisions>false</trackRevisions>
    </reviewItem>
    <reviewItem>
      <errorID>f25adf3e-135a-4a80-bcd5-3cf717b04f21</errorID>
      <errorWord>(</errorWord>
      <group>L1_Format</group>
      <groupName>格式问题</groupName>
      <ability>L2_HalfPunc_CN</ability>
      <abilityName>全半角问题</abilityName>
      <candidateList>
        <item>（</item>
      </candidateList>
      <explain>文本全半角错误。</explain>
      <paraID>68A63501</paraID>
      <start>46</start>
      <end>47</end>
      <status>unmodified</status>
      <modifiedWord/>
      <trackRevisions>false</trackRevisions>
    </reviewItem>
    <reviewItem>
      <errorID>e5a466bd-5180-49bf-bdc4-32c12cf08543</errorID>
      <errorWord>)</errorWord>
      <group>L1_Format</group>
      <groupName>格式问题</groupName>
      <ability>L2_HalfPunc_CN</ability>
      <abilityName>全半角问题</abilityName>
      <candidateList>
        <item>）</item>
      </candidateList>
      <explain>文本全半角错误。</explain>
      <paraID>68A63501</paraID>
      <start>62</start>
      <end>63</end>
      <status>unmodified</status>
      <modifiedWord/>
      <trackRevisions>false</trackRevisions>
    </reviewItem>
    <reviewItem>
      <errorID>4676a753-196c-41b6-ad4e-bc6c5f4d3d15</errorID>
      <errorWord>(</errorWord>
      <group>L1_Format</group>
      <groupName>格式问题</groupName>
      <ability>L2_HalfPunc_CN</ability>
      <abilityName>全半角问题</abilityName>
      <candidateList>
        <item>（</item>
      </candidateList>
      <explain>文本全半角错误。</explain>
      <paraID>1FF34DA1</paraID>
      <start>19</start>
      <end>20</end>
      <status>unmodified</status>
      <modifiedWord/>
      <trackRevisions>false</trackRevisions>
    </reviewItem>
    <reviewItem>
      <errorID>e6d15003-4c52-4b26-9668-dd2228444678</errorID>
      <errorWord>)</errorWord>
      <group>L1_Format</group>
      <groupName>格式问题</groupName>
      <ability>L2_HalfPunc_CN</ability>
      <abilityName>全半角问题</abilityName>
      <candidateList>
        <item>）</item>
      </candidateList>
      <explain>文本全半角错误。</explain>
      <paraID>1FF34DA1</paraID>
      <start>42</start>
      <end>43</end>
      <status>unmodified</status>
      <modifiedWord/>
      <trackRevisions>false</trackRevisions>
    </reviewItem>
    <reviewItem>
      <errorID>0a295dfe-61ba-458f-a148-bcef07cd6eec</errorID>
      <errorWord>(</errorWord>
      <group>L1_Format</group>
      <groupName>格式问题</groupName>
      <ability>L2_HalfPunc_CN</ability>
      <abilityName>全半角问题</abilityName>
      <candidateList>
        <item>（</item>
      </candidateList>
      <explain>文本全半角错误。</explain>
      <paraID>1FF34DA1</paraID>
      <start>52</start>
      <end>53</end>
      <status>unmodified</status>
      <modifiedWord/>
      <trackRevisions>false</trackRevisions>
    </reviewItem>
    <reviewItem>
      <errorID>56f0f05b-918d-4c90-8100-9ee5b56f86f4</errorID>
      <errorWord>)</errorWord>
      <group>L1_Format</group>
      <groupName>格式问题</groupName>
      <ability>L2_HalfPunc_CN</ability>
      <abilityName>全半角问题</abilityName>
      <candidateList>
        <item>）</item>
      </candidateList>
      <explain>文本全半角错误。</explain>
      <paraID>1FF34DA1</paraID>
      <start>68</start>
      <end>69</end>
      <status>unmodified</status>
      <modifiedWord/>
      <trackRevisions>false</trackRevisions>
    </reviewItem>
    <reviewItem>
      <errorID>95463ee6-acba-41eb-9520-5620c6326f4b</errorID>
      <errorWord>)</errorWord>
      <group>L1_Format</group>
      <groupName>格式问题</groupName>
      <ability>L2_HalfPunc_CN</ability>
      <abilityName>全半角问题</abilityName>
      <candidateList>
        <item>）</item>
      </candidateList>
      <explain>文本全半角错误。</explain>
      <paraID>77392D18</paraID>
      <start>2</start>
      <end>3</end>
      <status>unmodified</status>
      <modifiedWord/>
      <trackRevisions>false</trackRevisions>
    </reviewItem>
    <reviewItem>
      <errorID>3d08fc8c-9bc4-4ef8-845d-31e9c558759b</errorID>
      <errorWord>材料的</errorWord>
      <group>L1_Word</group>
      <groupName>字词问题</groupName>
      <ability>L2_Typo</ability>
      <abilityName>字词错误</abilityName>
      <candidateList>
        <item>材料</item>
      </candidateList>
      <explain>〈名〉❶可以直接造成成品的东西，如建筑用的砖瓦、纺织用的棉纱等：建筑～｜做一套衣服，这点～不够。❷提供著作内容的事物：他打算写一部小说，正在搜集～。❸可供参考的事实：人事～。❹比喻适于做某种事情的人才：我五音不全，不是唱歌的～。</explain>
      <paraID>2E9CF036</paraID>
      <start>43</start>
      <end>46</end>
      <status>unmodified</status>
      <modifiedWord/>
      <trackRevisions>false</trackRevisions>
    </reviewItem>
    <reviewItem>
      <errorID>1866852e-86a9-488b-bf6b-0d619e67adaf</errorID>
      <errorWord>(</errorWord>
      <group>L1_Format</group>
      <groupName>格式问题</groupName>
      <ability>L2_HalfPunc_CN</ability>
      <abilityName>全半角问题</abilityName>
      <candidateList>
        <item>（</item>
      </candidateList>
      <explain>文本全半角错误。</explain>
      <paraID>6A0FE0B7</paraID>
      <start>17</start>
      <end>18</end>
      <status>unmodified</status>
      <modifiedWord/>
      <trackRevisions>false</trackRevisions>
    </reviewItem>
    <reviewItem>
      <errorID>e4b9fe5a-148e-4faf-8890-d852e39d3816</errorID>
      <errorWord>)</errorWord>
      <group>L1_Format</group>
      <groupName>格式问题</groupName>
      <ability>L2_HalfPunc_CN</ability>
      <abilityName>全半角问题</abilityName>
      <candidateList>
        <item>）</item>
      </candidateList>
      <explain>文本全半角错误。</explain>
      <paraID>6A0FE0B7</paraID>
      <start>27</start>
      <end>28</end>
      <status>unmodified</status>
      <modifiedWord/>
      <trackRevisions>false</trackRevisions>
    </reviewItem>
    <reviewItem>
      <errorID>06ef88d0-4bbf-4967-adf9-779c679a7865</errorID>
      <errorWord>&lt;</errorWord>
      <group>L1_Format</group>
      <groupName>格式问题</groupName>
      <ability>L2_HalfPunc_CN</ability>
      <abilityName>全半角问题</abilityName>
      <candidateList>
        <item>〈</item>
      </candidateList>
      <explain>文本全半角错误。</explain>
      <paraID>5570B9DE</paraID>
      <start>38</start>
      <end>39</end>
      <status>unmodified</status>
      <modifiedWord/>
      <trackRevisions>false</trackRevisions>
    </reviewItem>
    <reviewItem>
      <errorID>4fc98d8c-c1b8-4e9e-b95f-c3ff477d1c35</errorID>
      <errorWord>&lt;</errorWord>
      <group>L1_Format</group>
      <groupName>格式问题</groupName>
      <ability>L2_HalfPunc_CN</ability>
      <abilityName>全半角问题</abilityName>
      <candidateList>
        <item>〈</item>
      </candidateList>
      <explain>文本全半角错误。</explain>
      <paraID>5AF1A64B</paraID>
      <start>38</start>
      <end>39</end>
      <status>unmodified</status>
      <modifiedWord/>
      <trackRevisions>false</trackRevisions>
    </reviewItem>
    <reviewItem>
      <errorID>e022ee44-64ac-4cb8-9385-7466cf992af6</errorID>
      <errorWord>&lt;</errorWord>
      <group>L1_Format</group>
      <groupName>格式问题</groupName>
      <ability>L2_HalfPunc_CN</ability>
      <abilityName>全半角问题</abilityName>
      <candidateList>
        <item>〈</item>
      </candidateList>
      <explain>文本全半角错误。</explain>
      <paraID>619C29AB</paraID>
      <start>27</start>
      <end>28</end>
      <status>unmodified</status>
      <modifiedWord/>
      <trackRevisions>false</trackRevisions>
    </reviewItem>
    <reviewItem>
      <errorID>3a6d6501-4e5e-4ecc-8967-ecf71f8997bc</errorID>
      <errorWord>，</errorWord>
      <group>L1_Word</group>
      <groupName>字词问题</groupName>
      <ability>L2_Typo</ability>
      <abilityName>字词错误</abilityName>
      <candidateList>
        <item>，并</item>
      </candidateList>
      <explain/>
      <paraID> 278FBF8</paraID>
      <start>66</start>
      <end>67</end>
      <status>unmodified</status>
      <modifiedWord/>
      <trackRevisions>false</trackRevisions>
    </reviewItem>
    <reviewItem>
      <errorID>befba670-1fbf-4ab4-985f-e7df6cf79dcc</errorID>
      <errorWord>送达至</errorWord>
      <group>L1_Word</group>
      <groupName>字词问题</groupName>
      <ability>L2_Typo</ability>
      <abilityName>字词错误</abilityName>
      <candidateList>
        <item>送达</item>
      </candidateList>
      <explain/>
      <paraID>75533615</paraID>
      <start>70</start>
      <end>73</end>
      <status>unmodified</status>
      <modifiedWord/>
      <trackRevisions>false</trackRevisions>
    </reviewItem>
    <reviewItem>
      <errorID>e0a4c0c3-e299-4a8e-9d2b-75d18cbefa22</errorID>
      <errorWord>会</errorWord>
      <group>L1_Word</group>
      <groupName>字词问题</groupName>
      <ability>L2_Typo</ability>
      <abilityName>字词错误</abilityName>
      <candidateList>
        <item>会议</item>
      </candidateList>
      <explain/>
      <paraID>6677B2E5</paraID>
      <start>3</start>
      <end>4</end>
      <status>unmodified</status>
      <modifiedWord/>
      <trackRevisions>false</trackRevisions>
    </reviewItem>
    <reviewItem>
      <errorID>72e6072b-b5e7-4581-ac5d-6c203dbe8f0a</errorID>
      <errorWord>,</errorWord>
      <group>L1_Format</group>
      <groupName>格式问题</groupName>
      <ability>L2_HalfPunc_CN</ability>
      <abilityName>全半角问题</abilityName>
      <candidateList>
        <item>，</item>
      </candidateList>
      <explain>文本全半角错误。</explain>
      <paraID>1AB858E3</paraID>
      <start>32</start>
      <end>33</end>
      <status>unmodified</status>
      <modifiedWord/>
      <trackRevisions>false</trackRevisions>
    </reviewItem>
    <reviewItem>
      <errorID>f4dc97a4-1b66-4037-b652-ae212a138139</errorID>
      <errorWord>需盖</errorWord>
      <group>L1_Word</group>
      <groupName>字词问题</groupName>
      <ability>L2_Typo</ability>
      <abilityName>字词错误</abilityName>
      <candidateList>
        <item>须盖</item>
      </candidateList>
      <explain/>
      <paraID>12EF2E7F</paraID>
      <start>37</start>
      <end>39</end>
      <status>unmodified</status>
      <modifiedWord/>
      <trackRevisions>false</trackRevisions>
    </reviewItem>
    <reviewItem>
      <errorID>bc649f91-3115-4089-a2cd-ebbbf38910a9</errorID>
      <errorWord>(</errorWord>
      <group>L1_Format</group>
      <groupName>格式问题</groupName>
      <ability>L2_HalfPunc_CN</ability>
      <abilityName>全半角问题</abilityName>
      <candidateList>
        <item>（</item>
      </candidateList>
      <explain>文本全半角错误。</explain>
      <paraID>1B456BC2</paraID>
      <start>62</start>
      <end>63</end>
      <status>unmodified</status>
      <modifiedWord/>
      <trackRevisions>false</trackRevisions>
    </reviewItem>
    <reviewItem>
      <errorID>ed7287ed-63d7-4e12-8d37-e1ca64b39a20</errorID>
      <errorWord>)</errorWord>
      <group>L1_Format</group>
      <groupName>格式问题</groupName>
      <ability>L2_HalfPunc_CN</ability>
      <abilityName>全半角问题</abilityName>
      <candidateList>
        <item>）</item>
      </candidateList>
      <explain>文本全半角错误。</explain>
      <paraID>1B456BC2</paraID>
      <start>66</start>
      <end>67</end>
      <status>unmodified</status>
      <modifiedWord/>
      <trackRevisions>false</trackRevisions>
    </reviewItem>
    <reviewItem>
      <errorID>2e99a496-7cfc-4e34-9448-73c8d0de3d6a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3904481B</paraID>
      <start>0</start>
      <end>3</end>
      <status>unmodified</status>
      <modifiedWord/>
      <trackRevisions>false</trackRevisions>
    </reviewItem>
    <reviewItem>
      <errorID>44e4b126-d793-4621-b379-c3fb55c92514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5CB78CDA</paraID>
      <start>0</start>
      <end>3</end>
      <status>unmodified</status>
      <modifiedWord/>
      <trackRevisions>false</trackRevisions>
    </reviewItem>
    <reviewItem>
      <errorID>6576dd60-5e85-43a2-919f-6ea829d4b64d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3BE95E38</paraID>
      <start>0</start>
      <end>3</end>
      <status>unmodified</status>
      <modifiedWord/>
      <trackRevisions>false</trackRevisions>
    </reviewItem>
    <reviewItem>
      <errorID>734b4bac-316a-4f6f-a289-3921d37f7c33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4DD5712B</paraID>
      <start>0</start>
      <end>3</end>
      <status>unmodified</status>
      <modifiedWord/>
      <trackRevisions>false</trackRevisions>
    </reviewItem>
    <reviewItem>
      <errorID>f0633731-08eb-463f-ab7b-e595657a7d00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7C0CAA5D</paraID>
      <start>0</start>
      <end>3</end>
      <status>unmodified</status>
      <modifiedWord/>
      <trackRevisions>false</trackRevisions>
    </reviewItem>
    <reviewItem>
      <errorID>254bac81-2ca9-4453-8bbf-d87746f7e7b1</errorID>
      <errorWord>做出</errorWord>
      <group>L1_Word</group>
      <groupName>字词问题</groupName>
      <ability>L2_Typo</ability>
      <abilityName>字词错误</abilityName>
      <candidateList>
        <item>作出</item>
      </candidateList>
      <explain/>
      <paraID>6C7A3168</paraID>
      <start>127</start>
      <end>129</end>
      <status>unmodified</status>
      <modifiedWord/>
      <trackRevisions>false</trackRevisions>
    </reviewItem>
    <reviewItem>
      <errorID>b364a04d-2e7a-422d-9bca-7cd182d1f970</errorID>
      <errorWord>做出</errorWord>
      <group>L1_Word</group>
      <groupName>字词问题</groupName>
      <ability>L2_Typo</ability>
      <abilityName>字词错误</abilityName>
      <candidateList>
        <item>作出</item>
      </candidateList>
      <explain/>
      <paraID>303C0160</paraID>
      <start>50</start>
      <end>52</end>
      <status>unmodified</status>
      <modifiedWord/>
      <trackRevisions>false</trackRevisions>
    </reviewItem>
    <reviewItem>
      <errorID>1258c798-ad7f-4ab8-8878-582f028ea4aa</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129DA4AA</paraID>
      <start>0</start>
      <end>8</end>
      <status>unmodified</status>
      <modifiedWord/>
      <trackRevisions>false</trackRevisions>
    </reviewItem>
    <reviewItem>
      <errorID>6afc8f0a-6a2c-4f54-ba32-43664fe57e72</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9DCB252</paraID>
      <start>0</start>
      <end>9</end>
      <status>unmodified</status>
      <modifiedWord/>
      <trackRevisions>false</trackRevisions>
    </reviewItem>
    <reviewItem>
      <errorID>d082a6e0-a458-45b9-917a-d60e5499286a</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113B0ABF</paraID>
      <start>0</start>
      <end>10</end>
      <status>unmodified</status>
      <modifiedWord/>
      <trackRevisions>false</trackRevisions>
    </reviewItem>
    <reviewItem>
      <errorID>fd62dd9e-88bc-4bca-965d-c790aa028075</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623589B1</paraID>
      <start>0</start>
      <end>4</end>
      <status>unmodified</status>
      <modifiedWord/>
      <trackRevisions>false</trackRevisions>
    </reviewItem>
    <reviewItem>
      <errorID>90fc9e1c-dc6a-4009-aada-9e00e7424b63</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4B69FFF</paraID>
      <start>0</start>
      <end>5</end>
      <status>unmodified</status>
      <modifiedWord/>
      <trackRevisions>false</trackRevisions>
    </reviewItem>
    <reviewItem>
      <errorID>b5474258-aeef-4694-9f1e-0adcc6a346b5</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5D0DBF06</paraID>
      <start>0</start>
      <end>6</end>
      <status>unmodified</status>
      <modifiedWord/>
      <trackRevisions>false</trackRevisions>
    </reviewItem>
    <reviewItem>
      <errorID>a8050e60-7183-4170-9c33-ff600e4b539e</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E7EB9B</paraID>
      <start>0</start>
      <end>7</end>
      <status>unmodified</status>
      <modifiedWord/>
      <trackRevisions>false</trackRevisions>
    </reviewItem>
    <reviewItem>
      <errorID>db5a9e42-130f-4941-9672-b44a9ae6497e</errorID>
      <errorWord>亿</errorWord>
      <group>L1_Word</group>
      <groupName>字词问题</groupName>
      <ability>L2_Typo</ability>
      <abilityName>字词错误</abilityName>
      <candidateList>
        <item>亿元</item>
      </candidateList>
      <explain/>
      <paraID>22D0E66B</paraID>
      <start>3</start>
      <end>4</end>
      <status>unmodified</status>
      <modifiedWord/>
      <trackRevisions>false</trackRevisions>
    </reviewItem>
    <reviewItem>
      <errorID>414a2dad-4ac9-404b-890c-6e35d2073d46</errorID>
      <errorWord>属</errorWord>
      <group>L1_Word</group>
      <groupName>字词问题</groupName>
      <ability>L2_Typo</ability>
      <abilityName>字词错误</abilityName>
      <candidateList>
        <item>属于</item>
      </candidateList>
      <explain/>
      <paraID>740D316D</paraID>
      <start>46</start>
      <end>47</end>
      <status>unmodified</status>
      <modifiedWord/>
      <trackRevisions>false</trackRevisions>
    </reviewItem>
    <reviewItem>
      <errorID>3ab22e4d-795c-4259-aeec-f34f01955639</errorID>
      <errorWord>0771—4915558</errorWord>
      <group>L1_Punc</group>
      <groupName>标点问题</groupName>
      <ability>L2_Punc_CN</ability>
      <abilityName>标点符号问题</abilityName>
      <candidateList>
        <item>0771-4915558</item>
      </candidateList>
      <explain>电话号码使用短横线。</explain>
      <paraID>174FF957</paraID>
      <start>7</start>
      <end>19</end>
      <status>unmodified</status>
      <modifiedWord/>
      <trackRevisions>false</trackRevisions>
    </reviewItem>
    <reviewItem>
      <errorID>4fe88a5c-eb2a-4443-afcf-dabe6fcf1c37</errorID>
      <errorWord>0771—4915558</errorWord>
      <group>L1_Punc</group>
      <groupName>标点问题</groupName>
      <ability>L2_Punc_CN</ability>
      <abilityName>标点符号问题</abilityName>
      <candidateList>
        <item>0771-4915558</item>
      </candidateList>
      <explain>电话号码使用短横线。</explain>
      <paraID>3E1BEF2F</paraID>
      <start>7</start>
      <end>19</end>
      <status>unmodified</status>
      <modifiedWord/>
      <trackRevisions>false</trackRevisions>
    </reviewItem>
    <reviewItem>
      <errorID>612c3574-dd99-46ef-a7be-7d89e9ecfe75</errorID>
      <errorWord>)</errorWord>
      <group>L1_Format</group>
      <groupName>格式问题</groupName>
      <ability>L2_HalfPunc_CN</ability>
      <abilityName>全半角问题</abilityName>
      <candidateList>
        <item>）</item>
      </candidateList>
      <explain>文本全半角错误。</explain>
      <paraID>75D6F69C</paraID>
      <start>103</start>
      <end>104</end>
      <status>unmodified</status>
      <modifiedWord/>
      <trackRevisions>false</trackRevisions>
    </reviewItem>
    <reviewItem>
      <errorID>3fd15759-4030-4be0-9fa4-5d2763d6be67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700F5D1F</paraID>
      <start>25</start>
      <end>26</end>
      <status>unmodified</status>
      <modifiedWord/>
      <trackRevisions>false</trackRevisions>
    </reviewItem>
    <reviewItem>
      <errorID>f7fba8de-8981-466d-9459-5cb175596711</errorID>
      <errorWord>(</errorWord>
      <group>L1_Format</group>
      <groupName>格式问题</groupName>
      <ability>L2_HalfPunc_CN</ability>
      <abilityName>全半角问题</abilityName>
      <candidateList>
        <item>（</item>
      </candidateList>
      <explain>文本全半角错误。</explain>
      <paraID>6D228675</paraID>
      <start>11</start>
      <end>12</end>
      <status>unmodified</status>
      <modifiedWord/>
      <trackRevisions>false</trackRevisions>
    </reviewItem>
    <reviewItem>
      <errorID>124675a0-366f-479d-94e5-11096b8fe768</errorID>
      <errorWord>)</errorWord>
      <group>L1_Format</group>
      <groupName>格式问题</groupName>
      <ability>L2_HalfPunc_CN</ability>
      <abilityName>全半角问题</abilityName>
      <candidateList>
        <item>）</item>
      </candidateList>
      <explain>文本全半角错误。</explain>
      <paraID>6D228675</paraID>
      <start>22</start>
      <end>23</end>
      <status>unmodified</status>
      <modifiedWord/>
      <trackRevisions>false</trackRevisions>
    </reviewItem>
    <reviewItem>
      <errorID>31a62420-61b3-4ff5-bd56-b46b1a5a8f62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1A4AFC12</paraID>
      <start>8</start>
      <end>9</end>
      <status>unmodified</status>
      <modifiedWord/>
      <trackRevisions>false</trackRevisions>
    </reviewItem>
    <reviewItem>
      <errorID>b495d5d7-20f0-4065-82e5-344fbd7f3cae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67511F26</paraID>
      <start>71</start>
      <end>72</end>
      <status>unmodified</status>
      <modifiedWord/>
      <trackRevisions>false</trackRevisions>
    </reviewItem>
    <reviewItem>
      <errorID>ec561c93-a73d-4167-a842-e37d711094ad</errorID>
      <errorWord>(</errorWord>
      <group>L1_Format</group>
      <groupName>格式问题</groupName>
      <ability>L2_HalfPunc_CN</ability>
      <abilityName>全半角问题</abilityName>
      <candidateList>
        <item>（</item>
      </candidateList>
      <explain>文本全半角错误。</explain>
      <paraID>47ACE09A</paraID>
      <start>8</start>
      <end>9</end>
      <status>unmodified</status>
      <modifiedWord/>
      <trackRevisions>false</trackRevisions>
    </reviewItem>
    <reviewItem>
      <errorID>bc3a3c30-c950-4d5e-890d-e69336657815</errorID>
      <errorWord>)</errorWord>
      <group>L1_Format</group>
      <groupName>格式问题</groupName>
      <ability>L2_HalfPunc_CN</ability>
      <abilityName>全半角问题</abilityName>
      <candidateList>
        <item>）</item>
      </candidateList>
      <explain>文本全半角错误。</explain>
      <paraID>47ACE09A</paraID>
      <start>19</start>
      <end>20</end>
      <status>unmodified</status>
      <modifiedWord/>
      <trackRevisions>false</trackRevisions>
    </reviewItem>
    <reviewItem>
      <errorID>43fac622-1c30-4a35-b7a6-8f8d08a6d236</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17736FFE</paraID>
      <start>335</start>
      <end>337</end>
      <status>unmodified</status>
      <modifiedWord/>
      <trackRevisions>false</trackRevisions>
    </reviewItem>
    <reviewItem>
      <errorID>6f680723-f279-45dc-8bac-09a44ba743e7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10DE2963</paraID>
      <start>0</start>
      <end>2</end>
      <status>unmodified</status>
      <modifiedWord/>
      <trackRevisions>false</trackRevisions>
    </reviewItem>
    <reviewItem>
      <errorID>540f244b-519a-4c65-8678-122ee9adf243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61573D0B</paraID>
      <start>0</start>
      <end>2</end>
      <status>unmodified</status>
      <modifiedWord/>
      <trackRevisions>false</trackRevisions>
    </reviewItem>
    <reviewItem>
      <errorID>e9cc57d8-0d2a-4bbe-92da-3b3a6899fc24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780AEE83</paraID>
      <start>0</start>
      <end>3</end>
      <status>unmodified</status>
      <modifiedWord/>
      <trackRevisions>false</trackRevisions>
    </reviewItem>
    <reviewItem>
      <errorID>b2c715ae-811e-4efa-a025-2c7539fa3b0e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5EA280A0</paraID>
      <start>0</start>
      <end>3</end>
      <status>unmodified</status>
      <modifiedWord/>
      <trackRevisions>false</trackRevisions>
    </reviewItem>
    <reviewItem>
      <errorID>6d4beba0-f56e-4c08-be9b-f077e9c88690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6A26D17E</paraID>
      <start>0</start>
      <end>3</end>
      <status>unmodified</status>
      <modifiedWord/>
      <trackRevisions>false</trackRevisions>
    </reviewItem>
    <reviewItem>
      <errorID>93047ff1-8837-439b-9ed6-74f31d71fc41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7D57DA87</paraID>
      <start>0</start>
      <end>3</end>
      <status>unmodified</status>
      <modifiedWord/>
      <trackRevisions>false</trackRevisions>
    </reviewItem>
    <reviewItem>
      <errorID>19236230-eff3-4d0c-bf2c-5aec68c57d69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28CD377B</paraID>
      <start>0</start>
      <end>3</end>
      <status>unmodified</status>
      <modifiedWord/>
      <trackRevisions>false</trackRevisions>
    </reviewItem>
    <reviewItem>
      <errorID>905aab6e-d56f-4f03-bd11-9c71f4725d3b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7171F215</paraID>
      <start>0</start>
      <end>3</end>
      <status>unmodified</status>
      <modifiedWord/>
      <trackRevisions>false</trackRevisions>
    </reviewItem>
    <reviewItem>
      <errorID>bf4f4443-e609-4fac-be43-927760ccc98b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28CC4819</paraID>
      <start>0</start>
      <end>3</end>
      <status>unmodified</status>
      <modifiedWord/>
      <trackRevisions>false</trackRevisions>
    </reviewItem>
    <reviewItem>
      <errorID>9c5abf97-7e46-42fa-9427-7933b53e6e75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528CA930</paraID>
      <start>0</start>
      <end>3</end>
      <status>unmodified</status>
      <modifiedWord/>
      <trackRevisions>false</trackRevisions>
    </reviewItem>
    <reviewItem>
      <errorID>dd808500-3a43-4ff7-8a36-040979b2745c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78504B8C</paraID>
      <start>0</start>
      <end>3</end>
      <status>unmodified</status>
      <modifiedWord/>
      <trackRevisions>false</trackRevisions>
    </reviewItem>
    <reviewItem>
      <errorID>a5150482-15b3-41d5-86da-1eda03dfe168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F5C5810</paraID>
      <start>0</start>
      <end>2</end>
      <status>unmodified</status>
      <modifiedWord/>
      <trackRevisions>false</trackRevisions>
    </reviewItem>
    <reviewItem>
      <errorID>0717e645-690c-4429-be94-0f87dad90421</errorID>
      <errorWord>钢制</errorWord>
      <group>L1_Word</group>
      <groupName>字词问题</groupName>
      <ability>L2_Typo</ability>
      <abilityName>字词错误</abilityName>
      <candidateList>
        <item>钢质</item>
      </candidateList>
      <explain/>
      <paraID>63BF3F90</paraID>
      <start>8</start>
      <end>10</end>
      <status>unmodified</status>
      <modifiedWord/>
      <trackRevisions>false</trackRevisions>
    </reviewItem>
    <reviewItem>
      <errorID>6c1ab4d3-f4c0-49f2-b2fb-689d7bc58332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63BF3F90</paraID>
      <start>86</start>
      <end>87</end>
      <status>unmodified</status>
      <modifiedWord/>
      <trackRevisions>false</trackRevisions>
    </reviewItem>
    <reviewItem>
      <errorID>923d9f51-4b71-48a1-beb4-5885357c761f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3DCFAE2E</paraID>
      <start>0</start>
      <end>2</end>
      <status>unmodified</status>
      <modifiedWord/>
      <trackRevisions>false</trackRevisions>
    </reviewItem>
    <reviewItem>
      <errorID>9e50e8e0-ab1e-4525-a0b8-8330d3238ec1</errorID>
      <errorWord>运算运算</errorWord>
      <group>L1_Word</group>
      <groupName>字词问题</groupName>
      <ability>L2_Typo</ability>
      <abilityName>字词错误</abilityName>
      <candidateList>
        <item>运算</item>
      </candidateList>
      <explain/>
      <paraID>73859FF6</paraID>
      <start>17</start>
      <end>21</end>
      <status>unmodified</status>
      <modifiedWord/>
      <trackRevisions>false</trackRevisions>
    </reviewItem>
    <reviewItem>
      <errorID>e22a140e-6f64-4228-a34c-b44243f4aa96</errorID>
      <errorWord>WIFI</errorWord>
      <group>L1_Word</group>
      <groupName>字词问题</groupName>
      <ability>L2_Typo</ability>
      <abilityName>字词错误</abilityName>
      <candidateList>
        <item>Wi-Fi</item>
      </candidateList>
      <explain/>
      <paraID>73859FF6</paraID>
      <start>127</start>
      <end>131</end>
      <status>unmodified</status>
      <modifiedWord/>
      <trackRevisions>false</trackRevisions>
    </reviewItem>
    <reviewItem>
      <errorID>aae67533-8a90-4434-84f2-19429981a8d7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7FDD447C</paraID>
      <start>0</start>
      <end>2</end>
      <status>unmodified</status>
      <modifiedWord/>
      <trackRevisions>false</trackRevisions>
    </reviewItem>
    <reviewItem>
      <errorID>977398dc-04ed-470e-b11c-db46b9f04fb6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57F78F82</paraID>
      <start>0</start>
      <end>2</end>
      <status>unmodified</status>
      <modifiedWord/>
      <trackRevisions>false</trackRevisions>
    </reviewItem>
    <reviewItem>
      <errorID>4d49d680-1b0b-4f6e-985e-24084cbe63ab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BFDBDCC</paraID>
      <start>106</start>
      <end>107</end>
      <status>unmodified</status>
      <modifiedWord/>
      <trackRevisions>false</trackRevisions>
    </reviewItem>
    <reviewItem>
      <errorID>1f727eb1-0f12-4091-b980-43bb9f7b32b4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7E3EE1CD</paraID>
      <start>118</start>
      <end>119</end>
      <status>unmodified</status>
      <modifiedWord/>
      <trackRevisions>false</trackRevisions>
    </reviewItem>
    <reviewItem>
      <errorID>c4c11bdc-a29e-4df7-bdbe-e72aa6a56d75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3CCBAA3</paraID>
      <start>68</start>
      <end>69</end>
      <status>unmodified</status>
      <modifiedWord/>
      <trackRevisions>false</trackRevisions>
    </reviewItem>
    <reviewItem>
      <errorID>50be533f-ad15-4b6b-b700-14fb519956f6</errorID>
      <errorWord>解吸</errorWord>
      <group>L1_Word</group>
      <groupName>字词问题</groupName>
      <ability>L2_Typo</ability>
      <abilityName>字词错误</abilityName>
      <candidateList>
        <item>解析</item>
      </candidateList>
      <explain/>
      <paraID>71086595</paraID>
      <start>2</start>
      <end>4</end>
      <status>unmodified</status>
      <modifiedWord/>
      <trackRevisions>false</trackRevisions>
    </reviewItem>
    <reviewItem>
      <errorID>008a6ac3-6f7f-4b2d-b396-3370a782f3f9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7CDCCE4F</paraID>
      <start>0</start>
      <end>2</end>
      <status>unmodified</status>
      <modifiedWord/>
      <trackRevisions>false</trackRevisions>
    </reviewItem>
    <reviewItem>
      <errorID>fa67c1af-c832-45fd-be5d-f6f69a7f7806</errorID>
      <errorWord>解吸</errorWord>
      <group>L1_Word</group>
      <groupName>字词问题</groupName>
      <ability>L2_Typo</ability>
      <abilityName>字词错误</abilityName>
      <candidateList>
        <item>解析</item>
      </candidateList>
      <explain/>
      <paraID>3ECC430F</paraID>
      <start>10</start>
      <end>12</end>
      <status>unmodified</status>
      <modifiedWord/>
      <trackRevisions>false</trackRevisions>
    </reviewItem>
    <reviewItem>
      <errorID>a26f9849-39af-47d7-8894-7355fd9d0daf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D0585C0</paraID>
      <start>0</start>
      <end>2</end>
      <status>unmodified</status>
      <modifiedWord/>
      <trackRevisions>false</trackRevisions>
    </reviewItem>
    <reviewItem>
      <errorID>36b75aa4-5521-48e2-9778-e1d47c0e7027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BE1755A</paraID>
      <start>0</start>
      <end>3</end>
      <status>unmodified</status>
      <modifiedWord/>
      <trackRevisions>false</trackRevisions>
    </reviewItem>
    <reviewItem>
      <errorID>b2ca18e9-4efd-43fd-b3ca-248e023f8894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35FBCC88</paraID>
      <start>0</start>
      <end>3</end>
      <status>unmodified</status>
      <modifiedWord/>
      <trackRevisions>false</trackRevisions>
    </reviewItem>
    <reviewItem>
      <errorID>5233a699-c7cc-4596-8650-0a841146a707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666A8E46</paraID>
      <start>0</start>
      <end>3</end>
      <status>unmodified</status>
      <modifiedWord/>
      <trackRevisions>false</trackRevisions>
    </reviewItem>
    <reviewItem>
      <errorID>49478900-80f8-4b41-9e4f-4860205ebf1c</errorID>
      <errorWord>解吸</errorWord>
      <group>L1_Word</group>
      <groupName>字词问题</groupName>
      <ability>L2_Typo</ability>
      <abilityName>字词错误</abilityName>
      <candidateList>
        <item>解析</item>
      </candidateList>
      <explain/>
      <paraID>666A8E46</paraID>
      <start>3</start>
      <end>5</end>
      <status>unmodified</status>
      <modifiedWord/>
      <trackRevisions>false</trackRevisions>
    </reviewItem>
    <reviewItem>
      <errorID>a4ead07c-0ac1-4236-858f-dad9a3698f82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2287BD51</paraID>
      <start>0</start>
      <end>3</end>
      <status>unmodified</status>
      <modifiedWord/>
      <trackRevisions>false</trackRevisions>
    </reviewItem>
    <reviewItem>
      <errorID>a479246e-ffda-4fa5-8716-42a43bf0a624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3B52012E</paraID>
      <start>0</start>
      <end>3</end>
      <status>unmodified</status>
      <modifiedWord/>
      <trackRevisions>false</trackRevisions>
    </reviewItem>
    <reviewItem>
      <errorID>d8d61b53-f870-4c9f-81b5-875a9493bc2e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604E2BCD</paraID>
      <start>0</start>
      <end>3</end>
      <status>unmodified</status>
      <modifiedWord/>
      <trackRevisions>false</trackRevisions>
    </reviewItem>
    <reviewItem>
      <errorID>34320c90-ff7d-4031-9d32-50d79f00223d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757C9AE0</paraID>
      <start>0</start>
      <end>3</end>
      <status>unmodified</status>
      <modifiedWord/>
      <trackRevisions>false</trackRevisions>
    </reviewItem>
    <reviewItem>
      <errorID>592d0061-562e-4185-9cc6-c2a67165281c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3F5462DA</paraID>
      <start>0</start>
      <end>3</end>
      <status>unmodified</status>
      <modifiedWord/>
      <trackRevisions>false</trackRevisions>
    </reviewItem>
    <reviewItem>
      <errorID>6f208a73-4bb4-4a3f-a39c-b548ae2d1c8c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4B7F6A8F</paraID>
      <start>0</start>
      <end>3</end>
      <status>unmodified</status>
      <modifiedWord/>
      <trackRevisions>false</trackRevisions>
    </reviewItem>
    <reviewItem>
      <errorID>d707c616-b9f2-46ed-aaf1-6e935c4ac1b2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3073ACB6</paraID>
      <start>0</start>
      <end>4</end>
      <status>unmodified</status>
      <modifiedWord/>
      <trackRevisions>false</trackRevisions>
    </reviewItem>
    <reviewItem>
      <errorID>9d45ce1d-f2f6-4941-883f-ee7719fc09d1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5DF3DAF6</paraID>
      <start>0</start>
      <end>2</end>
      <status>unmodified</status>
      <modifiedWord/>
      <trackRevisions>false</trackRevisions>
    </reviewItem>
    <reviewItem>
      <errorID>24af9680-fd2b-4a1a-b1d2-44238fc298c5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3992B64D</paraID>
      <start>0</start>
      <end>3</end>
      <status>unmodified</status>
      <modifiedWord/>
      <trackRevisions>false</trackRevisions>
    </reviewItem>
    <reviewItem>
      <errorID>ee9cbda0-f156-4669-b376-b46471037689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2078A9E</paraID>
      <start>0</start>
      <end>3</end>
      <status>unmodified</status>
      <modifiedWord/>
      <trackRevisions>false</trackRevisions>
    </reviewItem>
    <reviewItem>
      <errorID>c0d0e60c-948c-4c8b-a6f7-3783c73ff6d0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6075DDB4</paraID>
      <start>0</start>
      <end>3</end>
      <status>unmodified</status>
      <modifiedWord/>
      <trackRevisions>false</trackRevisions>
    </reviewItem>
    <reviewItem>
      <errorID>8639f8ab-c8ca-4b6b-a77d-b9976190cfdc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6F45B28E</paraID>
      <start>0</start>
      <end>3</end>
      <status>unmodified</status>
      <modifiedWord/>
      <trackRevisions>false</trackRevisions>
    </reviewItem>
    <reviewItem>
      <errorID>ddd316db-e299-4fff-bd2d-d5517bd2cec3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6A7896F3</paraID>
      <start>0</start>
      <end>3</end>
      <status>unmodified</status>
      <modifiedWord/>
      <trackRevisions>false</trackRevisions>
    </reviewItem>
    <reviewItem>
      <errorID>c6dbb3e9-f190-4732-a4f5-f630f22eca39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113D0AD3</paraID>
      <start>0</start>
      <end>3</end>
      <status>unmodified</status>
      <modifiedWord/>
      <trackRevisions>false</trackRevisions>
    </reviewItem>
    <reviewItem>
      <errorID>d2467f46-e1b7-41ea-b225-cdcb08bfeab5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17C40D4</paraID>
      <start>0</start>
      <end>3</end>
      <status>unmodified</status>
      <modifiedWord/>
      <trackRevisions>false</trackRevisions>
    </reviewItem>
    <reviewItem>
      <errorID>8df392df-c0f5-43fd-9592-3dfee63ed215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1FDA7910</paraID>
      <start>0</start>
      <end>3</end>
      <status>unmodified</status>
      <modifiedWord/>
      <trackRevisions>false</trackRevisions>
    </reviewItem>
    <reviewItem>
      <errorID>37224dd9-487f-49b9-984f-3c1961e55773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3839AAE5</paraID>
      <start>0</start>
      <end>3</end>
      <status>unmodified</status>
      <modifiedWord/>
      <trackRevisions>false</trackRevisions>
    </reviewItem>
    <reviewItem>
      <errorID>87bba693-be45-481e-bef0-12e4f05cb855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354171</paraID>
      <start>0</start>
      <end>4</end>
      <status>unmodified</status>
      <modifiedWord/>
      <trackRevisions>false</trackRevisions>
    </reviewItem>
    <reviewItem>
      <errorID>6e0e4108-7605-4af5-834e-a10c7a868977</errorID>
      <errorWord>钢制</errorWord>
      <group>L1_Word</group>
      <groupName>字词问题</groupName>
      <ability>L2_Typo</ability>
      <abilityName>字词错误</abilityName>
      <candidateList>
        <item>钢质</item>
      </candidateList>
      <explain/>
      <paraID>30217EA2</paraID>
      <start>8</start>
      <end>10</end>
      <status>unmodified</status>
      <modifiedWord/>
      <trackRevisions>false</trackRevisions>
    </reviewItem>
    <reviewItem>
      <errorID>c84f4ddf-2dc7-48f0-95c4-2afcd1619c90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30217EA2</paraID>
      <start>86</start>
      <end>87</end>
      <status>unmodified</status>
      <modifiedWord/>
      <trackRevisions>false</trackRevisions>
    </reviewItem>
    <reviewItem>
      <errorID>2b16271d-49fa-46cb-a617-165d990223aa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4DB5CFBA</paraID>
      <start>0</start>
      <end>2</end>
      <status>unmodified</status>
      <modifiedWord/>
      <trackRevisions>false</trackRevisions>
    </reviewItem>
    <reviewItem>
      <errorID>4d1a3500-b124-4d89-a7ab-caf3c2315f83</errorID>
      <errorWord>运算运算</errorWord>
      <group>L1_Word</group>
      <groupName>字词问题</groupName>
      <ability>L2_Typo</ability>
      <abilityName>字词错误</abilityName>
      <candidateList>
        <item>运算</item>
      </candidateList>
      <explain/>
      <paraID>49A4A7EE</paraID>
      <start>17</start>
      <end>21</end>
      <status>unmodified</status>
      <modifiedWord/>
      <trackRevisions>false</trackRevisions>
    </reviewItem>
    <reviewItem>
      <errorID>4025fa38-60b8-4fbb-860c-70ec317c0f01</errorID>
      <errorWord>WIFI</errorWord>
      <group>L1_Word</group>
      <groupName>字词问题</groupName>
      <ability>L2_Typo</ability>
      <abilityName>字词错误</abilityName>
      <candidateList>
        <item>Wi-Fi</item>
      </candidateList>
      <explain/>
      <paraID>49A4A7EE</paraID>
      <start>127</start>
      <end>131</end>
      <status>unmodified</status>
      <modifiedWord/>
      <trackRevisions>false</trackRevisions>
    </reviewItem>
    <reviewItem>
      <errorID>24053818-f986-4a08-863d-56b8ec165aca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619F5AA1</paraID>
      <start>0</start>
      <end>2</end>
      <status>unmodified</status>
      <modifiedWord/>
      <trackRevisions>false</trackRevisions>
    </reviewItem>
    <reviewItem>
      <errorID>cd21e8ad-1f36-498f-89b5-3021fad1dba5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6B7CEDB3</paraID>
      <start>0</start>
      <end>2</end>
      <status>unmodified</status>
      <modifiedWord/>
      <trackRevisions>false</trackRevisions>
    </reviewItem>
    <reviewItem>
      <errorID>1e94f5f0-4d63-4e8d-86b6-e97d3b72f824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2548559F</paraID>
      <start>63</start>
      <end>64</end>
      <status>unmodified</status>
      <modifiedWord/>
      <trackRevisions>false</trackRevisions>
    </reviewItem>
    <reviewItem>
      <errorID>24d36e84-05a8-49a1-8e40-61bdbc53d5ae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1ECEE71D</paraID>
      <start>118</start>
      <end>119</end>
      <status>unmodified</status>
      <modifiedWord/>
      <trackRevisions>false</trackRevisions>
    </reviewItem>
    <reviewItem>
      <errorID>3b2a59a1-6c53-40d1-847c-81b1a73cb639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44B018A2</paraID>
      <start>68</start>
      <end>69</end>
      <status>unmodified</status>
      <modifiedWord/>
      <trackRevisions>false</trackRevisions>
    </reviewItem>
    <reviewItem>
      <errorID>4a3abed5-abbb-4860-a66a-fdafb86efcb7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7A323283</paraID>
      <start>0</start>
      <end>2</end>
      <status>unmodified</status>
      <modifiedWord/>
      <trackRevisions>false</trackRevisions>
    </reviewItem>
    <reviewItem>
      <errorID>18503897-640e-4230-9d0e-90977b839e7e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5A7623C8</paraID>
      <start>0</start>
      <end>2</end>
      <status>unmodified</status>
      <modifiedWord/>
      <trackRevisions>false</trackRevisions>
    </reviewItem>
    <reviewItem>
      <errorID>802c0539-f0ca-473a-b90d-fb703f938627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1780203E</paraID>
      <start>20</start>
      <end>21</end>
      <status>unmodified</status>
      <modifiedWord/>
      <trackRevisions>false</trackRevisions>
    </reviewItem>
    <reviewItem>
      <errorID>e348fb2f-0676-433f-ad05-8bfb80a30081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6FA4CDD</paraID>
      <start>0</start>
      <end>2</end>
      <status>unmodified</status>
      <modifiedWord/>
      <trackRevisions>false</trackRevisions>
    </reviewItem>
    <reviewItem>
      <errorID>7fec7d09-8137-4415-bd4e-d649d949eed5</errorID>
      <errorWord>钢制</errorWord>
      <group>L1_Word</group>
      <groupName>字词问题</groupName>
      <ability>L2_Typo</ability>
      <abilityName>字词错误</abilityName>
      <candidateList>
        <item>钢质</item>
      </candidateList>
      <explain/>
      <paraID> 3AED148</paraID>
      <start>8</start>
      <end>10</end>
      <status>unmodified</status>
      <modifiedWord/>
      <trackRevisions>false</trackRevisions>
    </reviewItem>
    <reviewItem>
      <errorID>6367a343-af55-4036-b9e1-accd18a21fec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3AED148</paraID>
      <start>86</start>
      <end>87</end>
      <status>unmodified</status>
      <modifiedWord/>
      <trackRevisions>false</trackRevisions>
    </reviewItem>
    <reviewItem>
      <errorID>47381c1b-7fc7-43fa-a2eb-10e5acf4c1ea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22954B0</paraID>
      <start>0</start>
      <end>2</end>
      <status>unmodified</status>
      <modifiedWord/>
      <trackRevisions>false</trackRevisions>
    </reviewItem>
    <reviewItem>
      <errorID>c10661a3-613e-4652-bcb5-2e6e5fdeb20e</errorID>
      <errorWord>运算运算</errorWord>
      <group>L1_Word</group>
      <groupName>字词问题</groupName>
      <ability>L2_Typo</ability>
      <abilityName>字词错误</abilityName>
      <candidateList>
        <item>运算</item>
      </candidateList>
      <explain/>
      <paraID>24745D0D</paraID>
      <start>17</start>
      <end>21</end>
      <status>unmodified</status>
      <modifiedWord/>
      <trackRevisions>false</trackRevisions>
    </reviewItem>
    <reviewItem>
      <errorID>ca88902e-ff08-4c45-808d-0b6e5fe9b95c</errorID>
      <errorWord>WIFI</errorWord>
      <group>L1_Word</group>
      <groupName>字词问题</groupName>
      <ability>L2_Typo</ability>
      <abilityName>字词错误</abilityName>
      <candidateList>
        <item>Wi-Fi</item>
      </candidateList>
      <explain/>
      <paraID>24745D0D</paraID>
      <start>127</start>
      <end>131</end>
      <status>unmodified</status>
      <modifiedWord/>
      <trackRevisions>false</trackRevisions>
    </reviewItem>
    <reviewItem>
      <errorID>4a5e1ddc-4ce8-4f49-9da2-69264e3eac9f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4214D429</paraID>
      <start>0</start>
      <end>2</end>
      <status>unmodified</status>
      <modifiedWord/>
      <trackRevisions>false</trackRevisions>
    </reviewItem>
    <reviewItem>
      <errorID>21853986-285d-4d4b-a3c0-a94377106e10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122E83DB</paraID>
      <start>0</start>
      <end>2</end>
      <status>unmodified</status>
      <modifiedWord/>
      <trackRevisions>false</trackRevisions>
    </reviewItem>
    <reviewItem>
      <errorID>f19efbaa-8be1-44a4-b22e-afaf2a39f56d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7FF9C843</paraID>
      <start>106</start>
      <end>107</end>
      <status>unmodified</status>
      <modifiedWord/>
      <trackRevisions>false</trackRevisions>
    </reviewItem>
    <reviewItem>
      <errorID>de64ba57-6791-473e-84ba-0dc7afd67272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5ECE6E4E</paraID>
      <start>0</start>
      <end>2</end>
      <status>unmodified</status>
      <modifiedWord/>
      <trackRevisions>false</trackRevisions>
    </reviewItem>
    <reviewItem>
      <errorID>ed50f71d-92a0-4b89-a82f-dcb065774884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25CE64F3</paraID>
      <start>0</start>
      <end>2</end>
      <status>unmodified</status>
      <modifiedWord/>
      <trackRevisions>false</trackRevisions>
    </reviewItem>
    <reviewItem>
      <errorID>2b0e3966-93ec-4113-a892-9c2c61b3c470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7EA0F4C4</paraID>
      <start>0</start>
      <end>2</end>
      <status>unmodified</status>
      <modifiedWord/>
      <trackRevisions>false</trackRevisions>
    </reviewItem>
    <reviewItem>
      <errorID>46658e2d-6e9f-4422-b79b-22d40a597bbf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5A60B1CF</paraID>
      <start>0</start>
      <end>2</end>
      <status>unmodified</status>
      <modifiedWord/>
      <trackRevisions>false</trackRevisions>
    </reviewItem>
    <reviewItem>
      <errorID>351ccf3b-d777-412c-adf8-adfd8a2ac69a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3EAF4914</paraID>
      <start>0</start>
      <end>2</end>
      <status>unmodified</status>
      <modifiedWord/>
      <trackRevisions>false</trackRevisions>
    </reviewItem>
    <reviewItem>
      <errorID>cd3c4b80-8ed1-48eb-bb08-011f213e7ce1</errorID>
      <errorWord>，</errorWord>
      <group>L1_Word</group>
      <groupName>字词问题</groupName>
      <ability>L2_Typo</ability>
      <abilityName>字词错误</abilityName>
      <candidateList>
        <item>，在</item>
      </candidateList>
      <explain/>
      <paraID>34865797</paraID>
      <start>58</start>
      <end>59</end>
      <status>unmodified</status>
      <modifiedWord/>
      <trackRevisions>false</trackRevisions>
    </reviewItem>
    <reviewItem>
      <errorID>32a23656-a05d-4883-bfa7-bebee5ef21a9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76901C6</paraID>
      <start>0</start>
      <end>2</end>
      <status>unmodified</status>
      <modifiedWord/>
      <trackRevisions>false</trackRevisions>
    </reviewItem>
    <reviewItem>
      <errorID>65ce7e2c-3d40-4b56-80fd-d0aa076a0a35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688580CE</paraID>
      <start>0</start>
      <end>2</end>
      <status>unmodified</status>
      <modifiedWord/>
      <trackRevisions>false</trackRevisions>
    </reviewItem>
    <reviewItem>
      <errorID>fbd4f3ac-301a-4b3b-ad35-644484e545f7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4223F6A</paraID>
      <start>0</start>
      <end>2</end>
      <status>unmodified</status>
      <modifiedWord/>
      <trackRevisions>false</trackRevisions>
    </reviewItem>
    <reviewItem>
      <errorID>7bc0f4f9-97a5-4a6b-b6a9-026e1270c31d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13EE0D5E</paraID>
      <start>0</start>
      <end>2</end>
      <status>unmodified</status>
      <modifiedWord/>
      <trackRevisions>false</trackRevisions>
    </reviewItem>
    <reviewItem>
      <errorID>19b329f6-465f-4cf2-a721-e796c7f7fbf5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66FC5102</paraID>
      <start>0</start>
      <end>2</end>
      <status>unmodified</status>
      <modifiedWord/>
      <trackRevisions>false</trackRevisions>
    </reviewItem>
    <reviewItem>
      <errorID>108bc204-b6aa-45e3-9a4d-d6277a79eb53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3A798079</paraID>
      <start>0</start>
      <end>2</end>
      <status>unmodified</status>
      <modifiedWord/>
      <trackRevisions>false</trackRevisions>
    </reviewItem>
    <reviewItem>
      <errorID>9f31e668-86d6-4034-9c33-91349ab20f2b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78A2BB04</paraID>
      <start>0</start>
      <end>2</end>
      <status>unmodified</status>
      <modifiedWord/>
      <trackRevisions>false</trackRevisions>
    </reviewItem>
    <reviewItem>
      <errorID>06a8e682-2324-40d4-afb8-7aabc96eace0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4D807EC3</paraID>
      <start>0</start>
      <end>2</end>
      <status>unmodified</status>
      <modifiedWord/>
      <trackRevisions>false</trackRevisions>
    </reviewItem>
    <reviewItem>
      <errorID>2d3f56e8-1b8e-414f-929f-2d69a797f1a2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383B9713</paraID>
      <start>0</start>
      <end>2</end>
      <status>unmodified</status>
      <modifiedWord/>
      <trackRevisions>false</trackRevisions>
    </reviewItem>
    <reviewItem>
      <errorID>1057b0bb-3490-40a1-a46a-a9cc2850da76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6AC70113</paraID>
      <start>0</start>
      <end>2</end>
      <status>unmodified</status>
      <modifiedWord/>
      <trackRevisions>false</trackRevisions>
    </reviewItem>
    <reviewItem>
      <errorID>bbf25cf5-4227-4e01-934a-858c8efa409e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19759898</paraID>
      <start>0</start>
      <end>2</end>
      <status>unmodified</status>
      <modifiedWord/>
      <trackRevisions>false</trackRevisions>
    </reviewItem>
    <reviewItem>
      <errorID>c2318e1e-8e7c-4967-bc08-97f79436e1eb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19069338</paraID>
      <start>0</start>
      <end>3</end>
      <status>unmodified</status>
      <modifiedWord/>
      <trackRevisions>false</trackRevisions>
    </reviewItem>
    <reviewItem>
      <errorID>7c5bb1ca-06ce-430b-af4b-6ea0862460ed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10C16C0D</paraID>
      <start>0</start>
      <end>3</end>
      <status>unmodified</status>
      <modifiedWord/>
      <trackRevisions>false</trackRevisions>
    </reviewItem>
    <reviewItem>
      <errorID>ff28b1ee-a272-4f65-8a43-d92b6f4ef540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505FEE13</paraID>
      <start>0</start>
      <end>2</end>
      <status>unmodified</status>
      <modifiedWord/>
      <trackRevisions>false</trackRevisions>
    </reviewItem>
    <reviewItem>
      <errorID>84fe9619-8e17-4f03-b487-311d8852661b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44E42930</paraID>
      <start>0</start>
      <end>2</end>
      <status>unmodified</status>
      <modifiedWord/>
      <trackRevisions>false</trackRevisions>
    </reviewItem>
    <reviewItem>
      <errorID>29f15022-cff9-47af-8f28-78062536e709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1B7C5739</paraID>
      <start>0</start>
      <end>2</end>
      <status>unmodified</status>
      <modifiedWord/>
      <trackRevisions>false</trackRevisions>
    </reviewItem>
    <reviewItem>
      <errorID>38e51650-747a-4465-86bd-178c318d67f1</errorID>
      <errorWord>,</errorWord>
      <group>L1_Format</group>
      <groupName>格式问题</groupName>
      <ability>L2_HalfPunc_CN</ability>
      <abilityName>全半角问题</abilityName>
      <candidateList>
        <item>，</item>
      </candidateList>
      <explain>文本全半角错误。</explain>
      <paraID>59D10E9B</paraID>
      <start>63</start>
      <end>64</end>
      <status>unmodified</status>
      <modifiedWord/>
      <trackRevisions>false</trackRevisions>
    </reviewItem>
    <reviewItem>
      <errorID>115c87ff-ddae-4657-9a37-d312752f4ef3</errorID>
      <errorWord>链接</errorWord>
      <group>L1_Word</group>
      <groupName>字词问题</groupName>
      <ability>L2_Typo</ability>
      <abilityName>字词错误</abilityName>
      <candidateList>
        <item>连接</item>
      </candidateList>
      <explain>存在发音相同字词的误用。</explain>
      <paraID>59D10E9B</paraID>
      <start>1124</start>
      <end>1126</end>
      <status>unmodified</status>
      <modifiedWord/>
      <trackRevisions>false</trackRevisions>
    </reviewItem>
    <reviewItem>
      <errorID>27109e77-0728-4d1b-a0e4-0f5910d3e682</errorID>
      <errorWord>网路</errorWord>
      <group>L1_Word</group>
      <groupName>字词问题</groupName>
      <ability>L2_Alias</ability>
      <abilityName>也作/曾用词</abilityName>
      <candidateList>
        <item>网络</item>
      </candidateList>
      <explain>词汇[网路]为不规范表述或旧称，其规范书面表述为[网络]。</explain>
      <paraID>18965BE1</paraID>
      <start>266</start>
      <end>268</end>
      <status>unmodified</status>
      <modifiedWord/>
      <trackRevisions>false</trackRevisions>
    </reviewItem>
    <reviewItem>
      <errorID>f627801c-42c9-453b-90c0-8a58035e5b31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18965BE1</paraID>
      <start>1056</start>
      <end>1057</end>
      <status>unmodified</status>
      <modifiedWord/>
      <trackRevisions>false</trackRevisions>
    </reviewItem>
    <reviewItem>
      <errorID>ac9e14bd-d282-4ec7-b2ef-3732a13960be</errorID>
      <errorWord>(</errorWord>
      <group>L1_Format</group>
      <groupName>格式问题</groupName>
      <ability>L2_HalfPunc_CN</ability>
      <abilityName>全半角问题</abilityName>
      <candidateList>
        <item>（</item>
      </candidateList>
      <explain>文本全半角错误。</explain>
      <paraID>18965BE1</paraID>
      <start>1768</start>
      <end>1769</end>
      <status>unmodified</status>
      <modifiedWord/>
      <trackRevisions>false</trackRevisions>
    </reviewItem>
    <reviewItem>
      <errorID>1ef479e2-e2a1-4fc8-a8cb-7a29727d4d63</errorID>
      <errorWord>)</errorWord>
      <group>L1_Format</group>
      <groupName>格式问题</groupName>
      <ability>L2_HalfPunc_CN</ability>
      <abilityName>全半角问题</abilityName>
      <candidateList>
        <item>）</item>
      </candidateList>
      <explain>文本全半角错误。</explain>
      <paraID>18965BE1</paraID>
      <start>1775</start>
      <end>1776</end>
      <status>unmodified</status>
      <modifiedWord/>
      <trackRevisions>false</trackRevisions>
    </reviewItem>
    <reviewItem>
      <errorID>0eade4a5-cfa6-4092-a98d-1e568e3b6d48</errorID>
      <errorWord>(</errorWord>
      <group>L1_Format</group>
      <groupName>格式问题</groupName>
      <ability>L2_HalfPunc_CN</ability>
      <abilityName>全半角问题</abilityName>
      <candidateList>
        <item>（</item>
      </candidateList>
      <explain>文本全半角错误。</explain>
      <paraID>18965BE1</paraID>
      <start>1908</start>
      <end>1909</end>
      <status>unmodified</status>
      <modifiedWord/>
      <trackRevisions>false</trackRevisions>
    </reviewItem>
    <reviewItem>
      <errorID>e4eacab7-7ef0-4462-9f27-a5d144f568d2</errorID>
      <errorWord>)</errorWord>
      <group>L1_Format</group>
      <groupName>格式问题</groupName>
      <ability>L2_HalfPunc_CN</ability>
      <abilityName>全半角问题</abilityName>
      <candidateList>
        <item>）</item>
      </candidateList>
      <explain>文本全半角错误。</explain>
      <paraID>18965BE1</paraID>
      <start>1915</start>
      <end>1916</end>
      <status>unmodified</status>
      <modifiedWord/>
      <trackRevisions>false</trackRevisions>
    </reviewItem>
    <reviewItem>
      <errorID>0c86d8d5-ff5b-4d3a-949f-99765b5eda93</errorID>
      <errorWord>只</errorWord>
      <group>L1_Knowledge</group>
      <groupName>知识性问题</groupName>
      <ability>L2_Knowledge</ability>
      <abilityName>其他知识</abilityName>
      <candidateList>
        <item>支</item>
      </candidateList>
      <explain>请检查“只”是否为量词使用错误，建议修改为“支”。</explain>
      <paraID>18965BE1</paraID>
      <start>2029</start>
      <end>2030</end>
      <status>unmodified</status>
      <modifiedWord/>
      <trackRevisions>false</trackRevisions>
    </reviewItem>
    <reviewItem>
      <errorID>ffb14038-9698-4ad7-afd6-7f14c1f35280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18965BE1</paraID>
      <start>2045</start>
      <end>2046</end>
      <status>unmodified</status>
      <modifiedWord/>
      <trackRevisions>false</trackRevisions>
    </reviewItem>
    <reviewItem>
      <errorID>5f572257-9bc6-4149-a049-783c4a100e65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18965BE1</paraID>
      <start>2052</start>
      <end>2053</end>
      <status>unmodified</status>
      <modifiedWord/>
      <trackRevisions>false</trackRevisions>
    </reviewItem>
    <reviewItem>
      <errorID>77d060f2-960c-4398-aa8f-0bd869688e16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18965BE1</paraID>
      <start>2159</start>
      <end>2160</end>
      <status>unmodified</status>
      <modifiedWord/>
      <trackRevisions>false</trackRevisions>
    </reviewItem>
    <reviewItem>
      <errorID>3a89d3bb-8567-4bf7-87df-56c44e8ae4af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5687878</paraID>
      <start>128</start>
      <end>129</end>
      <status>unmodified</status>
      <modifiedWord/>
      <trackRevisions>false</trackRevisions>
    </reviewItem>
    <reviewItem>
      <errorID>b8b96bab-1f88-453d-a89c-59eb57cb1adf</errorID>
      <errorWord>,</errorWord>
      <group>L1_Format</group>
      <groupName>格式问题</groupName>
      <ability>L2_HalfPunc_CN</ability>
      <abilityName>全半角问题</abilityName>
      <candidateList>
        <item>，</item>
      </candidateList>
      <explain>文本全半角错误。</explain>
      <paraID> 5687878</paraID>
      <start>1080</start>
      <end>1081</end>
      <status>unmodified</status>
      <modifiedWord/>
      <trackRevisions>false</trackRevisions>
    </reviewItem>
    <reviewItem>
      <errorID>51fe84a8-814e-4dfc-849d-e61e45321bdb</errorID>
      <errorWord>(</errorWord>
      <group>L1_Format</group>
      <groupName>格式问题</groupName>
      <ability>L2_HalfPunc_CN</ability>
      <abilityName>全半角问题</abilityName>
      <candidateList>
        <item>（</item>
      </candidateList>
      <explain>文本全半角错误。</explain>
      <paraID>7409171F</paraID>
      <start>39</start>
      <end>40</end>
      <status>unmodified</status>
      <modifiedWord/>
      <trackRevisions>false</trackRevisions>
    </reviewItem>
    <reviewItem>
      <errorID>3a7045c8-f71b-4c34-b43e-74410ca63f9e</errorID>
      <errorWord>(</errorWord>
      <group>L1_Format</group>
      <groupName>格式问题</groupName>
      <ability>L2_HalfPunc_CN</ability>
      <abilityName>全半角问题</abilityName>
      <candidateList>
        <item>（</item>
      </candidateList>
      <explain>文本全半角错误。</explain>
      <paraID>7409171F</paraID>
      <start>220</start>
      <end>221</end>
      <status>unmodified</status>
      <modifiedWord/>
      <trackRevisions>false</trackRevisions>
    </reviewItem>
    <reviewItem>
      <errorID>4366d488-f2d1-4342-99a1-fc31532150b5</errorID>
      <errorWord>)</errorWord>
      <group>L1_Format</group>
      <groupName>格式问题</groupName>
      <ability>L2_HalfPunc_CN</ability>
      <abilityName>全半角问题</abilityName>
      <candidateList>
        <item>）</item>
      </candidateList>
      <explain>文本全半角错误。</explain>
      <paraID>7409171F</paraID>
      <start>224</start>
      <end>225</end>
      <status>unmodified</status>
      <modifiedWord/>
      <trackRevisions>false</trackRevisions>
    </reviewItem>
    <reviewItem>
      <errorID>e1810dae-8938-495c-85a3-1bdf8743a4aa</errorID>
      <errorWord>)</errorWord>
      <group>L1_Format</group>
      <groupName>格式问题</groupName>
      <ability>L2_HalfPunc_CN</ability>
      <abilityName>全半角问题</abilityName>
      <candidateList>
        <item>）</item>
      </candidateList>
      <explain>文本全半角错误。</explain>
      <paraID>7409171F</paraID>
      <start>1340</start>
      <end>1341</end>
      <status>unmodified</status>
      <modifiedWord/>
      <trackRevisions>false</trackRevisions>
    </reviewItem>
    <reviewItem>
      <errorID>00bb58fe-f3e0-4fc0-8906-c4742965c000</errorID>
      <errorWord>。</errorWord>
      <group>L1_Format</group>
      <groupName>格式问题</groupName>
      <ability>L2_HalfPunc_CN</ability>
      <abilityName>全半角问题</abilityName>
      <candidateList>
        <item>.</item>
      </candidateList>
      <explain>文本全半角错误。</explain>
      <paraID>294F4741</paraID>
      <start>54</start>
      <end>55</end>
      <status>unmodified</status>
      <modifiedWord/>
      <trackRevisions>false</trackRevisions>
    </reviewItem>
    <reviewItem>
      <errorID>80c77f81-5eb5-4499-aa26-e386751b4a7c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294F4741</paraID>
      <start>69</start>
      <end>70</end>
      <status>unmodified</status>
      <modifiedWord/>
      <trackRevisions>false</trackRevisions>
    </reviewItem>
    <reviewItem>
      <errorID>9c2ce7a2-cad5-4da4-a01e-e96bdba6fb56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294F4741</paraID>
      <start>103</start>
      <end>104</end>
      <status>unmodified</status>
      <modifiedWord/>
      <trackRevisions>false</trackRevisions>
    </reviewItem>
    <reviewItem>
      <errorID>41a05513-c11a-4145-a4ab-e8b87ac9e315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294F4741</paraID>
      <start>114</start>
      <end>115</end>
      <status>unmodified</status>
      <modifiedWord/>
      <trackRevisions>false</trackRevisions>
    </reviewItem>
    <reviewItem>
      <errorID>470159d4-63b2-4419-b88d-9d511bb32e16</errorID>
      <errorWord>,</errorWord>
      <group>L1_Format</group>
      <groupName>格式问题</groupName>
      <ability>L2_HalfPunc_CN</ability>
      <abilityName>全半角问题</abilityName>
      <candidateList>
        <item>，</item>
      </candidateList>
      <explain>文本全半角错误。</explain>
      <paraID>294F4741</paraID>
      <start>137</start>
      <end>138</end>
      <status>unmodified</status>
      <modifiedWord/>
      <trackRevisions>false</trackRevisions>
    </reviewItem>
    <reviewItem>
      <errorID>8edb0b7f-cde6-475c-bf80-0e9b6186c26d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294F4741</paraID>
      <start>248</start>
      <end>249</end>
      <status>unmodified</status>
      <modifiedWord/>
      <trackRevisions>false</trackRevisions>
    </reviewItem>
    <reviewItem>
      <errorID>7ef567bd-7b01-466d-89e7-047e37bd2e42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294F4741</paraID>
      <start>296</start>
      <end>297</end>
      <status>unmodified</status>
      <modifiedWord/>
      <trackRevisions>false</trackRevisions>
    </reviewItem>
    <reviewItem>
      <errorID>bff20b4c-d9f1-473e-97f9-885a1c5de53b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294F4741</paraID>
      <start>359</start>
      <end>360</end>
      <status>unmodified</status>
      <modifiedWord/>
      <trackRevisions>false</trackRevisions>
    </reviewItem>
    <reviewItem>
      <errorID>8714712e-40bc-42a9-8a06-6cc986e9d91a</errorID>
      <errorWord>海报</errorWord>
      <group>L1_Word</group>
      <groupName>字词问题</groupName>
      <ability>L2_Typo</ability>
      <abilityName>字词错误</abilityName>
      <candidateList>
        <item>海拔</item>
      </candidateList>
      <explain>存在发音相近字词的误用。</explain>
      <paraID>294F4741</paraID>
      <start>615</start>
      <end>617</end>
      <status>modified</status>
      <modifiedWord>海拔</modifiedWord>
      <trackRevisions>false</trackRevisions>
    </reviewItem>
    <reviewItem>
      <errorID>2949a5a3-9a25-486e-9417-f2547a54fa6b</errorID>
      <errorWord>0-95%</errorWord>
      <group>L1_Knowledge</group>
      <groupName>知识性问题</groupName>
      <ability>L2_Knowledge</ability>
      <abilityName>其他知识</abilityName>
      <candidateList>
        <item>0—95%</item>
      </candidateList>
      <explain>1. “0-95%”中的单位“%”仅出现在后一个数字上，容易引起歧义；根据《现代汉语标点符号数字用法规范手册》，数字表示范围两边需要使用统一的格式。2. 根据标点国标 4.13 中的规则，数字、时间或地域连接符应使用（视觉上更长的）“—”或“～”。</explain>
      <paraID>294F4741</paraID>
      <start>630</start>
      <end>635</end>
      <status>unmodified</status>
      <modifiedWord/>
      <trackRevisions>false</trackRevisions>
    </reviewItem>
    <reviewItem>
      <errorID>ce6dc778-1ff3-424d-bb73-0310e9318703</errorID>
      <errorWord>0-95%</errorWord>
      <group>L1_Knowledge</group>
      <groupName>知识性问题</groupName>
      <ability>L2_Knowledge</ability>
      <abilityName>其他知识</abilityName>
      <candidateList>
        <item>0—95%</item>
      </candidateList>
      <explain>1. “0-95%”中的单位“%”仅出现在后一个数字上，容易引起歧义；根据《现代汉语标点符号数字用法规范手册》，数字表示范围两边需要使用统一的格式。2. 根据标点国标 4.13 中的规则，数字、时间或地域连接符应使用（视觉上更长的）“—”或“～”。</explain>
      <paraID>294F4741</paraID>
      <start>666</start>
      <end>671</end>
      <status>unmodified</status>
      <modifiedWord/>
      <trackRevisions>false</trackRevisions>
    </reviewItem>
    <reviewItem>
      <errorID>9011205d-7e70-4ed9-b7e8-7c072fbd611b</errorID>
      <errorWord>式</errorWord>
      <group>L1_Word</group>
      <groupName>字词问题</groupName>
      <ability>L2_Typo</ability>
      <abilityName>字词错误</abilityName>
      <candidateList>
        <item>式为</item>
      </candidateList>
      <explain/>
      <paraID>442FF278</paraID>
      <start>584</start>
      <end>585</end>
      <status>unmodified</status>
      <modifiedWord/>
      <trackRevisions>false</trackRevisions>
    </reviewItem>
    <reviewItem>
      <errorID>9fc233d5-f0f4-4c02-9d17-4be0f6f1cec6</errorID>
      <errorWord>制</errorWord>
      <group>L1_Word</group>
      <groupName>字词问题</groupName>
      <ability>L2_Typo</ability>
      <abilityName>字词错误</abilityName>
      <candidateList>
        <item>制和</item>
      </candidateList>
      <explain/>
      <paraID>442FF278</paraID>
      <start>1063</start>
      <end>1064</end>
      <status>unmodified</status>
      <modifiedWord/>
      <trackRevisions>false</trackRevisions>
    </reviewItem>
    <reviewItem>
      <errorID>5d7c0ff0-aae0-457a-9dea-ec78901bd35e</errorID>
      <errorWord>需具备</errorWord>
      <group>L1_Word</group>
      <groupName>字词问题</groupName>
      <ability>L2_Typo</ability>
      <abilityName>字词错误</abilityName>
      <candidateList>
        <item>须具备</item>
      </candidateList>
      <explain/>
      <paraID>442FF278</paraID>
      <start>2469</start>
      <end>2472</end>
      <status>unmodified</status>
      <modifiedWord/>
      <trackRevisions>false</trackRevisions>
    </reviewItem>
    <reviewItem>
      <errorID>2e542b05-d048-453a-ae7f-a55fb9f2424d</errorID>
      <errorWord>,</errorWord>
      <group>L1_Format</group>
      <groupName>格式问题</groupName>
      <ability>L2_HalfPunc_CN</ability>
      <abilityName>全半角问题</abilityName>
      <candidateList>
        <item>，</item>
      </candidateList>
      <explain>文本全半角错误。</explain>
      <paraID>442FF278</paraID>
      <start>2905</start>
      <end>2906</end>
      <status>unmodified</status>
      <modifiedWord/>
      <trackRevisions>false</trackRevisions>
    </reviewItem>
    <reviewItem>
      <errorID>e75dc62c-8e96-485e-a18b-057daba34393</errorID>
      <errorWord>(</errorWord>
      <group>L1_Format</group>
      <groupName>格式问题</groupName>
      <ability>L2_HalfPunc_CN</ability>
      <abilityName>全半角问题</abilityName>
      <candidateList>
        <item>（</item>
      </candidateList>
      <explain>文本全半角错误。</explain>
      <paraID> 304A3F2</paraID>
      <start>1087</start>
      <end>1088</end>
      <status>unmodified</status>
      <modifiedWord/>
      <trackRevisions>false</trackRevisions>
    </reviewItem>
    <reviewItem>
      <errorID>7de174f9-2108-435f-b9c4-792d7171ff23</errorID>
      <errorWord>)</errorWord>
      <group>L1_Format</group>
      <groupName>格式问题</groupName>
      <ability>L2_HalfPunc_CN</ability>
      <abilityName>全半角问题</abilityName>
      <candidateList>
        <item>）</item>
      </candidateList>
      <explain>文本全半角错误。</explain>
      <paraID> 304A3F2</paraID>
      <start>1097</start>
      <end>1098</end>
      <status>unmodified</status>
      <modifiedWord/>
      <trackRevisions>false</trackRevisions>
    </reviewItem>
    <reviewItem>
      <errorID>2eda4183-d77c-40cc-b8b4-8888333f56bc</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 304A3F2</paraID>
      <start>1181</start>
      <end>1185</end>
      <status>unmodified</status>
      <modifiedWord/>
      <trackRevisions>false</trackRevisions>
    </reviewItem>
    <reviewItem>
      <errorID>cab5859e-4ca6-4017-875e-6d390c6c5a0e</errorID>
      <errorWord>,</errorWord>
      <group>L1_Format</group>
      <groupName>格式问题</groupName>
      <ability>L2_HalfPunc_CN</ability>
      <abilityName>全半角问题</abilityName>
      <candidateList>
        <item>，</item>
      </candidateList>
      <explain>文本全半角错误。</explain>
      <paraID> 304A3F2</paraID>
      <start>1185</start>
      <end>1186</end>
      <status>unmodified</status>
      <modifiedWord/>
      <trackRevisions>false</trackRevisions>
    </reviewItem>
    <reviewItem>
      <errorID>5dd2aff7-bbbe-4858-b23a-be8772e25df0</errorID>
      <errorWord>,</errorWord>
      <group>L1_Format</group>
      <groupName>格式问题</groupName>
      <ability>L2_HalfPunc_CN</ability>
      <abilityName>全半角问题</abilityName>
      <candidateList>
        <item>，</item>
      </candidateList>
      <explain>文本全半角错误。</explain>
      <paraID> 304A3F2</paraID>
      <start>1249</start>
      <end>1250</end>
      <status>unmodified</status>
      <modifiedWord/>
      <trackRevisions>false</trackRevisions>
    </reviewItem>
    <reviewItem>
      <errorID>1d4ab6e8-23a4-4768-8de0-1c3d850832ea</errorID>
      <errorWord>学</errorWord>
      <group>L1_Word</group>
      <groupName>字词问题</groupName>
      <ability>L2_Typo</ability>
      <abilityName>字词错误</abilityName>
      <candidateList>
        <item>斜</item>
      </candidateList>
      <explain>存在发音相近字词的误用。</explain>
      <paraID> 304A3F2</paraID>
      <start>1289</start>
      <end>1290</end>
      <status>unmodified</status>
      <modifiedWord/>
      <trackRevisions>false</trackRevisions>
    </reviewItem>
    <reviewItem>
      <errorID>e61debf4-77b5-4426-b5e8-4467c51672f1</errorID>
      <errorWord>一休化</errorWord>
      <group>L1_Word</group>
      <groupName>字词问题</groupName>
      <ability>L2_Typo</ability>
      <abilityName>字词错误</abilityName>
      <candidateList>
        <item>一体化</item>
      </candidateList>
      <explain/>
      <paraID> 304A3F2</paraID>
      <start>1296</start>
      <end>1299</end>
      <status>modified</status>
      <modifiedWord>一体化</modifiedWord>
      <trackRevisions>false</trackRevisions>
    </reviewItem>
    <reviewItem>
      <errorID>918d83e9-fd75-4e37-85a3-32d5b8e4bbcc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304A3F2</paraID>
      <start>1357</start>
      <end>1358</end>
      <status>unmodified</status>
      <modifiedWord/>
      <trackRevisions>false</trackRevisions>
    </reviewItem>
    <reviewItem>
      <errorID>1303639a-7bd5-4b40-a5dd-53ff11f9bdee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304A3F2</paraID>
      <start>1363</start>
      <end>1364</end>
      <status>unmodified</status>
      <modifiedWord/>
      <trackRevisions>false</trackRevisions>
    </reviewItem>
    <reviewItem>
      <errorID>34915d41-96e8-4771-8f8d-d4bcbb16a274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304A3F2</paraID>
      <start>1523</start>
      <end>1524</end>
      <status>unmodified</status>
      <modifiedWord/>
      <trackRevisions>false</trackRevisions>
    </reviewItem>
    <reviewItem>
      <errorID>b4bde948-2d60-42a6-be23-b1093716c07c</errorID>
      <errorWord>,</errorWord>
      <group>L1_Format</group>
      <groupName>格式问题</groupName>
      <ability>L2_HalfPunc_CN</ability>
      <abilityName>全半角问题</abilityName>
      <candidateList>
        <item>，</item>
      </candidateList>
      <explain>文本全半角错误。</explain>
      <paraID> 304A3F2</paraID>
      <start>1651</start>
      <end>1652</end>
      <status>unmodified</status>
      <modifiedWord/>
      <trackRevisions>false</trackRevisions>
    </reviewItem>
    <reviewItem>
      <errorID>be400ab3-8cd5-472d-96f3-e6036946e3ee</errorID>
      <errorWord>)</errorWord>
      <group>L1_Format</group>
      <groupName>格式问题</groupName>
      <ability>L2_HalfPunc_CN</ability>
      <abilityName>全半角问题</abilityName>
      <candidateList>
        <item>）</item>
      </candidateList>
      <explain>文本全半角错误。</explain>
      <paraID> 304A3F2</paraID>
      <start>1991</start>
      <end>1992</end>
      <status>unmodified</status>
      <modifiedWord/>
      <trackRevisions>false</trackRevisions>
    </reviewItem>
    <reviewItem>
      <errorID>a4362865-1875-4ce9-9f5a-95b5583506e6</errorID>
      <errorWord>。</errorWord>
      <group>L1_Format</group>
      <groupName>格式问题</groupName>
      <ability>L2_HalfPunc_CN</ability>
      <abilityName>全半角问题</abilityName>
      <candidateList>
        <item>.</item>
      </candidateList>
      <explain>文本全半角错误。</explain>
      <paraID> 304A3F2</paraID>
      <start>2054</start>
      <end>2055</end>
      <status>unmodified</status>
      <modifiedWord/>
      <trackRevisions>false</trackRevisions>
    </reviewItem>
    <reviewItem>
      <errorID>f28fc408-f8c6-4c9e-b0fb-594d56de7ad2</errorID>
      <errorWord>WIFI</errorWord>
      <group>L1_Word</group>
      <groupName>字词问题</groupName>
      <ability>L2_Typo</ability>
      <abilityName>字词错误</abilityName>
      <candidateList>
        <item>Wi-Fi</item>
      </candidateList>
      <explain/>
      <paraID> 304A3F2</paraID>
      <start>2074</start>
      <end>2078</end>
      <status>unmodified</status>
      <modifiedWord/>
      <trackRevisions>false</trackRevisions>
    </reviewItem>
    <reviewItem>
      <errorID>48c16e66-0e30-43e7-b84b-9c9cd3e0aae3</errorID>
      <errorWord>英尺</errorWord>
      <group>L1_Knowledge</group>
      <groupName>知识性问题</groupName>
      <ability>L2_Knowledge</ability>
      <abilityName>其他知识</abilityName>
      <candidateList/>
      <explain>非法定单位</explain>
      <paraID> 304A3F2</paraID>
      <start>2104</start>
      <end>2106</end>
      <status>unmodified</status>
      <modifiedWord/>
      <trackRevisions>false</trackRevisions>
    </reviewItem>
    <reviewItem>
      <errorID>6666cd93-5cfd-4473-ac42-64520d055324</errorID>
      <errorWord>流畅性</errorWord>
      <group>L1_Word</group>
      <groupName>字词问题</groupName>
      <ability>L2_Typo</ability>
      <abilityName>字词错误</abilityName>
      <candidateList>
        <item>流畅</item>
      </candidateList>
      <explain/>
      <paraID> 304A3F2</paraID>
      <start>2165</start>
      <end>2167</end>
      <status>modified</status>
      <modifiedWord>流畅</modifiedWord>
      <trackRevisions>false</trackRevisions>
    </reviewItem>
    <reviewItem>
      <errorID>41e44806-b170-4a92-9ee2-ab286cac0586</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 304A3F2</paraID>
      <start>2271</start>
      <end>2275</end>
      <status>modified</status>
      <modifiedWord>无须设置</modifiedWord>
      <trackRevisions>false</trackRevisions>
    </reviewItem>
    <reviewItem>
      <errorID>05efde26-ffff-408e-a29f-2883e098f509</errorID>
      <errorWord>(</errorWord>
      <group>L1_Format</group>
      <groupName>格式问题</groupName>
      <ability>L2_HalfPunc_CN</ability>
      <abilityName>全半角问题</abilityName>
      <candidateList>
        <item>（</item>
      </candidateList>
      <explain>文本全半角错误。</explain>
      <paraID>2088E151</paraID>
      <start>32</start>
      <end>33</end>
      <status>unmodified</status>
      <modifiedWord/>
      <trackRevisions>false</trackRevisions>
    </reviewItem>
    <reviewItem>
      <errorID>72b55a92-d6ae-4b1f-b3b2-a8247349a414</errorID>
      <errorWord>)</errorWord>
      <group>L1_Format</group>
      <groupName>格式问题</groupName>
      <ability>L2_HalfPunc_CN</ability>
      <abilityName>全半角问题</abilityName>
      <candidateList>
        <item>）</item>
      </candidateList>
      <explain>文本全半角错误。</explain>
      <paraID>2088E151</paraID>
      <start>37</start>
      <end>38</end>
      <status>unmodified</status>
      <modifiedWord/>
      <trackRevisions>false</trackRevisions>
    </reviewItem>
    <reviewItem>
      <errorID>b1b1068f-018f-4ccf-9195-ec607ed7b24d</errorID>
      <errorWord>WiFi</errorWord>
      <group>L1_Punc</group>
      <groupName>标点问题</groupName>
      <ability>L2_Punc_CN</ability>
      <abilityName>标点符号问题</abilityName>
      <candidateList>
        <item>Wi-Fi</item>
      </candidateList>
      <explain/>
      <paraID>2088E151</paraID>
      <start>114</start>
      <end>118</end>
      <status>unmodified</status>
      <modifiedWord/>
      <trackRevisions>false</trackRevisions>
    </reviewItem>
    <reviewItem>
      <errorID>c1b6bb8f-3eb5-4cea-8811-07459343d44f</errorID>
      <errorWord>WIFI</errorWord>
      <group>L1_Word</group>
      <groupName>字词问题</groupName>
      <ability>L2_Typo</ability>
      <abilityName>字词错误</abilityName>
      <candidateList>
        <item>Wi-Fi</item>
      </candidateList>
      <explain/>
      <paraID>2088E151</paraID>
      <start>130</start>
      <end>134</end>
      <status>unmodified</status>
      <modifiedWord/>
      <trackRevisions>false</trackRevisions>
    </reviewItem>
    <reviewItem>
      <errorID>2aa81f77-d799-445b-b02b-b117be94240e</errorID>
      <errorWord>WIFI</errorWord>
      <group>L1_Word</group>
      <groupName>字词问题</groupName>
      <ability>L2_Typo</ability>
      <abilityName>字词错误</abilityName>
      <candidateList>
        <item>Wi-Fi</item>
      </candidateList>
      <explain/>
      <paraID>2088E151</paraID>
      <start>276</start>
      <end>280</end>
      <status>unmodified</status>
      <modifiedWord/>
      <trackRevisions>false</trackRevisions>
    </reviewItem>
    <reviewItem>
      <errorID>412880cf-c12e-4a0c-973f-21bb8f638f42</errorID>
      <errorWord>WIFI</errorWord>
      <group>L1_Word</group>
      <groupName>字词问题</groupName>
      <ability>L2_Typo</ability>
      <abilityName>字词错误</abilityName>
      <candidateList>
        <item>Wi-Fi</item>
      </candidateList>
      <explain/>
      <paraID>2088E151</paraID>
      <start>287</start>
      <end>291</end>
      <status>unmodified</status>
      <modifiedWord/>
      <trackRevisions>false</trackRevisions>
    </reviewItem>
    <reviewItem>
      <errorID>c64b01d1-d128-4e90-99eb-4b3b971c316a</errorID>
      <errorWord>WiFi</errorWord>
      <group>L1_Punc</group>
      <groupName>标点问题</groupName>
      <ability>L2_Punc_CN</ability>
      <abilityName>标点符号问题</abilityName>
      <candidateList>
        <item>Wi-Fi</item>
      </candidateList>
      <explain/>
      <paraID>2088E151</paraID>
      <start>303</start>
      <end>307</end>
      <status>unmodified</status>
      <modifiedWord/>
      <trackRevisions>false</trackRevisions>
    </reviewItem>
    <reviewItem>
      <errorID>92c4851e-1fd5-4fd7-9520-d40455281c14</errorID>
      <errorWord>-</errorWord>
      <group>L1_Format</group>
      <groupName>格式问题</groupName>
      <ability>L2_HalfPunc_CN</ability>
      <abilityName>全半角问题</abilityName>
      <candidateList>
        <item>－</item>
      </candidateList>
      <explain>文本全半角错误。</explain>
      <paraID>2088E151</paraID>
      <start>331</start>
      <end>332</end>
      <status>unmodified</status>
      <modifiedWord/>
      <trackRevisions>false</trackRevisions>
    </reviewItem>
    <reviewItem>
      <errorID>769e106c-db04-4092-89b6-b4919e89d9a2</errorID>
      <errorWord>:</errorWord>
      <group>L1_Format</group>
      <groupName>格式问题</groupName>
      <ability>L2_HalfPunc_CN</ability>
      <abilityName>全半角问题</abilityName>
      <candidateList>
        <item>：</item>
      </candidateList>
      <explain>文本全半角错误。</explain>
      <paraID>472361E8</paraID>
      <start>94</start>
      <end>95</end>
      <status>unmodified</status>
      <modifiedWord/>
      <trackRevisions>false</trackRevisions>
    </reviewItem>
    <reviewItem>
      <errorID>01c87934-57aa-49bc-939a-00560320c14a</errorID>
      <errorWord>(</errorWord>
      <group>L1_Format</group>
      <groupName>格式问题</groupName>
      <ability>L2_HalfPunc_CN</ability>
      <abilityName>全半角问题</abilityName>
      <candidateList>
        <item>（</item>
      </candidateList>
      <explain>文本全半角错误。</explain>
      <paraID>472361E8</paraID>
      <start>103</start>
      <end>104</end>
      <status>unmodified</status>
      <modifiedWord/>
      <trackRevisions>false</trackRevisions>
    </reviewItem>
    <reviewItem>
      <errorID>61036163-7f69-4458-b8cd-29681d1750c7</errorID>
      <errorWord>)</errorWord>
      <group>L1_Format</group>
      <groupName>格式问题</groupName>
      <ability>L2_HalfPunc_CN</ability>
      <abilityName>全半角问题</abilityName>
      <candidateList>
        <item>）</item>
      </candidateList>
      <explain>文本全半角错误。</explain>
      <paraID>472361E8</paraID>
      <start>107</start>
      <end>108</end>
      <status>unmodified</status>
      <modifiedWord/>
      <trackRevisions>false</trackRevisions>
    </reviewItem>
    <reviewItem>
      <errorID>1a401bdb-3938-4775-bad3-d0f3cd82c628</errorID>
      <errorWord>:</errorWord>
      <group>L1_Format</group>
      <groupName>格式问题</groupName>
      <ability>L2_HalfPunc_CN</ability>
      <abilityName>全半角问题</abilityName>
      <candidateList>
        <item>：</item>
      </candidateList>
      <explain>文本全半角错误。</explain>
      <paraID>472361E8</paraID>
      <start>114</start>
      <end>115</end>
      <status>unmodified</status>
      <modifiedWord/>
      <trackRevisions>false</trackRevisions>
    </reviewItem>
    <reviewItem>
      <errorID>b93dc89b-598c-4605-88f9-021eed1cff79</errorID>
      <errorWord>:</errorWord>
      <group>L1_Format</group>
      <groupName>格式问题</groupName>
      <ability>L2_HalfPunc_CN</ability>
      <abilityName>全半角问题</abilityName>
      <candidateList>
        <item>：</item>
      </candidateList>
      <explain>文本全半角错误。</explain>
      <paraID>472361E8</paraID>
      <start>127</start>
      <end>128</end>
      <status>unmodified</status>
      <modifiedWord/>
      <trackRevisions>false</trackRevisions>
    </reviewItem>
    <reviewItem>
      <errorID>84c7b89b-09be-410d-8ecf-1780f52d2312</errorID>
      <errorWord>,</errorWord>
      <group>L1_Format</group>
      <groupName>格式问题</groupName>
      <ability>L2_HalfPunc_CN</ability>
      <abilityName>全半角问题</abilityName>
      <candidateList>
        <item>，</item>
      </candidateList>
      <explain>文本全半角错误。</explain>
      <paraID>472361E8</paraID>
      <start>143</start>
      <end>144</end>
      <status>unmodified</status>
      <modifiedWord/>
      <trackRevisions>false</trackRevisions>
    </reviewItem>
    <reviewItem>
      <errorID>cbd0451f-0067-4e8f-80a6-eb400c47c5a0</errorID>
      <errorWord>,</errorWord>
      <group>L1_Format</group>
      <groupName>格式问题</groupName>
      <ability>L2_HalfPunc_CN</ability>
      <abilityName>全半角问题</abilityName>
      <candidateList>
        <item>，</item>
      </candidateList>
      <explain>文本全半角错误。</explain>
      <paraID>472361E8</paraID>
      <start>157</start>
      <end>158</end>
      <status>unmodified</status>
      <modifiedWord/>
      <trackRevisions>false</trackRevisions>
    </reviewItem>
    <reviewItem>
      <errorID>202b57cc-f21a-4271-8fa5-748c17a5499a</errorID>
      <errorWord>,</errorWord>
      <group>L1_Format</group>
      <groupName>格式问题</groupName>
      <ability>L2_HalfPunc_CN</ability>
      <abilityName>全半角问题</abilityName>
      <candidateList>
        <item>，</item>
      </candidateList>
      <explain>文本全半角错误。</explain>
      <paraID>472361E8</paraID>
      <start>168</start>
      <end>169</end>
      <status>unmodified</status>
      <modifiedWord/>
      <trackRevisions>false</trackRevisions>
    </reviewItem>
    <reviewItem>
      <errorID>412ce2b7-768a-4a49-8c8d-eb99df59ae7f</errorID>
      <errorWord>,</errorWord>
      <group>L1_Format</group>
      <groupName>格式问题</groupName>
      <ability>L2_HalfPunc_CN</ability>
      <abilityName>全半角问题</abilityName>
      <candidateList>
        <item>，</item>
      </candidateList>
      <explain>文本全半角错误。</explain>
      <paraID>472361E8</paraID>
      <start>175</start>
      <end>176</end>
      <status>unmodified</status>
      <modifiedWord/>
      <trackRevisions>false</trackRevisions>
    </reviewItem>
    <reviewItem>
      <errorID>0bb0c2de-576b-4a26-8aa2-83b89a3c2259</errorID>
      <errorWord>:</errorWord>
      <group>L1_Format</group>
      <groupName>格式问题</groupName>
      <ability>L2_HalfPunc_CN</ability>
      <abilityName>全半角问题</abilityName>
      <candidateList>
        <item>：</item>
      </candidateList>
      <explain>文本全半角错误。</explain>
      <paraID>472361E8</paraID>
      <start>206</start>
      <end>207</end>
      <status>unmodified</status>
      <modifiedWord/>
      <trackRevisions>false</trackRevisions>
    </reviewItem>
    <reviewItem>
      <errorID>3ed9e17d-c99b-484b-9249-0a01e613163d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472361E8</paraID>
      <start>250</start>
      <end>251</end>
      <status>unmodified</status>
      <modifiedWord/>
      <trackRevisions>false</trackRevisions>
    </reviewItem>
    <reviewItem>
      <errorID>82940b7c-ebd7-4d79-823b-777aea1adfe3</errorID>
      <errorWord>WIFI</errorWord>
      <group>L1_Word</group>
      <groupName>字词问题</groupName>
      <ability>L2_Typo</ability>
      <abilityName>字词错误</abilityName>
      <candidateList>
        <item>Wi-Fi</item>
      </candidateList>
      <explain/>
      <paraID>328F18A6</paraID>
      <start>98</start>
      <end>102</end>
      <status>unmodified</status>
      <modifiedWord/>
      <trackRevisions>false</trackRevisions>
    </reviewItem>
    <reviewItem>
      <errorID>7b07a273-57e0-4904-9bba-30e5e4ce19f7</errorID>
      <errorWord>国标标准</errorWord>
      <group>L1_Word</group>
      <groupName>字词问题</groupName>
      <ability>L2_Typo</ability>
      <abilityName>字词错误</abilityName>
      <candidateList>
        <item>国家标准</item>
      </candidateList>
      <explain/>
      <paraID> 7C629C2</paraID>
      <start>14</start>
      <end>18</end>
      <status>modified</status>
      <modifiedWord>国家标准</modifiedWord>
      <trackRevisions>false</trackRevisions>
    </reviewItem>
    <reviewItem>
      <errorID>45c8d074-8131-4024-9d50-f88b0ee050bb</errorID>
      <errorWord>版块</errorWord>
      <group>L1_Word</group>
      <groupName>字词问题</groupName>
      <ability>L2_Typo</ability>
      <abilityName>字词错误</abilityName>
      <candidateList>
        <item>板块</item>
      </candidateList>
      <explain>存在发音相同字词的误用。</explain>
      <paraID> 7C629C2</paraID>
      <start>88</start>
      <end>90</end>
      <status>unmodified</status>
      <modifiedWord/>
      <trackRevisions>false</trackRevisions>
    </reviewItem>
    <reviewItem>
      <errorID>df76fada-95db-4aef-9da7-2cf030cadab4</errorID>
      <errorWord>:</errorWord>
      <group>L1_Format</group>
      <groupName>格式问题</groupName>
      <ability>L2_HalfPunc_CN</ability>
      <abilityName>全半角问题</abilityName>
      <candidateList>
        <item>：</item>
      </candidateList>
      <explain>文本全半角错误。</explain>
      <paraID> 7C629C2</paraID>
      <start>458</start>
      <end>459</end>
      <status>unmodified</status>
      <modifiedWord/>
      <trackRevisions>false</trackRevisions>
    </reviewItem>
    <reviewItem>
      <errorID>6552fc18-cb99-4ed5-906a-cbd768a4dd98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26D6047</paraID>
      <start>0</start>
      <end>2</end>
      <status>unmodified</status>
      <modifiedWord/>
      <trackRevisions>false</trackRevisions>
    </reviewItem>
    <reviewItem>
      <errorID>7345d1ca-af12-4364-aa8f-de0bc5cf48d6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26B08F17</paraID>
      <start>0</start>
      <end>2</end>
      <status>unmodified</status>
      <modifiedWord/>
      <trackRevisions>false</trackRevisions>
    </reviewItem>
    <reviewItem>
      <errorID>d916f5a0-f09c-47a3-a493-a1c138ac2ed1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6A5ED791</paraID>
      <start>0</start>
      <end>2</end>
      <status>unmodified</status>
      <modifiedWord/>
      <trackRevisions>false</trackRevisions>
    </reviewItem>
    <reviewItem>
      <errorID>6925f780-3102-414e-8cf1-a193bb82fe3c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51B3D85C</paraID>
      <start>0</start>
      <end>2</end>
      <status>unmodified</status>
      <modifiedWord/>
      <trackRevisions>false</trackRevisions>
    </reviewItem>
    <reviewItem>
      <errorID>a3aa3bd3-c45c-4bfc-b2c4-43c9c3088785</errorID>
      <errorWord>终生</errorWord>
      <group>L1_Word</group>
      <groupName>字词问题</groupName>
      <ability>L2_Typo</ability>
      <abilityName>字词错误</abilityName>
      <candidateList>
        <item>终身</item>
      </candidateList>
      <explain/>
      <paraID>51B3D85C</paraID>
      <start>20</start>
      <end>22</end>
      <status>unmodified</status>
      <modifiedWord/>
      <trackRevisions>false</trackRevisions>
    </reviewItem>
    <reviewItem>
      <errorID>ad433e06-ddb9-49f3-9a01-0383a0d8e5e3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2460A149</paraID>
      <start>0</start>
      <end>2</end>
      <status>unmodified</status>
      <modifiedWord/>
      <trackRevisions>false</trackRevisions>
    </reviewItem>
    <reviewItem>
      <errorID>0087a715-c6c2-4488-bd20-fc754f30f464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789452BC</paraID>
      <start>0</start>
      <end>2</end>
      <status>unmodified</status>
      <modifiedWord/>
      <trackRevisions>false</trackRevisions>
    </reviewItem>
    <reviewItem>
      <errorID>35b42ee9-a84f-4de1-a039-ee3aacf6c5f9</errorID>
      <errorWord>接</errorWord>
      <group>L1_Word</group>
      <groupName>字词问题</groupName>
      <ability>L2_Typo</ability>
      <abilityName>字词错误</abilityName>
      <candidateList>
        <item>接到</item>
      </candidateList>
      <explain/>
      <paraID>789452BC</paraID>
      <start>9</start>
      <end>10</end>
      <status>unmodified</status>
      <modifiedWord/>
      <trackRevisions>false</trackRevisions>
    </reviewItem>
    <reviewItem>
      <errorID>31bf3235-8aff-4636-98fb-cdd129e69e5d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4D238F1</paraID>
      <start>0</start>
      <end>2</end>
      <status>unmodified</status>
      <modifiedWord/>
      <trackRevisions>false</trackRevisions>
    </reviewItem>
    <reviewItem>
      <errorID>8b815246-61cc-4537-a460-7b34ad37c23a</errorID>
      <errorWord>计</errorWord>
      <group>L1_Word</group>
      <groupName>字词问题</groupName>
      <ability>L2_Typo</ability>
      <abilityName>字词错误</abilityName>
      <candidateList>
        <item>计算</item>
      </candidateList>
      <explain/>
      <paraID>1742C0C9</paraID>
      <start>21</start>
      <end>22</end>
      <status>unmodified</status>
      <modifiedWord/>
      <trackRevisions>false</trackRevisions>
    </reviewItem>
    <reviewItem>
      <errorID>82f9e5d1-2908-4a47-9119-1b6675594d0c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4C2DD330</paraID>
      <start>0</start>
      <end>2</end>
      <status>unmodified</status>
      <modifiedWord/>
      <trackRevisions>false</trackRevisions>
    </reviewItem>
    <reviewItem>
      <errorID>5f92aabf-030e-484e-ab92-cbf1ea69646a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23608D6C</paraID>
      <start>0</start>
      <end>2</end>
      <status>unmodified</status>
      <modifiedWord/>
      <trackRevisions>false</trackRevisions>
    </reviewItem>
    <reviewItem>
      <errorID>40c77fde-8aa4-41d3-9f07-7d5700de947c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2C39831C</paraID>
      <start>0</start>
      <end>2</end>
      <status>unmodified</status>
      <modifiedWord/>
      <trackRevisions>false</trackRevisions>
    </reviewItem>
    <reviewItem>
      <errorID>371785c7-b4d5-440c-92b2-cea468b16297</errorID>
      <errorWord>-</errorWord>
      <group>L1_Format</group>
      <groupName>格式问题</groupName>
      <ability>L2_HalfPunc_CN</ability>
      <abilityName>全半角问题</abilityName>
      <candidateList>
        <item>－</item>
      </candidateList>
      <explain>文本全半角错误。</explain>
      <paraID>1DE665E8</paraID>
      <start>37</start>
      <end>38</end>
      <status>unmodified</status>
      <modifiedWord/>
      <trackRevisions>false</trackRevisions>
    </reviewItem>
    <reviewItem>
      <errorID>7e284509-1cf6-45dd-90d8-3206a7500ca7</errorID>
      <errorWord>-</errorWord>
      <group>L1_Format</group>
      <groupName>格式问题</groupName>
      <ability>L2_HalfPunc_CN</ability>
      <abilityName>全半角问题</abilityName>
      <candidateList>
        <item>－</item>
      </candidateList>
      <explain>文本全半角错误。</explain>
      <paraID>1DE665E8</paraID>
      <start>43</start>
      <end>44</end>
      <status>unmodified</status>
      <modifiedWord/>
      <trackRevisions>false</trackRevisions>
    </reviewItem>
    <reviewItem>
      <errorID>a1da35c4-0661-463c-adb0-bc9491009f00</errorID>
      <errorWord>-</errorWord>
      <group>L1_Format</group>
      <groupName>格式问题</groupName>
      <ability>L2_HalfPunc_CN</ability>
      <abilityName>全半角问题</abilityName>
      <candidateList>
        <item>－</item>
      </candidateList>
      <explain>文本全半角错误。</explain>
      <paraID>1DE665E8</paraID>
      <start>68</start>
      <end>69</end>
      <status>unmodified</status>
      <modifiedWord/>
      <trackRevisions>false</trackRevisions>
    </reviewItem>
    <reviewItem>
      <errorID>367ac26b-2cf1-40c8-bee2-132114153cce</errorID>
      <errorWord>-</errorWord>
      <group>L1_Format</group>
      <groupName>格式问题</groupName>
      <ability>L2_HalfPunc_CN</ability>
      <abilityName>全半角问题</abilityName>
      <candidateList>
        <item>－</item>
      </candidateList>
      <explain>文本全半角错误。</explain>
      <paraID>1DE665E8</paraID>
      <start>70</start>
      <end>71</end>
      <status>unmodified</status>
      <modifiedWord/>
      <trackRevisions>false</trackRevisions>
    </reviewItem>
    <reviewItem>
      <errorID>51c5424a-f52c-439b-a94f-2629202c6b8e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234E3AED</paraID>
      <start>26</start>
      <end>27</end>
      <status>unmodified</status>
      <modifiedWord/>
      <trackRevisions>false</trackRevisions>
    </reviewItem>
    <reviewItem>
      <errorID>40a33aad-172b-45ff-89f4-f238b25c4d5b</errorID>
      <errorWord>,</errorWord>
      <group>L1_Format</group>
      <groupName>格式问题</groupName>
      <ability>L2_HalfPunc_CN</ability>
      <abilityName>全半角问题</abilityName>
      <candidateList>
        <item>，</item>
      </candidateList>
      <explain>文本全半角错误。</explain>
      <paraID>234E3AED</paraID>
      <start>34</start>
      <end>35</end>
      <status>unmodified</status>
      <modifiedWord/>
      <trackRevisions>false</trackRevisions>
    </reviewItem>
    <reviewItem>
      <errorID>303a41a6-0950-44f9-b3a6-f89712828ccc</errorID>
      <errorWord>丛</errorWord>
      <group>L1_Word</group>
      <groupName>字词问题</groupName>
      <ability>L2_Typo</ability>
      <abilityName>字词错误</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2F6036C6</paraID>
      <start>92</start>
      <end>93</end>
      <status>unmodified</status>
      <modifiedWord/>
      <trackRevisions>false</trackRevisions>
    </reviewItem>
    <reviewItem>
      <errorID>e7704b51-9554-4f68-9a64-18972dead6bd</errorID>
      <errorWord>.</errorWord>
      <group>L1_Format</group>
      <groupName>格式问题</groupName>
      <ability>L2_HalfPunc_CN</ability>
      <abilityName>全半角问题</abilityName>
      <candidateList>
        <item>。</item>
      </candidateList>
      <explain>文本全半角错误。</explain>
      <paraID>13B987A3</paraID>
      <start>100</start>
      <end>101</end>
      <status>unmodified</status>
      <modifiedWord/>
      <trackRevisions>false</trackRevisions>
    </reviewItem>
    <reviewItem>
      <errorID>8312e728-0751-4482-97c5-90574e08f3c3</errorID>
      <errorWord>28%-30%</errorWord>
      <group>L1_Knowledge</group>
      <groupName>知识性问题</groupName>
      <ability>L2_Knowledge</ability>
      <abilityName>其他知识</abilityName>
      <candidateList>
        <item>28%—30%</item>
      </candidateList>
      <explain>1. “28%-30%”中的单位“%”仅出现在后一个数字上，容易引起歧义；根据《现代汉语标点符号数字用法规范手册》，数字表示范围两边需要使用统一的格式。2. 根据标点国标 4.13 中的规则，数字、时间或地域连接符应使用（视觉上更长的）“—”或“～”。</explain>
      <paraID>251F969C</paraID>
      <start>21</start>
      <end>28</end>
      <status>unmodified</status>
      <modifiedWord/>
      <trackRevisions>false</trackRevisions>
    </reviewItem>
    <reviewItem>
      <errorID>2ee56766-fbb0-427e-8f32-61af95fb3094</errorID>
      <errorWord>连锁</errorWord>
      <group>L1_Word</group>
      <groupName>字词问题</groupName>
      <ability>L2_Typo</ability>
      <abilityName>字词错误</abilityName>
      <candidateList>
        <item>联锁</item>
      </candidateList>
      <explain/>
      <paraID>49AB3B06</paraID>
      <start>5</start>
      <end>7</end>
      <status>unmodified</status>
      <modifiedWord/>
      <trackRevisions>false</trackRevisions>
    </reviewItem>
    <reviewItem>
      <errorID>9e16cff1-2363-4903-9153-1a5335e78377</errorID>
      <errorWord>连锁</errorWord>
      <group>L1_Word</group>
      <groupName>字词问题</groupName>
      <ability>L2_Typo</ability>
      <abilityName>字词错误</abilityName>
      <candidateList>
        <item>联锁</item>
      </candidateList>
      <explain/>
      <paraID>49AB3B06</paraID>
      <start>13</start>
      <end>15</end>
      <status>unmodified</status>
      <modifiedWord/>
      <trackRevisions>false</trackRevisions>
    </reviewItem>
    <reviewItem>
      <errorID>3492b748-2464-4644-a87f-81d5b71ef7b3</errorID>
      <errorWord>-</errorWord>
      <group>L1_Format</group>
      <groupName>格式问题</groupName>
      <ability>L2_HalfPunc_CN</ability>
      <abilityName>全半角问题</abilityName>
      <candidateList>
        <item>－</item>
      </candidateList>
      <explain>文本全半角错误。</explain>
      <paraID>5488139B</paraID>
      <start>28</start>
      <end>29</end>
      <status>unmodified</status>
      <modifiedWord/>
      <trackRevisions>false</trackRevisions>
    </reviewItem>
    <reviewItem>
      <errorID>b4802f08-485e-47ae-84f9-22063616ce8b</errorID>
      <errorWord>-</errorWord>
      <group>L1_Format</group>
      <groupName>格式问题</groupName>
      <ability>L2_HalfPunc_CN</ability>
      <abilityName>全半角问题</abilityName>
      <candidateList>
        <item>－</item>
      </candidateList>
      <explain>文本全半角错误。</explain>
      <paraID>5488139B</paraID>
      <start>39</start>
      <end>40</end>
      <status>unmodified</status>
      <modifiedWord/>
      <trackRevisions>false</trackRevisions>
    </reviewItem>
    <reviewItem>
      <errorID>c2498fbe-ea1c-4bc8-b309-fb61776c991b</errorID>
      <errorWord>自动自动</errorWord>
      <group>L1_Word</group>
      <groupName>字词问题</groupName>
      <ability>L2_Typo</ability>
      <abilityName>字词错误</abilityName>
      <candidateList>
        <item>自动</item>
      </candidateList>
      <explain/>
      <paraID>253DCF53</paraID>
      <start>36</start>
      <end>40</end>
      <status>unmodified</status>
      <modifiedWord/>
      <trackRevisions>false</trackRevisions>
    </reviewItem>
    <reviewItem>
      <errorID>e6408c52-88e3-4fbd-af12-9463fecae95d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6B05ACD1</paraID>
      <start>181</start>
      <end>182</end>
      <status>unmodified</status>
      <modifiedWord/>
      <trackRevisions>false</trackRevisions>
    </reviewItem>
    <reviewItem>
      <errorID>4724bac9-fc75-41ea-9046-ef2f161ebdf7</errorID>
      <errorWord>)</errorWord>
      <group>L1_Format</group>
      <groupName>格式问题</groupName>
      <ability>L2_HalfPunc_CN</ability>
      <abilityName>全半角问题</abilityName>
      <candidateList>
        <item>）</item>
      </candidateList>
      <explain>文本全半角错误。</explain>
      <paraID>5CD15802</paraID>
      <start>25</start>
      <end>26</end>
      <status>unmodified</status>
      <modifiedWord/>
      <trackRevisions>false</trackRevisions>
    </reviewItem>
    <reviewItem>
      <errorID>fe20b08d-5292-4d9d-9d7f-4a2b5aeacb5c</errorID>
      <errorWord>(</errorWord>
      <group>L1_Format</group>
      <groupName>格式问题</groupName>
      <ability>L2_HalfPunc_CN</ability>
      <abilityName>全半角问题</abilityName>
      <candidateList>
        <item>（</item>
      </candidateList>
      <explain>文本全半角错误。</explain>
      <paraID>2CBF32E1</paraID>
      <start>9</start>
      <end>10</end>
      <status>unmodified</status>
      <modifiedWord/>
      <trackRevisions>false</trackRevisions>
    </reviewItem>
    <reviewItem>
      <errorID>e19cbe68-9f08-4d9f-8d64-2637cf22c083</errorID>
      <errorWord>)</errorWord>
      <group>L1_Format</group>
      <groupName>格式问题</groupName>
      <ability>L2_HalfPunc_CN</ability>
      <abilityName>全半角问题</abilityName>
      <candidateList>
        <item>）</item>
      </candidateList>
      <explain>文本全半角错误。</explain>
      <paraID>2CBF32E1</paraID>
      <start>13</start>
      <end>14</end>
      <status>unmodified</status>
      <modifiedWord/>
      <trackRevisions>false</trackRevisions>
    </reviewItem>
    <reviewItem>
      <errorID>ba9061dc-08c1-4454-8e1f-b17c0e039be9</errorID>
      <errorWord>(</errorWord>
      <group>L1_Format</group>
      <groupName>格式问题</groupName>
      <ability>L2_HalfPunc_CN</ability>
      <abilityName>全半角问题</abilityName>
      <candidateList>
        <item>（</item>
      </candidateList>
      <explain>文本全半角错误。</explain>
      <paraID> B40FF62</paraID>
      <start>10</start>
      <end>11</end>
      <status>unmodified</status>
      <modifiedWord/>
      <trackRevisions>false</trackRevisions>
    </reviewItem>
    <reviewItem>
      <errorID>892f6068-e52b-4db8-b5ab-b6c6b39fc536</errorID>
      <errorWord>)</errorWord>
      <group>L1_Format</group>
      <groupName>格式问题</groupName>
      <ability>L2_HalfPunc_CN</ability>
      <abilityName>全半角问题</abilityName>
      <candidateList>
        <item>）</item>
      </candidateList>
      <explain>文本全半角错误。</explain>
      <paraID> B40FF62</paraID>
      <start>14</start>
      <end>15</end>
      <status>unmodified</status>
      <modifiedWord/>
      <trackRevisions>false</trackRevisions>
    </reviewItem>
    <reviewItem>
      <errorID>d2cc11e6-c379-4b94-8c31-3959a56e404c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7DF3CFA7</paraID>
      <start>0</start>
      <end>2</end>
      <status>unmodified</status>
      <modifiedWord/>
      <trackRevisions>false</trackRevisions>
    </reviewItem>
    <reviewItem>
      <errorID>5fbce769-ae77-4bad-b8dc-b91927366b9b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1AA4C173</paraID>
      <start>0</start>
      <end>2</end>
      <status>unmodified</status>
      <modifiedWord/>
      <trackRevisions>false</trackRevisions>
    </reviewItem>
    <reviewItem>
      <errorID>442e1dd4-39dc-4921-a5d1-d357b84205e9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5B0B2ADE</paraID>
      <start>0</start>
      <end>2</end>
      <status>unmodified</status>
      <modifiedWord/>
      <trackRevisions>false</trackRevisions>
    </reviewItem>
    <reviewItem>
      <errorID>8ae33617-502f-4f8e-bf87-d9a17e51539b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7E43BA41</paraID>
      <start>0</start>
      <end>2</end>
      <status>unmodified</status>
      <modifiedWord/>
      <trackRevisions>false</trackRevisions>
    </reviewItem>
    <reviewItem>
      <errorID>987f6de1-da35-485a-a26d-82d22293a604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132FE571</paraID>
      <start>0</start>
      <end>2</end>
      <status>unmodified</status>
      <modifiedWord/>
      <trackRevisions>false</trackRevisions>
    </reviewItem>
    <reviewItem>
      <errorID>ffe1fc13-6292-4480-bb71-7bc6df725c7c</errorID>
      <errorWord>，</errorWord>
      <group>L1_Word</group>
      <groupName>字词问题</groupName>
      <ability>L2_Typo</ability>
      <abilityName>字词错误</abilityName>
      <candidateList>
        <item>，在</item>
      </candidateList>
      <explain/>
      <paraID>6AB8D71C</paraID>
      <start>58</start>
      <end>59</end>
      <status>unmodified</status>
      <modifiedWord/>
      <trackRevisions>false</trackRevisions>
    </reviewItem>
    <reviewItem>
      <errorID>f4c87133-264c-4409-b3e9-8e89f608a831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3DCD28AB</paraID>
      <start>0</start>
      <end>2</end>
      <status>unmodified</status>
      <modifiedWord/>
      <trackRevisions>false</trackRevisions>
    </reviewItem>
    <reviewItem>
      <errorID>0275bafa-fa1b-4ecc-ad72-d27838402cc4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52ACE574</paraID>
      <start>0</start>
      <end>2</end>
      <status>unmodified</status>
      <modifiedWord/>
      <trackRevisions>false</trackRevisions>
    </reviewItem>
    <reviewItem>
      <errorID>7d1a2ca8-feed-4f1c-b1e6-848ec815f740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AA52C2C</paraID>
      <start>0</start>
      <end>2</end>
      <status>unmodified</status>
      <modifiedWord/>
      <trackRevisions>false</trackRevisions>
    </reviewItem>
    <reviewItem>
      <errorID>352ec782-5ca0-4c45-8dd2-829a812bcfe5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39F30E13</paraID>
      <start>0</start>
      <end>2</end>
      <status>unmodified</status>
      <modifiedWord/>
      <trackRevisions>false</trackRevisions>
    </reviewItem>
    <reviewItem>
      <errorID>7fe51fca-a84d-4a06-95a3-9fe29017a68c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4FA52E8C</paraID>
      <start>0</start>
      <end>2</end>
      <status>unmodified</status>
      <modifiedWord/>
      <trackRevisions>false</trackRevisions>
    </reviewItem>
    <reviewItem>
      <errorID>d96b9a51-0f13-4e3d-b434-035bc729bfb6</errorID>
      <errorWord>:</errorWord>
      <group>L1_Format</group>
      <groupName>格式问题</groupName>
      <ability>L2_HalfPunc_CN</ability>
      <abilityName>全半角问题</abilityName>
      <candidateList>
        <item>：</item>
      </candidateList>
      <explain>文本全半角错误。</explain>
      <paraID>5712F8D9</paraID>
      <start>6</start>
      <end>7</end>
      <status>unmodified</status>
      <modifiedWord/>
      <trackRevisions>false</trackRevisions>
    </reviewItem>
    <reviewItem>
      <errorID>9b0f5394-5c8b-4ff0-b7ba-04b9425385f5</errorID>
      <errorWord>:</errorWord>
      <group>L1_Format</group>
      <groupName>格式问题</groupName>
      <ability>L2_HalfPunc_CN</ability>
      <abilityName>全半角问题</abilityName>
      <candidateList>
        <item>：</item>
      </candidateList>
      <explain>文本全半角错误。</explain>
      <paraID>310A594D</paraID>
      <start>6</start>
      <end>7</end>
      <status>unmodified</status>
      <modifiedWord/>
      <trackRevisions>false</trackRevisions>
    </reviewItem>
    <reviewItem>
      <errorID>74753fdb-ac99-4930-987f-eadee76681ef</errorID>
      <errorWord>:</errorWord>
      <group>L1_Format</group>
      <groupName>格式问题</groupName>
      <ability>L2_HalfPunc_CN</ability>
      <abilityName>全半角问题</abilityName>
      <candidateList>
        <item>：</item>
      </candidateList>
      <explain>文本全半角错误。</explain>
      <paraID>7C6107DF</paraID>
      <start>3</start>
      <end>4</end>
      <status>unmodified</status>
      <modifiedWord/>
      <trackRevisions>false</trackRevisions>
    </reviewItem>
    <reviewItem>
      <errorID>aea9d3ad-72fe-4ab4-8b59-6f4cfb96dacb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7A6BD1A7</paraID>
      <start>0</start>
      <end>2</end>
      <status>unmodified</status>
      <modifiedWord/>
      <trackRevisions>false</trackRevisions>
    </reviewItem>
    <reviewItem>
      <errorID>80f49add-eb52-4230-a9c7-6a5d22f6148a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5446435B</paraID>
      <start>0</start>
      <end>2</end>
      <status>unmodified</status>
      <modifiedWord/>
      <trackRevisions>false</trackRevisions>
    </reviewItem>
    <reviewItem>
      <errorID>dee0cf49-2dd2-4dd5-b3d6-3a1acbf2a29a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2DCA49F6</paraID>
      <start>0</start>
      <end>2</end>
      <status>unmodified</status>
      <modifiedWord/>
      <trackRevisions>false</trackRevisions>
    </reviewItem>
    <reviewItem>
      <errorID>e3faf3a9-e733-4ad8-8ed7-7dd1fe060ca7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2DCA49F6</paraID>
      <start>12</start>
      <end>15</end>
      <status>unmodified</status>
      <modifiedWord/>
      <trackRevisions>false</trackRevisions>
    </reviewItem>
    <reviewItem>
      <errorID>d8a5c422-b67f-4ec0-b638-7d16ae0e8b36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2DCA49F6</paraID>
      <start>17</start>
      <end>20</end>
      <status>unmodified</status>
      <modifiedWord/>
      <trackRevisions>false</trackRevisions>
    </reviewItem>
    <reviewItem>
      <errorID>fec487a4-3966-4839-8667-99040ee7c1df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2DCA49F6</paraID>
      <start>22</start>
      <end>25</end>
      <status>unmodified</status>
      <modifiedWord/>
      <trackRevisions>false</trackRevisions>
    </reviewItem>
    <reviewItem>
      <errorID>21a64aa0-919c-4524-bfd0-e60038122458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2DCA49F6</paraID>
      <start>27</start>
      <end>30</end>
      <status>unmodified</status>
      <modifiedWord/>
      <trackRevisions>false</trackRevisions>
    </reviewItem>
    <reviewItem>
      <errorID>7d1f0789-4b13-4bc2-9ab4-d85add37d81e</errorID>
      <errorWord>中华人民共和国政府采购实施条例</errorWord>
      <group>L1_Knowledge</group>
      <groupName>知识性问题</groupName>
      <ability>L2_Knowledge</ability>
      <abilityName>其他知识</abilityName>
      <candidateList>
        <item>中华人民共和国政府采购法实施条例</item>
      </candidateList>
      <explain>当前法律法规未收录或尚未生效，注意核查是否正确。</explain>
      <paraID>1FA6B34C</paraID>
      <start>79</start>
      <end>94</end>
      <status>unmodified</status>
      <modifiedWord/>
      <trackRevisions>false</trackRevisions>
    </reviewItem>
    <reviewItem>
      <errorID>4c763679-6aac-46d2-8e24-fb2b78214362</errorID>
      <errorWord>股东大会</errorWord>
      <group>L1_Word</group>
      <groupName>字词问题</groupName>
      <ability>L2_Typo</ability>
      <abilityName>字词错误</abilityName>
      <candidateList>
        <item>股东会</item>
      </candidateList>
      <explain/>
      <paraID>56A2DCE7</paraID>
      <start>113</start>
      <end>117</end>
      <status>unmodified</status>
      <modifiedWord/>
      <trackRevisions>false</trackRevisions>
    </reviewItem>
    <reviewItem>
      <errorID>9602f78b-fe49-4408-9f01-d6d83c7bf18b</errorID>
      <errorWord>(</errorWord>
      <group>L1_Format</group>
      <groupName>格式问题</groupName>
      <ability>L2_HalfPunc_CN</ability>
      <abilityName>全半角问题</abilityName>
      <candidateList>
        <item>（</item>
      </candidateList>
      <explain>文本全半角错误。</explain>
      <paraID>6D0AD2E9</paraID>
      <start>5</start>
      <end>6</end>
      <status>unmodified</status>
      <modifiedWord/>
      <trackRevisions>false</trackRevisions>
    </reviewItem>
    <reviewItem>
      <errorID>b1e9eee0-101a-47f4-ae42-92d59e6ff80f</errorID>
      <errorWord>)</errorWord>
      <group>L1_Format</group>
      <groupName>格式问题</groupName>
      <ability>L2_HalfPunc_CN</ability>
      <abilityName>全半角问题</abilityName>
      <candidateList>
        <item>）</item>
      </candidateList>
      <explain>文本全半角错误。</explain>
      <paraID>6D0AD2E9</paraID>
      <start>10</start>
      <end>11</end>
      <status>unmodified</status>
      <modifiedWord/>
      <trackRevisions>false</trackRevisions>
    </reviewItem>
    <reviewItem>
      <errorID>75724aea-9f23-4940-82f8-73e271d7ed74</errorID>
      <errorWord>(</errorWord>
      <group>L1_Format</group>
      <groupName>格式问题</groupName>
      <ability>L2_HalfPunc_CN</ability>
      <abilityName>全半角问题</abilityName>
      <candidateList>
        <item>（</item>
      </candidateList>
      <explain>文本全半角错误。</explain>
      <paraID> 6EC2753</paraID>
      <start>5</start>
      <end>6</end>
      <status>unmodified</status>
      <modifiedWord/>
      <trackRevisions>false</trackRevisions>
    </reviewItem>
    <reviewItem>
      <errorID>9588c6cc-80d4-4396-bfc7-2b5ffd2df6ee</errorID>
      <errorWord>)</errorWord>
      <group>L1_Format</group>
      <groupName>格式问题</groupName>
      <ability>L2_HalfPunc_CN</ability>
      <abilityName>全半角问题</abilityName>
      <candidateList>
        <item>）</item>
      </candidateList>
      <explain>文本全半角错误。</explain>
      <paraID> 6EC2753</paraID>
      <start>10</start>
      <end>11</end>
      <status>unmodified</status>
      <modifiedWord/>
      <trackRevisions>false</trackRevisions>
    </reviewItem>
    <reviewItem>
      <errorID>9f0d4989-9c9b-4cd4-9a44-410c3e0a3067</errorID>
      <errorWord>:</errorWord>
      <group>L1_Format</group>
      <groupName>格式问题</groupName>
      <ability>L2_HalfPunc_CN</ability>
      <abilityName>全半角问题</abilityName>
      <candidateList>
        <item>：</item>
      </candidateList>
      <explain>文本全半角错误。</explain>
      <paraID>2A5D87EB</paraID>
      <start>6</start>
      <end>7</end>
      <status>unmodified</status>
      <modifiedWord/>
      <trackRevisions>false</trackRevisions>
    </reviewItem>
    <reviewItem>
      <errorID>2695d08c-7a47-4b8c-99ec-1a34070ecdaf</errorID>
      <errorWord>:</errorWord>
      <group>L1_Format</group>
      <groupName>格式问题</groupName>
      <ability>L2_HalfPunc_CN</ability>
      <abilityName>全半角问题</abilityName>
      <candidateList>
        <item>：</item>
      </candidateList>
      <explain>文本全半角错误。</explain>
      <paraID>  F0DB63</paraID>
      <start>6</start>
      <end>7</end>
      <status>unmodified</status>
      <modifiedWord/>
      <trackRevisions>false</trackRevisions>
    </reviewItem>
    <reviewItem>
      <errorID>8a79eb2a-f804-4abf-a1a5-f31f3510ae0d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1D513D2C</paraID>
      <start>95</start>
      <end>98</end>
      <status>unmodified</status>
      <modifiedWord/>
      <trackRevisions>false</trackRevisions>
    </reviewItem>
    <reviewItem>
      <errorID>818191bb-0a1f-4543-ac70-580bad4acc15</errorID>
      <errorWord>:</errorWord>
      <group>L1_Format</group>
      <groupName>格式问题</groupName>
      <ability>L2_HalfPunc_CN</ability>
      <abilityName>全半角问题</abilityName>
      <candidateList>
        <item>：</item>
      </candidateList>
      <explain>文本全半角错误。</explain>
      <paraID>5AA32EAC</paraID>
      <start>18</start>
      <end>19</end>
      <status>unmodified</status>
      <modifiedWord/>
      <trackRevisions>false</trackRevisions>
    </reviewItem>
    <reviewItem>
      <errorID>43fba241-5681-4d2d-a9cb-0eab2c19e290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643AC955</paraID>
      <start>0</start>
      <end>2</end>
      <status>unmodified</status>
      <modifiedWord/>
      <trackRevisions>false</trackRevisions>
    </reviewItem>
    <reviewItem>
      <errorID>6b283df9-9ba8-42b4-ac25-a3eb5424a151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1B44F0A6</paraID>
      <start>0</start>
      <end>2</end>
      <status>unmodified</status>
      <modifiedWord/>
      <trackRevisions>false</trackRevisions>
    </reviewItem>
    <reviewItem>
      <errorID>7083d0e9-014e-4827-8339-c6cf7de3a061</errorID>
      <errorWord>（…</errorWord>
      <group>L1_Punc</group>
      <groupName>标点问题</groupName>
      <ability>L2_Punc_CN</ability>
      <abilityName>标点符号问题</abilityName>
      <candidateList>
        <item>（</item>
      </candidateList>
      <explain/>
      <paraID>1F566F71</paraID>
      <start>16</start>
      <end>18</end>
      <status>unmodified</status>
      <modifiedWord/>
      <trackRevisions>false</trackRevisions>
    </reviewItem>
    <reviewItem>
      <errorID>82ab9ce0-96cc-4474-ba25-e9eb0984d0d4</errorID>
      <errorWord>（…</errorWord>
      <group>L1_Punc</group>
      <groupName>标点问题</groupName>
      <ability>L2_Punc_CN</ability>
      <abilityName>标点符号问题</abilityName>
      <candidateList>
        <item>（</item>
      </candidateList>
      <explain/>
      <paraID> 34150EC</paraID>
      <start>22</start>
      <end>24</end>
      <status>unmodified</status>
      <modifiedWord/>
      <trackRevisions>false</trackRevisions>
    </reviewItem>
    <reviewItem>
      <errorID>5609cbf9-47fa-429b-b62f-4047a7cbbece</errorID>
      <errorWord>[2011]300号</errorWord>
      <group>L1_Knowledge</group>
      <groupName>知识性问题</groupName>
      <ability>L2_Knowledge</ability>
      <abilityName>其他知识</abilityName>
      <candidateList>
        <item>〔2011〕300号</item>
      </candidateList>
      <explain>发文字号格式错误。</explain>
      <paraID>2F0AB9C6</paraID>
      <start>35</start>
      <end>45</end>
      <status>unmodified</status>
      <modifiedWord/>
      <trackRevisions>false</trackRevisions>
    </reviewItem>
    <reviewItem>
      <errorID>ce3f6977-0f09-4bd5-a292-ab91a15c42d7</errorID>
      <errorWord>须</errorWord>
      <group>L1_Word</group>
      <groupName>字词问题</groupName>
      <ability>L2_Typo</ability>
      <abilityName>字词错误</abilityName>
      <candidateList>
        <item>需</item>
      </candidateList>
      <explain>存在发音相同字词的误用。</explain>
      <paraID>2F0AB9C6</paraID>
      <start>82</start>
      <end>83</end>
      <status>unmodified</status>
      <modifiedWord/>
      <trackRevisions>false</trackRevisions>
    </reviewItem>
    <reviewItem>
      <errorID>2c60f165-8712-43d8-9cce-da6a753e901b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59264255</paraID>
      <start>0</start>
      <end>2</end>
      <status>unmodified</status>
      <modifiedWord/>
      <trackRevisions>false</trackRevisions>
    </reviewItem>
    <reviewItem>
      <errorID>346a6b5c-5e84-4c30-be31-053f526bb6f2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4C9C9029</paraID>
      <start>0</start>
      <end>2</end>
      <status>unmodified</status>
      <modifiedWord/>
      <trackRevisions>false</trackRevisions>
    </reviewItem>
    <reviewItem>
      <errorID>f73d15d8-2f82-440d-9e75-e73024ca372f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6B9763AB</paraID>
      <start>0</start>
      <end>2</end>
      <status>unmodified</status>
      <modifiedWord/>
      <trackRevisions>false</trackRevisions>
    </reviewItem>
    <reviewItem>
      <errorID>b05ea790-7177-4bcc-afef-32d8b489663d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124DAB17</paraID>
      <start>0</start>
      <end>2</end>
      <status>unmodified</status>
      <modifiedWord/>
      <trackRevisions>false</trackRevisions>
    </reviewItem>
    <reviewItem>
      <errorID>e7fd1341-df44-4da6-8a3e-ff845684c1fd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34409CAE</paraID>
      <start>0</start>
      <end>2</end>
      <status>unmodified</status>
      <modifiedWord/>
      <trackRevisions>false</trackRevisions>
    </reviewItem>
    <reviewItem>
      <errorID>ef014fd2-fb95-485e-857a-7dfd4fa06ca3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6D748DED</paraID>
      <start>0</start>
      <end>2</end>
      <status>unmodified</status>
      <modifiedWord/>
      <trackRevisions>false</trackRevisions>
    </reviewItem>
    <reviewItem>
      <errorID>8dd23b57-a97b-4434-ac27-ec9aaeb90308</errorID>
      <errorWord>(</errorWord>
      <group>L1_Format</group>
      <groupName>格式问题</groupName>
      <ability>L2_HalfPunc_CN</ability>
      <abilityName>全半角问题</abilityName>
      <candidateList>
        <item>（</item>
      </candidateList>
      <explain>文本全半角错误。</explain>
      <paraID>588A8FD7</paraID>
      <start>3</start>
      <end>4</end>
      <status>unmodified</status>
      <modifiedWord/>
      <trackRevisions>false</trackRevisions>
    </reviewItem>
    <reviewItem>
      <errorID>cc3aaec8-de0e-41fa-ac2f-7787b381e65d</errorID>
      <errorWord>)</errorWord>
      <group>L1_Format</group>
      <groupName>格式问题</groupName>
      <ability>L2_HalfPunc_CN</ability>
      <abilityName>全半角问题</abilityName>
      <candidateList>
        <item>）</item>
      </candidateList>
      <explain>文本全半角错误。</explain>
      <paraID>588A8FD7</paraID>
      <start>6</start>
      <end>7</end>
      <status>unmodified</status>
      <modifiedWord/>
      <trackRevisions>false</trackRevisions>
    </reviewItem>
    <reviewItem>
      <errorID>caa9824f-c8fa-4b44-a76d-c7b10315e900</errorID>
      <errorWord>(</errorWord>
      <group>L1_Format</group>
      <groupName>格式问题</groupName>
      <ability>L2_HalfPunc_CN</ability>
      <abilityName>全半角问题</abilityName>
      <candidateList>
        <item>（</item>
      </candidateList>
      <explain>文本全半角错误。</explain>
      <paraID>588A8FD7</paraID>
      <start>46</start>
      <end>47</end>
      <status>unmodified</status>
      <modifiedWord/>
      <trackRevisions>false</trackRevisions>
    </reviewItem>
    <reviewItem>
      <errorID>2127c08d-ede9-4c01-95a8-24187f0f9e0e</errorID>
      <errorWord>(2025)34号</errorWord>
      <group>L1_Knowledge</group>
      <groupName>知识性问题</groupName>
      <ability>L2_Knowledge</ability>
      <abilityName>其他知识</abilityName>
      <candidateList>
        <item>〔2025〕34号</item>
      </candidateList>
      <explain>发文字号格式错误。</explain>
      <paraID>588A8FD7</paraID>
      <start>50</start>
      <end>59</end>
      <status>unmodified</status>
      <modifiedWord/>
      <trackRevisions>false</trackRevisions>
    </reviewItem>
    <reviewItem>
      <errorID>3893fd80-88bb-4af4-894d-5327c7167e45</errorID>
      <errorWord>)</errorWord>
      <group>L1_Format</group>
      <groupName>格式问题</groupName>
      <ability>L2_HalfPunc_CN</ability>
      <abilityName>全半角问题</abilityName>
      <candidateList>
        <item>）</item>
      </candidateList>
      <explain>文本全半角错误。</explain>
      <paraID>588A8FD7</paraID>
      <start>59</start>
      <end>60</end>
      <status>unmodified</status>
      <modifiedWord/>
      <trackRevisions>false</trackRevisions>
    </reviewItem>
    <reviewItem>
      <errorID>8d079f70-454d-44ee-91f6-fc5bf656afe6</errorID>
      <errorWord>(</errorWord>
      <group>L1_Format</group>
      <groupName>格式问题</groupName>
      <ability>L2_HalfPunc_CN</ability>
      <abilityName>全半角问题</abilityName>
      <candidateList>
        <item>（</item>
      </candidateList>
      <explain>文本全半角错误。</explain>
      <paraID>588A8FD7</paraID>
      <start>67</start>
      <end>68</end>
      <status>unmodified</status>
      <modifiedWord/>
      <trackRevisions>false</trackRevisions>
    </reviewItem>
    <reviewItem>
      <errorID>47a8973a-2b56-433a-8cfe-293367badeb5</errorID>
      <errorWord>)</errorWord>
      <group>L1_Format</group>
      <groupName>格式问题</groupName>
      <ability>L2_HalfPunc_CN</ability>
      <abilityName>全半角问题</abilityName>
      <candidateList>
        <item>）</item>
      </candidateList>
      <explain>文本全半角错误。</explain>
      <paraID>588A8FD7</paraID>
      <start>70</start>
      <end>71</end>
      <status>unmodified</status>
      <modifiedWord/>
      <trackRevisions>false</trackRevisions>
    </reviewItem>
    <reviewItem>
      <errorID>30f63e27-9aee-4952-9c9d-3b74a230ed88</errorID>
      <errorWord>(</errorWord>
      <group>L1_Format</group>
      <groupName>格式问题</groupName>
      <ability>L2_HalfPunc_CN</ability>
      <abilityName>全半角问题</abilityName>
      <candidateList>
        <item>（</item>
      </candidateList>
      <explain>文本全半角错误。</explain>
      <paraID>50A88B62</paraID>
      <start>3</start>
      <end>4</end>
      <status>unmodified</status>
      <modifiedWord/>
      <trackRevisions>false</trackRevisions>
    </reviewItem>
    <reviewItem>
      <errorID>ac7b778a-3333-49ee-8b39-4914aba9e552</errorID>
      <errorWord>)</errorWord>
      <group>L1_Format</group>
      <groupName>格式问题</groupName>
      <ability>L2_HalfPunc_CN</ability>
      <abilityName>全半角问题</abilityName>
      <candidateList>
        <item>）</item>
      </candidateList>
      <explain>文本全半角错误。</explain>
      <paraID>50A88B62</paraID>
      <start>6</start>
      <end>7</end>
      <status>unmodified</status>
      <modifiedWord/>
      <trackRevisions>false</trackRevisions>
    </reviewItem>
    <reviewItem>
      <errorID>0ba75502-39d1-4de8-aa4c-db9d50ac468e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1D01BB58</paraID>
      <start>19</start>
      <end>22</end>
      <status>unmodified</status>
      <modifiedWord/>
      <trackRevisions>false</trackRevisions>
    </reviewItem>
    <reviewItem>
      <errorID>e4e14868-ee6d-4577-964b-43d6cee283cc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1A316EA9</paraID>
      <start>4</start>
      <end>6</end>
      <status>unmodified</status>
      <modifiedWord/>
      <trackRevisions>false</trackRevisions>
    </reviewItem>
    <reviewItem>
      <errorID>154c3d9d-8bf9-4c30-a5b3-c29167448e73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33A9CDD4</paraID>
      <start>4</start>
      <end>6</end>
      <status>unmodified</status>
      <modifiedWord/>
      <trackRevisions>false</trackRevisions>
    </reviewItem>
    <reviewItem>
      <errorID>cd8e9c4b-4fe7-4252-a1f1-196929a4bca7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7531597A</paraID>
      <start>4</start>
      <end>6</end>
      <status>unmodified</status>
      <modifiedWord/>
      <trackRevisions>false</trackRevisions>
    </reviewItem>
    <reviewItem>
      <errorID>487e36fe-f628-451f-bef3-41d93a0f3eaf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32DE4D58</paraID>
      <start>4</start>
      <end>6</end>
      <status>unmodified</status>
      <modifiedWord/>
      <trackRevisions>false</trackRevisions>
    </reviewItem>
    <reviewItem>
      <errorID>d81e639f-4f4d-4736-9b25-d3ccd9a6472b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717A5C75</paraID>
      <start>4</start>
      <end>6</end>
      <status>unmodified</status>
      <modifiedWord/>
      <trackRevisions>false</trackRevisions>
    </reviewItem>
    <reviewItem>
      <errorID>d09cf356-f71e-48cb-b794-b87c8d974ecd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294486DC</paraID>
      <start>4</start>
      <end>6</end>
      <status>unmodified</status>
      <modifiedWord/>
      <trackRevisions>false</trackRevisions>
    </reviewItem>
    <reviewItem>
      <errorID>5da25417-d646-4a9c-9ef4-3e0ff5838ca4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420CA6C2</paraID>
      <start>4</start>
      <end>6</end>
      <status>unmodified</status>
      <modifiedWord/>
      <trackRevisions>false</trackRevisions>
    </reviewItem>
    <reviewItem>
      <errorID>0715cc1f-8bc5-4d68-bbb9-6dd40a90bbdd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971DC24</paraID>
      <start>4</start>
      <end>6</end>
      <status>unmodified</status>
      <modifiedWord/>
      <trackRevisions>false</trackRevisions>
    </reviewItem>
    <reviewItem>
      <errorID>9d93cc51-51a8-4cf4-8197-a875bccfa5a7</errorID>
      <errorWord>接受</errorWord>
      <group>L1_Word</group>
      <groupName>字词问题</groupName>
      <ability>L2_Typo</ability>
      <abilityName>字词错误</abilityName>
      <candidateList>
        <item>接收</item>
      </candidateList>
      <explain>存在发音相同字词的误用。</explain>
      <paraID> 971DC24</paraID>
      <start>38</start>
      <end>40</end>
      <status>unmodified</status>
      <modifiedWord/>
      <trackRevisions>false</trackRevisions>
    </reviewItem>
    <reviewItem>
      <errorID>bb7df0e6-cba1-4110-a173-ac504ee77158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43C2235D</paraID>
      <start>4</start>
      <end>6</end>
      <status>unmodified</status>
      <modifiedWord/>
      <trackRevisions>false</trackRevisions>
    </reviewItem>
    <reviewItem>
      <errorID>961e8b06-bca9-48ab-a7cc-cb28136ad8b3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12BF7B62</paraID>
      <start>4</start>
      <end>6</end>
      <status>unmodified</status>
      <modifiedWord/>
      <trackRevisions>false</trackRevisions>
    </reviewItem>
    <reviewItem>
      <errorID>edd0cfd2-7570-4475-89d3-91ce1fc7f86d</errorID>
      <errorWord>完</errorWord>
      <group>L1_Word</group>
      <groupName>字词问题</groupName>
      <ability>L2_Typo</ability>
      <abilityName>字词错误</abilityName>
      <candidateList>
        <item>完成</item>
      </candidateList>
      <explain>〈动〉按照预期的目的结束；做成：～任务｜～作业｜计划完得成。</explain>
      <paraID>12BF7B62</paraID>
      <start>19</start>
      <end>20</end>
      <status>unmodified</status>
      <modifiedWord/>
      <trackRevisions>false</trackRevisions>
    </reviewItem>
    <reviewItem>
      <errorID>ce3b9a3f-fa42-4911-bf9c-6f1cb9d9eab5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3FA768E5</paraID>
      <start>4</start>
      <end>6</end>
      <status>unmodified</status>
      <modifiedWord/>
      <trackRevisions>false</trackRevisions>
    </reviewItem>
    <reviewItem>
      <errorID>1471dd4a-dd7c-4151-9dcc-1a4ef07db987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6674DD50</paraID>
      <start>4</start>
      <end>6</end>
      <status>unmodified</status>
      <modifiedWord/>
      <trackRevisions>false</trackRevisions>
    </reviewItem>
    <reviewItem>
      <errorID>082e5bf8-004c-4a8f-92ad-f7aa4ccc8bd6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6AFA6475</paraID>
      <start>4</start>
      <end>6</end>
      <status>unmodified</status>
      <modifiedWord/>
      <trackRevisions>false</trackRevisions>
    </reviewItem>
    <reviewItem>
      <errorID>0cdcfa38-0e9c-47b1-aabd-a878a14cf045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5D3904E5</paraID>
      <start>4</start>
      <end>6</end>
      <status>unmodified</status>
      <modifiedWord/>
      <trackRevisions>false</trackRevisions>
    </reviewItem>
    <reviewItem>
      <errorID>87aa7c11-de25-4057-bc6c-f2c3c10e3396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4FE3F032</paraID>
      <start>4</start>
      <end>6</end>
      <status>unmodified</status>
      <modifiedWord/>
      <trackRevisions>false</trackRevisions>
    </reviewItem>
    <reviewItem>
      <errorID>03517036-8f6d-47e7-bbb3-ef62e17f598d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299B7D4E</paraID>
      <start>4</start>
      <end>6</end>
      <status>unmodified</status>
      <modifiedWord/>
      <trackRevisions>false</trackRevisions>
    </reviewItem>
    <reviewItem>
      <errorID>e553c024-fa04-4d00-ae3a-3bd76183a915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2303ED92</paraID>
      <start>4</start>
      <end>6</end>
      <status>unmodified</status>
      <modifiedWord/>
      <trackRevisions>false</trackRevisions>
    </reviewItem>
    <reviewItem>
      <errorID>aaf1f1ad-c8fb-4be3-b803-644a4c95e07a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6EE01A34</paraID>
      <start>4</start>
      <end>6</end>
      <status>unmodified</status>
      <modifiedWord/>
      <trackRevisions>false</trackRevisions>
    </reviewItem>
    <reviewItem>
      <errorID>8ad58023-a83d-490d-b7b1-1208968448c0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24AFCE34</paraID>
      <start>4</start>
      <end>6</end>
      <status>unmodified</status>
      <modifiedWord/>
      <trackRevisions>false</trackRevisions>
    </reviewItem>
    <reviewItem>
      <errorID>23ef6f49-8245-4317-b488-4da0632d7bb3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7FA53172</paraID>
      <start>4</start>
      <end>6</end>
      <status>unmodified</status>
      <modifiedWord/>
      <trackRevisions>false</trackRevisions>
    </reviewItem>
    <reviewItem>
      <errorID>e5e0c8ce-68df-4e52-a9bc-7d8e37bfc58f</errorID>
      <errorWord>计</errorWord>
      <group>L1_Word</group>
      <groupName>字词问题</groupName>
      <ability>L2_Typo</ability>
      <abilityName>字词错误</abilityName>
      <candidateList>
        <item>计算</item>
      </candidateList>
      <explain/>
      <paraID>7FA53172</paraID>
      <start>75</start>
      <end>76</end>
      <status>unmodified</status>
      <modifiedWord/>
      <trackRevisions>false</trackRevisions>
    </reviewItem>
    <reviewItem>
      <errorID>5d1b4497-e14a-4453-965b-6586f9c1ec96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184B9E63</paraID>
      <start>4</start>
      <end>6</end>
      <status>unmodified</status>
      <modifiedWord/>
      <trackRevisions>false</trackRevisions>
    </reviewItem>
    <reviewItem>
      <errorID>26677a36-d654-47c0-b16c-42abbc534295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818EBE2</paraID>
      <start>4</start>
      <end>6</end>
      <status>unmodified</status>
      <modifiedWord/>
      <trackRevisions>false</trackRevisions>
    </reviewItem>
    <reviewItem>
      <errorID>d5a56113-b162-4abe-8a9f-0ed24897d244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37C6903E</paraID>
      <start>4</start>
      <end>6</end>
      <status>unmodified</status>
      <modifiedWord/>
      <trackRevisions>false</trackRevisions>
    </reviewItem>
    <reviewItem>
      <errorID>cf92a88d-24a1-4ae7-85da-a6c351b5beab</errorID>
      <errorWord>终生</errorWord>
      <group>L1_Word</group>
      <groupName>字词问题</groupName>
      <ability>L2_Typo</ability>
      <abilityName>字词错误</abilityName>
      <candidateList>
        <item>终身</item>
      </candidateList>
      <explain/>
      <paraID>37C6903E</paraID>
      <start>47</start>
      <end>49</end>
      <status>unmodified</status>
      <modifiedWord/>
      <trackRevisions>false</trackRevisions>
    </reviewItem>
    <reviewItem>
      <errorID>a3c1fcaf-10d7-4f26-9a78-0b6050b39883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56AEC0BF</paraID>
      <start>4</start>
      <end>6</end>
      <status>unmodified</status>
      <modifiedWord/>
      <trackRevisions>false</trackRevisions>
    </reviewItem>
    <reviewItem>
      <errorID>ac108da5-4bb9-4862-9bc6-984e6d19b49f</errorID>
      <errorWord>完</errorWord>
      <group>L1_Word</group>
      <groupName>字词问题</groupName>
      <ability>L2_Typo</ability>
      <abilityName>字词错误</abilityName>
      <candidateList>
        <item>完成</item>
      </candidateList>
      <explain>〈动〉按照预期的目的结束；做成：～任务｜～作业｜计划完得成。</explain>
      <paraID>56AEC0BF</paraID>
      <start>101</start>
      <end>102</end>
      <status>unmodified</status>
      <modifiedWord/>
      <trackRevisions>false</trackRevisions>
    </reviewItem>
    <reviewItem>
      <errorID>8c16610d-17ee-4ba6-b0f5-9b20d384ca6d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5CAF5E7B</paraID>
      <start>4</start>
      <end>6</end>
      <status>unmodified</status>
      <modifiedWord/>
      <trackRevisions>false</trackRevisions>
    </reviewItem>
    <reviewItem>
      <errorID>93034a1b-f275-4e61-9b9a-79c993a1db3f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1D6A281F</paraID>
      <start>4</start>
      <end>6</end>
      <status>unmodified</status>
      <modifiedWord/>
      <trackRevisions>false</trackRevisions>
    </reviewItem>
    <reviewItem>
      <errorID>f977cbfa-9d2e-468f-8888-cc0b52d02298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12F16CC</paraID>
      <start>4</start>
      <end>6</end>
      <status>unmodified</status>
      <modifiedWord/>
      <trackRevisions>false</trackRevisions>
    </reviewItem>
    <reviewItem>
      <errorID>dd26eb08-16a8-4a65-afc0-590aafa3aabd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69257D8E</paraID>
      <start>4</start>
      <end>6</end>
      <status>unmodified</status>
      <modifiedWord/>
      <trackRevisions>false</trackRevisions>
    </reviewItem>
    <reviewItem>
      <errorID>272b399f-423e-4a4e-a9f3-940285c941f6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5BE4C73B</paraID>
      <start>4</start>
      <end>6</end>
      <status>unmodified</status>
      <modifiedWord/>
      <trackRevisions>false</trackRevisions>
    </reviewItem>
    <reviewItem>
      <errorID>1c97a79e-bfd2-4804-ba51-6e08dc3c7f73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E56CE8</paraID>
      <start>4</start>
      <end>6</end>
      <status>unmodified</status>
      <modifiedWord/>
      <trackRevisions>false</trackRevisions>
    </reviewItem>
    <reviewItem>
      <errorID>9daebdd9-2d27-4485-9461-d27362bd9ac2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6C53711E</paraID>
      <start>4</start>
      <end>6</end>
      <status>unmodified</status>
      <modifiedWord/>
      <trackRevisions>false</trackRevisions>
    </reviewItem>
    <reviewItem>
      <errorID>65f06a84-a90c-460c-93d2-4a6436710e83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4EC45352</paraID>
      <start>4</start>
      <end>6</end>
      <status>unmodified</status>
      <modifiedWord/>
      <trackRevisions>false</trackRevisions>
    </reviewItem>
    <reviewItem>
      <errorID>7088caa6-c269-40d0-b1df-5b812764349b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6A70716E</paraID>
      <start>4</start>
      <end>6</end>
      <status>unmodified</status>
      <modifiedWord/>
      <trackRevisions>false</trackRevisions>
    </reviewItem>
    <reviewItem>
      <errorID>51bf02c1-f475-47d8-8cfe-0c7af08d47e9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4791686F</paraID>
      <start>4</start>
      <end>6</end>
      <status>unmodified</status>
      <modifiedWord/>
      <trackRevisions>false</trackRevisions>
    </reviewItem>
    <reviewItem>
      <errorID>da4092d0-7efb-4f89-b93c-84aac5a67f37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76AA8761</paraID>
      <start>4</start>
      <end>6</end>
      <status>unmodified</status>
      <modifiedWord/>
      <trackRevisions>false</trackRevisions>
    </reviewItem>
    <reviewItem>
      <errorID>029955dc-3179-4147-9202-9b94c6d4a056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77A641B9</paraID>
      <start>4</start>
      <end>6</end>
      <status>unmodified</status>
      <modifiedWord/>
      <trackRevisions>false</trackRevisions>
    </reviewItem>
    <reviewItem>
      <errorID>632d2b4f-47b1-4ec6-aefe-fee2a6facb55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5AC77A2A</paraID>
      <start>4</start>
      <end>6</end>
      <status>unmodified</status>
      <modifiedWord/>
      <trackRevisions>false</trackRevisions>
    </reviewItem>
    <reviewItem>
      <errorID>b0e583d7-ce99-4b59-af85-ce5e3b4e1d08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7985A3C0</paraID>
      <start>4</start>
      <end>6</end>
      <status>unmodified</status>
      <modifiedWord/>
      <trackRevisions>false</trackRevisions>
    </reviewItem>
    <reviewItem>
      <errorID>bc24d13a-43f2-48e3-8fc1-1766868621fd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13F8F31F</paraID>
      <start>4</start>
      <end>6</end>
      <status>unmodified</status>
      <modifiedWord/>
      <trackRevisions>false</trackRevisions>
    </reviewItem>
    <reviewItem>
      <errorID>e6d382d7-94c3-4293-87e8-2d2a092e6235</errorID>
      <errorWord>其它</errorWord>
      <group>L1_Word</group>
      <groupName>字词问题</groupName>
      <ability>L2_Alias</ability>
      <abilityName>也作/曾用词</abilityName>
      <candidateList>
        <item>其他</item>
      </candidateList>
      <explain>词汇[其它]为不规范表述或旧称，其规范书面表述为[其他]。</explain>
      <paraID>13F8F31F</paraID>
      <start>34</start>
      <end>36</end>
      <status>unmodified</status>
      <modifiedWord/>
      <trackRevisions>false</trackRevisions>
    </reviewItem>
    <reviewItem>
      <errorID>0734f590-3184-49d3-9883-0f3b8143a932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200B4EA</paraID>
      <start>0</start>
      <end>2</end>
      <status>unmodified</status>
      <modifiedWord/>
      <trackRevisions>false</trackRevisions>
    </reviewItem>
    <reviewItem>
      <errorID>87fcffb9-2e93-4527-b92e-42bd36dbfd23</errorID>
      <errorWord>其它</errorWord>
      <group>L1_Word</group>
      <groupName>字词问题</groupName>
      <ability>L2_Alias</ability>
      <abilityName>也作/曾用词</abilityName>
      <candidateList>
        <item>其他</item>
      </candidateList>
      <explain>词汇[其它]为不规范表述或旧称，其规范书面表述为[其他]。</explain>
      <paraID> 200B4EA</paraID>
      <start>2</start>
      <end>4</end>
      <status>unmodified</status>
      <modifiedWord/>
      <trackRevisions>false</trackRevisions>
    </reviewItem>
    <reviewItem>
      <errorID>952f0302-971d-40a1-873a-829a203f845b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64C0A971</paraID>
      <start>0</start>
      <end>2</end>
      <status>unmodified</status>
      <modifiedWord/>
      <trackRevisions>false</trackRevisions>
    </reviewItem>
    <reviewItem>
      <errorID>33dd0f08-e098-4182-ac08-c0cd56245865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2D222382</paraID>
      <start>4</start>
      <end>6</end>
      <status>unmodified</status>
      <modifiedWord/>
      <trackRevisions>false</trackRevisions>
    </reviewItem>
    <reviewItem>
      <errorID>53715b57-817a-4572-ae3a-4773676c5966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25588387</paraID>
      <start>4</start>
      <end>6</end>
      <status>unmodified</status>
      <modifiedWord/>
      <trackRevisions>false</trackRevisions>
    </reviewItem>
    <reviewItem>
      <errorID>b3db9d80-e358-41b7-8e14-89434d2fe272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5AA517E6</paraID>
      <start>4</start>
      <end>6</end>
      <status>unmodified</status>
      <modifiedWord/>
      <trackRevisions>false</trackRevisions>
    </reviewItem>
    <reviewItem>
      <errorID>1d20e0fb-db4d-476d-b0f5-dc9a5d3ec5bb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752942C1</paraID>
      <start>4</start>
      <end>6</end>
      <status>unmodified</status>
      <modifiedWord/>
      <trackRevisions>false</trackRevisions>
    </reviewItem>
    <reviewItem>
      <errorID>c96b9428-6872-4bfd-acd3-06894aa16e2c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6B6E0F75</paraID>
      <start>4</start>
      <end>6</end>
      <status>unmodified</status>
      <modifiedWord/>
      <trackRevisions>false</trackRevisions>
    </reviewItem>
    <reviewItem>
      <errorID>f63062cf-a2c1-42a0-80e9-eadb2b6206b2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3648AF5F</paraID>
      <start>4</start>
      <end>6</end>
      <status>unmodified</status>
      <modifiedWord/>
      <trackRevisions>false</trackRevisions>
    </reviewItem>
    <reviewItem>
      <errorID>5dc70132-e0c4-4908-bbd1-c0a441208484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710B33D6</paraID>
      <start>4</start>
      <end>6</end>
      <status>unmodified</status>
      <modifiedWord/>
      <trackRevisions>false</trackRevisions>
    </reviewItem>
    <reviewItem>
      <errorID>2682b3a4-5434-4a0b-bfd0-bfd4d1059cea</errorID>
      <errorWord>(</errorWord>
      <group>L1_Format</group>
      <groupName>格式问题</groupName>
      <ability>L2_HalfPunc_CN</ability>
      <abilityName>全半角问题</abilityName>
      <candidateList>
        <item>（</item>
      </candidateList>
      <explain>文本全半角错误。</explain>
      <paraID>710B33D6</paraID>
      <start>16</start>
      <end>17</end>
      <status>unmodified</status>
      <modifiedWord/>
      <trackRevisions>false</trackRevisions>
    </reviewItem>
    <reviewItem>
      <errorID>4fec172c-0e49-46b3-9275-a6d669ff9e99</errorID>
      <errorWord>)</errorWord>
      <group>L1_Format</group>
      <groupName>格式问题</groupName>
      <ability>L2_HalfPunc_CN</ability>
      <abilityName>全半角问题</abilityName>
      <candidateList>
        <item>）</item>
      </candidateList>
      <explain>文本全半角错误。</explain>
      <paraID>710B33D6</paraID>
      <start>20</start>
      <end>21</end>
      <status>unmodified</status>
      <modifiedWord/>
      <trackRevisions>false</trackRevisions>
    </reviewItem>
    <reviewItem>
      <errorID>9d9627e3-23fd-49d3-8f44-1f4b0919edea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7FC430F</paraID>
      <start>4</start>
      <end>6</end>
      <status>unmodified</status>
      <modifiedWord/>
      <trackRevisions>false</trackRevisions>
    </reviewItem>
    <reviewItem>
      <errorID>baadc17f-5c56-415b-8297-0f2186a841fa</errorID>
      <errorWord>签</errorWord>
      <group>L1_Word</group>
      <groupName>字词问题</groupName>
      <ability>L2_Typo</ability>
      <abilityName>字词错误</abilityName>
      <candidateList>
        <item>签订</item>
      </candidateList>
      <explain>〈动〉订立条约或合同并签字：两国～了贸易议定书和支付协定。</explain>
      <paraID> 7FC430F</paraID>
      <start>30</start>
      <end>31</end>
      <status>unmodified</status>
      <modifiedWord/>
      <trackRevisions>false</trackRevisions>
    </reviewItem>
    <reviewItem>
      <errorID>86953c58-caa9-42e3-86ed-da08bcbb75c0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62B17175</paraID>
      <start>4</start>
      <end>6</end>
      <status>unmodified</status>
      <modifiedWord/>
      <trackRevisions>false</trackRevisions>
    </reviewItem>
    <reviewItem>
      <errorID>5869f8f0-8739-4f00-9cca-9aa059fcc97c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413703F0</paraID>
      <start>0</start>
      <end>2</end>
      <status>unmodified</status>
      <modifiedWord/>
      <trackRevisions>false</trackRevisions>
    </reviewItem>
    <reviewItem>
      <errorID>5e9587a5-ef8d-4d32-9020-374ce7b3c6ba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235A0EF7</paraID>
      <start>0</start>
      <end>2</end>
      <status>unmodified</status>
      <modifiedWord/>
      <trackRevisions>false</trackRevisions>
    </reviewItem>
    <reviewItem>
      <errorID>7e1163d3-468c-4377-ab79-f3c09c45b095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7D9ADAB3</paraID>
      <start>0</start>
      <end>2</end>
      <status>unmodified</status>
      <modifiedWord/>
      <trackRevisions>false</trackRevisions>
    </reviewItem>
    <reviewItem>
      <errorID>725ceeaf-9ed2-45e2-9c8b-0016d25f5a38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39522224</paraID>
      <start>0</start>
      <end>2</end>
      <status>unmodified</status>
      <modifiedWord/>
      <trackRevisions>false</trackRevisions>
    </reviewItem>
    <reviewItem>
      <errorID>66c9e07d-db48-4482-94b3-f5fb60aaa70f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24D35760</paraID>
      <start>0</start>
      <end>2</end>
      <status>unmodified</status>
      <modifiedWord/>
      <trackRevisions>false</trackRevisions>
    </reviewItem>
    <reviewItem>
      <errorID>35fe7486-e429-4931-b6f5-1bdcc50d190d</errorID>
      <errorWord>(</errorWord>
      <group>L1_Format</group>
      <groupName>格式问题</groupName>
      <ability>L2_HalfPunc_CN</ability>
      <abilityName>全半角问题</abilityName>
      <candidateList>
        <item>（</item>
      </candidateList>
      <explain>文本全半角错误。</explain>
      <paraID>7CB75286</paraID>
      <start>5</start>
      <end>6</end>
      <status>unmodified</status>
      <modifiedWord/>
      <trackRevisions>false</trackRevisions>
    </reviewItem>
    <reviewItem>
      <errorID>d5a3f80b-82aa-4f6f-924f-519fa3aa3df1</errorID>
      <errorWord>)</errorWord>
      <group>L1_Format</group>
      <groupName>格式问题</groupName>
      <ability>L2_HalfPunc_CN</ability>
      <abilityName>全半角问题</abilityName>
      <candidateList>
        <item>）</item>
      </candidateList>
      <explain>文本全半角错误。</explain>
      <paraID>7CB75286</paraID>
      <start>9</start>
      <end>10</end>
      <status>unmodified</status>
      <modifiedWord/>
      <trackRevisions>false</trackRevisions>
    </reviewItem>
    <reviewItem>
      <errorID>001ab602-c941-40af-9177-644ebbeab15f</errorID>
      <errorWord>(</errorWord>
      <group>L1_Format</group>
      <groupName>格式问题</groupName>
      <ability>L2_HalfPunc_CN</ability>
      <abilityName>全半角问题</abilityName>
      <candidateList>
        <item>（</item>
      </candidateList>
      <explain>文本全半角错误。</explain>
      <paraID>40F5B718</paraID>
      <start>5</start>
      <end>6</end>
      <status>unmodified</status>
      <modifiedWord/>
      <trackRevisions>false</trackRevisions>
    </reviewItem>
    <reviewItem>
      <errorID>367f802d-d6f0-41ca-860e-d42597345c48</errorID>
      <errorWord>)</errorWord>
      <group>L1_Format</group>
      <groupName>格式问题</groupName>
      <ability>L2_HalfPunc_CN</ability>
      <abilityName>全半角问题</abilityName>
      <candidateList>
        <item>）</item>
      </candidateList>
      <explain>文本全半角错误。</explain>
      <paraID>40F5B718</paraID>
      <start>9</start>
      <end>10</end>
      <status>unmodified</status>
      <modifiedWord/>
      <trackRevisions>false</trackRevisions>
    </reviewItem>
    <reviewItem>
      <errorID>ff2b5cb9-ac94-4a1d-a805-bb8fc520a3a4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3A8A8967</paraID>
      <start>0</start>
      <end>2</end>
      <status>unmodified</status>
      <modifiedWord/>
      <trackRevisions>false</trackRevisions>
    </reviewItem>
    <reviewItem>
      <errorID>fb55aafe-6985-45c9-8a1e-fd8094aba302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42B7CBF</paraID>
      <start>0</start>
      <end>2</end>
      <status>unmodified</status>
      <modifiedWord/>
      <trackRevisions>false</trackRevisions>
    </reviewItem>
    <reviewItem>
      <errorID>d19798af-06a1-4c39-9c2f-fda6ed869cf2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7E022009</paraID>
      <start>0</start>
      <end>2</end>
      <status>unmodified</status>
      <modifiedWord/>
      <trackRevisions>false</trackRevisions>
    </reviewItem>
    <reviewItem>
      <errorID>67fea8b2-faa0-43fd-9577-38ec5429ec0c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AEF3A8C</paraID>
      <start>0</start>
      <end>2</end>
      <status>unmodified</status>
      <modifiedWord/>
      <trackRevisions>false</trackRevisions>
    </reviewItem>
    <reviewItem>
      <errorID>7cd3f810-7069-4a7f-b2d4-aa5a16f09cd0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461D7DA0</paraID>
      <start>4</start>
      <end>7</end>
      <status>unmodified</status>
      <modifiedWord/>
      <trackRevisions>false</trackRevisions>
    </reviewItem>
    <reviewItem>
      <errorID>616ccf70-9940-46f2-b553-92ac9b40faf1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7C6771E1</paraID>
      <start>0</start>
      <end>3</end>
      <status>unmodified</status>
      <modifiedWord/>
      <trackRevisions>false</trackRevisions>
    </reviewItem>
    <reviewItem>
      <errorID>90b10ccd-764e-42f6-b047-33934942e2e2</errorID>
      <errorWord>(</errorWord>
      <group>L1_Format</group>
      <groupName>格式问题</groupName>
      <ability>L2_HalfPunc_CN</ability>
      <abilityName>全半角问题</abilityName>
      <candidateList>
        <item>（</item>
      </candidateList>
      <explain>文本全半角错误。</explain>
      <paraID>7C6771E1</paraID>
      <start>28</start>
      <end>29</end>
      <status>unmodified</status>
      <modifiedWord/>
      <trackRevisions>false</trackRevisions>
    </reviewItem>
    <reviewItem>
      <errorID>87288398-8d38-453a-941e-6da8ac00d0b0</errorID>
      <errorWord>)</errorWord>
      <group>L1_Format</group>
      <groupName>格式问题</groupName>
      <ability>L2_HalfPunc_CN</ability>
      <abilityName>全半角问题</abilityName>
      <candidateList>
        <item>）</item>
      </candidateList>
      <explain>文本全半角错误。</explain>
      <paraID>7C6771E1</paraID>
      <start>40</start>
      <end>41</end>
      <status>unmodified</status>
      <modifiedWord/>
      <trackRevisions>false</trackRevisions>
    </reviewItem>
    <reviewItem>
      <errorID>a7861af4-12e6-47b1-b54f-9246601e2ab7</errorID>
      <errorWord>(</errorWord>
      <group>L1_Format</group>
      <groupName>格式问题</groupName>
      <ability>L2_HalfPunc_CN</ability>
      <abilityName>全半角问题</abilityName>
      <candidateList>
        <item>（</item>
      </candidateList>
      <explain>文本全半角错误。</explain>
      <paraID>7C6771E1</paraID>
      <start>107</start>
      <end>108</end>
      <status>unmodified</status>
      <modifiedWord/>
      <trackRevisions>false</trackRevisions>
    </reviewItem>
    <reviewItem>
      <errorID>6b515e63-4693-4cf0-8e04-0f449b4402fb</errorID>
      <errorWord>)</errorWord>
      <group>L1_Format</group>
      <groupName>格式问题</groupName>
      <ability>L2_HalfPunc_CN</ability>
      <abilityName>全半角问题</abilityName>
      <candidateList>
        <item>）</item>
      </candidateList>
      <explain>文本全半角错误。</explain>
      <paraID>7C6771E1</paraID>
      <start>117</start>
      <end>118</end>
      <status>unmodified</status>
      <modifiedWord/>
      <trackRevisions>false</trackRevisions>
    </reviewItem>
    <reviewItem>
      <errorID>97aaa715-19c6-4b3d-9cd0-0f08abfb3414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3A0181A7</paraID>
      <start>0</start>
      <end>3</end>
      <status>unmodified</status>
      <modifiedWord/>
      <trackRevisions>false</trackRevisions>
    </reviewItem>
    <reviewItem>
      <errorID>0dff558e-1b68-4cb8-858c-75321b601717</errorID>
      <errorWord>(</errorWord>
      <group>L1_Format</group>
      <groupName>格式问题</groupName>
      <ability>L2_HalfPunc_CN</ability>
      <abilityName>全半角问题</abilityName>
      <candidateList>
        <item>（</item>
      </candidateList>
      <explain>文本全半角错误。</explain>
      <paraID>3A0181A7</paraID>
      <start>25</start>
      <end>26</end>
      <status>unmodified</status>
      <modifiedWord/>
      <trackRevisions>false</trackRevisions>
    </reviewItem>
    <reviewItem>
      <errorID>17fd355e-5fcb-496f-8f89-52001de28aae</errorID>
      <errorWord>)</errorWord>
      <group>L1_Format</group>
      <groupName>格式问题</groupName>
      <ability>L2_HalfPunc_CN</ability>
      <abilityName>全半角问题</abilityName>
      <candidateList>
        <item>）</item>
      </candidateList>
      <explain>文本全半角错误。</explain>
      <paraID>3A0181A7</paraID>
      <start>38</start>
      <end>39</end>
      <status>unmodified</status>
      <modifiedWord/>
      <trackRevisions>false</trackRevisions>
    </reviewItem>
    <reviewItem>
      <errorID>df4c0802-5a1a-43e8-8afe-d4f4b422dc71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2139D0D4</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cbc098-64de-44a5-8348-7529d98b1f85}">
  <ds:schemaRefs/>
</ds:datastoreItem>
</file>

<file path=docProps/app.xml><?xml version="1.0" encoding="utf-8"?>
<Properties xmlns="http://schemas.openxmlformats.org/officeDocument/2006/extended-properties" xmlns:vt="http://schemas.openxmlformats.org/officeDocument/2006/docPropsVTypes">
  <Template>Normal</Template>
  <Pages>101</Pages>
  <Words>17597</Words>
  <Characters>18588</Characters>
  <Lines>1</Lines>
  <Paragraphs>1</Paragraphs>
  <TotalTime>13</TotalTime>
  <ScaleCrop>false</ScaleCrop>
  <LinksUpToDate>false</LinksUpToDate>
  <CharactersWithSpaces>19143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2021-01-05T09:48:00Z</dcterms:created>
  <dc:creator>聂泉源</dc:creator>
  <cp:lastModifiedBy>Administrator</cp:lastModifiedBy>
  <cp:lastPrinted>2018-09-20T01:31:00Z</cp:lastPrinted>
  <dcterms:modified xsi:type="dcterms:W3CDTF">2026-07-24T05:31:06Z</dcterms:modified>
  <dc:title>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eyJoZGlkIjoiOTM2NGU2NDJlODU4NTllZTZjMTk1MjllZWU1ZThiYzAiLCJ1c2VySWQiOiI1MjM2MDEwODMifQ==</vt:lpwstr>
  </property>
  <property fmtid="{D5CDD505-2E9C-101B-9397-08002B2CF9AE}" pid="4" name="ICV">
    <vt:lpwstr>C6FA652381D341519A91EE261684646A_13</vt:lpwstr>
  </property>
</Properties>
</file>