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FEC5">
      <w:pPr>
        <w:shd w:val="clear"/>
        <w:jc w:val="center"/>
        <w:rPr>
          <w:rFonts w:hint="eastAsia" w:ascii="华文新魏" w:hAnsi="宋体" w:eastAsia="华文新魏"/>
          <w:color w:val="auto"/>
          <w:sz w:val="52"/>
          <w:szCs w:val="52"/>
          <w:highlight w:val="none"/>
        </w:rPr>
      </w:pPr>
    </w:p>
    <w:p w14:paraId="1997A5C0">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1A2850C9">
      <w:pPr>
        <w:shd w:val="clear"/>
        <w:spacing w:before="156" w:beforeLines="50"/>
        <w:jc w:val="center"/>
        <w:rPr>
          <w:rFonts w:hint="eastAsia" w:ascii="楷体" w:hAnsi="楷体" w:eastAsia="楷体"/>
          <w:color w:val="auto"/>
          <w:sz w:val="48"/>
          <w:szCs w:val="48"/>
          <w:highlight w:val="none"/>
        </w:rPr>
      </w:pPr>
    </w:p>
    <w:p w14:paraId="6ABBA2C0">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011A849D">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776CFC87">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5365" cy="1624965"/>
            <wp:effectExtent l="0" t="0" r="635"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2EFC21F8">
      <w:pPr>
        <w:pStyle w:val="21"/>
        <w:shd w:val="clear"/>
        <w:snapToGrid w:val="0"/>
        <w:spacing w:before="120" w:after="120" w:line="500" w:lineRule="exact"/>
        <w:jc w:val="left"/>
        <w:rPr>
          <w:rFonts w:hint="eastAsia" w:hAnsi="宋体"/>
          <w:b/>
          <w:bCs/>
          <w:color w:val="auto"/>
          <w:sz w:val="32"/>
          <w:szCs w:val="36"/>
          <w:highlight w:val="none"/>
        </w:rPr>
      </w:pPr>
    </w:p>
    <w:p w14:paraId="18689A4F">
      <w:pPr>
        <w:pStyle w:val="21"/>
        <w:shd w:val="clear"/>
        <w:snapToGrid w:val="0"/>
        <w:spacing w:before="120" w:after="120" w:line="500" w:lineRule="exact"/>
        <w:jc w:val="center"/>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GXZC2026-C3-001731-GLZB</w:t>
      </w:r>
    </w:p>
    <w:p w14:paraId="41C45F91">
      <w:pPr>
        <w:pStyle w:val="21"/>
        <w:shd w:val="clear"/>
        <w:snapToGrid w:val="0"/>
        <w:spacing w:before="120" w:after="120" w:line="500" w:lineRule="exact"/>
        <w:ind w:left="2530" w:leftChars="0" w:hanging="2530" w:hangingChars="700"/>
        <w:jc w:val="center"/>
        <w:rPr>
          <w:rFonts w:hint="eastAsia" w:hAnsi="宋体"/>
          <w:b/>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飞利浦牌CT模拟定位系统维保服务（重）</w:t>
      </w:r>
    </w:p>
    <w:p w14:paraId="236DF9D1">
      <w:pPr>
        <w:pStyle w:val="21"/>
        <w:shd w:val="clear"/>
        <w:snapToGrid w:val="0"/>
        <w:spacing w:before="120" w:after="120" w:line="500" w:lineRule="exact"/>
        <w:jc w:val="center"/>
        <w:rPr>
          <w:rFonts w:ascii="Times New Roman" w:hAnsi="Times New Roman" w:cs="Times New Roman"/>
          <w:b/>
          <w:bCs/>
          <w:color w:val="auto"/>
          <w:sz w:val="36"/>
          <w:szCs w:val="36"/>
          <w:highlight w:val="none"/>
        </w:rPr>
      </w:pPr>
    </w:p>
    <w:p w14:paraId="21F8680B">
      <w:pPr>
        <w:pBdr>
          <w:bottom w:val="thickThinSmallGap" w:color="auto" w:sz="24" w:space="1"/>
        </w:pBdr>
        <w:shd w:val="clear"/>
        <w:snapToGrid w:val="0"/>
        <w:spacing w:before="156" w:beforeLines="50" w:line="500" w:lineRule="exact"/>
        <w:ind w:firstLine="3054" w:firstLineChars="845"/>
        <w:jc w:val="left"/>
        <w:rPr>
          <w:rFonts w:hint="eastAsia" w:ascii="宋体" w:hAnsi="宋体"/>
          <w:b/>
          <w:color w:val="auto"/>
          <w:sz w:val="32"/>
          <w:szCs w:val="36"/>
          <w:highlight w:val="none"/>
        </w:rPr>
      </w:pPr>
      <w:r>
        <w:rPr>
          <w:rFonts w:hint="eastAsia" w:ascii="Times New Roman" w:hAnsi="宋体"/>
          <w:b/>
          <w:bCs/>
          <w:color w:val="auto"/>
          <w:sz w:val="36"/>
          <w:szCs w:val="36"/>
          <w:highlight w:val="none"/>
          <w:lang w:eastAsia="zh-CN"/>
        </w:rPr>
        <w:t>(</w:t>
      </w:r>
      <w:r>
        <w:rPr>
          <w:rFonts w:hint="eastAsia" w:ascii="Times New Roman" w:hAnsi="Times New Roman"/>
          <w:b/>
          <w:bCs/>
          <w:color w:val="auto"/>
          <w:sz w:val="36"/>
          <w:szCs w:val="36"/>
          <w:highlight w:val="none"/>
        </w:rPr>
        <w:t>GXGL2026S-C179-Z</w:t>
      </w:r>
      <w:r>
        <w:rPr>
          <w:rFonts w:hint="eastAsia" w:ascii="Times New Roman" w:hAnsi="Times New Roman"/>
          <w:b/>
          <w:bCs/>
          <w:color w:val="auto"/>
          <w:sz w:val="36"/>
          <w:szCs w:val="36"/>
          <w:highlight w:val="none"/>
          <w:lang w:eastAsia="zh-CN"/>
        </w:rPr>
        <w:t>)</w:t>
      </w:r>
    </w:p>
    <w:p w14:paraId="51F28EC5">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b/>
          <w:color w:val="auto"/>
          <w:sz w:val="30"/>
          <w:szCs w:val="72"/>
          <w:highlight w:val="none"/>
          <w:lang w:eastAsia="zh-CN"/>
        </w:rPr>
        <w:t>广西医科大学第一附属医院</w:t>
      </w:r>
      <w:r>
        <w:rPr>
          <w:rFonts w:hint="eastAsia" w:ascii="宋体" w:hAnsi="宋体"/>
          <w:b/>
          <w:color w:val="auto"/>
          <w:sz w:val="30"/>
          <w:szCs w:val="72"/>
          <w:highlight w:val="none"/>
        </w:rPr>
        <w:t xml:space="preserve"> </w:t>
      </w:r>
    </w:p>
    <w:p w14:paraId="62C8EBB4">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0BEAF1A3">
      <w:pPr>
        <w:shd w:val="clea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2026年</w:t>
      </w:r>
      <w:r>
        <w:rPr>
          <w:rFonts w:hint="eastAsia" w:ascii="宋体" w:hAnsi="宋体"/>
          <w:b/>
          <w:color w:val="auto"/>
          <w:sz w:val="30"/>
          <w:szCs w:val="72"/>
          <w:highlight w:val="none"/>
          <w:lang w:val="en-US" w:eastAsia="zh-CN"/>
        </w:rPr>
        <w:t>6</w:t>
      </w:r>
      <w:r>
        <w:rPr>
          <w:rFonts w:hint="eastAsia" w:ascii="宋体" w:hAnsi="宋体"/>
          <w:b/>
          <w:color w:val="auto"/>
          <w:sz w:val="30"/>
          <w:szCs w:val="72"/>
          <w:highlight w:val="none"/>
        </w:rPr>
        <w:t>月</w:t>
      </w:r>
    </w:p>
    <w:p w14:paraId="770EB9E3">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4D9CE1E2">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0AFE092">
      <w:pPr>
        <w:shd w:val="clear"/>
        <w:jc w:val="center"/>
        <w:rPr>
          <w:rFonts w:hint="eastAsia" w:ascii="宋体" w:hAnsi="宋体"/>
          <w:b/>
          <w:color w:val="auto"/>
          <w:sz w:val="44"/>
          <w:szCs w:val="44"/>
          <w:highlight w:val="none"/>
        </w:rPr>
      </w:pPr>
    </w:p>
    <w:p w14:paraId="4EA27869">
      <w:pPr>
        <w:pStyle w:val="27"/>
        <w:shd w:val="clear"/>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第一章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竞争性磋商</w:t>
      </w:r>
      <w:bookmarkStart w:id="0" w:name="_Hlt43300494"/>
      <w:r>
        <w:rPr>
          <w:rStyle w:val="41"/>
          <w:rFonts w:hint="eastAsia" w:ascii="宋体" w:hAnsi="宋体"/>
          <w:color w:val="auto"/>
          <w:sz w:val="32"/>
          <w:szCs w:val="32"/>
          <w:highlight w:val="none"/>
        </w:rPr>
        <w:t>公</w:t>
      </w:r>
      <w:bookmarkEnd w:id="0"/>
      <w:r>
        <w:rPr>
          <w:rStyle w:val="41"/>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DD4C08E">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第二章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33C822E">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第三章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采购</w:t>
      </w:r>
      <w:bookmarkStart w:id="3" w:name="_Hlt496918403"/>
      <w:bookmarkStart w:id="4" w:name="_Hlt496918402"/>
      <w:r>
        <w:rPr>
          <w:rStyle w:val="41"/>
          <w:rFonts w:hint="eastAsia" w:ascii="宋体" w:hAnsi="宋体"/>
          <w:color w:val="auto"/>
          <w:sz w:val="32"/>
          <w:szCs w:val="32"/>
          <w:highlight w:val="none"/>
        </w:rPr>
        <w:t>需</w:t>
      </w:r>
      <w:bookmarkEnd w:id="3"/>
      <w:bookmarkEnd w:id="4"/>
      <w:bookmarkStart w:id="5" w:name="_Hlt476673919"/>
      <w:bookmarkStart w:id="6" w:name="_Hlt476673918"/>
      <w:r>
        <w:rPr>
          <w:rStyle w:val="41"/>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505D368">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第四章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88FD924">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kern w:val="0"/>
          <w:sz w:val="32"/>
          <w:szCs w:val="32"/>
          <w:highlight w:val="none"/>
        </w:rPr>
        <w:t>第五章</w:t>
      </w:r>
      <w:r>
        <w:rPr>
          <w:rStyle w:val="41"/>
          <w:rFonts w:ascii="宋体" w:hAnsi="宋体"/>
          <w:color w:val="auto"/>
          <w:kern w:val="0"/>
          <w:sz w:val="32"/>
          <w:szCs w:val="32"/>
          <w:highlight w:val="none"/>
        </w:rPr>
        <w:t xml:space="preserve">  </w:t>
      </w:r>
      <w:r>
        <w:rPr>
          <w:rStyle w:val="41"/>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35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F122C00">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kern w:val="0"/>
          <w:sz w:val="32"/>
          <w:szCs w:val="32"/>
          <w:highlight w:val="none"/>
        </w:rPr>
        <w:t>第六章</w:t>
      </w:r>
      <w:r>
        <w:rPr>
          <w:rStyle w:val="41"/>
          <w:rFonts w:ascii="宋体" w:hAnsi="宋体"/>
          <w:color w:val="auto"/>
          <w:kern w:val="0"/>
          <w:sz w:val="32"/>
          <w:szCs w:val="32"/>
          <w:highlight w:val="none"/>
        </w:rPr>
        <w:t xml:space="preserve">  </w:t>
      </w:r>
      <w:r>
        <w:rPr>
          <w:rStyle w:val="41"/>
          <w:rFonts w:hint="eastAsia" w:ascii="宋体" w:hAnsi="宋体"/>
          <w:color w:val="auto"/>
          <w:kern w:val="0"/>
          <w:sz w:val="32"/>
          <w:szCs w:val="32"/>
          <w:highlight w:val="none"/>
        </w:rPr>
        <w:t>评标标</w:t>
      </w:r>
      <w:bookmarkStart w:id="7" w:name="_Hlt514850010"/>
      <w:bookmarkStart w:id="8" w:name="_Hlt514850011"/>
      <w:r>
        <w:rPr>
          <w:rStyle w:val="41"/>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39</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0EC84A3C">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633B82AA">
      <w:pPr>
        <w:shd w:val="clear"/>
        <w:spacing w:line="400" w:lineRule="exact"/>
        <w:jc w:val="center"/>
        <w:rPr>
          <w:rFonts w:hint="eastAsia" w:ascii="仿宋_GB2312" w:hAnsi="宋体" w:eastAsia="仿宋_GB2312"/>
          <w:b/>
          <w:color w:val="auto"/>
          <w:sz w:val="32"/>
          <w:szCs w:val="32"/>
          <w:highlight w:val="none"/>
        </w:rPr>
      </w:pPr>
    </w:p>
    <w:p w14:paraId="22D0D0EE">
      <w:pPr>
        <w:shd w:val="clear"/>
        <w:spacing w:line="400" w:lineRule="exact"/>
        <w:jc w:val="center"/>
        <w:rPr>
          <w:rFonts w:hint="eastAsia" w:ascii="仿宋_GB2312" w:hAnsi="宋体" w:eastAsia="仿宋_GB2312"/>
          <w:b/>
          <w:color w:val="auto"/>
          <w:sz w:val="32"/>
          <w:szCs w:val="32"/>
          <w:highlight w:val="none"/>
        </w:rPr>
      </w:pPr>
    </w:p>
    <w:p w14:paraId="5E259EF5">
      <w:pPr>
        <w:shd w:val="clear"/>
        <w:spacing w:line="400" w:lineRule="exact"/>
        <w:jc w:val="center"/>
        <w:rPr>
          <w:rFonts w:hint="eastAsia" w:ascii="仿宋_GB2312" w:hAnsi="宋体" w:eastAsia="仿宋_GB2312"/>
          <w:b/>
          <w:color w:val="auto"/>
          <w:sz w:val="32"/>
          <w:szCs w:val="32"/>
          <w:highlight w:val="none"/>
        </w:rPr>
      </w:pPr>
    </w:p>
    <w:p w14:paraId="1D274C7B">
      <w:pPr>
        <w:shd w:val="clear"/>
        <w:spacing w:line="400" w:lineRule="exact"/>
        <w:jc w:val="center"/>
        <w:rPr>
          <w:rFonts w:hint="eastAsia" w:ascii="仿宋_GB2312" w:hAnsi="宋体" w:eastAsia="仿宋_GB2312"/>
          <w:b/>
          <w:color w:val="auto"/>
          <w:sz w:val="32"/>
          <w:szCs w:val="32"/>
          <w:highlight w:val="none"/>
        </w:rPr>
      </w:pPr>
    </w:p>
    <w:p w14:paraId="1E55A12E">
      <w:pPr>
        <w:shd w:val="clear"/>
        <w:spacing w:line="400" w:lineRule="exact"/>
        <w:jc w:val="center"/>
        <w:rPr>
          <w:rFonts w:hint="eastAsia" w:ascii="仿宋_GB2312" w:hAnsi="宋体" w:eastAsia="仿宋_GB2312"/>
          <w:b/>
          <w:color w:val="auto"/>
          <w:sz w:val="32"/>
          <w:szCs w:val="32"/>
          <w:highlight w:val="none"/>
        </w:rPr>
      </w:pPr>
    </w:p>
    <w:p w14:paraId="1EB16CE0">
      <w:pPr>
        <w:shd w:val="clear"/>
        <w:spacing w:line="400" w:lineRule="exact"/>
        <w:jc w:val="center"/>
        <w:rPr>
          <w:rFonts w:hint="eastAsia" w:ascii="仿宋_GB2312" w:hAnsi="宋体" w:eastAsia="仿宋_GB2312"/>
          <w:b/>
          <w:color w:val="auto"/>
          <w:sz w:val="32"/>
          <w:szCs w:val="32"/>
          <w:highlight w:val="none"/>
        </w:rPr>
      </w:pPr>
    </w:p>
    <w:p w14:paraId="72146D6A">
      <w:pPr>
        <w:shd w:val="clear"/>
        <w:spacing w:line="400" w:lineRule="exact"/>
        <w:jc w:val="center"/>
        <w:rPr>
          <w:rFonts w:hint="eastAsia" w:ascii="仿宋_GB2312" w:hAnsi="宋体" w:eastAsia="仿宋_GB2312"/>
          <w:b/>
          <w:color w:val="auto"/>
          <w:sz w:val="32"/>
          <w:szCs w:val="32"/>
          <w:highlight w:val="none"/>
        </w:rPr>
      </w:pPr>
    </w:p>
    <w:p w14:paraId="0C32FF2F">
      <w:pPr>
        <w:shd w:val="clear"/>
        <w:spacing w:line="400" w:lineRule="exact"/>
        <w:jc w:val="center"/>
        <w:rPr>
          <w:rFonts w:hint="eastAsia" w:ascii="仿宋_GB2312" w:hAnsi="宋体" w:eastAsia="仿宋_GB2312"/>
          <w:b/>
          <w:color w:val="auto"/>
          <w:sz w:val="32"/>
          <w:szCs w:val="32"/>
          <w:highlight w:val="none"/>
        </w:rPr>
      </w:pPr>
    </w:p>
    <w:p w14:paraId="044411A5">
      <w:pPr>
        <w:shd w:val="clear"/>
        <w:spacing w:line="400" w:lineRule="exact"/>
        <w:jc w:val="center"/>
        <w:rPr>
          <w:rFonts w:hint="eastAsia" w:ascii="仿宋_GB2312" w:hAnsi="宋体" w:eastAsia="仿宋_GB2312"/>
          <w:b/>
          <w:color w:val="auto"/>
          <w:sz w:val="32"/>
          <w:szCs w:val="32"/>
          <w:highlight w:val="none"/>
        </w:rPr>
      </w:pPr>
    </w:p>
    <w:p w14:paraId="7507CC49">
      <w:pPr>
        <w:shd w:val="clear"/>
        <w:spacing w:line="400" w:lineRule="exact"/>
        <w:jc w:val="center"/>
        <w:rPr>
          <w:rFonts w:hint="eastAsia" w:ascii="仿宋_GB2312" w:hAnsi="宋体" w:eastAsia="仿宋_GB2312"/>
          <w:b/>
          <w:color w:val="auto"/>
          <w:sz w:val="32"/>
          <w:szCs w:val="32"/>
          <w:highlight w:val="none"/>
        </w:rPr>
      </w:pPr>
    </w:p>
    <w:p w14:paraId="33DB35DF">
      <w:pPr>
        <w:shd w:val="clear"/>
        <w:spacing w:line="400" w:lineRule="exact"/>
        <w:jc w:val="center"/>
        <w:rPr>
          <w:rFonts w:hint="eastAsia" w:ascii="仿宋_GB2312" w:hAnsi="宋体" w:eastAsia="仿宋_GB2312"/>
          <w:b/>
          <w:color w:val="auto"/>
          <w:sz w:val="32"/>
          <w:szCs w:val="32"/>
          <w:highlight w:val="none"/>
        </w:rPr>
      </w:pPr>
    </w:p>
    <w:p w14:paraId="08271784">
      <w:pPr>
        <w:shd w:val="clear"/>
        <w:spacing w:line="400" w:lineRule="exact"/>
        <w:jc w:val="center"/>
        <w:rPr>
          <w:rFonts w:hint="eastAsia" w:ascii="黑体" w:hAnsi="宋体" w:eastAsia="黑体"/>
          <w:b/>
          <w:color w:val="auto"/>
          <w:sz w:val="32"/>
          <w:szCs w:val="32"/>
          <w:highlight w:val="none"/>
        </w:rPr>
      </w:pPr>
    </w:p>
    <w:p w14:paraId="25572EA6">
      <w:pPr>
        <w:shd w:val="clear"/>
        <w:spacing w:line="400" w:lineRule="exact"/>
        <w:jc w:val="center"/>
        <w:rPr>
          <w:rFonts w:hint="eastAsia" w:ascii="黑体" w:hAnsi="宋体" w:eastAsia="黑体"/>
          <w:b/>
          <w:color w:val="auto"/>
          <w:sz w:val="32"/>
          <w:szCs w:val="32"/>
          <w:highlight w:val="none"/>
        </w:rPr>
      </w:pPr>
    </w:p>
    <w:p w14:paraId="19279094">
      <w:pPr>
        <w:shd w:val="clear"/>
        <w:spacing w:line="400" w:lineRule="exact"/>
        <w:jc w:val="center"/>
        <w:rPr>
          <w:rFonts w:hint="eastAsia" w:ascii="黑体" w:hAnsi="宋体" w:eastAsia="黑体"/>
          <w:b/>
          <w:color w:val="auto"/>
          <w:sz w:val="32"/>
          <w:szCs w:val="32"/>
          <w:highlight w:val="none"/>
        </w:rPr>
      </w:pPr>
    </w:p>
    <w:p w14:paraId="5CEF51F4">
      <w:pPr>
        <w:shd w:val="clear"/>
        <w:spacing w:line="400" w:lineRule="exact"/>
        <w:jc w:val="center"/>
        <w:rPr>
          <w:rFonts w:hint="eastAsia" w:ascii="黑体" w:hAnsi="宋体" w:eastAsia="黑体"/>
          <w:b/>
          <w:color w:val="auto"/>
          <w:sz w:val="32"/>
          <w:szCs w:val="32"/>
          <w:highlight w:val="none"/>
        </w:rPr>
      </w:pPr>
    </w:p>
    <w:p w14:paraId="4A493657">
      <w:pPr>
        <w:shd w:val="clear"/>
        <w:spacing w:line="400" w:lineRule="exact"/>
        <w:jc w:val="center"/>
        <w:rPr>
          <w:rFonts w:hint="eastAsia" w:ascii="黑体" w:hAnsi="宋体" w:eastAsia="黑体"/>
          <w:b/>
          <w:color w:val="auto"/>
          <w:sz w:val="32"/>
          <w:szCs w:val="32"/>
          <w:highlight w:val="none"/>
        </w:rPr>
      </w:pPr>
    </w:p>
    <w:p w14:paraId="72ECDA6C">
      <w:pPr>
        <w:shd w:val="clear"/>
        <w:spacing w:line="400" w:lineRule="exact"/>
        <w:jc w:val="center"/>
        <w:rPr>
          <w:rFonts w:hint="eastAsia" w:ascii="黑体" w:hAnsi="宋体" w:eastAsia="黑体"/>
          <w:b/>
          <w:color w:val="auto"/>
          <w:sz w:val="32"/>
          <w:szCs w:val="32"/>
          <w:highlight w:val="none"/>
        </w:rPr>
      </w:pPr>
    </w:p>
    <w:p w14:paraId="6F9F4E94">
      <w:pPr>
        <w:shd w:val="clear"/>
        <w:spacing w:line="400" w:lineRule="exact"/>
        <w:jc w:val="center"/>
        <w:rPr>
          <w:rFonts w:hint="eastAsia" w:ascii="黑体" w:hAnsi="宋体" w:eastAsia="黑体"/>
          <w:b/>
          <w:color w:val="auto"/>
          <w:sz w:val="32"/>
          <w:szCs w:val="32"/>
          <w:highlight w:val="none"/>
        </w:rPr>
      </w:pPr>
    </w:p>
    <w:p w14:paraId="375E676B">
      <w:pPr>
        <w:shd w:val="clear"/>
        <w:spacing w:line="400" w:lineRule="exact"/>
        <w:jc w:val="center"/>
        <w:rPr>
          <w:rFonts w:hint="eastAsia" w:ascii="黑体" w:hAnsi="宋体" w:eastAsia="黑体"/>
          <w:b/>
          <w:color w:val="auto"/>
          <w:sz w:val="32"/>
          <w:szCs w:val="32"/>
          <w:highlight w:val="none"/>
        </w:rPr>
      </w:pPr>
    </w:p>
    <w:p w14:paraId="5CAF44C2">
      <w:pPr>
        <w:shd w:val="clear"/>
        <w:spacing w:line="400" w:lineRule="exact"/>
        <w:jc w:val="center"/>
        <w:rPr>
          <w:rFonts w:hint="eastAsia" w:ascii="黑体" w:hAnsi="宋体" w:eastAsia="黑体"/>
          <w:b/>
          <w:color w:val="auto"/>
          <w:sz w:val="32"/>
          <w:szCs w:val="32"/>
          <w:highlight w:val="none"/>
        </w:rPr>
      </w:pPr>
    </w:p>
    <w:p w14:paraId="08905CC1">
      <w:pPr>
        <w:shd w:val="clear"/>
        <w:spacing w:line="400" w:lineRule="exact"/>
        <w:jc w:val="center"/>
        <w:rPr>
          <w:rFonts w:hint="eastAsia" w:ascii="宋体" w:hAnsi="宋体"/>
          <w:b/>
          <w:color w:val="auto"/>
          <w:sz w:val="32"/>
          <w:szCs w:val="32"/>
          <w:highlight w:val="none"/>
        </w:rPr>
      </w:pPr>
    </w:p>
    <w:p w14:paraId="0DF44134">
      <w:pPr>
        <w:shd w:val="clear"/>
        <w:spacing w:line="400" w:lineRule="exact"/>
        <w:jc w:val="center"/>
        <w:rPr>
          <w:rFonts w:hint="eastAsia" w:ascii="宋体" w:hAnsi="宋体"/>
          <w:b/>
          <w:color w:val="auto"/>
          <w:sz w:val="32"/>
          <w:szCs w:val="32"/>
          <w:highlight w:val="none"/>
        </w:rPr>
      </w:pPr>
    </w:p>
    <w:p w14:paraId="4E3B7AD3">
      <w:pPr>
        <w:shd w:val="clear"/>
        <w:spacing w:line="400" w:lineRule="exact"/>
        <w:jc w:val="center"/>
        <w:rPr>
          <w:rFonts w:hint="eastAsia" w:ascii="宋体" w:hAnsi="宋体"/>
          <w:b/>
          <w:color w:val="auto"/>
          <w:sz w:val="32"/>
          <w:szCs w:val="32"/>
          <w:highlight w:val="none"/>
        </w:rPr>
      </w:pPr>
    </w:p>
    <w:p w14:paraId="2045449A">
      <w:pPr>
        <w:shd w:val="clear"/>
        <w:spacing w:line="400" w:lineRule="exact"/>
        <w:jc w:val="center"/>
        <w:rPr>
          <w:rFonts w:hint="eastAsia" w:ascii="宋体" w:hAnsi="宋体"/>
          <w:b/>
          <w:color w:val="auto"/>
          <w:sz w:val="32"/>
          <w:szCs w:val="32"/>
          <w:highlight w:val="none"/>
        </w:rPr>
      </w:pPr>
    </w:p>
    <w:p w14:paraId="06872FCE">
      <w:pPr>
        <w:shd w:val="clear"/>
        <w:spacing w:line="400" w:lineRule="exact"/>
        <w:jc w:val="center"/>
        <w:rPr>
          <w:rFonts w:hint="eastAsia" w:ascii="宋体" w:hAnsi="宋体"/>
          <w:b/>
          <w:color w:val="auto"/>
          <w:sz w:val="32"/>
          <w:szCs w:val="32"/>
          <w:highlight w:val="none"/>
        </w:rPr>
      </w:pPr>
    </w:p>
    <w:p w14:paraId="33EEF1F7">
      <w:pPr>
        <w:shd w:val="clear"/>
        <w:spacing w:line="400" w:lineRule="exact"/>
        <w:jc w:val="center"/>
        <w:rPr>
          <w:rFonts w:hint="eastAsia" w:ascii="宋体" w:hAnsi="宋体"/>
          <w:b/>
          <w:color w:val="auto"/>
          <w:sz w:val="32"/>
          <w:szCs w:val="32"/>
          <w:highlight w:val="none"/>
        </w:rPr>
      </w:pPr>
    </w:p>
    <w:p w14:paraId="003130E2">
      <w:pPr>
        <w:shd w:val="clear"/>
        <w:spacing w:line="400" w:lineRule="exact"/>
        <w:jc w:val="center"/>
        <w:rPr>
          <w:rFonts w:hint="eastAsia" w:ascii="宋体" w:hAnsi="宋体"/>
          <w:b/>
          <w:color w:val="auto"/>
          <w:sz w:val="32"/>
          <w:szCs w:val="32"/>
          <w:highlight w:val="none"/>
        </w:rPr>
      </w:pPr>
    </w:p>
    <w:p w14:paraId="0142FA80">
      <w:pPr>
        <w:shd w:val="clear"/>
        <w:spacing w:line="400" w:lineRule="exact"/>
        <w:jc w:val="center"/>
        <w:rPr>
          <w:rFonts w:hint="eastAsia" w:ascii="宋体" w:hAnsi="宋体"/>
          <w:b/>
          <w:color w:val="auto"/>
          <w:sz w:val="32"/>
          <w:szCs w:val="32"/>
          <w:highlight w:val="none"/>
        </w:rPr>
      </w:pPr>
    </w:p>
    <w:p w14:paraId="5EE5729A">
      <w:pPr>
        <w:shd w:val="clear"/>
        <w:spacing w:line="400" w:lineRule="exact"/>
        <w:jc w:val="center"/>
        <w:rPr>
          <w:rFonts w:hint="eastAsia" w:ascii="宋体" w:hAnsi="宋体"/>
          <w:b/>
          <w:color w:val="auto"/>
          <w:sz w:val="32"/>
          <w:szCs w:val="32"/>
          <w:highlight w:val="none"/>
        </w:rPr>
      </w:pPr>
    </w:p>
    <w:p w14:paraId="65BE7829">
      <w:pPr>
        <w:shd w:val="clear"/>
        <w:spacing w:line="400" w:lineRule="exact"/>
        <w:jc w:val="center"/>
        <w:rPr>
          <w:rFonts w:hint="eastAsia" w:ascii="宋体" w:hAnsi="宋体"/>
          <w:b/>
          <w:color w:val="auto"/>
          <w:sz w:val="32"/>
          <w:szCs w:val="32"/>
          <w:highlight w:val="none"/>
        </w:rPr>
      </w:pPr>
    </w:p>
    <w:p w14:paraId="0D0D210E">
      <w:pPr>
        <w:shd w:val="clear"/>
        <w:spacing w:line="400" w:lineRule="exact"/>
        <w:jc w:val="center"/>
        <w:rPr>
          <w:rFonts w:hint="eastAsia" w:ascii="宋体" w:hAnsi="宋体"/>
          <w:b/>
          <w:color w:val="auto"/>
          <w:sz w:val="32"/>
          <w:szCs w:val="32"/>
          <w:highlight w:val="none"/>
        </w:rPr>
      </w:pPr>
    </w:p>
    <w:p w14:paraId="3271D4A6">
      <w:pPr>
        <w:shd w:val="clear"/>
        <w:spacing w:line="400" w:lineRule="exact"/>
        <w:jc w:val="center"/>
        <w:rPr>
          <w:rFonts w:hint="eastAsia" w:ascii="宋体" w:hAnsi="宋体"/>
          <w:b/>
          <w:color w:val="auto"/>
          <w:sz w:val="32"/>
          <w:szCs w:val="32"/>
          <w:highlight w:val="none"/>
        </w:rPr>
      </w:pPr>
    </w:p>
    <w:p w14:paraId="27B828D5">
      <w:pPr>
        <w:shd w:val="clear"/>
        <w:spacing w:line="400" w:lineRule="exact"/>
        <w:rPr>
          <w:rFonts w:hint="eastAsia" w:ascii="宋体" w:hAnsi="宋体"/>
          <w:b/>
          <w:color w:val="auto"/>
          <w:sz w:val="32"/>
          <w:szCs w:val="32"/>
          <w:highlight w:val="none"/>
        </w:rPr>
      </w:pPr>
    </w:p>
    <w:p w14:paraId="62404DAB">
      <w:pPr>
        <w:pStyle w:val="34"/>
        <w:shd w:val="clear"/>
        <w:rPr>
          <w:rFonts w:hint="eastAsia"/>
          <w:color w:val="auto"/>
          <w:sz w:val="44"/>
          <w:szCs w:val="44"/>
          <w:highlight w:val="none"/>
        </w:rPr>
      </w:pPr>
      <w:bookmarkStart w:id="11" w:name="_Toc476258756"/>
      <w:bookmarkStart w:id="12" w:name="_Toc476258662"/>
      <w:r>
        <w:rPr>
          <w:rFonts w:hint="eastAsia"/>
          <w:color w:val="auto"/>
          <w:sz w:val="44"/>
          <w:szCs w:val="44"/>
          <w:highlight w:val="none"/>
        </w:rPr>
        <w:t>第一章  竞争性磋商公告</w:t>
      </w:r>
      <w:bookmarkEnd w:id="11"/>
      <w:bookmarkEnd w:id="12"/>
    </w:p>
    <w:p w14:paraId="58A051B4">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280CA6C7">
      <w:pPr>
        <w:shd w:val="clea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3ED838C1">
      <w:pPr>
        <w:shd w:val="clear"/>
        <w:spacing w:line="370" w:lineRule="exact"/>
        <w:rPr>
          <w:rFonts w:hint="eastAsia"/>
          <w:color w:val="auto"/>
          <w:highlight w:val="none"/>
        </w:rPr>
      </w:pPr>
    </w:p>
    <w:p w14:paraId="12B0A72C">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0048767A">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飞利浦牌CT模拟定位系统维保服务（重）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6月23日</w:t>
      </w:r>
      <w:r>
        <w:rPr>
          <w:rFonts w:hint="eastAsia" w:ascii="宋体" w:hAnsi="宋体"/>
          <w:bCs/>
          <w:color w:val="auto"/>
          <w:szCs w:val="21"/>
          <w:highlight w:val="none"/>
          <w:u w:val="single"/>
          <w:lang w:val="en-US" w:eastAsia="zh-CN"/>
        </w:rPr>
        <w:t>9时30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15F16DA5">
      <w:pPr>
        <w:shd w:val="clear"/>
        <w:spacing w:line="380" w:lineRule="exact"/>
        <w:rPr>
          <w:rFonts w:ascii="宋体" w:hAnsi="宋体"/>
          <w:color w:val="auto"/>
          <w:szCs w:val="21"/>
          <w:highlight w:val="none"/>
        </w:rPr>
      </w:pPr>
    </w:p>
    <w:p w14:paraId="6F212DD6">
      <w:pPr>
        <w:shd w:val="clear"/>
        <w:spacing w:line="380" w:lineRule="exact"/>
        <w:rPr>
          <w:rFonts w:ascii="宋体" w:hAnsi="宋体"/>
          <w:b/>
          <w:color w:val="auto"/>
          <w:highlight w:val="none"/>
        </w:rPr>
      </w:pPr>
      <w:bookmarkStart w:id="13" w:name="_Toc28359012"/>
      <w:bookmarkStart w:id="14" w:name="_Toc35393629"/>
      <w:bookmarkStart w:id="15" w:name="_Toc28359089"/>
      <w:bookmarkStart w:id="16" w:name="_Toc35393798"/>
      <w:r>
        <w:rPr>
          <w:rFonts w:hint="eastAsia" w:ascii="宋体" w:hAnsi="宋体"/>
          <w:b/>
          <w:color w:val="auto"/>
          <w:highlight w:val="none"/>
        </w:rPr>
        <w:t>一、项目基本情况</w:t>
      </w:r>
      <w:bookmarkEnd w:id="13"/>
      <w:bookmarkEnd w:id="14"/>
      <w:bookmarkEnd w:id="15"/>
      <w:bookmarkEnd w:id="16"/>
    </w:p>
    <w:p w14:paraId="798F86BC">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GXZC2026-C3-001731-GLZB</w:t>
      </w:r>
    </w:p>
    <w:p w14:paraId="5F01BAD0">
      <w:pPr>
        <w:widowControl/>
        <w:shd w:val="clear"/>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val="en-US" w:eastAsia="zh-CN"/>
        </w:rPr>
        <w:t>飞利浦牌CT模拟定位系统维保服务（重）</w:t>
      </w:r>
    </w:p>
    <w:p w14:paraId="2B3A942E">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eastAsia="zh-CN"/>
        </w:rPr>
        <w:t>1126700</w:t>
      </w:r>
    </w:p>
    <w:p w14:paraId="7FEEFDC4">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221D8189">
      <w:pPr>
        <w:shd w:val="clear"/>
        <w:spacing w:line="380" w:lineRule="exact"/>
        <w:ind w:left="420" w:leftChars="20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olor w:val="auto"/>
          <w:highlight w:val="none"/>
          <w:lang w:eastAsia="zh-CN"/>
        </w:rPr>
        <w:t>飞利浦牌CT模拟定位系统维保服务</w:t>
      </w:r>
    </w:p>
    <w:p w14:paraId="0236B215">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w:t>
      </w:r>
    </w:p>
    <w:p w14:paraId="7B94B271">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eastAsia="zh-CN"/>
        </w:rPr>
        <w:t>1126700</w:t>
      </w:r>
    </w:p>
    <w:p w14:paraId="2092B89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飞利浦牌CT模拟定位系统维保服务</w:t>
      </w:r>
      <w:r>
        <w:rPr>
          <w:rFonts w:hint="eastAsia" w:ascii="宋体" w:hAnsi="宋体"/>
          <w:color w:val="auto"/>
          <w:highlight w:val="none"/>
          <w:lang w:val="en-US" w:eastAsia="zh-CN"/>
        </w:rPr>
        <w:t>1项</w:t>
      </w:r>
      <w:r>
        <w:rPr>
          <w:rFonts w:hint="eastAsia" w:ascii="宋体" w:hAnsi="宋体"/>
          <w:color w:val="auto"/>
          <w:highlight w:val="none"/>
        </w:rPr>
        <w:t>。如需进一步了解详细内容，详见竞争性磋商文件。</w:t>
      </w:r>
    </w:p>
    <w:p w14:paraId="365D924B">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最高限价（如有）：</w:t>
      </w:r>
      <w:r>
        <w:rPr>
          <w:rFonts w:hint="eastAsia" w:ascii="宋体" w:hAnsi="宋体"/>
          <w:color w:val="auto"/>
          <w:highlight w:val="none"/>
          <w:lang w:eastAsia="zh-CN"/>
        </w:rPr>
        <w:t>1126700</w:t>
      </w:r>
      <w:r>
        <w:rPr>
          <w:rFonts w:hint="eastAsia" w:ascii="宋体" w:hAnsi="宋体"/>
          <w:color w:val="auto"/>
          <w:highlight w:val="none"/>
          <w:lang w:val="en-US" w:eastAsia="zh-CN"/>
        </w:rPr>
        <w:t>元</w:t>
      </w:r>
    </w:p>
    <w:p w14:paraId="31FCD0B2">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合同履约期限：详见第三章采购需求</w:t>
      </w:r>
      <w:r>
        <w:rPr>
          <w:rFonts w:hint="eastAsia" w:ascii="宋体" w:hAnsi="宋体"/>
          <w:color w:val="auto"/>
          <w:highlight w:val="none"/>
          <w:lang w:eastAsia="zh-CN"/>
        </w:rPr>
        <w:t>。</w:t>
      </w:r>
    </w:p>
    <w:p w14:paraId="0DD4D33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3501888D">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100EA7CD">
      <w:pPr>
        <w:shd w:val="clear"/>
        <w:spacing w:line="380" w:lineRule="exact"/>
        <w:rPr>
          <w:rFonts w:ascii="宋体" w:hAnsi="宋体"/>
          <w:b/>
          <w:color w:val="auto"/>
          <w:highlight w:val="none"/>
        </w:rPr>
      </w:pPr>
      <w:bookmarkStart w:id="17" w:name="_Toc28359090"/>
      <w:bookmarkStart w:id="18" w:name="_Toc35393799"/>
      <w:bookmarkStart w:id="19" w:name="_Toc28359013"/>
      <w:bookmarkStart w:id="20" w:name="_Toc35393630"/>
      <w:r>
        <w:rPr>
          <w:rFonts w:hint="eastAsia" w:ascii="宋体" w:hAnsi="宋体"/>
          <w:b/>
          <w:color w:val="auto"/>
          <w:highlight w:val="none"/>
        </w:rPr>
        <w:t>二、申请人的资格要求：</w:t>
      </w:r>
      <w:bookmarkEnd w:id="17"/>
      <w:bookmarkEnd w:id="18"/>
      <w:bookmarkEnd w:id="19"/>
      <w:bookmarkEnd w:id="20"/>
    </w:p>
    <w:p w14:paraId="3007E328">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3D995D1E">
      <w:pPr>
        <w:shd w:val="clear"/>
        <w:spacing w:line="380" w:lineRule="exact"/>
        <w:ind w:firstLine="420" w:firstLineChars="200"/>
        <w:rPr>
          <w:rFonts w:ascii="宋体" w:hAnsi="宋体"/>
          <w:color w:val="auto"/>
          <w:highlight w:val="none"/>
        </w:rPr>
      </w:pPr>
      <w:bookmarkStart w:id="21" w:name="_Toc28359014"/>
      <w:bookmarkStart w:id="22" w:name="_Toc28359091"/>
      <w:r>
        <w:rPr>
          <w:rFonts w:ascii="宋体" w:hAnsi="宋体"/>
          <w:color w:val="auto"/>
          <w:highlight w:val="none"/>
        </w:rPr>
        <w:t>2</w:t>
      </w:r>
      <w:r>
        <w:rPr>
          <w:rFonts w:hint="eastAsia" w:ascii="宋体" w:hAnsi="宋体"/>
          <w:color w:val="auto"/>
          <w:highlight w:val="none"/>
        </w:rPr>
        <w:t>.落实政府采购政策需满足的资格要求：无；</w:t>
      </w:r>
    </w:p>
    <w:p w14:paraId="500B8F3E">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4FEABB05">
      <w:pPr>
        <w:shd w:val="clear"/>
        <w:spacing w:line="380" w:lineRule="exact"/>
        <w:rPr>
          <w:rFonts w:ascii="宋体" w:hAnsi="宋体"/>
          <w:b/>
          <w:color w:val="auto"/>
          <w:highlight w:val="none"/>
        </w:rPr>
      </w:pPr>
      <w:bookmarkStart w:id="23" w:name="_Toc35393631"/>
      <w:bookmarkStart w:id="24" w:name="_Toc35393800"/>
      <w:r>
        <w:rPr>
          <w:rFonts w:hint="eastAsia" w:ascii="宋体" w:hAnsi="宋体"/>
          <w:b/>
          <w:color w:val="auto"/>
          <w:highlight w:val="none"/>
        </w:rPr>
        <w:t>三、获取采购文件</w:t>
      </w:r>
      <w:bookmarkEnd w:id="21"/>
      <w:bookmarkEnd w:id="22"/>
      <w:bookmarkEnd w:id="23"/>
      <w:bookmarkEnd w:id="24"/>
    </w:p>
    <w:p w14:paraId="5901154A">
      <w:pPr>
        <w:shd w:val="clea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lang w:eastAsia="zh-CN"/>
        </w:rPr>
        <w:t>2026年</w:t>
      </w:r>
      <w:r>
        <w:rPr>
          <w:rFonts w:hint="eastAsia" w:ascii="宋体" w:hAnsi="宋体"/>
          <w:color w:val="auto"/>
          <w:highlight w:val="none"/>
          <w:u w:val="none"/>
          <w:lang w:val="en-US" w:eastAsia="zh-CN"/>
        </w:rPr>
        <w:t>6</w:t>
      </w:r>
      <w:r>
        <w:rPr>
          <w:rFonts w:hint="eastAsia" w:ascii="宋体" w:hAnsi="宋体"/>
          <w:color w:val="auto"/>
          <w:highlight w:val="none"/>
          <w:u w:val="none"/>
        </w:rPr>
        <w:t>月</w:t>
      </w:r>
      <w:r>
        <w:rPr>
          <w:rFonts w:hint="eastAsia" w:ascii="宋体" w:hAnsi="宋体"/>
          <w:color w:val="auto"/>
          <w:highlight w:val="none"/>
          <w:u w:val="none"/>
          <w:lang w:val="en-US" w:eastAsia="zh-CN"/>
        </w:rPr>
        <w:t>9</w:t>
      </w:r>
      <w:r>
        <w:rPr>
          <w:rFonts w:hint="eastAsia" w:ascii="宋体" w:hAnsi="宋体"/>
          <w:color w:val="auto"/>
          <w:highlight w:val="none"/>
          <w:u w:val="none"/>
        </w:rPr>
        <w:t>日至</w:t>
      </w:r>
      <w:r>
        <w:rPr>
          <w:rFonts w:hint="eastAsia" w:ascii="宋体" w:hAnsi="宋体"/>
          <w:color w:val="auto"/>
          <w:highlight w:val="none"/>
          <w:u w:val="none"/>
          <w:lang w:eastAsia="zh-CN"/>
        </w:rPr>
        <w:t>2026年</w:t>
      </w:r>
      <w:r>
        <w:rPr>
          <w:rFonts w:hint="eastAsia" w:ascii="宋体" w:hAnsi="宋体"/>
          <w:color w:val="auto"/>
          <w:highlight w:val="none"/>
          <w:u w:val="none"/>
          <w:lang w:val="en-US" w:eastAsia="zh-CN"/>
        </w:rPr>
        <w:t>6</w:t>
      </w:r>
      <w:r>
        <w:rPr>
          <w:rFonts w:hint="eastAsia" w:ascii="宋体" w:hAnsi="宋体"/>
          <w:color w:val="auto"/>
          <w:highlight w:val="none"/>
          <w:u w:val="none"/>
        </w:rPr>
        <w:t>月</w:t>
      </w:r>
      <w:r>
        <w:rPr>
          <w:rFonts w:hint="eastAsia" w:ascii="宋体" w:hAnsi="宋体"/>
          <w:color w:val="auto"/>
          <w:highlight w:val="none"/>
          <w:u w:val="none"/>
          <w:lang w:val="en-US" w:eastAsia="zh-CN"/>
        </w:rPr>
        <w:t>16</w:t>
      </w:r>
      <w:r>
        <w:rPr>
          <w:rFonts w:hint="eastAsia" w:ascii="宋体" w:hAnsi="宋体"/>
          <w:color w:val="auto"/>
          <w:highlight w:val="none"/>
          <w:u w:val="none"/>
        </w:rPr>
        <w:t>日，每天上午8时30分至</w:t>
      </w:r>
      <w:r>
        <w:rPr>
          <w:rFonts w:hint="eastAsia" w:ascii="宋体" w:hAnsi="宋体"/>
          <w:color w:val="auto"/>
          <w:highlight w:val="none"/>
          <w:u w:val="none"/>
          <w:lang w:val="en-US" w:eastAsia="zh-CN"/>
        </w:rPr>
        <w:t>12</w:t>
      </w:r>
      <w:r>
        <w:rPr>
          <w:rFonts w:hint="eastAsia" w:ascii="宋体" w:hAnsi="宋体"/>
          <w:color w:val="auto"/>
          <w:highlight w:val="none"/>
          <w:u w:val="none"/>
        </w:rPr>
        <w:t>时</w:t>
      </w:r>
      <w:r>
        <w:rPr>
          <w:rFonts w:hint="eastAsia" w:ascii="宋体" w:hAnsi="宋体"/>
          <w:color w:val="auto"/>
          <w:highlight w:val="none"/>
          <w:u w:val="none"/>
          <w:lang w:val="en-US" w:eastAsia="zh-CN"/>
        </w:rPr>
        <w:t>00</w:t>
      </w:r>
      <w:r>
        <w:rPr>
          <w:rFonts w:hint="eastAsia" w:ascii="宋体" w:hAnsi="宋体"/>
          <w:color w:val="auto"/>
          <w:highlight w:val="none"/>
          <w:u w:val="none"/>
        </w:rPr>
        <w:t>分，下午12时00分至18时00分（北京时间，</w:t>
      </w:r>
      <w:r>
        <w:rPr>
          <w:rFonts w:ascii="宋体" w:hAnsi="宋体"/>
          <w:color w:val="auto"/>
          <w:highlight w:val="none"/>
          <w:u w:val="none"/>
        </w:rPr>
        <w:t>法定节假日</w:t>
      </w:r>
      <w:r>
        <w:rPr>
          <w:rFonts w:hint="eastAsia" w:ascii="宋体" w:hAnsi="宋体"/>
          <w:color w:val="auto"/>
          <w:highlight w:val="none"/>
          <w:u w:val="none"/>
        </w:rPr>
        <w:t>除外 ）</w:t>
      </w:r>
    </w:p>
    <w:p w14:paraId="446EAE02">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地点（网址）：广西政府采购云平台（https://www.gcy.zfcg.gxzf.gov.cn/）</w:t>
      </w:r>
    </w:p>
    <w:p w14:paraId="0ABE7CD1">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E98A0D4">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7D2CAD51">
      <w:pPr>
        <w:shd w:val="clear"/>
        <w:spacing w:line="380" w:lineRule="exact"/>
        <w:rPr>
          <w:rFonts w:ascii="宋体" w:hAnsi="宋体"/>
          <w:b/>
          <w:color w:val="auto"/>
          <w:highlight w:val="none"/>
        </w:rPr>
      </w:pPr>
      <w:bookmarkStart w:id="25" w:name="_Toc28359092"/>
      <w:bookmarkStart w:id="26" w:name="_Toc28359015"/>
      <w:bookmarkStart w:id="27" w:name="_Toc35393801"/>
      <w:bookmarkStart w:id="28" w:name="_Toc35393632"/>
      <w:r>
        <w:rPr>
          <w:rFonts w:hint="eastAsia" w:ascii="宋体" w:hAnsi="宋体"/>
          <w:b/>
          <w:color w:val="auto"/>
          <w:highlight w:val="none"/>
        </w:rPr>
        <w:t>四、响应文件提交</w:t>
      </w:r>
      <w:bookmarkEnd w:id="25"/>
      <w:bookmarkEnd w:id="26"/>
      <w:bookmarkEnd w:id="27"/>
      <w:bookmarkEnd w:id="28"/>
    </w:p>
    <w:p w14:paraId="1EEFC55B">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6月23日</w:t>
      </w:r>
      <w:r>
        <w:rPr>
          <w:rFonts w:hint="eastAsia" w:ascii="宋体" w:hAnsi="宋体"/>
          <w:bCs/>
          <w:color w:val="auto"/>
          <w:highlight w:val="none"/>
        </w:rPr>
        <w:t xml:space="preserve"> 09:30（北京时间）</w:t>
      </w:r>
    </w:p>
    <w:p w14:paraId="184267E7">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w:t>
      </w:r>
      <w:r>
        <w:rPr>
          <w:rFonts w:hint="eastAsia" w:ascii="宋体" w:hAnsi="宋体"/>
          <w:bCs/>
          <w:color w:val="auto"/>
          <w:highlight w:val="none"/>
        </w:rPr>
        <w:t>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639892EC">
      <w:pPr>
        <w:shd w:val="clear"/>
        <w:spacing w:line="380" w:lineRule="exact"/>
        <w:rPr>
          <w:rFonts w:ascii="宋体" w:hAnsi="宋体"/>
          <w:b/>
          <w:color w:val="auto"/>
          <w:highlight w:val="none"/>
        </w:rPr>
      </w:pPr>
      <w:bookmarkStart w:id="29" w:name="_Toc35393633"/>
      <w:bookmarkStart w:id="30" w:name="_Toc28359093"/>
      <w:bookmarkStart w:id="31" w:name="_Toc35393802"/>
      <w:bookmarkStart w:id="32" w:name="_Toc28359016"/>
      <w:r>
        <w:rPr>
          <w:rFonts w:hint="eastAsia" w:ascii="宋体" w:hAnsi="宋体"/>
          <w:b/>
          <w:color w:val="auto"/>
          <w:highlight w:val="none"/>
        </w:rPr>
        <w:t>五、开启</w:t>
      </w:r>
      <w:bookmarkEnd w:id="29"/>
      <w:bookmarkEnd w:id="30"/>
      <w:bookmarkEnd w:id="31"/>
      <w:bookmarkEnd w:id="32"/>
    </w:p>
    <w:p w14:paraId="116AA577">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6月23日</w:t>
      </w:r>
      <w:r>
        <w:rPr>
          <w:rFonts w:hint="eastAsia" w:ascii="宋体" w:hAnsi="宋体"/>
          <w:bCs/>
          <w:color w:val="auto"/>
          <w:highlight w:val="none"/>
        </w:rPr>
        <w:t xml:space="preserve"> 09:30（北京时间）</w:t>
      </w:r>
    </w:p>
    <w:p w14:paraId="6FBD5710">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4A1632D2">
      <w:pPr>
        <w:shd w:val="clear"/>
        <w:spacing w:line="380" w:lineRule="exact"/>
        <w:rPr>
          <w:rFonts w:ascii="宋体" w:hAnsi="宋体"/>
          <w:b/>
          <w:color w:val="auto"/>
          <w:highlight w:val="none"/>
        </w:rPr>
      </w:pPr>
      <w:bookmarkStart w:id="33" w:name="_Toc35393803"/>
      <w:bookmarkStart w:id="34" w:name="_Toc35393634"/>
      <w:bookmarkStart w:id="35" w:name="_Toc28359017"/>
      <w:bookmarkStart w:id="36" w:name="_Toc28359094"/>
      <w:r>
        <w:rPr>
          <w:rFonts w:hint="eastAsia" w:ascii="宋体" w:hAnsi="宋体"/>
          <w:b/>
          <w:color w:val="auto"/>
          <w:highlight w:val="none"/>
        </w:rPr>
        <w:t>六、公告期限</w:t>
      </w:r>
      <w:bookmarkEnd w:id="33"/>
      <w:bookmarkEnd w:id="34"/>
      <w:bookmarkEnd w:id="35"/>
      <w:bookmarkEnd w:id="36"/>
    </w:p>
    <w:p w14:paraId="75D30BFE">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7742E532">
      <w:pPr>
        <w:shd w:val="clear"/>
        <w:spacing w:line="380" w:lineRule="exact"/>
        <w:rPr>
          <w:rFonts w:ascii="宋体" w:hAnsi="宋体"/>
          <w:b/>
          <w:color w:val="auto"/>
          <w:highlight w:val="none"/>
        </w:rPr>
      </w:pPr>
      <w:bookmarkStart w:id="37" w:name="_Toc35393635"/>
      <w:bookmarkStart w:id="38" w:name="_Toc35393804"/>
      <w:r>
        <w:rPr>
          <w:rFonts w:hint="eastAsia" w:ascii="宋体" w:hAnsi="宋体"/>
          <w:b/>
          <w:color w:val="auto"/>
          <w:highlight w:val="none"/>
        </w:rPr>
        <w:t>七、其他补充事宜</w:t>
      </w:r>
      <w:bookmarkEnd w:id="37"/>
      <w:bookmarkEnd w:id="38"/>
    </w:p>
    <w:p w14:paraId="56D95337">
      <w:pPr>
        <w:shd w:val="clea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val="0"/>
          <w:bCs/>
          <w:color w:val="auto"/>
          <w:highlight w:val="none"/>
          <w:lang w:val="en-US" w:eastAsia="zh-CN"/>
        </w:rPr>
        <w:t>11,000.00</w:t>
      </w:r>
      <w:r>
        <w:rPr>
          <w:rFonts w:hint="eastAsia" w:ascii="宋体" w:hAnsi="宋体"/>
          <w:bCs/>
          <w:color w:val="auto"/>
          <w:highlight w:val="none"/>
        </w:rPr>
        <w:t>元</w:t>
      </w:r>
      <w:r>
        <w:rPr>
          <w:rFonts w:hint="eastAsia" w:ascii="宋体" w:hAnsi="宋体"/>
          <w:color w:val="auto"/>
          <w:highlight w:val="none"/>
        </w:rPr>
        <w:t>。</w:t>
      </w:r>
      <w:r>
        <w:rPr>
          <w:rFonts w:hint="eastAsia" w:ascii="宋体" w:hAnsi="宋体"/>
          <w:b/>
          <w:color w:val="auto"/>
          <w:highlight w:val="none"/>
        </w:rPr>
        <w:t>（必须足额交纳）</w:t>
      </w:r>
    </w:p>
    <w:p w14:paraId="5CE8BD02">
      <w:pPr>
        <w:shd w:val="clear"/>
        <w:spacing w:line="380" w:lineRule="exact"/>
        <w:ind w:firstLine="420" w:firstLineChars="200"/>
        <w:rPr>
          <w:rFonts w:hint="eastAsia" w:cs="Arial"/>
          <w:color w:val="auto"/>
          <w:highlight w:val="none"/>
        </w:rPr>
      </w:pPr>
      <w:r>
        <w:rPr>
          <w:rFonts w:hint="eastAsia" w:ascii="宋体" w:hAnsi="宋体"/>
          <w:color w:val="auto"/>
          <w:szCs w:val="21"/>
          <w:highlight w:val="none"/>
        </w:rPr>
        <w:t>（1）磋商保证金的交纳方式：</w:t>
      </w:r>
      <w:r>
        <w:rPr>
          <w:rFonts w:hint="eastAsia" w:cs="Arial"/>
          <w:color w:val="auto"/>
          <w:highlight w:val="none"/>
        </w:rPr>
        <w:t>支票、汇票、本票、网上银行或者银行、保险机构出具的保函等非现金形式。</w:t>
      </w:r>
    </w:p>
    <w:p w14:paraId="505CFE6A">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（2）采用银行转账方式的，供应商应于响应文件提交截止时间前将磋商保证金交至以下账户：</w:t>
      </w:r>
    </w:p>
    <w:p w14:paraId="02D81CB1">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开户名称：广西国力招标有限公司</w:t>
      </w:r>
    </w:p>
    <w:p w14:paraId="4B6AEF5D">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开户银行：广西北部湾银行金凯支行（网银支付可选广西北部湾银行江南支行）</w:t>
      </w:r>
    </w:p>
    <w:p w14:paraId="46C0DB1E">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银行账号：800109057455558</w:t>
      </w:r>
    </w:p>
    <w:p w14:paraId="2B131EC9">
      <w:pPr>
        <w:shd w:val="clear"/>
        <w:spacing w:line="380" w:lineRule="exact"/>
        <w:ind w:firstLine="420" w:firstLineChars="200"/>
        <w:rPr>
          <w:rFonts w:hint="eastAsia" w:ascii="宋体" w:hAnsi="宋体" w:cs="Arial"/>
          <w:color w:val="auto"/>
          <w:highlight w:val="none"/>
        </w:rPr>
      </w:pPr>
      <w:r>
        <w:rPr>
          <w:rFonts w:hint="eastAsia" w:ascii="宋体" w:hAnsi="宋体" w:cs="Arial"/>
          <w:color w:val="auto"/>
          <w:highlight w:val="none"/>
        </w:rPr>
        <w:t>银行行号：313611002043</w:t>
      </w:r>
    </w:p>
    <w:p w14:paraId="628F3834">
      <w:pPr>
        <w:shd w:val="clear"/>
        <w:spacing w:line="380" w:lineRule="exact"/>
        <w:ind w:firstLine="420" w:firstLineChars="200"/>
        <w:rPr>
          <w:rFonts w:hint="eastAsia" w:ascii="宋体" w:hAnsi="宋体"/>
          <w:color w:val="auto"/>
          <w:highlight w:val="none"/>
        </w:rPr>
      </w:pPr>
      <w:r>
        <w:rPr>
          <w:rFonts w:hint="eastAsia" w:ascii="宋体" w:hAnsi="宋体" w:cs="Arial"/>
          <w:color w:val="auto"/>
          <w:highlight w:val="none"/>
        </w:rPr>
        <w:t>（3）采用支票、汇票、本票或者保函等方式的，供应商应于响应文件提交截止时间前递交单独密封的</w:t>
      </w:r>
      <w:r>
        <w:rPr>
          <w:rFonts w:hint="eastAsia" w:ascii="宋体" w:hAnsi="宋体"/>
          <w:color w:val="auto"/>
          <w:highlight w:val="none"/>
        </w:rPr>
        <w:t>支票、汇票、本票或者保函（电子保函除外）原件</w:t>
      </w:r>
      <w:r>
        <w:rPr>
          <w:rFonts w:hint="eastAsia" w:ascii="宋体" w:hAnsi="宋体" w:cs="Arial"/>
          <w:color w:val="auto"/>
          <w:highlight w:val="none"/>
        </w:rPr>
        <w:t>至我公司财务部。（财务部联系方式：地址：广西南宁市白沙大道53号松宇时代13楼；电话：0771-4915100、4915200）</w:t>
      </w:r>
    </w:p>
    <w:p w14:paraId="58E5AF92">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5032E4B8">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1B30714F">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60F5476E">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12D1C322">
      <w:pPr>
        <w:shd w:val="clea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3D24D62A">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（1）本项目实行电子竞标，供应商应按照本项目招标文件和</w:t>
      </w:r>
      <w:r>
        <w:rPr>
          <w:rFonts w:hint="eastAsia" w:ascii="宋体" w:hAnsi="宋体"/>
          <w:color w:val="auto"/>
          <w:highlight w:val="none"/>
        </w:rPr>
        <w:t>广西政府采购云平台</w:t>
      </w:r>
      <w:r>
        <w:rPr>
          <w:rFonts w:hint="eastAsia" w:ascii="宋体" w:hAnsi="Times New Roman" w:cs="Arial"/>
          <w:color w:val="auto"/>
          <w:szCs w:val="21"/>
          <w:highlight w:val="none"/>
        </w:rPr>
        <w:t>的要求编制、加密并提交竞标响应文件。供应商在使用系统参与竞标过程中遇到涉及平台使用的任何问题，可致电</w:t>
      </w:r>
      <w:r>
        <w:rPr>
          <w:rFonts w:hint="eastAsia" w:ascii="宋体" w:hAnsi="宋体"/>
          <w:color w:val="auto"/>
          <w:highlight w:val="none"/>
        </w:rPr>
        <w:t>广西政府采购云平台</w:t>
      </w:r>
      <w:r>
        <w:rPr>
          <w:rFonts w:hint="eastAsia" w:ascii="宋体" w:hAnsi="Times New Roman" w:cs="Arial"/>
          <w:color w:val="auto"/>
          <w:szCs w:val="21"/>
          <w:highlight w:val="none"/>
        </w:rPr>
        <w:t>技术支持热线咨询，联系方式：</w:t>
      </w:r>
      <w:r>
        <w:rPr>
          <w:rFonts w:ascii="宋体" w:hAnsi="Times New Roman" w:cs="Arial"/>
          <w:color w:val="auto"/>
          <w:szCs w:val="21"/>
          <w:highlight w:val="none"/>
        </w:rPr>
        <w:t>95763</w:t>
      </w:r>
      <w:r>
        <w:rPr>
          <w:rFonts w:hint="eastAsia" w:ascii="宋体" w:hAnsi="Times New Roman" w:cs="Arial"/>
          <w:color w:val="auto"/>
          <w:szCs w:val="21"/>
          <w:highlight w:val="none"/>
        </w:rPr>
        <w:t>。</w:t>
      </w:r>
    </w:p>
    <w:p w14:paraId="3C7AEFAA">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（2）</w:t>
      </w:r>
      <w:r>
        <w:rPr>
          <w:rFonts w:hint="eastAsia" w:ascii="宋体" w:hAnsi="宋体"/>
          <w:color w:val="auto"/>
          <w:highlight w:val="none"/>
        </w:rPr>
        <w:t>供应商应及时熟悉掌握电子标系统操作指南（见广西政府采购云平台电子卖场首页右上角—服务中心—帮助中心—项目采购）</w:t>
      </w:r>
      <w:r>
        <w:rPr>
          <w:rFonts w:hint="eastAsia" w:ascii="宋体" w:hAnsi="Times New Roman" w:cs="Arial"/>
          <w:color w:val="auto"/>
          <w:szCs w:val="21"/>
          <w:highlight w:val="none"/>
        </w:rPr>
        <w:t>。</w:t>
      </w:r>
    </w:p>
    <w:p w14:paraId="12F55AE1">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（3）供应商应及时完成CA申领和绑定（</w:t>
      </w:r>
      <w:r>
        <w:rPr>
          <w:rFonts w:hint="eastAsia" w:ascii="宋体" w:hAnsi="宋体"/>
          <w:color w:val="auto"/>
          <w:highlight w:val="none"/>
        </w:rPr>
        <w:t>见广西壮族自治区政府采购网—办事服务—下载专区-政采云CA证书办理操作指南</w:t>
      </w:r>
      <w:r>
        <w:rPr>
          <w:rFonts w:hint="eastAsia" w:ascii="宋体" w:hAnsi="Times New Roman" w:cs="Arial"/>
          <w:color w:val="auto"/>
          <w:szCs w:val="21"/>
          <w:highlight w:val="none"/>
        </w:rPr>
        <w:t>）；</w:t>
      </w:r>
    </w:p>
    <w:p w14:paraId="52234965">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广西壮族自治区全流程电子招投标项目管理系统</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供应商客户端）。</w:t>
      </w:r>
    </w:p>
    <w:p w14:paraId="70BD4041">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（5）因未注册入库、未办理CA数字证书、CA证书故障、操作不当等原因造成无法投标或投标失败等后果由供应商自行承担。</w:t>
      </w:r>
    </w:p>
    <w:p w14:paraId="7303B0D6">
      <w:pPr>
        <w:shd w:val="clea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（6）竞标响应文件网上提交截止后，</w:t>
      </w:r>
      <w:r>
        <w:rPr>
          <w:rFonts w:hint="eastAsia" w:ascii="宋体" w:hAnsi="宋体"/>
          <w:color w:val="auto"/>
          <w:highlight w:val="none"/>
        </w:rPr>
        <w:t>广西政府采购云平台</w:t>
      </w:r>
      <w:r>
        <w:rPr>
          <w:rFonts w:hint="eastAsia" w:ascii="宋体" w:hAnsi="Times New Roman" w:cs="Arial"/>
          <w:color w:val="auto"/>
          <w:szCs w:val="21"/>
          <w:highlight w:val="none"/>
        </w:rPr>
        <w:t>（电子标系统）自动提取所有竞标响应文件，各供应商须在开标开始后30分钟内对上传</w:t>
      </w:r>
      <w:r>
        <w:rPr>
          <w:rFonts w:hint="eastAsia" w:ascii="宋体" w:hAnsi="宋体"/>
          <w:color w:val="auto"/>
          <w:highlight w:val="none"/>
        </w:rPr>
        <w:t>广西政府采购云平台</w:t>
      </w:r>
      <w:r>
        <w:rPr>
          <w:rFonts w:hint="eastAsia" w:ascii="宋体" w:hAnsi="Times New Roman" w:cs="Arial"/>
          <w:color w:val="auto"/>
          <w:szCs w:val="21"/>
          <w:highlight w:val="none"/>
        </w:rPr>
        <w:t>的竞标响应文件进行解密，所有供应商在规定的解密时限内解密完成或解密时限结束后，本公司开启竞标响应文件；供应商超过解密时限的，系统默认自动放弃。</w:t>
      </w:r>
    </w:p>
    <w:p w14:paraId="3202E277">
      <w:pPr>
        <w:shd w:val="clear"/>
        <w:spacing w:line="380" w:lineRule="exact"/>
        <w:rPr>
          <w:rFonts w:ascii="宋体" w:hAnsi="宋体"/>
          <w:b/>
          <w:color w:val="auto"/>
          <w:highlight w:val="none"/>
        </w:rPr>
      </w:pPr>
      <w:bookmarkStart w:id="39" w:name="_Toc28359018"/>
      <w:bookmarkStart w:id="40" w:name="_Toc35393805"/>
      <w:bookmarkStart w:id="41" w:name="_Toc35393636"/>
      <w:bookmarkStart w:id="42" w:name="_Toc2835909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9"/>
      <w:bookmarkEnd w:id="40"/>
      <w:bookmarkEnd w:id="41"/>
      <w:bookmarkEnd w:id="42"/>
    </w:p>
    <w:p w14:paraId="5C10867C">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254910CB">
      <w:pPr>
        <w:shd w:val="clear"/>
        <w:spacing w:line="38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广西医科大学第一附属医院</w:t>
      </w:r>
    </w:p>
    <w:p w14:paraId="0E2A84F1">
      <w:pPr>
        <w:shd w:val="clea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    址：南宁市双拥路6号</w:t>
      </w:r>
    </w:p>
    <w:p w14:paraId="20CFB05F">
      <w:pPr>
        <w:shd w:val="clea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刘韩越</w:t>
      </w:r>
    </w:p>
    <w:p w14:paraId="0FD0C482">
      <w:pPr>
        <w:shd w:val="clea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项目联系方式：</w:t>
      </w:r>
      <w:bookmarkStart w:id="43" w:name="_Toc28359009"/>
      <w:bookmarkStart w:id="44" w:name="_Toc28359086"/>
      <w:r>
        <w:rPr>
          <w:rFonts w:hint="eastAsia" w:ascii="宋体" w:hAnsi="宋体" w:eastAsia="宋体" w:cs="宋体"/>
          <w:color w:val="auto"/>
          <w:highlight w:val="none"/>
        </w:rPr>
        <w:t>0771-</w:t>
      </w:r>
      <w:r>
        <w:rPr>
          <w:rFonts w:hint="eastAsia" w:ascii="宋体" w:hAnsi="宋体" w:eastAsia="宋体" w:cs="宋体"/>
          <w:color w:val="auto"/>
          <w:highlight w:val="none"/>
          <w:lang w:val="en-US" w:eastAsia="zh-CN"/>
        </w:rPr>
        <w:t>5634385</w:t>
      </w:r>
    </w:p>
    <w:p w14:paraId="33BF53A5">
      <w:pPr>
        <w:shd w:val="clear"/>
        <w:spacing w:line="380" w:lineRule="exact"/>
        <w:ind w:firstLine="420" w:firstLineChars="200"/>
        <w:rPr>
          <w:rFonts w:ascii="宋体" w:hAnsi="宋体"/>
          <w:color w:val="auto"/>
          <w:highlight w:val="none"/>
        </w:rPr>
      </w:pPr>
    </w:p>
    <w:p w14:paraId="570CDEE6">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43"/>
      <w:bookmarkEnd w:id="44"/>
    </w:p>
    <w:p w14:paraId="1A291700">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5BE5D67E">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4D1E9574">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28717871">
      <w:pPr>
        <w:shd w:val="clea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2256AA01">
      <w:pPr>
        <w:shd w:val="clear"/>
        <w:spacing w:line="380" w:lineRule="exact"/>
        <w:ind w:firstLine="420" w:firstLineChars="200"/>
        <w:rPr>
          <w:rFonts w:hint="eastAsia" w:ascii="宋体" w:hAnsi="宋体"/>
          <w:color w:val="auto"/>
          <w:highlight w:val="none"/>
          <w:u w:val="single"/>
        </w:rPr>
      </w:pPr>
    </w:p>
    <w:p w14:paraId="7D8796DA">
      <w:pPr>
        <w:shd w:val="clear"/>
        <w:spacing w:line="380" w:lineRule="exact"/>
        <w:ind w:firstLine="420" w:firstLineChars="200"/>
        <w:rPr>
          <w:rFonts w:hint="eastAsia" w:ascii="宋体" w:hAnsi="宋体"/>
          <w:color w:val="auto"/>
          <w:highlight w:val="none"/>
          <w:u w:val="single"/>
        </w:rPr>
      </w:pPr>
    </w:p>
    <w:p w14:paraId="73779F93">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5ECA24CD">
      <w:pPr>
        <w:shd w:val="clea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lang w:eastAsia="zh-CN"/>
        </w:rPr>
        <w:t>2026年</w:t>
      </w:r>
      <w:r>
        <w:rPr>
          <w:rFonts w:hint="eastAsia" w:ascii="宋体" w:hAnsi="宋体" w:cs="Arial"/>
          <w:color w:val="auto"/>
          <w:highlight w:val="none"/>
          <w:lang w:val="en-US" w:eastAsia="zh-CN"/>
        </w:rPr>
        <w:t>6</w:t>
      </w:r>
      <w:r>
        <w:rPr>
          <w:rFonts w:hint="eastAsia" w:ascii="宋体" w:hAnsi="宋体" w:cs="Arial"/>
          <w:color w:val="auto"/>
          <w:highlight w:val="none"/>
        </w:rPr>
        <w:t>月</w:t>
      </w:r>
      <w:r>
        <w:rPr>
          <w:rFonts w:hint="eastAsia" w:ascii="宋体" w:hAnsi="宋体" w:cs="Arial"/>
          <w:color w:val="auto"/>
          <w:highlight w:val="none"/>
          <w:lang w:val="en-US" w:eastAsia="zh-CN"/>
        </w:rPr>
        <w:t>9</w:t>
      </w:r>
      <w:r>
        <w:rPr>
          <w:rFonts w:hint="eastAsia" w:ascii="宋体" w:hAnsi="宋体" w:cs="Arial"/>
          <w:color w:val="auto"/>
          <w:highlight w:val="none"/>
        </w:rPr>
        <w:t>日</w:t>
      </w:r>
    </w:p>
    <w:p w14:paraId="7AD881CA">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3CF3B8E1">
      <w:pPr>
        <w:shd w:val="clear"/>
        <w:spacing w:line="400" w:lineRule="exact"/>
        <w:jc w:val="center"/>
        <w:rPr>
          <w:rFonts w:hint="eastAsia" w:ascii="宋体" w:hAnsi="宋体"/>
          <w:b/>
          <w:color w:val="auto"/>
          <w:sz w:val="32"/>
          <w:szCs w:val="32"/>
          <w:highlight w:val="none"/>
        </w:rPr>
      </w:pPr>
    </w:p>
    <w:p w14:paraId="0FD33A62">
      <w:pPr>
        <w:shd w:val="clear"/>
        <w:spacing w:line="400" w:lineRule="exact"/>
        <w:jc w:val="center"/>
        <w:rPr>
          <w:rFonts w:hint="eastAsia" w:ascii="宋体" w:hAnsi="宋体"/>
          <w:b/>
          <w:color w:val="auto"/>
          <w:sz w:val="32"/>
          <w:szCs w:val="32"/>
          <w:highlight w:val="none"/>
        </w:rPr>
      </w:pPr>
    </w:p>
    <w:p w14:paraId="6AC68904">
      <w:pPr>
        <w:shd w:val="clear"/>
        <w:spacing w:line="400" w:lineRule="exact"/>
        <w:jc w:val="center"/>
        <w:rPr>
          <w:rFonts w:hint="eastAsia" w:ascii="宋体" w:hAnsi="宋体"/>
          <w:b/>
          <w:color w:val="auto"/>
          <w:sz w:val="32"/>
          <w:szCs w:val="32"/>
          <w:highlight w:val="none"/>
        </w:rPr>
      </w:pPr>
    </w:p>
    <w:p w14:paraId="3D162054">
      <w:pPr>
        <w:shd w:val="clear"/>
        <w:spacing w:line="400" w:lineRule="exact"/>
        <w:jc w:val="center"/>
        <w:rPr>
          <w:rFonts w:hint="eastAsia" w:ascii="宋体" w:hAnsi="宋体"/>
          <w:b/>
          <w:color w:val="auto"/>
          <w:sz w:val="32"/>
          <w:szCs w:val="32"/>
          <w:highlight w:val="none"/>
        </w:rPr>
      </w:pPr>
    </w:p>
    <w:p w14:paraId="59B2A040">
      <w:pPr>
        <w:shd w:val="clear"/>
        <w:spacing w:line="400" w:lineRule="exact"/>
        <w:jc w:val="center"/>
        <w:rPr>
          <w:rFonts w:hint="eastAsia" w:ascii="宋体" w:hAnsi="宋体"/>
          <w:b/>
          <w:color w:val="auto"/>
          <w:sz w:val="32"/>
          <w:szCs w:val="32"/>
          <w:highlight w:val="none"/>
        </w:rPr>
      </w:pPr>
    </w:p>
    <w:p w14:paraId="23074750">
      <w:pPr>
        <w:shd w:val="clear"/>
        <w:spacing w:line="400" w:lineRule="exact"/>
        <w:jc w:val="center"/>
        <w:rPr>
          <w:rFonts w:hint="eastAsia" w:ascii="宋体" w:hAnsi="宋体"/>
          <w:b/>
          <w:color w:val="auto"/>
          <w:sz w:val="32"/>
          <w:szCs w:val="32"/>
          <w:highlight w:val="none"/>
        </w:rPr>
      </w:pPr>
    </w:p>
    <w:p w14:paraId="42DCCEE8">
      <w:pPr>
        <w:shd w:val="clear"/>
        <w:spacing w:line="400" w:lineRule="exact"/>
        <w:jc w:val="center"/>
        <w:rPr>
          <w:rFonts w:hint="eastAsia" w:ascii="宋体" w:hAnsi="宋体"/>
          <w:b/>
          <w:color w:val="auto"/>
          <w:sz w:val="32"/>
          <w:szCs w:val="32"/>
          <w:highlight w:val="none"/>
        </w:rPr>
      </w:pPr>
    </w:p>
    <w:p w14:paraId="6BE2A2B4">
      <w:pPr>
        <w:shd w:val="clear"/>
        <w:spacing w:line="400" w:lineRule="exact"/>
        <w:jc w:val="center"/>
        <w:rPr>
          <w:rFonts w:hint="eastAsia" w:ascii="宋体" w:hAnsi="宋体"/>
          <w:b/>
          <w:color w:val="auto"/>
          <w:sz w:val="32"/>
          <w:szCs w:val="32"/>
          <w:highlight w:val="none"/>
        </w:rPr>
      </w:pPr>
    </w:p>
    <w:p w14:paraId="4971F920">
      <w:pPr>
        <w:shd w:val="clear"/>
        <w:spacing w:line="400" w:lineRule="exact"/>
        <w:jc w:val="center"/>
        <w:rPr>
          <w:rFonts w:hint="eastAsia" w:ascii="宋体" w:hAnsi="宋体"/>
          <w:b/>
          <w:color w:val="auto"/>
          <w:sz w:val="32"/>
          <w:szCs w:val="32"/>
          <w:highlight w:val="none"/>
        </w:rPr>
      </w:pPr>
    </w:p>
    <w:p w14:paraId="56D89B15">
      <w:pPr>
        <w:shd w:val="clear"/>
        <w:spacing w:line="400" w:lineRule="exact"/>
        <w:jc w:val="center"/>
        <w:rPr>
          <w:rFonts w:hint="eastAsia" w:ascii="宋体" w:hAnsi="宋体"/>
          <w:b/>
          <w:color w:val="auto"/>
          <w:sz w:val="32"/>
          <w:szCs w:val="32"/>
          <w:highlight w:val="none"/>
        </w:rPr>
      </w:pPr>
    </w:p>
    <w:p w14:paraId="31941FB2">
      <w:pPr>
        <w:shd w:val="clear"/>
        <w:spacing w:line="400" w:lineRule="exact"/>
        <w:jc w:val="center"/>
        <w:rPr>
          <w:rFonts w:hint="eastAsia" w:ascii="宋体" w:hAnsi="宋体"/>
          <w:b/>
          <w:color w:val="auto"/>
          <w:sz w:val="32"/>
          <w:szCs w:val="32"/>
          <w:highlight w:val="none"/>
        </w:rPr>
      </w:pPr>
    </w:p>
    <w:p w14:paraId="71884269">
      <w:pPr>
        <w:shd w:val="clear"/>
        <w:spacing w:line="400" w:lineRule="exact"/>
        <w:jc w:val="center"/>
        <w:rPr>
          <w:rFonts w:hint="eastAsia" w:ascii="宋体" w:hAnsi="宋体"/>
          <w:b/>
          <w:color w:val="auto"/>
          <w:sz w:val="32"/>
          <w:szCs w:val="32"/>
          <w:highlight w:val="none"/>
        </w:rPr>
      </w:pPr>
    </w:p>
    <w:p w14:paraId="18025816">
      <w:pPr>
        <w:shd w:val="clear"/>
        <w:spacing w:line="400" w:lineRule="exact"/>
        <w:rPr>
          <w:rFonts w:hint="eastAsia" w:ascii="宋体" w:hAnsi="宋体"/>
          <w:b/>
          <w:color w:val="auto"/>
          <w:sz w:val="32"/>
          <w:szCs w:val="32"/>
          <w:highlight w:val="none"/>
        </w:rPr>
      </w:pPr>
    </w:p>
    <w:p w14:paraId="012F86DB">
      <w:pPr>
        <w:pStyle w:val="34"/>
        <w:shd w:val="clear"/>
        <w:rPr>
          <w:rFonts w:hint="eastAsia"/>
          <w:color w:val="auto"/>
          <w:sz w:val="44"/>
          <w:szCs w:val="44"/>
          <w:highlight w:val="none"/>
        </w:rPr>
      </w:pPr>
      <w:bookmarkStart w:id="45" w:name="_Toc476258757"/>
      <w:bookmarkStart w:id="46" w:name="_Toc476258663"/>
      <w:r>
        <w:rPr>
          <w:rFonts w:hint="eastAsia"/>
          <w:color w:val="auto"/>
          <w:sz w:val="44"/>
          <w:szCs w:val="44"/>
          <w:highlight w:val="none"/>
        </w:rPr>
        <w:t>第二章  磋商供应商须知</w:t>
      </w:r>
      <w:bookmarkEnd w:id="45"/>
      <w:bookmarkEnd w:id="46"/>
    </w:p>
    <w:p w14:paraId="2DEBE0FA">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22A8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26" w:type="dxa"/>
            <w:noWrap w:val="0"/>
            <w:vAlign w:val="top"/>
          </w:tcPr>
          <w:p w14:paraId="5CACECB4">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510" w:type="dxa"/>
            <w:noWrap w:val="0"/>
            <w:vAlign w:val="top"/>
          </w:tcPr>
          <w:p w14:paraId="25EC19AC">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内    容</w:t>
            </w:r>
          </w:p>
        </w:tc>
      </w:tr>
      <w:tr w14:paraId="4760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F7E0ED5">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AEB8B4D">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采购项目名称：</w:t>
            </w:r>
            <w:r>
              <w:rPr>
                <w:rFonts w:hint="eastAsia" w:hAnsi="宋体" w:cs="宋体"/>
                <w:color w:val="auto"/>
                <w:highlight w:val="none"/>
                <w:lang w:eastAsia="zh-CN"/>
              </w:rPr>
              <w:t>飞利浦牌CT模拟定位系统维保服务（重）</w:t>
            </w:r>
          </w:p>
          <w:p w14:paraId="0BAF8BE9">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采购项目编号：</w:t>
            </w:r>
            <w:r>
              <w:rPr>
                <w:rFonts w:hint="eastAsia" w:hAnsi="宋体" w:cs="宋体"/>
                <w:bCs/>
                <w:color w:val="auto"/>
                <w:szCs w:val="21"/>
                <w:highlight w:val="none"/>
                <w:lang w:eastAsia="zh-CN"/>
              </w:rPr>
              <w:t>GXZC2026-C3-001731-GLZB</w:t>
            </w:r>
          </w:p>
        </w:tc>
      </w:tr>
      <w:tr w14:paraId="4AA0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03A2683">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81F627F">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供应商资格：按第一章竞争性磋商公告第二条规定。</w:t>
            </w:r>
          </w:p>
        </w:tc>
      </w:tr>
      <w:tr w14:paraId="24C4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3B0B3FA">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9DDD0D1">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磋商报价：供应商必须就所竞项目的全部内容作完整唯一报价，漏项报价的或有选择的或有条件的报价，其响应文件将视为无效。</w:t>
            </w:r>
          </w:p>
        </w:tc>
      </w:tr>
      <w:tr w14:paraId="1047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20A3B80">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49C002F">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7CAD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DFCC36F">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459BB9C">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响应文件的上传和提交：本项目通过“广西政府采购云平台”实行在线磋商响应（电子标），磋商供应商应当在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前，将生成的“电子加密响应文件”上传提交至“广西政府采购云平台”。</w:t>
            </w:r>
          </w:p>
          <w:p w14:paraId="6F586093">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“电子加密响应文件”的上传、提交：</w:t>
            </w:r>
          </w:p>
          <w:p w14:paraId="087C9DF2">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a.磋商供应商应在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前将“电子加密响应文件”成功上传提交至“广西政府采购云平台”，否则磋商无效。</w:t>
            </w:r>
          </w:p>
          <w:p w14:paraId="308B0ECF">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b.“电子加密磋商响应文件”成功上传提交后，供应商可自行打印响应文件接收回执。</w:t>
            </w:r>
          </w:p>
        </w:tc>
      </w:tr>
      <w:tr w14:paraId="0F60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0F23F17">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F415C2E">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szCs w:val="21"/>
                <w:highlight w:val="none"/>
                <w:u w:val="single"/>
              </w:rPr>
              <w:t>详见竞争性磋商公告</w:t>
            </w:r>
          </w:p>
          <w:p w14:paraId="61B2335A">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w:t>
            </w:r>
            <w:r>
              <w:rPr>
                <w:rFonts w:hint="eastAsia" w:ascii="宋体" w:hAnsi="宋体" w:eastAsia="宋体" w:cs="宋体"/>
                <w:color w:val="auto"/>
                <w:highlight w:val="none"/>
                <w:u w:val="single"/>
              </w:rPr>
              <w:t>详见竞争性磋商公告</w:t>
            </w:r>
          </w:p>
        </w:tc>
      </w:tr>
      <w:tr w14:paraId="1011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CA432BF">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8204CA3">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竞争性磋商响应文件有效期：响应文件递交截止日期后六十日。</w:t>
            </w:r>
          </w:p>
        </w:tc>
      </w:tr>
      <w:tr w14:paraId="3736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3E5178D">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E8C28E3">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磋商保证金（人民币）：</w:t>
            </w:r>
            <w:r>
              <w:rPr>
                <w:rFonts w:hint="eastAsia" w:ascii="宋体" w:hAnsi="宋体" w:eastAsia="宋体" w:cs="宋体"/>
                <w:color w:val="auto"/>
                <w:highlight w:val="none"/>
                <w:u w:val="single"/>
              </w:rPr>
              <w:t>详见竞争性磋商公告</w:t>
            </w:r>
          </w:p>
        </w:tc>
      </w:tr>
      <w:tr w14:paraId="0724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52D0758">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219877F">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磋商时间：</w:t>
            </w:r>
            <w:r>
              <w:rPr>
                <w:rFonts w:hint="eastAsia" w:ascii="宋体" w:hAnsi="宋体" w:eastAsia="宋体" w:cs="宋体"/>
                <w:color w:val="auto"/>
                <w:szCs w:val="21"/>
                <w:highlight w:val="none"/>
                <w:u w:val="single"/>
              </w:rPr>
              <w:t>详见竞争性磋商公告</w:t>
            </w:r>
          </w:p>
          <w:p w14:paraId="35DF4208">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磋商地点：</w:t>
            </w:r>
            <w:r>
              <w:rPr>
                <w:rFonts w:hint="eastAsia" w:ascii="宋体" w:hAnsi="宋体" w:eastAsia="宋体" w:cs="宋体"/>
                <w:color w:val="auto"/>
                <w:highlight w:val="none"/>
                <w:u w:val="single"/>
              </w:rPr>
              <w:t>详见竞争性磋商</w:t>
            </w:r>
            <w:r>
              <w:rPr>
                <w:rFonts w:hint="eastAsia" w:ascii="宋体" w:hAnsi="宋体" w:eastAsia="宋体" w:cs="宋体"/>
                <w:color w:val="auto"/>
                <w:szCs w:val="21"/>
                <w:highlight w:val="none"/>
                <w:u w:val="single"/>
              </w:rPr>
              <w:t>公告</w:t>
            </w:r>
          </w:p>
        </w:tc>
      </w:tr>
      <w:tr w14:paraId="4922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F4F3502">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476B274">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评标方法：综合评分法（</w:t>
            </w:r>
            <w:r>
              <w:rPr>
                <w:rFonts w:hint="eastAsia" w:hAnsi="宋体" w:cs="宋体"/>
                <w:color w:val="auto"/>
                <w:highlight w:val="none"/>
                <w:lang w:eastAsia="zh-CN"/>
              </w:rPr>
              <w:t>详</w:t>
            </w:r>
            <w:r>
              <w:rPr>
                <w:rFonts w:hint="eastAsia" w:ascii="宋体" w:hAnsi="宋体" w:eastAsia="宋体" w:cs="宋体"/>
                <w:color w:val="auto"/>
                <w:highlight w:val="none"/>
              </w:rPr>
              <w:t>见第六章）</w:t>
            </w:r>
          </w:p>
        </w:tc>
      </w:tr>
      <w:tr w14:paraId="1A04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D17714D">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8E3EBD8">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响应文件形式：</w:t>
            </w:r>
            <w:r>
              <w:rPr>
                <w:rFonts w:hint="eastAsia" w:ascii="宋体" w:hAnsi="宋体" w:eastAsia="宋体" w:cs="宋体"/>
                <w:snapToGrid w:val="0"/>
                <w:color w:val="auto"/>
                <w:szCs w:val="21"/>
                <w:highlight w:val="none"/>
              </w:rPr>
              <w:t>磋商供应商应准备电子响应文件。</w:t>
            </w:r>
          </w:p>
          <w:p w14:paraId="02AD58F1">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电子响应文件是指通过“广西政府采购云平台电子投标客户端”完成响应文件编制后生成并加密的数据电文形式的电子加密响应文件。</w:t>
            </w:r>
          </w:p>
        </w:tc>
      </w:tr>
      <w:tr w14:paraId="5083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4C488B6">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3086475">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0393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ED1233B">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7FC8515">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响应文件的盖章：响应文件中所涉及的加盖公章均采用CA电子签章。</w:t>
            </w:r>
          </w:p>
        </w:tc>
      </w:tr>
      <w:tr w14:paraId="50DD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8C14400">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44AFA74">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法定代表人或其授权代表签字或盖章：本竞争性磋商文件所涉及的法定代表人或其授权代表签字或盖章的内容，如果磋商供应商没有法定代表人电子签章，</w:t>
            </w:r>
            <w:r>
              <w:rPr>
                <w:rFonts w:hint="eastAsia" w:hAnsi="宋体" w:cs="宋体"/>
                <w:snapToGrid w:val="0"/>
                <w:color w:val="auto"/>
                <w:szCs w:val="21"/>
                <w:highlight w:val="none"/>
                <w:lang w:eastAsia="zh-CN"/>
              </w:rPr>
              <w:t>涉及</w:t>
            </w:r>
            <w:r>
              <w:rPr>
                <w:rFonts w:hint="eastAsia" w:ascii="宋体" w:hAnsi="宋体" w:eastAsia="宋体" w:cs="宋体"/>
                <w:snapToGrid w:val="0"/>
                <w:color w:val="auto"/>
                <w:szCs w:val="21"/>
                <w:highlight w:val="none"/>
              </w:rPr>
              <w:t>法定代表人或其授权代表签字或盖章的内容，磋商供应商可以线下签字或盖章后扫描上传。</w:t>
            </w:r>
          </w:p>
        </w:tc>
      </w:tr>
      <w:tr w14:paraId="112E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7684246">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9CC32B2">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响应文件份数：电子加密响应文件在线上传提交一份。</w:t>
            </w:r>
          </w:p>
        </w:tc>
      </w:tr>
      <w:tr w14:paraId="4CE4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8A0834C">
            <w:pPr>
              <w:pStyle w:val="9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79F69FD">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电子加密响应文件的解密：</w:t>
            </w:r>
          </w:p>
          <w:p w14:paraId="2E2DC7E8">
            <w:pPr>
              <w:pStyle w:val="95"/>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610FF985">
      <w:pPr>
        <w:shd w:val="clear"/>
        <w:spacing w:line="400" w:lineRule="exact"/>
        <w:jc w:val="center"/>
        <w:rPr>
          <w:rFonts w:hint="eastAsia" w:ascii="仿宋_GB2312" w:hAnsi="宋体" w:eastAsia="仿宋_GB2312"/>
          <w:b/>
          <w:color w:val="auto"/>
          <w:sz w:val="32"/>
          <w:szCs w:val="32"/>
          <w:highlight w:val="none"/>
        </w:rPr>
      </w:pPr>
    </w:p>
    <w:p w14:paraId="7CC86E18">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58FBD54C">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　则</w:t>
      </w:r>
    </w:p>
    <w:p w14:paraId="17C72B2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适用范围</w:t>
      </w:r>
    </w:p>
    <w:p w14:paraId="4D6A93A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本文件仅适用于本文件中所叙述的</w:t>
      </w:r>
      <w:r>
        <w:rPr>
          <w:rFonts w:hint="eastAsia" w:ascii="宋体" w:hAnsi="宋体" w:eastAsia="宋体" w:cs="宋体"/>
          <w:b/>
          <w:color w:val="auto"/>
          <w:szCs w:val="21"/>
          <w:highlight w:val="none"/>
        </w:rPr>
        <w:t>服务类</w:t>
      </w:r>
      <w:r>
        <w:rPr>
          <w:rFonts w:hint="eastAsia" w:ascii="宋体" w:hAnsi="宋体" w:eastAsia="宋体" w:cs="宋体"/>
          <w:color w:val="auto"/>
          <w:szCs w:val="21"/>
          <w:highlight w:val="none"/>
        </w:rPr>
        <w:t>政府采购项目。</w:t>
      </w:r>
    </w:p>
    <w:p w14:paraId="5B31631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定义</w:t>
      </w:r>
    </w:p>
    <w:p w14:paraId="2EECF81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w:t>
      </w:r>
      <w:r>
        <w:rPr>
          <w:rFonts w:hint="eastAsia" w:ascii="宋体" w:hAnsi="宋体" w:eastAsia="宋体" w:cs="宋体"/>
          <w:color w:val="auto"/>
          <w:highlight w:val="none"/>
        </w:rPr>
        <w:t>指组织本次采购的采购单位</w:t>
      </w:r>
      <w:r>
        <w:rPr>
          <w:rFonts w:hint="eastAsia" w:ascii="宋体" w:hAnsi="宋体" w:eastAsia="宋体" w:cs="宋体"/>
          <w:color w:val="auto"/>
          <w:szCs w:val="21"/>
          <w:highlight w:val="none"/>
        </w:rPr>
        <w:t>。</w:t>
      </w:r>
    </w:p>
    <w:p w14:paraId="30D5261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w:t>
      </w:r>
      <w:r>
        <w:rPr>
          <w:rFonts w:hint="eastAsia" w:ascii="宋体" w:hAnsi="宋体" w:eastAsia="宋体" w:cs="宋体"/>
          <w:color w:val="auto"/>
          <w:highlight w:val="none"/>
        </w:rPr>
        <w:t>广西国力招标有限公司。</w:t>
      </w:r>
    </w:p>
    <w:p w14:paraId="3078D5F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2.3“磋商供应商”是指响应本文件要求，参加磋商的法人或者其他组织和自然人。如果该供应商在本次磋商中成交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即成为“成交供应商”。</w:t>
      </w:r>
    </w:p>
    <w:p w14:paraId="01ECDAB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53B1264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2.5“服务”是指除货物和工程以外的其他政府采购对象。</w:t>
      </w:r>
    </w:p>
    <w:p w14:paraId="6EF6647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2.6“竞争性磋商响应文件”是指：供应商根据本文件要求，编制包含报价、技术和服务等所有内容的文件。</w:t>
      </w:r>
    </w:p>
    <w:p w14:paraId="3E7D0A8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磋商供应商的基本条件：详见须知前附表。</w:t>
      </w:r>
    </w:p>
    <w:p w14:paraId="59E899A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磋商费用、代理服务费</w:t>
      </w:r>
    </w:p>
    <w:p w14:paraId="00C7576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4.1磋商供应商应自行承担所有与编写和提交竞争性磋商响应文件有关的费用，不论磋商结果如何，采购人和</w:t>
      </w:r>
      <w:r>
        <w:rPr>
          <w:rFonts w:hint="eastAsia" w:ascii="宋体" w:hAnsi="宋体" w:eastAsia="宋体" w:cs="宋体"/>
          <w:color w:val="auto"/>
          <w:highlight w:val="none"/>
        </w:rPr>
        <w:t>广西国力招标有限公司</w:t>
      </w:r>
      <w:r>
        <w:rPr>
          <w:rFonts w:hint="eastAsia" w:ascii="宋体" w:hAnsi="宋体" w:eastAsia="宋体" w:cs="宋体"/>
          <w:color w:val="auto"/>
          <w:szCs w:val="21"/>
          <w:highlight w:val="none"/>
        </w:rPr>
        <w:t>在任何情况下无义务和责任承担此类费用。</w:t>
      </w:r>
    </w:p>
    <w:p w14:paraId="086D94C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4.2本项目的代理服务费按须知前附表的规定执行，由成交供应商在发布成交结果公告后，一次性向采购代理机构支付。</w:t>
      </w:r>
    </w:p>
    <w:p w14:paraId="34BEE093">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highlight w:val="none"/>
        </w:rPr>
        <w:t xml:space="preserve">5. </w:t>
      </w:r>
      <w:r>
        <w:rPr>
          <w:rFonts w:hint="eastAsia" w:ascii="宋体" w:hAnsi="宋体" w:eastAsia="宋体" w:cs="宋体"/>
          <w:b/>
          <w:color w:val="auto"/>
          <w:szCs w:val="21"/>
          <w:highlight w:val="none"/>
        </w:rPr>
        <w:t>竞争性</w:t>
      </w:r>
      <w:r>
        <w:rPr>
          <w:rFonts w:hint="eastAsia" w:ascii="宋体" w:hAnsi="宋体" w:eastAsia="宋体" w:cs="宋体"/>
          <w:b/>
          <w:color w:val="auto"/>
          <w:highlight w:val="none"/>
        </w:rPr>
        <w:t>磋商文件的澄清和修改：</w:t>
      </w:r>
    </w:p>
    <w:p w14:paraId="4BDA2112">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eastAsia="宋体" w:cs="宋体"/>
          <w:color w:val="auto"/>
          <w:highlight w:val="none"/>
        </w:rPr>
        <w:t>供应商在法定质疑期内必须一次性提出针对同一采购程序环节的质疑</w:t>
      </w:r>
      <w:r>
        <w:rPr>
          <w:rFonts w:hint="eastAsia" w:ascii="宋体" w:hAnsi="宋体" w:eastAsia="宋体" w:cs="宋体"/>
          <w:color w:val="auto"/>
          <w:szCs w:val="21"/>
          <w:highlight w:val="none"/>
        </w:rPr>
        <w:t>。</w:t>
      </w:r>
    </w:p>
    <w:p w14:paraId="119DC0CA">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5.2供应商提出质疑应当提交质疑函和必要的证明材料。质疑函应当包括下列内容：</w:t>
      </w:r>
    </w:p>
    <w:p w14:paraId="05619447">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51FD40C3">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2B9FCF5C">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6B780F5D">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6E15CE4E">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5CAF873D">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18B2790">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w:t>
      </w:r>
    </w:p>
    <w:p w14:paraId="3ED39C10">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7D8DFAB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0"/>
          <w:highlight w:val="none"/>
        </w:rPr>
        <w:t>5.4磋商</w:t>
      </w:r>
      <w:r>
        <w:rPr>
          <w:rFonts w:hint="eastAsia" w:ascii="宋体" w:hAnsi="宋体" w:eastAsia="宋体" w:cs="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70F104FA">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二、竞争性磋商响应文件的编制</w:t>
      </w:r>
    </w:p>
    <w:p w14:paraId="495D9C1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竞争性磋商响应文件编制基本要求</w:t>
      </w:r>
    </w:p>
    <w:p w14:paraId="4C115EE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417F75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6.2响应文件须由磋商供应商在规定位置盖章并由法定代表人或法定代表人的授权委托人签署，磋商供应商应写全称。</w:t>
      </w:r>
    </w:p>
    <w:p w14:paraId="64CB944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405B192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6.4竞争性磋商响应文件的组成：竞争性磋商响应文件应分为资格文件和商务技术文件两个部分组成</w:t>
      </w:r>
      <w:r>
        <w:rPr>
          <w:rFonts w:hint="eastAsia" w:ascii="宋体" w:hAnsi="宋体" w:eastAsia="宋体" w:cs="宋体"/>
          <w:b/>
          <w:color w:val="auto"/>
          <w:szCs w:val="21"/>
          <w:highlight w:val="none"/>
        </w:rPr>
        <w:t>（扫描件或其他电子文件）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（以下文件要求必须提供的文件如未提供，磋商小组有权拒绝其竞争性磋商响应文件）</w:t>
      </w:r>
    </w:p>
    <w:p w14:paraId="1A93D861">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6.4.1资格文件</w:t>
      </w:r>
    </w:p>
    <w:p w14:paraId="7F689E6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1）有效的主体资格证明文件；</w:t>
      </w:r>
    </w:p>
    <w:p w14:paraId="3E592C6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磋商供应商有效的“主体资格证明文件”复印件（如营业执照、事业单位法人证书、执业许可证、自然人身份证等）</w:t>
      </w:r>
      <w:r>
        <w:rPr>
          <w:rFonts w:hint="eastAsia" w:ascii="宋体" w:hAnsi="宋体" w:eastAsia="宋体" w:cs="宋体"/>
          <w:b/>
          <w:color w:val="auto"/>
          <w:highlight w:val="none"/>
        </w:rPr>
        <w:t xml:space="preserve">[必须提供] </w:t>
      </w:r>
    </w:p>
    <w:p w14:paraId="3682DC0A">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2）响应文件递交截止之日前一年内磋商供应商</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必须提供，新成立单位按实际提供</w:t>
      </w:r>
      <w:r>
        <w:rPr>
          <w:rFonts w:hint="eastAsia" w:ascii="宋体" w:hAnsi="宋体" w:eastAsia="宋体" w:cs="宋体"/>
          <w:b/>
          <w:color w:val="auto"/>
          <w:szCs w:val="21"/>
          <w:highlight w:val="none"/>
        </w:rPr>
        <w:t>]</w:t>
      </w:r>
    </w:p>
    <w:p w14:paraId="0B5A430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3）响应文件递交截止之日前一年内磋商供应商</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rPr>
        <w:t>三个月的依法缴纳社保费的缴费凭证复印件</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无缴费记录的，应提供由磋商供应商所在地社保等相关部门出具的《依法缴纳或依法免缴社保费证明》复印件</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必须提供，新成立单位按实际提供</w:t>
      </w:r>
      <w:r>
        <w:rPr>
          <w:rFonts w:hint="eastAsia" w:ascii="宋体" w:hAnsi="宋体" w:eastAsia="宋体" w:cs="宋体"/>
          <w:b/>
          <w:color w:val="auto"/>
          <w:szCs w:val="21"/>
          <w:highlight w:val="none"/>
        </w:rPr>
        <w:t>]</w:t>
      </w:r>
    </w:p>
    <w:p w14:paraId="738311C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4）财务状况报告</w:t>
      </w:r>
      <w:r>
        <w:rPr>
          <w:rFonts w:hint="eastAsia" w:ascii="宋体" w:hAnsi="宋体" w:eastAsia="宋体" w:cs="宋体"/>
          <w:b/>
          <w:color w:val="auto"/>
          <w:szCs w:val="21"/>
          <w:highlight w:val="none"/>
        </w:rPr>
        <w:t>[格式自拟，</w:t>
      </w:r>
      <w:r>
        <w:rPr>
          <w:rFonts w:hint="eastAsia" w:ascii="宋体" w:hAnsi="宋体" w:eastAsia="宋体" w:cs="宋体"/>
          <w:b/>
          <w:bCs/>
          <w:color w:val="auto"/>
          <w:szCs w:val="21"/>
          <w:highlight w:val="none"/>
        </w:rPr>
        <w:t>必须提供</w:t>
      </w:r>
      <w:r>
        <w:rPr>
          <w:rFonts w:hint="eastAsia" w:ascii="宋体" w:hAnsi="宋体" w:eastAsia="宋体" w:cs="宋体"/>
          <w:b/>
          <w:color w:val="auto"/>
          <w:szCs w:val="21"/>
          <w:highlight w:val="none"/>
        </w:rPr>
        <w:t>]</w:t>
      </w:r>
    </w:p>
    <w:p w14:paraId="28444E77">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Cs/>
          <w:color w:val="auto"/>
          <w:szCs w:val="21"/>
          <w:highlight w:val="none"/>
        </w:rPr>
        <w:t>具</w:t>
      </w:r>
      <w:r>
        <w:rPr>
          <w:rFonts w:hint="eastAsia" w:ascii="宋体" w:hAnsi="宋体" w:eastAsia="宋体" w:cs="宋体"/>
          <w:color w:val="auto"/>
          <w:szCs w:val="21"/>
          <w:highlight w:val="none"/>
        </w:rPr>
        <w:t>备履行合同所必需的设备和专业技术能力的证明材料</w:t>
      </w:r>
      <w:r>
        <w:rPr>
          <w:rFonts w:hint="eastAsia" w:ascii="宋体" w:hAnsi="宋体" w:eastAsia="宋体" w:cs="宋体"/>
          <w:b/>
          <w:color w:val="auto"/>
          <w:szCs w:val="21"/>
          <w:highlight w:val="none"/>
        </w:rPr>
        <w:t>[格式自拟，必须提供]</w:t>
      </w:r>
    </w:p>
    <w:p w14:paraId="050F137B">
      <w:pPr>
        <w:keepNext w:val="0"/>
        <w:keepLines w:val="0"/>
        <w:pageBreakBefore w:val="0"/>
        <w:shd w:val="clear"/>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rPr>
        <w:t>参加政府采购活动前三年内在经营活动中没有重大违法记录和不良信用记录的书面声明</w:t>
      </w:r>
      <w:r>
        <w:rPr>
          <w:rFonts w:hint="eastAsia" w:ascii="宋体" w:hAnsi="宋体" w:eastAsia="宋体" w:cs="宋体"/>
          <w:b/>
          <w:color w:val="auto"/>
          <w:szCs w:val="21"/>
          <w:highlight w:val="none"/>
        </w:rPr>
        <w:t>[格式自拟，必须提供]</w:t>
      </w:r>
    </w:p>
    <w:p w14:paraId="1DB105EC">
      <w:pPr>
        <w:keepNext w:val="0"/>
        <w:keepLines w:val="0"/>
        <w:pageBreakBefore w:val="0"/>
        <w:shd w:val="clear"/>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注：采购人或采购代理机构在资格审查结束前对供应商进行信用查询</w:t>
      </w:r>
    </w:p>
    <w:p w14:paraId="1FB0AD32">
      <w:pPr>
        <w:keepNext w:val="0"/>
        <w:keepLines w:val="0"/>
        <w:pageBreakBefore w:val="0"/>
        <w:shd w:val="clear"/>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查询渠道：“信用中国”网站</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www.creditchina.gov.cn</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 xml:space="preserve"> 、中国政府采购网</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www.ccgp.gov.cn</w:t>
      </w:r>
      <w:r>
        <w:rPr>
          <w:rFonts w:hint="eastAsia" w:ascii="宋体" w:hAnsi="宋体" w:eastAsia="宋体" w:cs="宋体"/>
          <w:b/>
          <w:color w:val="auto"/>
          <w:szCs w:val="21"/>
          <w:highlight w:val="none"/>
          <w:lang w:eastAsia="zh-CN"/>
        </w:rPr>
        <w:t>）</w:t>
      </w:r>
    </w:p>
    <w:p w14:paraId="6FB783A7">
      <w:pPr>
        <w:keepNext w:val="0"/>
        <w:keepLines w:val="0"/>
        <w:pageBreakBefore w:val="0"/>
        <w:shd w:val="clear"/>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查询截止时间：资格审查结束前。</w:t>
      </w:r>
    </w:p>
    <w:p w14:paraId="6D9C0B27">
      <w:pPr>
        <w:keepNext w:val="0"/>
        <w:keepLines w:val="0"/>
        <w:pageBreakBefore w:val="0"/>
        <w:shd w:val="clear"/>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查询记录和证据留存方式：在查询网站中直接打印查询记录，打印材料作为评审资料保存。</w:t>
      </w:r>
    </w:p>
    <w:p w14:paraId="3DAFE99E">
      <w:pPr>
        <w:keepNext w:val="0"/>
        <w:keepLines w:val="0"/>
        <w:pageBreakBefore w:val="0"/>
        <w:widowControl w:val="0"/>
        <w:shd w:val="clear"/>
        <w:kinsoku/>
        <w:wordWrap w:val="0"/>
        <w:overflowPunct/>
        <w:topLinePunct w:val="0"/>
        <w:autoSpaceDE/>
        <w:autoSpaceDN/>
        <w:bidi w:val="0"/>
        <w:adjustRightInd/>
        <w:snapToGrid/>
        <w:spacing w:line="3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信用信息使用规则：对在“信用中国”网站</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www.creditchina.gov.cn</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 xml:space="preserve"> 、中国政府采购网</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www.ccgp.gov.cn</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533BBF08">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6.4.2商务技术文件</w:t>
      </w:r>
    </w:p>
    <w:p w14:paraId="09ABD27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1）报价表（格式见第四章附件一）</w:t>
      </w:r>
      <w:r>
        <w:rPr>
          <w:rFonts w:hint="eastAsia" w:ascii="宋体" w:hAnsi="宋体" w:eastAsia="宋体" w:cs="宋体"/>
          <w:b/>
          <w:color w:val="auto"/>
          <w:szCs w:val="21"/>
          <w:highlight w:val="none"/>
        </w:rPr>
        <w:t>[必须提供]</w:t>
      </w:r>
    </w:p>
    <w:p w14:paraId="6C3323C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2）磋商书及磋商声明书（格式见第四章附件二）</w:t>
      </w:r>
      <w:r>
        <w:rPr>
          <w:rFonts w:hint="eastAsia" w:ascii="宋体" w:hAnsi="宋体" w:eastAsia="宋体" w:cs="宋体"/>
          <w:b/>
          <w:color w:val="auto"/>
          <w:szCs w:val="21"/>
          <w:highlight w:val="none"/>
        </w:rPr>
        <w:t>[必须提供]</w:t>
      </w:r>
    </w:p>
    <w:p w14:paraId="576A796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3）商务、服务响应、偏离情况说明表（格式见第四章附件三）</w:t>
      </w:r>
      <w:r>
        <w:rPr>
          <w:rFonts w:hint="eastAsia" w:ascii="宋体" w:hAnsi="宋体" w:eastAsia="宋体" w:cs="宋体"/>
          <w:b/>
          <w:color w:val="auto"/>
          <w:szCs w:val="21"/>
          <w:highlight w:val="none"/>
        </w:rPr>
        <w:t>[必须提供]</w:t>
      </w:r>
    </w:p>
    <w:p w14:paraId="7E1FA47D">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4）法定代表人身份证正、反面复印件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7B67B549">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5）法定代表人授权委托书</w:t>
      </w:r>
      <w:r>
        <w:rPr>
          <w:rFonts w:hint="eastAsia" w:ascii="宋体" w:hAnsi="宋体" w:eastAsia="宋体" w:cs="宋体"/>
          <w:color w:val="auto"/>
          <w:highlight w:val="none"/>
        </w:rPr>
        <w:t>和委托代理人身份证正、反面复印件</w:t>
      </w:r>
      <w:r>
        <w:rPr>
          <w:rFonts w:hint="eastAsia" w:ascii="宋体" w:hAnsi="宋体" w:eastAsia="宋体" w:cs="宋体"/>
          <w:color w:val="auto"/>
          <w:szCs w:val="21"/>
          <w:highlight w:val="none"/>
        </w:rPr>
        <w:t>（格式见第四章附件四）</w:t>
      </w:r>
      <w:r>
        <w:rPr>
          <w:rFonts w:hint="eastAsia" w:ascii="宋体" w:hAnsi="宋体" w:eastAsia="宋体" w:cs="宋体"/>
          <w:b/>
          <w:color w:val="auto"/>
          <w:highlight w:val="none"/>
        </w:rPr>
        <w:t xml:space="preserve"> [委托代理时</w:t>
      </w:r>
      <w:r>
        <w:rPr>
          <w:rFonts w:hint="eastAsia" w:ascii="宋体" w:hAnsi="宋体" w:eastAsia="宋体" w:cs="宋体"/>
          <w:b/>
          <w:bCs/>
          <w:color w:val="auto"/>
          <w:highlight w:val="none"/>
        </w:rPr>
        <w:t>必须提供</w:t>
      </w:r>
      <w:r>
        <w:rPr>
          <w:rFonts w:hint="eastAsia" w:ascii="宋体" w:hAnsi="宋体" w:eastAsia="宋体" w:cs="宋体"/>
          <w:b/>
          <w:color w:val="auto"/>
          <w:highlight w:val="none"/>
        </w:rPr>
        <w:t>]</w:t>
      </w:r>
      <w:r>
        <w:rPr>
          <w:rFonts w:hint="eastAsia" w:ascii="宋体" w:hAnsi="宋体" w:eastAsia="宋体" w:cs="宋体"/>
          <w:color w:val="auto"/>
          <w:szCs w:val="21"/>
          <w:highlight w:val="none"/>
        </w:rPr>
        <w:t xml:space="preserve"> </w:t>
      </w:r>
    </w:p>
    <w:p w14:paraId="37B9513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6）磋商保证金的提交凭证</w:t>
      </w:r>
      <w:r>
        <w:rPr>
          <w:rFonts w:hint="eastAsia" w:ascii="宋体" w:hAnsi="宋体" w:eastAsia="宋体" w:cs="宋体"/>
          <w:b/>
          <w:color w:val="auto"/>
          <w:highlight w:val="none"/>
        </w:rPr>
        <w:t>[必须提供]</w:t>
      </w:r>
    </w:p>
    <w:p w14:paraId="5365540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7）本采购项目《采购需求》中要求必须提交的材料</w:t>
      </w:r>
      <w:r>
        <w:rPr>
          <w:rFonts w:hint="eastAsia" w:ascii="宋体" w:hAnsi="宋体" w:eastAsia="宋体" w:cs="宋体"/>
          <w:b/>
          <w:color w:val="auto"/>
          <w:highlight w:val="none"/>
        </w:rPr>
        <w:t>[如有规定，则必须提供]</w:t>
      </w:r>
    </w:p>
    <w:p w14:paraId="3637878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8）具备法律、行政法规规定的其他条件的证明材料</w:t>
      </w:r>
      <w:r>
        <w:rPr>
          <w:rFonts w:hint="eastAsia" w:ascii="宋体" w:hAnsi="宋体" w:eastAsia="宋体" w:cs="宋体"/>
          <w:b/>
          <w:color w:val="auto"/>
          <w:szCs w:val="21"/>
          <w:highlight w:val="none"/>
        </w:rPr>
        <w:t>[如有规定，则必须提供]</w:t>
      </w:r>
    </w:p>
    <w:p w14:paraId="1230640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9）服务方案</w:t>
      </w:r>
      <w:r>
        <w:rPr>
          <w:rFonts w:hint="eastAsia" w:ascii="宋体" w:hAnsi="宋体" w:eastAsia="宋体" w:cs="宋体"/>
          <w:b/>
          <w:color w:val="auto"/>
          <w:szCs w:val="21"/>
          <w:highlight w:val="none"/>
        </w:rPr>
        <w:t>[格式自拟</w:t>
      </w:r>
      <w:r>
        <w:rPr>
          <w:rFonts w:hint="eastAsia" w:ascii="宋体" w:hAnsi="宋体" w:eastAsia="宋体" w:cs="宋体"/>
          <w:b/>
          <w:color w:val="auto"/>
          <w:highlight w:val="none"/>
        </w:rPr>
        <w:t>]</w:t>
      </w:r>
    </w:p>
    <w:p w14:paraId="457B9AC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10）项目实施人员一览表</w:t>
      </w:r>
    </w:p>
    <w:p w14:paraId="4BA51E5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11）供应商对本项目的合理化建议和改进措施</w:t>
      </w:r>
    </w:p>
    <w:p w14:paraId="2C46EBB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12）供应商认为需要提供的其他材料</w:t>
      </w:r>
    </w:p>
    <w:p w14:paraId="6198901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13）中小企业声明函</w:t>
      </w:r>
      <w:r>
        <w:rPr>
          <w:rFonts w:hint="eastAsia" w:ascii="宋体" w:hAnsi="宋体" w:eastAsia="宋体" w:cs="宋体"/>
          <w:b/>
          <w:color w:val="auto"/>
          <w:szCs w:val="21"/>
          <w:highlight w:val="none"/>
        </w:rPr>
        <w:t>[按最新相关政策执行，格式见第四章</w:t>
      </w:r>
      <w:r>
        <w:rPr>
          <w:rFonts w:hint="eastAsia" w:ascii="宋体" w:hAnsi="宋体" w:eastAsia="宋体" w:cs="宋体"/>
          <w:b/>
          <w:color w:val="auto"/>
          <w:szCs w:val="21"/>
          <w:highlight w:val="none"/>
          <w:lang w:val="en-US" w:eastAsia="zh-CN"/>
        </w:rPr>
        <w:t>附件五</w:t>
      </w:r>
      <w:r>
        <w:rPr>
          <w:rFonts w:hint="eastAsia" w:ascii="宋体" w:hAnsi="宋体" w:eastAsia="宋体" w:cs="宋体"/>
          <w:b/>
          <w:color w:val="auto"/>
          <w:szCs w:val="21"/>
          <w:highlight w:val="none"/>
        </w:rPr>
        <w:t>，如有请提供]</w:t>
      </w:r>
    </w:p>
    <w:p w14:paraId="0E6160F3">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三、报价要求</w:t>
      </w:r>
    </w:p>
    <w:p w14:paraId="6E00C88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332A4FA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7.2成交供应商负责本项目所需服务的提供、实施、售后服务等全部工作。</w:t>
      </w:r>
    </w:p>
    <w:p w14:paraId="434EF030">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1CFA9F82">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7.4</w:t>
      </w:r>
      <w:r>
        <w:rPr>
          <w:rFonts w:hint="eastAsia" w:ascii="宋体" w:hAnsi="宋体" w:eastAsia="宋体" w:cs="宋体"/>
          <w:b/>
          <w:color w:val="auto"/>
          <w:highlight w:val="none"/>
        </w:rPr>
        <w:t>磋商报价：供应商必须就所竞项目的全部内容作完整唯一报价，漏项报价的或有选择的或有条件的报价，其响应文件将视为无效。</w:t>
      </w:r>
    </w:p>
    <w:p w14:paraId="6BA3B87E">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7.5供应商的报价存在异常低价的情形</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详见第六章评标标准</w:t>
      </w:r>
      <w:r>
        <w:rPr>
          <w:rFonts w:hint="eastAsia" w:ascii="宋体" w:hAnsi="宋体" w:cs="宋体"/>
          <w:b/>
          <w:color w:val="auto"/>
          <w:szCs w:val="21"/>
          <w:highlight w:val="none"/>
          <w:lang w:eastAsia="zh-CN"/>
        </w:rPr>
        <w:t>），应启动异常低价投标（响应）审查程序</w:t>
      </w:r>
      <w:r>
        <w:rPr>
          <w:rFonts w:hint="eastAsia" w:ascii="宋体" w:hAnsi="宋体" w:eastAsia="宋体" w:cs="宋体"/>
          <w:b/>
          <w:color w:val="auto"/>
          <w:szCs w:val="21"/>
          <w:highlight w:val="none"/>
        </w:rPr>
        <w:t>。</w:t>
      </w:r>
    </w:p>
    <w:p w14:paraId="1508843A">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r>
        <w:rPr>
          <w:rFonts w:hint="eastAsia" w:ascii="宋体" w:hAnsi="宋体" w:eastAsia="宋体" w:cs="宋体"/>
          <w:b/>
          <w:bCs/>
          <w:color w:val="auto"/>
          <w:highlight w:val="none"/>
        </w:rPr>
        <w:t>竞争性磋商响应文件</w:t>
      </w:r>
      <w:r>
        <w:rPr>
          <w:rFonts w:hint="eastAsia" w:ascii="宋体" w:hAnsi="宋体" w:eastAsia="宋体" w:cs="宋体"/>
          <w:b/>
          <w:color w:val="auto"/>
          <w:szCs w:val="21"/>
          <w:highlight w:val="none"/>
        </w:rPr>
        <w:t>的份数、</w:t>
      </w:r>
      <w:r>
        <w:rPr>
          <w:rFonts w:hint="eastAsia" w:ascii="宋体" w:hAnsi="宋体" w:eastAsia="宋体" w:cs="宋体"/>
          <w:b/>
          <w:bCs/>
          <w:color w:val="auto"/>
          <w:highlight w:val="none"/>
        </w:rPr>
        <w:t>上传、提交、修改、撤回和解密</w:t>
      </w:r>
    </w:p>
    <w:p w14:paraId="6F77EE1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竞争性磋商响应文件的份数、上传、提交、解密</w:t>
      </w:r>
    </w:p>
    <w:p w14:paraId="4473945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见须知前附表。</w:t>
      </w:r>
    </w:p>
    <w:p w14:paraId="5800F6B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12FD3D62">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五、磋商保证金</w:t>
      </w:r>
    </w:p>
    <w:p w14:paraId="622B374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highlight w:val="none"/>
        </w:rPr>
        <w:t>保证金应用人民币，</w:t>
      </w:r>
      <w:r>
        <w:rPr>
          <w:rFonts w:hint="eastAsia" w:ascii="宋体" w:hAnsi="宋体" w:eastAsia="宋体" w:cs="宋体"/>
          <w:bCs/>
          <w:color w:val="auto"/>
          <w:szCs w:val="21"/>
          <w:highlight w:val="none"/>
        </w:rPr>
        <w:t>具体金额及缴纳方式详见竞争性磋商。</w:t>
      </w:r>
    </w:p>
    <w:p w14:paraId="547C53B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10.2</w:t>
      </w:r>
      <w:r>
        <w:rPr>
          <w:rFonts w:hint="eastAsia" w:ascii="宋体" w:hAnsi="宋体" w:eastAsia="宋体" w:cs="宋体"/>
          <w:color w:val="auto"/>
          <w:highlight w:val="none"/>
        </w:rPr>
        <w:t>未成交磋商供应商的保证金，将在成交通知书发出后5个工作日内予以退还，不计利息。成交供应商</w:t>
      </w:r>
      <w:r>
        <w:rPr>
          <w:rFonts w:hint="eastAsia" w:ascii="宋体" w:hAnsi="宋体" w:eastAsia="宋体" w:cs="宋体"/>
          <w:color w:val="auto"/>
          <w:szCs w:val="21"/>
          <w:highlight w:val="none"/>
        </w:rPr>
        <w:t>的保证金在合同签订后5个工作日内退还（</w:t>
      </w:r>
      <w:r>
        <w:rPr>
          <w:rFonts w:hint="eastAsia" w:ascii="宋体" w:hAnsi="宋体" w:eastAsia="宋体" w:cs="宋体"/>
          <w:color w:val="auto"/>
          <w:highlight w:val="none"/>
        </w:rPr>
        <w:t>合同签订后送至广西国力招标有限公司</w:t>
      </w:r>
      <w:r>
        <w:rPr>
          <w:rFonts w:hint="eastAsia" w:ascii="宋体" w:hAnsi="宋体" w:eastAsia="宋体" w:cs="宋体"/>
          <w:color w:val="auto"/>
          <w:szCs w:val="21"/>
          <w:highlight w:val="none"/>
        </w:rPr>
        <w:t>），不计利息。</w:t>
      </w:r>
    </w:p>
    <w:p w14:paraId="3F3E7F6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10.3</w:t>
      </w:r>
      <w:r>
        <w:rPr>
          <w:rFonts w:hint="eastAsia" w:ascii="宋体" w:hAnsi="宋体" w:eastAsia="宋体" w:cs="宋体"/>
          <w:color w:val="auto"/>
          <w:kern w:val="0"/>
          <w:szCs w:val="21"/>
          <w:highlight w:val="none"/>
        </w:rPr>
        <w:t>供应商为联合体的，可以由联合体中的一方或者多方共同交纳保证金，其交纳的保证金对联合体各方均具有约束力。</w:t>
      </w:r>
    </w:p>
    <w:p w14:paraId="5ADE2D20">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10.4磋商供应商有下列情形之一的，保证金将不予退还：</w:t>
      </w:r>
    </w:p>
    <w:p w14:paraId="6F236635">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1）磋商供应商在提交</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响应文件截止时间后撤回</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响应文件的；</w:t>
      </w:r>
    </w:p>
    <w:p w14:paraId="26013968">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2）磋商供应商在</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响应文件中提供虚假材料的；</w:t>
      </w:r>
    </w:p>
    <w:p w14:paraId="5B250B51">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3）除因不可抗力或</w:t>
      </w:r>
      <w:r>
        <w:rPr>
          <w:rFonts w:hint="eastAsia" w:ascii="宋体" w:hAnsi="宋体" w:eastAsia="宋体" w:cs="宋体"/>
          <w:color w:val="auto"/>
          <w:szCs w:val="21"/>
          <w:highlight w:val="none"/>
        </w:rPr>
        <w:t>竞争性</w:t>
      </w:r>
      <w:r>
        <w:rPr>
          <w:rFonts w:hint="eastAsia" w:ascii="宋体" w:hAnsi="宋体" w:eastAsia="宋体" w:cs="宋体"/>
          <w:color w:val="auto"/>
          <w:kern w:val="0"/>
          <w:szCs w:val="21"/>
          <w:highlight w:val="none"/>
        </w:rPr>
        <w:t>磋商文件认可的情形以外，成交供应商不与采购人签订合同的；</w:t>
      </w:r>
    </w:p>
    <w:p w14:paraId="78303E75">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4）磋商供应商与采购人、其他供应商或者采购代理机构恶意串通的。</w:t>
      </w:r>
    </w:p>
    <w:p w14:paraId="1805F806">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5）法律法规规定的其他情形。</w:t>
      </w:r>
    </w:p>
    <w:p w14:paraId="73714D03">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bCs/>
          <w:color w:val="auto"/>
          <w:szCs w:val="21"/>
          <w:highlight w:val="none"/>
        </w:rPr>
        <w:t>注：</w:t>
      </w:r>
      <w:r>
        <w:rPr>
          <w:rFonts w:hint="eastAsia" w:ascii="宋体" w:hAnsi="宋体" w:eastAsia="宋体" w:cs="宋体"/>
          <w:b/>
          <w:color w:val="auto"/>
          <w:kern w:val="0"/>
          <w:szCs w:val="21"/>
          <w:highlight w:val="none"/>
        </w:rPr>
        <w:t>磋商供应商</w:t>
      </w:r>
      <w:r>
        <w:rPr>
          <w:rFonts w:hint="eastAsia" w:ascii="宋体" w:hAnsi="宋体" w:eastAsia="宋体" w:cs="宋体"/>
          <w:b/>
          <w:color w:val="auto"/>
          <w:highlight w:val="none"/>
        </w:rPr>
        <w:t>已经被推荐为第一成交候选供应商后撤回</w:t>
      </w:r>
      <w:r>
        <w:rPr>
          <w:rFonts w:hint="eastAsia" w:ascii="宋体" w:hAnsi="宋体" w:eastAsia="宋体" w:cs="宋体"/>
          <w:b/>
          <w:color w:val="auto"/>
          <w:szCs w:val="21"/>
          <w:highlight w:val="none"/>
        </w:rPr>
        <w:t>竞争性磋商</w:t>
      </w:r>
      <w:r>
        <w:rPr>
          <w:rFonts w:hint="eastAsia" w:ascii="宋体" w:hAnsi="宋体" w:eastAsia="宋体" w:cs="宋体"/>
          <w:b/>
          <w:color w:val="auto"/>
          <w:kern w:val="0"/>
          <w:szCs w:val="21"/>
          <w:highlight w:val="none"/>
        </w:rPr>
        <w:t>响应文件</w:t>
      </w:r>
      <w:r>
        <w:rPr>
          <w:rFonts w:hint="eastAsia" w:ascii="宋体" w:hAnsi="宋体" w:eastAsia="宋体" w:cs="宋体"/>
          <w:b/>
          <w:color w:val="auto"/>
          <w:highlight w:val="none"/>
        </w:rPr>
        <w:t>或</w:t>
      </w:r>
      <w:r>
        <w:rPr>
          <w:rFonts w:hint="eastAsia" w:ascii="宋体" w:hAnsi="宋体" w:eastAsia="宋体" w:cs="宋体"/>
          <w:b/>
          <w:color w:val="auto"/>
          <w:kern w:val="0"/>
          <w:szCs w:val="21"/>
          <w:highlight w:val="none"/>
        </w:rPr>
        <w:t>拒绝签订政府采购合同的</w:t>
      </w:r>
      <w:r>
        <w:rPr>
          <w:rFonts w:hint="eastAsia" w:ascii="宋体" w:hAnsi="宋体" w:eastAsia="宋体" w:cs="宋体"/>
          <w:b/>
          <w:color w:val="auto"/>
          <w:highlight w:val="none"/>
        </w:rPr>
        <w:t>，其保证金将不予退还，并上缴国库，给采购人造成损失的，还应当赔偿损失，并作为不良行为记录在案。</w:t>
      </w:r>
    </w:p>
    <w:p w14:paraId="058D4323">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六</w:t>
      </w:r>
      <w:r>
        <w:rPr>
          <w:rFonts w:hint="eastAsia" w:ascii="宋体" w:hAnsi="宋体" w:eastAsia="宋体" w:cs="宋体"/>
          <w:b/>
          <w:color w:val="auto"/>
          <w:highlight w:val="none"/>
        </w:rPr>
        <w:t>、磋商程序</w:t>
      </w:r>
      <w:r>
        <w:rPr>
          <w:rFonts w:hint="eastAsia" w:ascii="宋体" w:hAnsi="宋体" w:eastAsia="宋体" w:cs="宋体"/>
          <w:b/>
          <w:color w:val="auto"/>
          <w:szCs w:val="21"/>
          <w:highlight w:val="none"/>
        </w:rPr>
        <w:t>及</w:t>
      </w:r>
      <w:r>
        <w:rPr>
          <w:rFonts w:hint="eastAsia" w:ascii="宋体" w:hAnsi="宋体" w:eastAsia="宋体" w:cs="宋体"/>
          <w:b/>
          <w:color w:val="auto"/>
          <w:highlight w:val="none"/>
        </w:rPr>
        <w:t>评标方法</w:t>
      </w:r>
    </w:p>
    <w:p w14:paraId="7780A6C1">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（一）竞争性磋商响应文件无效的情形：</w:t>
      </w:r>
    </w:p>
    <w:p w14:paraId="413FF3B6">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1.未实质性响应竞争性磋商文件的竞争性磋商响应文件按无效处理。</w:t>
      </w:r>
    </w:p>
    <w:p w14:paraId="3CE88759">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2.有下列情形之一的视为供应商相互串通参与磋商活动，竞争性磋商响应文件将被视为无效：</w:t>
      </w:r>
    </w:p>
    <w:p w14:paraId="0D4FC25D">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（1）不同供应商的竞争性磋商响应文件由同一单位或者个人编制；或不同供应商报名的IP地址一致的；</w:t>
      </w:r>
    </w:p>
    <w:p w14:paraId="155F1541">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（2）不同供应商委托同一单位或者个人办理磋商活动事宜；</w:t>
      </w:r>
    </w:p>
    <w:p w14:paraId="62946A7F">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（3）不同的供应商的竞争性磋商响应文件载明的项目管理员或者联系人员为同一个人；</w:t>
      </w:r>
    </w:p>
    <w:p w14:paraId="7BFE0C90">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（4）不同供应商的竞争性磋商响应文件异常一致或磋商报价呈规律性差异；</w:t>
      </w:r>
    </w:p>
    <w:p w14:paraId="3218EB01">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（5）不同供应商的竞争性磋商响应文件相互混装；</w:t>
      </w:r>
    </w:p>
    <w:p w14:paraId="63ABBE12">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（6）不同供应商的保证金从同一单位或者个人账户转出。</w:t>
      </w:r>
    </w:p>
    <w:p w14:paraId="3D90E8C5">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3.有下列情形的视为关联供应商参加同一合同项下政府采购活动，竞争性磋商响应文件将被视为无效：</w:t>
      </w:r>
    </w:p>
    <w:p w14:paraId="5CBBCB00">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单位负责人为同一人或者存在直接控股、管理关系的不同供应商，参加同一合同项下政府采购活动。</w:t>
      </w:r>
    </w:p>
    <w:p w14:paraId="66624C33">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 其他竞标无效的情形：</w:t>
      </w:r>
    </w:p>
    <w:p w14:paraId="7798AA2C">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（1）竞争性磋商响应文件未按竞争性磋商文件要求签署或CA电子签章的；</w:t>
      </w:r>
    </w:p>
    <w:p w14:paraId="40C71A11">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（2）供应商提交两份或两份以上内容不同的竞争性磋商响应文件；</w:t>
      </w:r>
    </w:p>
    <w:p w14:paraId="33D48E2D">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（3）磋商供应商在线制作竞争性磋商响应文件时填写的报价金额与解密后“电子加密响应文件”中《报价文件》填写的金额不一致并拒绝按采购文件要求接受调整的；</w:t>
      </w:r>
    </w:p>
    <w:p w14:paraId="3D2D1546">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highlight w:val="none"/>
        </w:rPr>
        <w:t>（4）</w:t>
      </w:r>
      <w:r>
        <w:rPr>
          <w:rFonts w:hint="eastAsia" w:ascii="宋体" w:hAnsi="宋体" w:eastAsia="宋体" w:cs="宋体"/>
          <w:b/>
          <w:color w:val="auto"/>
          <w:highlight w:val="none"/>
          <w:lang w:eastAsia="zh-CN"/>
        </w:rPr>
        <w:t>法律法规</w:t>
      </w:r>
      <w:r>
        <w:rPr>
          <w:rFonts w:hint="eastAsia" w:ascii="宋体" w:hAnsi="宋体" w:eastAsia="宋体" w:cs="宋体"/>
          <w:b/>
          <w:color w:val="auto"/>
          <w:highlight w:val="none"/>
        </w:rPr>
        <w:t>和采购文件规定的其他无效情形（或出现重大偏差）。</w:t>
      </w:r>
      <w:r>
        <w:rPr>
          <w:rFonts w:hint="eastAsia" w:ascii="宋体" w:hAnsi="宋体" w:eastAsia="宋体" w:cs="宋体"/>
          <w:color w:val="auto"/>
          <w:highlight w:val="none"/>
        </w:rPr>
        <w:t xml:space="preserve">  </w:t>
      </w:r>
    </w:p>
    <w:p w14:paraId="7FC72D36">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highlight w:val="none"/>
        </w:rPr>
        <w:t xml:space="preserve"> 被拒绝的响应文件为无效。</w:t>
      </w:r>
    </w:p>
    <w:p w14:paraId="1CD8614A">
      <w:pPr>
        <w:keepNext w:val="0"/>
        <w:keepLines w:val="0"/>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磋商供应商竞争性磋商响应文件无效的，磋商小组应当告知有关供应商。</w:t>
      </w:r>
    </w:p>
    <w:p w14:paraId="7947EA7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（二）磋商</w:t>
      </w:r>
    </w:p>
    <w:p w14:paraId="1711364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11.1第一轮磋商</w:t>
      </w:r>
    </w:p>
    <w:p w14:paraId="3350D511">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1.磋商会由本公司主持，主持人宣布磋商会议开始；</w:t>
      </w:r>
    </w:p>
    <w:p w14:paraId="681B6F3E">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2.主持人介绍参加磋商会的人员名单； </w:t>
      </w:r>
    </w:p>
    <w:p w14:paraId="4025E65B">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3.主持人宣布磋商会议纪律及评审期间的有关事项；告知应当回避的情形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提请有关人员回避；</w:t>
      </w:r>
    </w:p>
    <w:p w14:paraId="5CB79D63">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4.磋商及评审程序</w:t>
      </w:r>
    </w:p>
    <w:p w14:paraId="170112B0">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（1）在磋商开始时间截止后30分钟内由各供应商自行对磋商响应文件进行解密；</w:t>
      </w:r>
    </w:p>
    <w:p w14:paraId="29C4195E">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（2）由磋商小组进行资格审查和符合性审查，审查结束后，在线通知无效磋商供应商磋商响应文件无效理由，有效磋商供应商进入磋商程序。</w:t>
      </w:r>
    </w:p>
    <w:p w14:paraId="2923102A">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（3）系统对各供应商的商务技术进行汇总；</w:t>
      </w:r>
    </w:p>
    <w:p w14:paraId="2725694D">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（4）磋商小组所有成员应当集中与单一供应商分别进行在线磋商，并给予所有参加磋商的供应商平等的磋商机会。</w:t>
      </w:r>
    </w:p>
    <w:p w14:paraId="177D7D3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5B2E57A3">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11.2竞争性磋商文件变动</w:t>
      </w:r>
    </w:p>
    <w:p w14:paraId="6CC0B856">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64DE906">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对竞争性磋商文件作出的实质性变动是竞争性磋商文件的有效组成部分，磋商小组应当在询标规定时间内及时通知所有参加磋商的供应商，并要求供应商</w:t>
      </w:r>
      <w:r>
        <w:rPr>
          <w:rFonts w:hint="eastAsia" w:ascii="宋体" w:hAnsi="宋体" w:eastAsia="宋体" w:cs="宋体"/>
          <w:color w:val="auto"/>
          <w:szCs w:val="21"/>
          <w:highlight w:val="none"/>
          <w:lang w:eastAsia="zh-CN"/>
        </w:rPr>
        <w:t>作出</w:t>
      </w:r>
      <w:r>
        <w:rPr>
          <w:rFonts w:hint="eastAsia" w:ascii="宋体" w:hAnsi="宋体" w:eastAsia="宋体" w:cs="宋体"/>
          <w:color w:val="auto"/>
          <w:szCs w:val="21"/>
          <w:highlight w:val="none"/>
        </w:rPr>
        <w:t>响应（需盖CA电子签章）。</w:t>
      </w:r>
    </w:p>
    <w:p w14:paraId="2A55D231">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11.3第二轮磋商</w:t>
      </w:r>
    </w:p>
    <w:p w14:paraId="46073120">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磋商小组集中就重新递交的响应材料或磋商小组提出的磋商意见与单一响应供应商分别进行在线磋商。</w:t>
      </w:r>
    </w:p>
    <w:p w14:paraId="456E0C1C">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磋商后，在询标规定时间内供应商根据磋商小组统一整理的磋商记录要求做出承诺（需盖CA电子签章）。</w:t>
      </w:r>
    </w:p>
    <w:p w14:paraId="1F00BEC5">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118536E2">
      <w:pPr>
        <w:keepNext w:val="0"/>
        <w:keepLines w:val="0"/>
        <w:pageBreakBefore w:val="0"/>
        <w:widowControl/>
        <w:shd w:val="clear"/>
        <w:tabs>
          <w:tab w:val="left" w:pos="540"/>
        </w:tabs>
        <w:kinsoku/>
        <w:overflowPunct/>
        <w:topLinePunct w:val="0"/>
        <w:autoSpaceDE/>
        <w:autoSpaceDN/>
        <w:bidi w:val="0"/>
        <w:adjustRightInd/>
        <w:spacing w:line="380" w:lineRule="exact"/>
        <w:ind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特别说明：如遇“广西政府采购云平台”电子化开标或评审程序调整的，按调整后程序执行。</w:t>
      </w:r>
    </w:p>
    <w:p w14:paraId="3B2B8F30">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磋商评审在严格保密的情况下进行，磋商的任何一方不得透露与磋商有关的其他供应商的技术资料、价格和其他信息。</w:t>
      </w:r>
    </w:p>
    <w:p w14:paraId="19ED4CB3">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电子磋商过程中需要供应商在线确认的所有内容，供应商不予确认的应说明理由，超过规定时间未确认的，将被视为放弃确认或者无异议。</w:t>
      </w:r>
    </w:p>
    <w:p w14:paraId="24CD85AB">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C5B0FCD">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11.4最后报价及成交候选供应商推荐</w:t>
      </w:r>
    </w:p>
    <w:p w14:paraId="591DDBE6">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磋商结束后，磋商小组要求所有继续参加磋商的供应商在规定时间内在线提交最后报价。继续参加磋商的供应商作最后报价，由其法定代表人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负责人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或授权代表盖CA电子签章后提交。</w:t>
      </w:r>
    </w:p>
    <w:p w14:paraId="1DD9AE7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0B1BE4AC">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6C2A3C1E">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11.5供应商的报价均超过了政府采购最高限价，采购人不能支付的，磋商活动终止。</w:t>
      </w:r>
    </w:p>
    <w:p w14:paraId="579A727F">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11.6</w:t>
      </w:r>
      <w:r>
        <w:rPr>
          <w:rFonts w:hint="eastAsia" w:ascii="宋体" w:hAnsi="宋体" w:eastAsia="宋体" w:cs="宋体"/>
          <w:color w:val="auto"/>
          <w:highlight w:val="none"/>
        </w:rPr>
        <w:t>本采购项目的评审依据为竞争性磋商文件和竞争性磋商响应文件，采用的评标方法为</w:t>
      </w:r>
      <w:r>
        <w:rPr>
          <w:rFonts w:hint="eastAsia" w:ascii="宋体" w:hAnsi="宋体" w:eastAsia="宋体" w:cs="宋体"/>
          <w:b/>
          <w:color w:val="auto"/>
          <w:highlight w:val="none"/>
        </w:rPr>
        <w:t>综合评分法</w:t>
      </w:r>
      <w:r>
        <w:rPr>
          <w:rFonts w:hint="eastAsia" w:ascii="宋体" w:hAnsi="宋体" w:eastAsia="宋体" w:cs="宋体"/>
          <w:color w:val="auto"/>
          <w:highlight w:val="none"/>
        </w:rPr>
        <w:t>。</w:t>
      </w:r>
    </w:p>
    <w:p w14:paraId="7C30B7FC">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11.7可中止电子交易活动的情形</w:t>
      </w:r>
    </w:p>
    <w:p w14:paraId="2B2D21C8">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采购过程中出现以下情形，导致电子交易平台无法正常运行，或者无法保证电子交易的公平、公正和安全时，本公司可中止电子交易活动：</w:t>
      </w:r>
    </w:p>
    <w:p w14:paraId="5A7E5833">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电子交易平台发生故障而无法登录访问的；</w:t>
      </w:r>
    </w:p>
    <w:p w14:paraId="743524A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电子交易平台应用或数据库出现错误，不能进行正常操作的；</w:t>
      </w:r>
    </w:p>
    <w:p w14:paraId="4096467F">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电子交易平台发现严重安全漏洞，有潜在泄密危险的；</w:t>
      </w:r>
    </w:p>
    <w:p w14:paraId="0357231B">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病毒发作导致不能进行正常操作的；</w:t>
      </w:r>
    </w:p>
    <w:p w14:paraId="784AA35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其他无法保证电子交易的公平、公正和安全的情况。</w:t>
      </w:r>
    </w:p>
    <w:p w14:paraId="7A800D68">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出现前款规定情形，不影响采购公平、公正性的，本公司待上述情形消除后继续组织电子交易活动；影响或可能影响采购公平、公正性的，重新组织采购活动。</w:t>
      </w:r>
    </w:p>
    <w:p w14:paraId="48458773">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11.8.终止竞争性磋商采购活动</w:t>
      </w:r>
    </w:p>
    <w:p w14:paraId="220CCA00">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在竞争性磋商采购活动过程中，出现下列情形之一的，采购人或者本公司将终止竞争性磋商采购活动，发布项目终止公告并说明原因，重新开展采购活动：</w:t>
      </w:r>
    </w:p>
    <w:p w14:paraId="17AB030F">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因情况变化，不再符合规定的竞争性磋商采购方式适用情形的；</w:t>
      </w:r>
    </w:p>
    <w:p w14:paraId="704DB96D">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出现影响采购公正的违法、违规行为的；</w:t>
      </w:r>
    </w:p>
    <w:p w14:paraId="7F8F03F8">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1A23F891">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2B7E79F9">
      <w:pPr>
        <w:keepNext w:val="0"/>
        <w:keepLines w:val="0"/>
        <w:pageBreakBefore w:val="0"/>
        <w:widowControl/>
        <w:shd w:val="clear"/>
        <w:tabs>
          <w:tab w:val="left" w:pos="540"/>
        </w:tabs>
        <w:kinsoku/>
        <w:overflowPunct/>
        <w:topLinePunct w:val="0"/>
        <w:autoSpaceDE/>
        <w:autoSpaceDN/>
        <w:bidi w:val="0"/>
        <w:adjustRightInd/>
        <w:spacing w:line="38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七、确定成交供应商办法</w:t>
      </w:r>
    </w:p>
    <w:p w14:paraId="593DADCF">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12.根据以下原则确定成交供应商</w:t>
      </w:r>
      <w:r>
        <w:rPr>
          <w:rFonts w:hint="eastAsia" w:ascii="宋体" w:hAnsi="宋体" w:eastAsia="宋体" w:cs="宋体"/>
          <w:color w:val="auto"/>
          <w:kern w:val="0"/>
          <w:szCs w:val="21"/>
          <w:highlight w:val="none"/>
          <w:lang w:eastAsia="zh-CN"/>
        </w:rPr>
        <w:t>：在</w:t>
      </w:r>
      <w:r>
        <w:rPr>
          <w:rFonts w:hint="eastAsia" w:ascii="宋体" w:hAnsi="宋体" w:eastAsia="宋体" w:cs="宋体"/>
          <w:color w:val="auto"/>
          <w:kern w:val="0"/>
          <w:szCs w:val="21"/>
          <w:highlight w:val="none"/>
        </w:rPr>
        <w:t>质量和服务均能满足</w:t>
      </w:r>
      <w:r>
        <w:rPr>
          <w:rFonts w:hint="eastAsia" w:ascii="宋体" w:hAnsi="宋体" w:eastAsia="宋体" w:cs="宋体"/>
          <w:color w:val="auto"/>
          <w:highlight w:val="none"/>
        </w:rPr>
        <w:t>竞争性磋商文件</w:t>
      </w:r>
      <w:r>
        <w:rPr>
          <w:rFonts w:hint="eastAsia" w:ascii="宋体" w:hAnsi="宋体" w:eastAsia="宋体" w:cs="宋体"/>
          <w:color w:val="auto"/>
          <w:kern w:val="0"/>
          <w:szCs w:val="21"/>
          <w:highlight w:val="none"/>
        </w:rPr>
        <w:t>实质性响应要求的供应商中按综合评分法的成交候选供应商推荐原则确定成交供应商。</w:t>
      </w:r>
    </w:p>
    <w:p w14:paraId="274235EE">
      <w:pPr>
        <w:keepNext w:val="0"/>
        <w:keepLines w:val="0"/>
        <w:pageBreakBefore w:val="0"/>
        <w:widowControl/>
        <w:shd w:val="clear"/>
        <w:tabs>
          <w:tab w:val="left" w:pos="540"/>
        </w:tabs>
        <w:kinsoku/>
        <w:overflowPunct/>
        <w:topLinePunct w:val="0"/>
        <w:autoSpaceDE/>
        <w:autoSpaceDN/>
        <w:bidi w:val="0"/>
        <w:adjustRightInd/>
        <w:spacing w:line="38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八、成交结果公告</w:t>
      </w:r>
    </w:p>
    <w:p w14:paraId="1FD79BC1">
      <w:pPr>
        <w:keepNext w:val="0"/>
        <w:keepLines w:val="0"/>
        <w:pageBreakBefore w:val="0"/>
        <w:widowControl/>
        <w:shd w:val="clear"/>
        <w:tabs>
          <w:tab w:val="left" w:pos="540"/>
        </w:tabs>
        <w:kinsoku/>
        <w:wordWrap w:val="0"/>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13.1</w:t>
      </w:r>
      <w:r>
        <w:rPr>
          <w:rFonts w:hint="eastAsia" w:ascii="宋体" w:hAnsi="宋体" w:eastAsia="宋体" w:cs="宋体"/>
          <w:color w:val="auto"/>
          <w:highlight w:val="none"/>
        </w:rPr>
        <w:t>采购代理机构在评审结束后2个工作日内将磋商评审报告送采购人确认，</w:t>
      </w:r>
      <w:r>
        <w:rPr>
          <w:rFonts w:hint="eastAsia" w:ascii="宋体" w:hAnsi="宋体" w:eastAsia="宋体" w:cs="宋体"/>
          <w:color w:val="auto"/>
          <w:kern w:val="0"/>
          <w:highlight w:val="none"/>
        </w:rPr>
        <w:t>采购人</w:t>
      </w:r>
      <w:r>
        <w:rPr>
          <w:rFonts w:hint="eastAsia" w:ascii="宋体" w:hAnsi="宋体" w:eastAsia="宋体" w:cs="宋体"/>
          <w:color w:val="auto"/>
          <w:highlight w:val="none"/>
        </w:rPr>
        <w:t>确认后，成交结果公告将在财政部门指定的政府采购信息发布媒体上发布，</w:t>
      </w:r>
      <w:r>
        <w:rPr>
          <w:rFonts w:hint="eastAsia" w:ascii="宋体" w:hAnsi="宋体" w:eastAsia="宋体" w:cs="宋体"/>
          <w:color w:val="auto"/>
          <w:kern w:val="0"/>
          <w:highlight w:val="none"/>
        </w:rPr>
        <w:t>同时向成交供应商发出成交通知书</w:t>
      </w:r>
      <w:r>
        <w:rPr>
          <w:rFonts w:hint="eastAsia" w:ascii="宋体" w:hAnsi="宋体" w:eastAsia="宋体" w:cs="宋体"/>
          <w:color w:val="auto"/>
          <w:highlight w:val="none"/>
        </w:rPr>
        <w:t>。</w:t>
      </w:r>
    </w:p>
    <w:p w14:paraId="5F025EE2">
      <w:pPr>
        <w:pStyle w:val="21"/>
        <w:keepNext w:val="0"/>
        <w:keepLines w:val="0"/>
        <w:pageBreakBefore w:val="0"/>
        <w:shd w:val="clear"/>
        <w:kinsoku/>
        <w:overflowPunct/>
        <w:topLinePunct w:val="0"/>
        <w:autoSpaceDE/>
        <w:autoSpaceDN/>
        <w:bidi w:val="0"/>
        <w:adjustRightInd/>
        <w:spacing w:line="380" w:lineRule="exact"/>
        <w:ind w:left="105" w:firstLine="315"/>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13.2磋商供应商</w:t>
      </w:r>
      <w:r>
        <w:rPr>
          <w:rFonts w:hint="eastAsia" w:ascii="宋体" w:hAnsi="宋体" w:eastAsia="宋体" w:cs="宋体"/>
          <w:color w:val="auto"/>
          <w:kern w:val="0"/>
          <w:highlight w:val="none"/>
        </w:rPr>
        <w:t>认为采购过程、成交结果使自己的权益受到损害的</w:t>
      </w:r>
      <w:r>
        <w:rPr>
          <w:rFonts w:hint="eastAsia" w:ascii="宋体" w:hAnsi="宋体" w:eastAsia="宋体" w:cs="宋体"/>
          <w:color w:val="auto"/>
          <w:highlight w:val="none"/>
        </w:rPr>
        <w:t>，</w:t>
      </w:r>
      <w:r>
        <w:rPr>
          <w:rFonts w:hint="eastAsia" w:ascii="宋体" w:hAnsi="宋体" w:eastAsia="宋体" w:cs="宋体"/>
          <w:color w:val="auto"/>
          <w:kern w:val="0"/>
          <w:highlight w:val="none"/>
        </w:rPr>
        <w:t>可以在成交结果公告期限届满之日起</w:t>
      </w:r>
      <w:r>
        <w:rPr>
          <w:rFonts w:hint="eastAsia" w:ascii="宋体" w:hAnsi="宋体" w:eastAsia="宋体" w:cs="宋体"/>
          <w:bCs/>
          <w:color w:val="auto"/>
          <w:highlight w:val="none"/>
        </w:rPr>
        <w:t>七个工作日内以书面形式向采购代理机构提出质疑</w:t>
      </w:r>
      <w:r>
        <w:rPr>
          <w:rFonts w:hint="eastAsia" w:ascii="宋体" w:hAnsi="宋体" w:eastAsia="宋体" w:cs="宋体"/>
          <w:color w:val="auto"/>
          <w:highlight w:val="none"/>
        </w:rPr>
        <w:t>，供应商在法定质疑期内必须一次性提出针对同一采购程序环节的质疑</w:t>
      </w:r>
      <w:r>
        <w:rPr>
          <w:rFonts w:hint="eastAsia" w:ascii="宋体" w:hAnsi="宋体" w:eastAsia="宋体" w:cs="宋体"/>
          <w:bCs/>
          <w:color w:val="auto"/>
          <w:highlight w:val="none"/>
        </w:rPr>
        <w:t>。采购代理机构将在收到</w:t>
      </w:r>
      <w:r>
        <w:rPr>
          <w:rFonts w:hint="eastAsia" w:ascii="宋体" w:hAnsi="宋体" w:eastAsia="宋体" w:cs="宋体"/>
          <w:color w:val="auto"/>
          <w:highlight w:val="none"/>
        </w:rPr>
        <w:t>磋商供应商</w:t>
      </w:r>
      <w:r>
        <w:rPr>
          <w:rFonts w:hint="eastAsia" w:ascii="宋体" w:hAnsi="宋体" w:eastAsia="宋体" w:cs="宋体"/>
          <w:bCs/>
          <w:color w:val="auto"/>
          <w:highlight w:val="none"/>
        </w:rPr>
        <w:t>的书面质疑后七个工作日内</w:t>
      </w:r>
      <w:r>
        <w:rPr>
          <w:rFonts w:hint="eastAsia" w:ascii="宋体" w:hAnsi="宋体" w:eastAsia="宋体" w:cs="宋体"/>
          <w:bCs/>
          <w:color w:val="auto"/>
          <w:highlight w:val="none"/>
          <w:lang w:eastAsia="zh-CN"/>
        </w:rPr>
        <w:t>作出</w:t>
      </w:r>
      <w:r>
        <w:rPr>
          <w:rFonts w:hint="eastAsia" w:ascii="宋体" w:hAnsi="宋体" w:eastAsia="宋体" w:cs="宋体"/>
          <w:bCs/>
          <w:color w:val="auto"/>
          <w:highlight w:val="none"/>
        </w:rPr>
        <w:t>答复，但答复的内容不得涉及商业秘密。</w:t>
      </w:r>
    </w:p>
    <w:p w14:paraId="2E63E656">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13.3</w:t>
      </w:r>
      <w:r>
        <w:rPr>
          <w:rFonts w:hint="eastAsia" w:ascii="宋体" w:hAnsi="宋体" w:eastAsia="宋体" w:cs="宋体"/>
          <w:bCs/>
          <w:color w:val="auto"/>
          <w:highlight w:val="none"/>
        </w:rPr>
        <w:t>质疑</w:t>
      </w:r>
      <w:r>
        <w:rPr>
          <w:rFonts w:hint="eastAsia" w:ascii="宋体" w:hAnsi="宋体" w:eastAsia="宋体" w:cs="宋体"/>
          <w:color w:val="auto"/>
          <w:highlight w:val="none"/>
        </w:rPr>
        <w:t>磋商供应商</w:t>
      </w:r>
      <w:r>
        <w:rPr>
          <w:rFonts w:hint="eastAsia" w:ascii="宋体" w:hAnsi="宋体" w:eastAsia="宋体" w:cs="宋体"/>
          <w:bCs/>
          <w:color w:val="auto"/>
          <w:highlight w:val="none"/>
        </w:rPr>
        <w:t>必须首先经过质疑程序，在对采购代理机构的答复不满意或者采购代理机构未在规定的时间</w:t>
      </w:r>
      <w:r>
        <w:rPr>
          <w:rFonts w:hint="eastAsia" w:ascii="宋体" w:hAnsi="宋体" w:eastAsia="宋体" w:cs="宋体"/>
          <w:bCs/>
          <w:color w:val="auto"/>
          <w:highlight w:val="none"/>
          <w:lang w:eastAsia="zh-CN"/>
        </w:rPr>
        <w:t>内作出答复</w:t>
      </w:r>
      <w:r>
        <w:rPr>
          <w:rFonts w:hint="eastAsia" w:ascii="宋体" w:hAnsi="宋体" w:eastAsia="宋体" w:cs="宋体"/>
          <w:bCs/>
          <w:color w:val="auto"/>
          <w:highlight w:val="none"/>
        </w:rPr>
        <w:t>的，可以在答复期满后十五个工作日内书面向相关监督管理部门投诉。</w:t>
      </w:r>
    </w:p>
    <w:p w14:paraId="69B43C19">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质疑联系部门及电话为：广西国力招标有限公司                    0771-4915558</w:t>
      </w:r>
    </w:p>
    <w:p w14:paraId="08029F0B">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通讯地址：广西南宁市白沙大道53号松宇时代13楼</w:t>
      </w:r>
    </w:p>
    <w:p w14:paraId="77F92878">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九、签订合同</w:t>
      </w:r>
    </w:p>
    <w:p w14:paraId="78F7F9B8">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14.1成交供应商自成交通知书发出之日起</w:t>
      </w:r>
      <w:r>
        <w:rPr>
          <w:rFonts w:hint="eastAsia" w:ascii="宋体" w:hAnsi="宋体" w:eastAsia="宋体" w:cs="宋体"/>
          <w:b/>
          <w:color w:val="auto"/>
          <w:highlight w:val="none"/>
        </w:rPr>
        <w:t>25日</w:t>
      </w:r>
      <w:r>
        <w:rPr>
          <w:rFonts w:hint="eastAsia" w:ascii="宋体" w:hAnsi="宋体" w:eastAsia="宋体" w:cs="宋体"/>
          <w:color w:val="auto"/>
          <w:highlight w:val="none"/>
        </w:rPr>
        <w:t>内与采购人签订合同。</w:t>
      </w:r>
    </w:p>
    <w:p w14:paraId="14762B09">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14.2</w:t>
      </w:r>
      <w:r>
        <w:rPr>
          <w:rFonts w:hint="eastAsia" w:ascii="宋体" w:hAnsi="宋体" w:eastAsia="宋体" w:cs="宋体"/>
          <w:color w:val="auto"/>
          <w:kern w:val="0"/>
          <w:highlight w:val="none"/>
        </w:rPr>
        <w:t>成交供应商拒绝签订政府采购合同的</w:t>
      </w:r>
      <w:r>
        <w:rPr>
          <w:rFonts w:hint="eastAsia" w:ascii="宋体" w:hAnsi="宋体" w:eastAsia="宋体" w:cs="宋体"/>
          <w:color w:val="auto"/>
          <w:highlight w:val="none"/>
        </w:rPr>
        <w:t>，采购人可以根据磋商评审报告确定成交供应商之后排名第一的成交候选供应商</w:t>
      </w:r>
      <w:r>
        <w:rPr>
          <w:rFonts w:hint="eastAsia" w:ascii="宋体" w:hAnsi="宋体" w:eastAsia="宋体" w:cs="宋体"/>
          <w:color w:val="auto"/>
          <w:kern w:val="0"/>
          <w:highlight w:val="none"/>
        </w:rPr>
        <w:t>作为</w:t>
      </w:r>
      <w:r>
        <w:rPr>
          <w:rFonts w:hint="eastAsia" w:ascii="宋体" w:hAnsi="宋体" w:eastAsia="宋体" w:cs="宋体"/>
          <w:color w:val="auto"/>
          <w:highlight w:val="none"/>
        </w:rPr>
        <w:t>成交供应商</w:t>
      </w:r>
      <w:r>
        <w:rPr>
          <w:rFonts w:hint="eastAsia" w:ascii="宋体" w:hAnsi="宋体" w:eastAsia="宋体" w:cs="宋体"/>
          <w:color w:val="auto"/>
          <w:kern w:val="0"/>
          <w:highlight w:val="none"/>
        </w:rPr>
        <w:t>并签订政府采购合同，也可以重新开展采购活动。拒绝签订政府采购合同的成交供应商不得参加对该项目重新开展的采购活动。</w:t>
      </w:r>
    </w:p>
    <w:p w14:paraId="015F6E39">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14.3</w:t>
      </w:r>
      <w:r>
        <w:rPr>
          <w:rFonts w:hint="eastAsia" w:ascii="宋体" w:hAnsi="宋体" w:eastAsia="宋体" w:cs="宋体"/>
          <w:b/>
          <w:color w:val="auto"/>
          <w:kern w:val="0"/>
          <w:highlight w:val="none"/>
        </w:rPr>
        <w:t>成交供应商拒绝签订政府采购合同的</w:t>
      </w:r>
      <w:r>
        <w:rPr>
          <w:rFonts w:hint="eastAsia" w:ascii="宋体" w:hAnsi="宋体" w:eastAsia="宋体" w:cs="宋体"/>
          <w:b/>
          <w:color w:val="auto"/>
          <w:highlight w:val="none"/>
        </w:rPr>
        <w:t>，其保证金将不予退还，并上缴国库，给采购人造成损失的，还应当赔偿损失，并作为不良行为记录在案。</w:t>
      </w:r>
    </w:p>
    <w:p w14:paraId="74C5D78E">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14.4履约保证金</w:t>
      </w:r>
    </w:p>
    <w:p w14:paraId="2E2D504A">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本项目不收取履约保证金。</w:t>
      </w:r>
    </w:p>
    <w:p w14:paraId="6071C4BA">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十、适用法律</w:t>
      </w:r>
    </w:p>
    <w:p w14:paraId="7A90F1B9">
      <w:pPr>
        <w:pStyle w:val="21"/>
        <w:keepNext w:val="0"/>
        <w:keepLines w:val="0"/>
        <w:pageBreakBefore w:val="0"/>
        <w:shd w:val="clear"/>
        <w:kinsoku/>
        <w:overflowPunct/>
        <w:topLinePunct w:val="0"/>
        <w:autoSpaceDE/>
        <w:autoSpaceDN/>
        <w:bidi w:val="0"/>
        <w:adjustRightInd/>
        <w:spacing w:line="38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15.采购当事人的一切活动均适用于《中华人民共和国政府采购法》及相关规定。最终磋商结束后，</w:t>
      </w:r>
    </w:p>
    <w:p w14:paraId="29789F14">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磋商小组不得再与磋商供应商进行任何形式的商谈。</w:t>
      </w:r>
    </w:p>
    <w:p w14:paraId="60F53E89">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十一、其他事项</w:t>
      </w:r>
    </w:p>
    <w:p w14:paraId="24794D7F">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16.1成交服务费</w:t>
      </w:r>
    </w:p>
    <w:p w14:paraId="6AF96237">
      <w:pPr>
        <w:pStyle w:val="21"/>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（1）采购代理机构参照国家发展计划委员会《招标代理服务费管理暂行办法》计价格</w:t>
      </w:r>
      <w:r>
        <w:rPr>
          <w:rFonts w:hint="eastAsia" w:ascii="宋体" w:hAnsi="宋体" w:eastAsia="宋体" w:cs="宋体"/>
          <w:color w:val="auto"/>
          <w:highlight w:val="none"/>
          <w:lang w:eastAsia="zh-CN"/>
        </w:rPr>
        <w:t>〔2002〕1980号</w:t>
      </w:r>
      <w:r>
        <w:rPr>
          <w:rFonts w:hint="eastAsia" w:ascii="宋体" w:hAnsi="宋体" w:eastAsia="宋体" w:cs="宋体"/>
          <w:color w:val="auto"/>
          <w:highlight w:val="none"/>
        </w:rPr>
        <w:t>收费标准、《国家发展改革委关于降低部分建设项目收费标准规范收费行为等有关问题的通知》（发改价格</w:t>
      </w:r>
      <w:r>
        <w:rPr>
          <w:rFonts w:hint="eastAsia" w:ascii="宋体" w:hAnsi="宋体" w:eastAsia="宋体" w:cs="宋体"/>
          <w:color w:val="auto"/>
          <w:highlight w:val="none"/>
          <w:lang w:eastAsia="zh-CN"/>
        </w:rPr>
        <w:t>〔2011〕534号</w:t>
      </w:r>
      <w:r>
        <w:rPr>
          <w:rFonts w:hint="eastAsia" w:ascii="宋体" w:hAnsi="宋体" w:eastAsia="宋体" w:cs="宋体"/>
          <w:color w:val="auto"/>
          <w:highlight w:val="none"/>
        </w:rPr>
        <w:t>）的收费标准</w:t>
      </w:r>
      <w:r>
        <w:rPr>
          <w:rFonts w:hint="eastAsia" w:ascii="宋体" w:hAnsi="宋体" w:eastAsia="宋体" w:cs="宋体"/>
          <w:color w:val="auto"/>
          <w:highlight w:val="none"/>
          <w:lang w:val="en-US" w:eastAsia="zh-CN"/>
        </w:rPr>
        <w:t>下浮20%</w:t>
      </w:r>
      <w:r>
        <w:rPr>
          <w:rFonts w:hint="eastAsia" w:ascii="宋体" w:hAnsi="宋体" w:eastAsia="宋体" w:cs="宋体"/>
          <w:color w:val="auto"/>
          <w:highlight w:val="none"/>
        </w:rPr>
        <w:t>，按差额定率累进法计取成交服务费。发布成交结果公告后，成交人须向广西国力招标有限公司一次付清成交服务费。</w:t>
      </w:r>
    </w:p>
    <w:p w14:paraId="5F98CF20">
      <w:pPr>
        <w:pStyle w:val="21"/>
        <w:keepNext w:val="0"/>
        <w:keepLines w:val="0"/>
        <w:pageBreakBefore w:val="0"/>
        <w:shd w:val="clear"/>
        <w:kinsoku/>
        <w:overflowPunct/>
        <w:topLinePunct w:val="0"/>
        <w:autoSpaceDE/>
        <w:autoSpaceDN/>
        <w:bidi w:val="0"/>
        <w:adjustRightInd/>
        <w:spacing w:line="380" w:lineRule="exact"/>
        <w:ind w:firstLine="435"/>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A4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77691438">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08FF76D">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67837A9F">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037B585">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27A202B1">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0E10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4D0CD68">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C2A4BF4">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3A4FDB4">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34895AA7">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8E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C5CBD37">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659" w:type="dxa"/>
            <w:noWrap w:val="0"/>
            <w:vAlign w:val="top"/>
          </w:tcPr>
          <w:p w14:paraId="6D4B733C">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0B89D998">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2D906CE0">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0E3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D85C05D">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659" w:type="dxa"/>
            <w:noWrap w:val="0"/>
            <w:vAlign w:val="top"/>
          </w:tcPr>
          <w:p w14:paraId="7B7396E2">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5B9553A8">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05A2EB99">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FA2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5955D1">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659" w:type="dxa"/>
            <w:noWrap w:val="0"/>
            <w:vAlign w:val="top"/>
          </w:tcPr>
          <w:p w14:paraId="1ED4679D">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78296DC8">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31475EC4">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6FA8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866589A">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35BA4B7">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2298E1AF">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767375C5">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1A7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97B73F">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1亿～5亿</w:t>
            </w:r>
            <w:r>
              <w:rPr>
                <w:rFonts w:hint="eastAsia" w:ascii="宋体" w:hAnsi="宋体" w:eastAsia="宋体" w:cs="宋体"/>
                <w:color w:val="auto"/>
                <w:szCs w:val="21"/>
                <w:highlight w:val="none"/>
              </w:rPr>
              <w:t>元</w:t>
            </w:r>
          </w:p>
        </w:tc>
        <w:tc>
          <w:tcPr>
            <w:tcW w:w="1659" w:type="dxa"/>
            <w:noWrap w:val="0"/>
            <w:vAlign w:val="top"/>
          </w:tcPr>
          <w:p w14:paraId="66DB4D8F">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7588B0E4">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3833CF42">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28F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12C8D6E">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659" w:type="dxa"/>
            <w:noWrap w:val="0"/>
            <w:vAlign w:val="top"/>
          </w:tcPr>
          <w:p w14:paraId="6198815E">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315040E8">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21F3C3B2">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824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A291892">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659" w:type="dxa"/>
            <w:noWrap w:val="0"/>
            <w:vAlign w:val="top"/>
          </w:tcPr>
          <w:p w14:paraId="55C5D9FC">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75E63642">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46F8489D">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591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4651520">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659" w:type="dxa"/>
            <w:noWrap w:val="0"/>
            <w:vAlign w:val="top"/>
          </w:tcPr>
          <w:p w14:paraId="4E966496">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A037518">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9E6022B">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60C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F3FC438">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eastAsia="zh-CN"/>
              </w:rPr>
              <w:t>亿元</w:t>
            </w:r>
            <w:r>
              <w:rPr>
                <w:rFonts w:hint="eastAsia" w:ascii="宋体" w:hAnsi="宋体" w:eastAsia="宋体" w:cs="宋体"/>
                <w:color w:val="auto"/>
                <w:szCs w:val="21"/>
                <w:highlight w:val="none"/>
              </w:rPr>
              <w:t>以上</w:t>
            </w:r>
          </w:p>
        </w:tc>
        <w:tc>
          <w:tcPr>
            <w:tcW w:w="1659" w:type="dxa"/>
            <w:noWrap w:val="0"/>
            <w:vAlign w:val="top"/>
          </w:tcPr>
          <w:p w14:paraId="38C6F72A">
            <w:pPr>
              <w:keepNext w:val="0"/>
              <w:keepLines w:val="0"/>
              <w:pageBreakBefore w:val="0"/>
              <w:shd w:val="clear"/>
              <w:kinsoku/>
              <w:overflowPunct/>
              <w:topLinePunct w:val="0"/>
              <w:autoSpaceDE/>
              <w:autoSpaceDN/>
              <w:bidi w:val="0"/>
              <w:adjustRightIn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5BA47CA3">
            <w:pPr>
              <w:keepNext w:val="0"/>
              <w:keepLines w:val="0"/>
              <w:pageBreakBefore w:val="0"/>
              <w:shd w:val="clear"/>
              <w:kinsoku/>
              <w:overflowPunct/>
              <w:topLinePunct w:val="0"/>
              <w:autoSpaceDE/>
              <w:autoSpaceDN/>
              <w:bidi w:val="0"/>
              <w:adjustRightInd/>
              <w:spacing w:line="38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F1F36F8">
            <w:pPr>
              <w:keepNext w:val="0"/>
              <w:keepLines w:val="0"/>
              <w:pageBreakBefore w:val="0"/>
              <w:shd w:val="clear"/>
              <w:kinsoku/>
              <w:overflowPunct/>
              <w:topLinePunct w:val="0"/>
              <w:autoSpaceDE/>
              <w:autoSpaceDN/>
              <w:bidi w:val="0"/>
              <w:adjustRightInd/>
              <w:spacing w:line="38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CA92368">
      <w:pPr>
        <w:pStyle w:val="21"/>
        <w:keepNext w:val="0"/>
        <w:keepLines w:val="0"/>
        <w:pageBreakBefore w:val="0"/>
        <w:shd w:val="clear"/>
        <w:kinsoku/>
        <w:overflowPunct/>
        <w:topLinePunct w:val="0"/>
        <w:autoSpaceDE/>
        <w:autoSpaceDN/>
        <w:bidi w:val="0"/>
        <w:adjustRightInd/>
        <w:spacing w:line="380" w:lineRule="exact"/>
        <w:ind w:firstLine="435"/>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招标代理服务收费按差额定率累进法计算。</w:t>
      </w:r>
    </w:p>
    <w:p w14:paraId="4C263F54">
      <w:pPr>
        <w:pStyle w:val="21"/>
        <w:keepNext w:val="0"/>
        <w:keepLines w:val="0"/>
        <w:pageBreakBefore w:val="0"/>
        <w:shd w:val="clear"/>
        <w:kinsoku/>
        <w:overflowPunct/>
        <w:topLinePunct w:val="0"/>
        <w:autoSpaceDE/>
        <w:autoSpaceDN/>
        <w:bidi w:val="0"/>
        <w:adjustRightInd/>
        <w:spacing w:line="380" w:lineRule="exact"/>
        <w:ind w:firstLine="435"/>
        <w:textAlignment w:val="auto"/>
        <w:rPr>
          <w:rFonts w:hint="eastAsia" w:ascii="宋体" w:hAnsi="宋体" w:eastAsia="宋体" w:cs="宋体"/>
          <w:color w:val="auto"/>
          <w:highlight w:val="none"/>
        </w:rPr>
      </w:pPr>
      <w:r>
        <w:rPr>
          <w:rFonts w:hint="eastAsia" w:ascii="宋体" w:hAnsi="宋体" w:eastAsia="宋体" w:cs="宋体"/>
          <w:color w:val="auto"/>
          <w:highlight w:val="none"/>
        </w:rPr>
        <w:t>（3）服务费指定银行账户：</w:t>
      </w:r>
    </w:p>
    <w:p w14:paraId="4FC50E71">
      <w:pPr>
        <w:pStyle w:val="21"/>
        <w:keepNext w:val="0"/>
        <w:keepLines w:val="0"/>
        <w:pageBreakBefore w:val="0"/>
        <w:shd w:val="clear"/>
        <w:kinsoku/>
        <w:overflowPunct/>
        <w:topLinePunct w:val="0"/>
        <w:autoSpaceDE/>
        <w:autoSpaceDN/>
        <w:bidi w:val="0"/>
        <w:adjustRightInd/>
        <w:spacing w:line="380" w:lineRule="exact"/>
        <w:ind w:firstLine="435"/>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开户名称：广西国力招标有限公司</w:t>
      </w:r>
    </w:p>
    <w:p w14:paraId="2EEC078E">
      <w:pPr>
        <w:pStyle w:val="21"/>
        <w:keepNext w:val="0"/>
        <w:keepLines w:val="0"/>
        <w:pageBreakBefore w:val="0"/>
        <w:shd w:val="clear"/>
        <w:kinsoku/>
        <w:overflowPunct/>
        <w:topLinePunct w:val="0"/>
        <w:autoSpaceDE/>
        <w:autoSpaceDN/>
        <w:bidi w:val="0"/>
        <w:adjustRightInd/>
        <w:spacing w:line="380" w:lineRule="exact"/>
        <w:ind w:firstLine="435"/>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开户银行：广西北部湾银行股份有限公司南宁市白沙支行（网银支付可选广西北部湾银行江南支行）</w:t>
      </w:r>
    </w:p>
    <w:p w14:paraId="2D93C248">
      <w:pPr>
        <w:pStyle w:val="21"/>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银行账号：800109057400039 </w:t>
      </w:r>
    </w:p>
    <w:p w14:paraId="5595565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银行行号：313611002051</w:t>
      </w:r>
    </w:p>
    <w:p w14:paraId="5CD724C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（4）开具代理服务费发票事宜的联系方式：0771-4915100、4915200。</w:t>
      </w:r>
    </w:p>
    <w:p w14:paraId="0B378303">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16.2</w:t>
      </w:r>
      <w:r>
        <w:rPr>
          <w:rFonts w:hint="eastAsia" w:ascii="宋体" w:hAnsi="宋体" w:eastAsia="宋体" w:cs="宋体"/>
          <w:b/>
          <w:color w:val="auto"/>
          <w:highlight w:val="none"/>
        </w:rPr>
        <w:t>解释权</w:t>
      </w:r>
    </w:p>
    <w:p w14:paraId="54E0B489">
      <w:pPr>
        <w:keepNext w:val="0"/>
        <w:keepLines w:val="0"/>
        <w:pageBreakBefore w:val="0"/>
        <w:shd w:val="clear"/>
        <w:kinsoku/>
        <w:overflowPunct/>
        <w:topLinePunct w:val="0"/>
        <w:autoSpaceDE/>
        <w:autoSpaceDN/>
        <w:bidi w:val="0"/>
        <w:adjustRightInd/>
        <w:spacing w:line="380" w:lineRule="exact"/>
        <w:ind w:firstLine="404" w:firstLineChars="200"/>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本竞争性磋商文件是根据国家有关</w:t>
      </w:r>
      <w:r>
        <w:rPr>
          <w:rFonts w:hint="eastAsia" w:ascii="宋体" w:hAnsi="宋体" w:eastAsia="宋体" w:cs="宋体"/>
          <w:color w:val="auto"/>
          <w:spacing w:val="-4"/>
          <w:highlight w:val="none"/>
          <w:lang w:eastAsia="zh-CN"/>
        </w:rPr>
        <w:t>法律法规</w:t>
      </w:r>
      <w:r>
        <w:rPr>
          <w:rFonts w:hint="eastAsia" w:ascii="宋体" w:hAnsi="宋体" w:eastAsia="宋体" w:cs="宋体"/>
          <w:color w:val="auto"/>
          <w:spacing w:val="-4"/>
          <w:highlight w:val="none"/>
        </w:rPr>
        <w:t>以及政府采购管理的有关规定和参照国际惯例编制，解释权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rPr>
        <w:t>本采购代理机构。</w:t>
      </w:r>
    </w:p>
    <w:p w14:paraId="2E357D27">
      <w:pPr>
        <w:keepNext w:val="0"/>
        <w:keepLines w:val="0"/>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16.3</w:t>
      </w:r>
      <w:r>
        <w:rPr>
          <w:rFonts w:hint="eastAsia" w:ascii="宋体" w:hAnsi="宋体" w:eastAsia="宋体" w:cs="宋体"/>
          <w:b/>
          <w:color w:val="auto"/>
          <w:highlight w:val="none"/>
        </w:rPr>
        <w:t>有关事宜</w:t>
      </w:r>
    </w:p>
    <w:p w14:paraId="56783545">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所有与本竞争性磋商文件有关的函电请按下列通讯地址联系：</w:t>
      </w:r>
    </w:p>
    <w:p w14:paraId="55EB1FD4">
      <w:pPr>
        <w:pStyle w:val="21"/>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广西国力招标有限公司</w:t>
      </w:r>
    </w:p>
    <w:p w14:paraId="30F8C405">
      <w:pPr>
        <w:pStyle w:val="21"/>
        <w:keepNext w:val="0"/>
        <w:keepLines w:val="0"/>
        <w:pageBreakBefore w:val="0"/>
        <w:shd w:val="clear"/>
        <w:tabs>
          <w:tab w:val="left" w:pos="1990"/>
        </w:tabs>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邮政编码：530000</w:t>
      </w:r>
    </w:p>
    <w:p w14:paraId="51E6B5CE">
      <w:pPr>
        <w:pStyle w:val="21"/>
        <w:keepNext w:val="0"/>
        <w:keepLines w:val="0"/>
        <w:pageBreakBefore w:val="0"/>
        <w:shd w:val="clear"/>
        <w:tabs>
          <w:tab w:val="left" w:pos="1990"/>
        </w:tabs>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pacing w:val="-4"/>
          <w:highlight w:val="none"/>
        </w:rPr>
      </w:pPr>
      <w:r>
        <w:rPr>
          <w:rFonts w:hint="eastAsia" w:ascii="宋体" w:hAnsi="宋体" w:eastAsia="宋体" w:cs="宋体"/>
          <w:color w:val="auto"/>
          <w:highlight w:val="none"/>
        </w:rPr>
        <w:t>通讯地址：广西南宁市白沙大道53号松宇时代13楼</w:t>
      </w:r>
    </w:p>
    <w:p w14:paraId="29A7D846">
      <w:pPr>
        <w:pStyle w:val="21"/>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lang w:eastAsia="zh-CN"/>
        </w:rPr>
        <w:t>0771-4915558</w:t>
      </w:r>
    </w:p>
    <w:p w14:paraId="5CE5B605">
      <w:pPr>
        <w:pStyle w:val="21"/>
        <w:keepNext w:val="0"/>
        <w:keepLines w:val="0"/>
        <w:pageBreakBefore w:val="0"/>
        <w:shd w:val="clear"/>
        <w:tabs>
          <w:tab w:val="left" w:pos="1990"/>
        </w:tabs>
        <w:kinsoku/>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sz w:val="32"/>
          <w:szCs w:val="32"/>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lang w:eastAsia="zh-CN"/>
        </w:rPr>
        <w:t>0771-4915558</w:t>
      </w:r>
      <w:r>
        <w:rPr>
          <w:rFonts w:hint="eastAsia" w:ascii="宋体" w:hAnsi="宋体" w:eastAsia="宋体" w:cs="宋体"/>
          <w:color w:val="auto"/>
          <w:highlight w:val="none"/>
        </w:rPr>
        <w:t>、4915100</w:t>
      </w:r>
    </w:p>
    <w:p w14:paraId="721EE0E1">
      <w:pPr>
        <w:shd w:val="clear"/>
        <w:snapToGrid w:val="0"/>
        <w:rPr>
          <w:rFonts w:hint="eastAsia"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2311E389">
      <w:pPr>
        <w:widowControl/>
        <w:shd w:val="clear" w:color="auto"/>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2219BB00">
      <w:pPr>
        <w:widowControl/>
        <w:shd w:val="clear" w:color="auto"/>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CB729AF">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1A17622">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33F691CD">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2C55160F">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843920D">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7517370D">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13C62CA8">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57A2E1D">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1455090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25DA86E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19F6BE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CC7362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73C010C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450935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1F22B2F">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499759E1">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CDE84D3">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2162E2D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2D9E0D4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5E6F29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4B323017">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8DD1B4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05B190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958723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7CA0470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2DE134D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2C4AAD5">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B812258">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1393279B">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7D37E5C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D31B0C3">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635D056">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6445B4DE">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3ADAB99">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60A1D6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37FECF5D">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4CCAB508">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353C261E">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572E6B3">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E9684A">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73BA7CAA">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color w:val="auto"/>
                <w:kern w:val="0"/>
                <w:szCs w:val="21"/>
                <w:highlight w:val="none"/>
                <w:lang w:eastAsia="zh-CN"/>
              </w:rPr>
              <w:t>）</w:t>
            </w:r>
          </w:p>
        </w:tc>
      </w:tr>
      <w:tr w14:paraId="293CDD94">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75143E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5B537C9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C774B22">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61B9B5CE">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58414F96">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692BACD7">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5E7A3EFC">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25FD0E97">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17FD336C">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18F8736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59D9E4CF">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76674A7E">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25C80F5A">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2E65F67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0C8204BB">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3E5A6ED5">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2926A6F4">
      <w:pPr>
        <w:shd w:val="clear"/>
        <w:jc w:val="left"/>
        <w:rPr>
          <w:rFonts w:ascii="宋体" w:hAnsi="宋体"/>
          <w:color w:val="auto"/>
          <w:highlight w:val="none"/>
        </w:rPr>
      </w:pPr>
    </w:p>
    <w:p w14:paraId="62655391">
      <w:pPr>
        <w:shd w:val="clear"/>
        <w:jc w:val="left"/>
        <w:rPr>
          <w:rFonts w:hint="eastAsia" w:ascii="楷体" w:eastAsia="楷体"/>
          <w:color w:val="auto"/>
          <w:kern w:val="0"/>
          <w:sz w:val="32"/>
          <w:szCs w:val="32"/>
          <w:highlight w:val="none"/>
        </w:rPr>
      </w:pPr>
      <w:r>
        <w:rPr>
          <w:rFonts w:ascii="宋体" w:hAnsi="宋体"/>
          <w:color w:val="auto"/>
          <w:highlight w:val="none"/>
        </w:rPr>
        <w:br w:type="page"/>
      </w:r>
      <w:r>
        <w:rPr>
          <w:rFonts w:hint="eastAsia" w:ascii="楷体" w:eastAsia="楷体"/>
          <w:color w:val="auto"/>
          <w:kern w:val="0"/>
          <w:sz w:val="32"/>
          <w:szCs w:val="32"/>
          <w:highlight w:val="none"/>
        </w:rPr>
        <w:t>附件</w:t>
      </w:r>
      <w:r>
        <w:rPr>
          <w:rFonts w:hint="eastAsia" w:ascii="楷体" w:eastAsia="楷体"/>
          <w:color w:val="auto"/>
          <w:kern w:val="0"/>
          <w:sz w:val="32"/>
          <w:szCs w:val="32"/>
          <w:highlight w:val="none"/>
          <w:lang w:val="en-US" w:eastAsia="zh-CN"/>
        </w:rPr>
        <w:t>2</w:t>
      </w:r>
      <w:r>
        <w:rPr>
          <w:rFonts w:hint="eastAsia" w:ascii="楷体" w:eastAsia="楷体"/>
          <w:color w:val="auto"/>
          <w:kern w:val="0"/>
          <w:sz w:val="32"/>
          <w:szCs w:val="32"/>
          <w:highlight w:val="none"/>
        </w:rPr>
        <w:t>：</w:t>
      </w:r>
    </w:p>
    <w:p w14:paraId="192B9164">
      <w:pPr>
        <w:shd w:val="clea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14DEC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08E53B78">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32CF81B7">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70668F58">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4D102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D28A6E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63186F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6E66226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346B950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47BD25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10AF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B58ADF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335A2BA">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EAF9AB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3BAC829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E5DA3B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33FD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024F6AD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EAE2953">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52DFF3A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2E84C5C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59ACF1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6AA4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4DCEEC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6D70F5B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157EF4F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540FC9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32C1414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2E2DF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63B0B4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89E7F5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CA9FFE4">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41094D8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59FCA0B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BB6B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7E8D00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1CE734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8311B88">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6DB7FE7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15AFD57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22C97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06E19A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14CFC3B">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D05CC5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535FFEA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150261A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2FCD1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2301F5A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882FDEE">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3A0447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1A8EDDC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51AFE87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3875D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9A40D6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422FC9C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3519CC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3D9E1D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FB9E46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5FEA6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3464006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2192340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714C880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051A2BD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B13BFF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2AF3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696CE2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0741980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52FCDB3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0584CBE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EE14A3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704E6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64D4691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66AB63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6CD3B5A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57A55FB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5A307D3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66BD7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FD6271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0BDD431">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24A02A">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894CB4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0E9DEED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2B9E7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F0C1B6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8E3E27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F1F9462">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5913BBC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15427FE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06678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CEC7F5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B82A301">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73075CF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24AF12E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制冷量&gt;14000W</w:t>
            </w:r>
            <w:r>
              <w:rPr>
                <w:rFonts w:hint="eastAsia" w:ascii="宋体" w:hAnsi="宋体" w:cs="宋体"/>
                <w:color w:val="auto"/>
                <w:kern w:val="0"/>
                <w:szCs w:val="21"/>
                <w:highlight w:val="none"/>
                <w:lang w:eastAsia="zh-CN"/>
              </w:rPr>
              <w:t>）</w:t>
            </w:r>
          </w:p>
        </w:tc>
        <w:tc>
          <w:tcPr>
            <w:tcW w:w="4540" w:type="dxa"/>
            <w:tcBorders>
              <w:tl2br w:val="nil"/>
              <w:tr2bl w:val="nil"/>
            </w:tcBorders>
            <w:noWrap w:val="0"/>
            <w:vAlign w:val="center"/>
          </w:tcPr>
          <w:p w14:paraId="5F77F71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2A2E7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58B46F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C80C72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2EAFB63">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0869E40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4366E89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21DD3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4DBAF0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A0CDE29">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720AB5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633BFFE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34AD907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449FC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36908E0">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8D04E82">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1DD5131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0B7FE97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7E80071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0C901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0F7D35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7EEEFC8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4ED7D51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E0CAB0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1CC462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715C5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D626A8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68FF396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66A3F10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31CE35B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2140BA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4CA5E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AACCFD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32B0FC4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33AE82D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6CD9C3E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ECFBF6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44DF5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4ED930B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1BCABE6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39297CB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723AF07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789606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24EFC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2A7F3BE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4435144">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187F268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7C4B291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5965374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4B304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B35902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796E54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EAB0926">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11344E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5337D55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639EA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EBA2691">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1AAD66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82FEE6">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0FFC076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制冷量≤14000W</w:t>
            </w:r>
            <w:r>
              <w:rPr>
                <w:rFonts w:hint="eastAsia" w:ascii="宋体" w:hAnsi="宋体" w:cs="宋体"/>
                <w:color w:val="auto"/>
                <w:kern w:val="0"/>
                <w:szCs w:val="21"/>
                <w:highlight w:val="none"/>
                <w:lang w:eastAsia="zh-CN"/>
              </w:rPr>
              <w:t>）</w:t>
            </w:r>
          </w:p>
        </w:tc>
        <w:tc>
          <w:tcPr>
            <w:tcW w:w="4540" w:type="dxa"/>
            <w:tcBorders>
              <w:tl2br w:val="nil"/>
              <w:tr2bl w:val="nil"/>
            </w:tcBorders>
            <w:noWrap w:val="0"/>
            <w:vAlign w:val="center"/>
          </w:tcPr>
          <w:p w14:paraId="545AE88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0C749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1E258E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DE34337">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6D4933B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50BE0C1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C30CAE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7FAE6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0685D5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BBFE6F4">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5C7C599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57FCF1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74B1764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61B0D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1C8A70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5827B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66B187D">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DFF699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6E5CF49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4E310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245152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162627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D60DF5">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55C3041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44F54C6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2EC90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692876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95D99B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D41986">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43916D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5636989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18A35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44BC617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7F796C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67B3A59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1967B4D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F62A3F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7E9DF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DA800F1">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5B9F1D">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18929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5EDBBD6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973C79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79175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300723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DBFA0CF">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E6BF2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0D86327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7CF94D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EECE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0F242D6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E33172F">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48EB51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1474C50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5A8F86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6219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33C0A3D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37249EC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27149D6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4E225ED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539A15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416D6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57B284E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78258D3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5734021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02A9DE0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2EAF870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6C8B4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8E814F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4757F91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6A2CF23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7D2F900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57FE4C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66FE0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5A32670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608ABD9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623DF53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5EEAFBA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5E669F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4118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1083EF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A31A56A">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62AABE9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19113C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64BCAC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88AC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B17917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CFAA46F">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7273E3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4727229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B12177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084B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1048F6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4230488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721F062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01D9FE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64C804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12CF4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1E6AE2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6D977EE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1D1CC86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1118EE4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C2E16C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7A94D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D7484F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38C98F3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68619B5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43D52C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602FDB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8398ED4">
      <w:pPr>
        <w:pStyle w:val="17"/>
        <w:shd w:val="clear"/>
        <w:spacing w:line="360" w:lineRule="auto"/>
        <w:rPr>
          <w:rFonts w:hint="eastAsia" w:ascii="Times New Roman" w:hAnsi="Times New Roman"/>
          <w:color w:val="auto"/>
          <w:spacing w:val="-3"/>
          <w:sz w:val="21"/>
          <w:szCs w:val="21"/>
          <w:highlight w:val="none"/>
        </w:rPr>
      </w:pPr>
    </w:p>
    <w:p w14:paraId="362F3626">
      <w:pPr>
        <w:pStyle w:val="17"/>
        <w:shd w:val="clear"/>
        <w:spacing w:line="360" w:lineRule="auto"/>
        <w:rPr>
          <w:rFonts w:ascii="宋体" w:hAnsi="宋体"/>
          <w:color w:val="auto"/>
          <w:sz w:val="21"/>
          <w:szCs w:val="21"/>
          <w:highlight w:val="none"/>
        </w:rPr>
      </w:pPr>
      <w:r>
        <w:rPr>
          <w:rFonts w:hint="eastAsia" w:ascii="Times New Roman" w:hAnsi="Times New Roman"/>
          <w:color w:val="auto"/>
          <w:spacing w:val="-3"/>
          <w:sz w:val="21"/>
          <w:szCs w:val="21"/>
          <w:highlight w:val="none"/>
        </w:rPr>
        <w:t>注：</w:t>
      </w:r>
      <w:r>
        <w:rPr>
          <w:rFonts w:ascii="Times New Roman" w:hAnsi="Times New Roman"/>
          <w:color w:val="auto"/>
          <w:spacing w:val="-3"/>
          <w:sz w:val="21"/>
          <w:szCs w:val="21"/>
          <w:highlight w:val="none"/>
        </w:rPr>
        <w:t>1.</w:t>
      </w:r>
      <w:r>
        <w:rPr>
          <w:rFonts w:hint="eastAsia" w:ascii="Times New Roman" w:hAnsi="Times New Roman"/>
          <w:color w:val="auto"/>
          <w:spacing w:val="-3"/>
          <w:sz w:val="21"/>
          <w:szCs w:val="21"/>
          <w:highlight w:val="none"/>
        </w:rPr>
        <w:t>节能产品认证应依据相关国家标准的最新版本，依据国家标准中二级能效（水效）</w:t>
      </w:r>
      <w:r>
        <w:rPr>
          <w:rFonts w:hint="eastAsia" w:ascii="Times New Roman" w:hAnsi="Times New Roman"/>
          <w:color w:val="auto"/>
          <w:sz w:val="21"/>
          <w:szCs w:val="21"/>
          <w:highlight w:val="none"/>
        </w:rPr>
        <w:t>指标。</w:t>
      </w:r>
    </w:p>
    <w:p w14:paraId="1071FC4C">
      <w:pPr>
        <w:shd w:val="clear"/>
        <w:spacing w:line="400" w:lineRule="exact"/>
        <w:rPr>
          <w:rFonts w:hint="eastAsia" w:ascii="宋体" w:hAnsi="宋体"/>
          <w:b/>
          <w:color w:val="auto"/>
          <w:sz w:val="32"/>
          <w:szCs w:val="32"/>
          <w:highlight w:val="none"/>
        </w:rPr>
      </w:pPr>
      <w:r>
        <w:rPr>
          <w:rFonts w:hint="eastAsia" w:ascii="宋体" w:hAnsi="宋体"/>
          <w:color w:val="auto"/>
          <w:szCs w:val="21"/>
          <w:highlight w:val="none"/>
        </w:rPr>
        <w:t xml:space="preserve">    </w:t>
      </w:r>
      <w:r>
        <w:rPr>
          <w:rFonts w:ascii="Times New Roman" w:hAnsi="Times New Roman"/>
          <w:color w:val="auto"/>
          <w:szCs w:val="21"/>
          <w:highlight w:val="none"/>
        </w:rPr>
        <w:t>2</w:t>
      </w:r>
      <w:r>
        <w:rPr>
          <w:rFonts w:ascii="Times New Roman" w:hAnsi="Times New Roman"/>
          <w:b/>
          <w:bCs/>
          <w:color w:val="auto"/>
          <w:szCs w:val="21"/>
          <w:highlight w:val="none"/>
        </w:rPr>
        <w:t>.</w:t>
      </w:r>
      <w:r>
        <w:rPr>
          <w:rFonts w:hint="eastAsia" w:ascii="Times New Roman" w:hAnsi="Times New Roman"/>
          <w:b/>
          <w:bCs/>
          <w:color w:val="auto"/>
          <w:szCs w:val="21"/>
          <w:highlight w:val="none"/>
        </w:rPr>
        <w:t>以</w:t>
      </w:r>
      <w:r>
        <w:rPr>
          <w:rFonts w:ascii="Times New Roman" w:hAnsi="Times New Roman"/>
          <w:b/>
          <w:bCs/>
          <w:color w:val="auto"/>
          <w:szCs w:val="21"/>
          <w:highlight w:val="none"/>
        </w:rPr>
        <w:t>“</w:t>
      </w:r>
      <w:r>
        <w:rPr>
          <w:rFonts w:hint="eastAsia" w:ascii="Times New Roman" w:hAnsi="Times New Roman"/>
          <w:b/>
          <w:bCs/>
          <w:color w:val="auto"/>
          <w:szCs w:val="21"/>
          <w:highlight w:val="none"/>
        </w:rPr>
        <w:t>★</w:t>
      </w:r>
      <w:r>
        <w:rPr>
          <w:rFonts w:ascii="Times New Roman" w:hAnsi="Times New Roman"/>
          <w:b/>
          <w:bCs/>
          <w:color w:val="auto"/>
          <w:szCs w:val="21"/>
          <w:highlight w:val="none"/>
        </w:rPr>
        <w:t>”</w:t>
      </w:r>
      <w:r>
        <w:rPr>
          <w:rFonts w:hint="eastAsia" w:ascii="Times New Roman" w:hAnsi="Times New Roman"/>
          <w:b/>
          <w:bCs/>
          <w:color w:val="auto"/>
          <w:szCs w:val="21"/>
          <w:highlight w:val="none"/>
        </w:rPr>
        <w:t>标注的为政府强制采购产品。</w:t>
      </w:r>
    </w:p>
    <w:p w14:paraId="3F6D5B77">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2DF490A9">
      <w:pPr>
        <w:shd w:val="clear"/>
        <w:spacing w:line="400" w:lineRule="exact"/>
        <w:jc w:val="center"/>
        <w:rPr>
          <w:rFonts w:hint="eastAsia" w:ascii="宋体" w:hAnsi="宋体"/>
          <w:b/>
          <w:color w:val="auto"/>
          <w:sz w:val="32"/>
          <w:szCs w:val="32"/>
          <w:highlight w:val="none"/>
        </w:rPr>
      </w:pPr>
    </w:p>
    <w:p w14:paraId="292F0F4D">
      <w:pPr>
        <w:shd w:val="clear"/>
        <w:spacing w:line="400" w:lineRule="exact"/>
        <w:jc w:val="center"/>
        <w:rPr>
          <w:rFonts w:hint="eastAsia" w:ascii="宋体" w:hAnsi="宋体"/>
          <w:b/>
          <w:color w:val="auto"/>
          <w:sz w:val="32"/>
          <w:szCs w:val="32"/>
          <w:highlight w:val="none"/>
        </w:rPr>
      </w:pPr>
    </w:p>
    <w:p w14:paraId="5345E7C5">
      <w:pPr>
        <w:shd w:val="clear"/>
        <w:spacing w:line="400" w:lineRule="exact"/>
        <w:jc w:val="center"/>
        <w:rPr>
          <w:rFonts w:hint="eastAsia" w:ascii="宋体" w:hAnsi="宋体"/>
          <w:b/>
          <w:color w:val="auto"/>
          <w:sz w:val="32"/>
          <w:szCs w:val="32"/>
          <w:highlight w:val="none"/>
        </w:rPr>
      </w:pPr>
    </w:p>
    <w:p w14:paraId="29BFD76A">
      <w:pPr>
        <w:shd w:val="clear"/>
        <w:spacing w:line="400" w:lineRule="exact"/>
        <w:jc w:val="center"/>
        <w:rPr>
          <w:rFonts w:hint="eastAsia" w:ascii="宋体" w:hAnsi="宋体"/>
          <w:b/>
          <w:color w:val="auto"/>
          <w:sz w:val="32"/>
          <w:szCs w:val="32"/>
          <w:highlight w:val="none"/>
        </w:rPr>
      </w:pPr>
    </w:p>
    <w:p w14:paraId="0093B3AA">
      <w:pPr>
        <w:shd w:val="clear"/>
        <w:spacing w:line="400" w:lineRule="exact"/>
        <w:jc w:val="center"/>
        <w:rPr>
          <w:rFonts w:hint="eastAsia" w:ascii="宋体" w:hAnsi="宋体"/>
          <w:b/>
          <w:color w:val="auto"/>
          <w:sz w:val="32"/>
          <w:szCs w:val="32"/>
          <w:highlight w:val="none"/>
        </w:rPr>
      </w:pPr>
    </w:p>
    <w:p w14:paraId="4AC54D8C">
      <w:pPr>
        <w:shd w:val="clear"/>
        <w:spacing w:line="400" w:lineRule="exact"/>
        <w:jc w:val="center"/>
        <w:rPr>
          <w:rFonts w:hint="eastAsia" w:ascii="宋体" w:hAnsi="宋体"/>
          <w:b/>
          <w:color w:val="auto"/>
          <w:sz w:val="32"/>
          <w:szCs w:val="32"/>
          <w:highlight w:val="none"/>
        </w:rPr>
      </w:pPr>
    </w:p>
    <w:p w14:paraId="64D508A7">
      <w:pPr>
        <w:shd w:val="clear"/>
        <w:spacing w:line="400" w:lineRule="exact"/>
        <w:jc w:val="center"/>
        <w:rPr>
          <w:rFonts w:hint="eastAsia" w:ascii="宋体" w:hAnsi="宋体"/>
          <w:b/>
          <w:color w:val="auto"/>
          <w:sz w:val="32"/>
          <w:szCs w:val="32"/>
          <w:highlight w:val="none"/>
        </w:rPr>
      </w:pPr>
    </w:p>
    <w:p w14:paraId="55AF9BC1">
      <w:pPr>
        <w:shd w:val="clear"/>
        <w:spacing w:line="400" w:lineRule="exact"/>
        <w:jc w:val="center"/>
        <w:rPr>
          <w:rFonts w:hint="eastAsia" w:ascii="宋体" w:hAnsi="宋体"/>
          <w:b/>
          <w:color w:val="auto"/>
          <w:sz w:val="32"/>
          <w:szCs w:val="32"/>
          <w:highlight w:val="none"/>
        </w:rPr>
      </w:pPr>
    </w:p>
    <w:p w14:paraId="333A61A2">
      <w:pPr>
        <w:shd w:val="clear"/>
        <w:spacing w:line="400" w:lineRule="exact"/>
        <w:jc w:val="center"/>
        <w:rPr>
          <w:rFonts w:hint="eastAsia" w:ascii="宋体" w:hAnsi="宋体"/>
          <w:b/>
          <w:color w:val="auto"/>
          <w:sz w:val="32"/>
          <w:szCs w:val="32"/>
          <w:highlight w:val="none"/>
        </w:rPr>
      </w:pPr>
    </w:p>
    <w:p w14:paraId="5C7FB1E8">
      <w:pPr>
        <w:shd w:val="clear"/>
        <w:spacing w:line="400" w:lineRule="exact"/>
        <w:jc w:val="center"/>
        <w:rPr>
          <w:rFonts w:hint="eastAsia" w:ascii="宋体" w:hAnsi="宋体"/>
          <w:b/>
          <w:color w:val="auto"/>
          <w:sz w:val="32"/>
          <w:szCs w:val="32"/>
          <w:highlight w:val="none"/>
        </w:rPr>
      </w:pPr>
    </w:p>
    <w:p w14:paraId="59FCC3B7">
      <w:pPr>
        <w:shd w:val="clear"/>
        <w:spacing w:line="400" w:lineRule="exact"/>
        <w:jc w:val="center"/>
        <w:rPr>
          <w:rFonts w:hint="eastAsia" w:ascii="宋体" w:hAnsi="宋体"/>
          <w:b/>
          <w:color w:val="auto"/>
          <w:sz w:val="32"/>
          <w:szCs w:val="32"/>
          <w:highlight w:val="none"/>
        </w:rPr>
      </w:pPr>
    </w:p>
    <w:p w14:paraId="490B2B25">
      <w:pPr>
        <w:shd w:val="clear"/>
        <w:spacing w:line="400" w:lineRule="exact"/>
        <w:rPr>
          <w:rFonts w:hint="eastAsia" w:ascii="宋体" w:hAnsi="宋体"/>
          <w:b/>
          <w:color w:val="auto"/>
          <w:sz w:val="32"/>
          <w:szCs w:val="32"/>
          <w:highlight w:val="none"/>
        </w:rPr>
      </w:pPr>
    </w:p>
    <w:p w14:paraId="061D04E6">
      <w:pPr>
        <w:pStyle w:val="34"/>
        <w:shd w:val="clear"/>
        <w:rPr>
          <w:rFonts w:hint="eastAsia"/>
          <w:color w:val="auto"/>
          <w:sz w:val="44"/>
          <w:szCs w:val="44"/>
          <w:highlight w:val="none"/>
        </w:rPr>
      </w:pPr>
      <w:bookmarkStart w:id="47" w:name="_Toc476258758"/>
      <w:bookmarkStart w:id="48" w:name="_Toc476258664"/>
      <w:r>
        <w:rPr>
          <w:rFonts w:hint="eastAsia"/>
          <w:color w:val="auto"/>
          <w:sz w:val="44"/>
          <w:szCs w:val="44"/>
          <w:highlight w:val="none"/>
        </w:rPr>
        <w:t>第三章  采购需求</w:t>
      </w:r>
      <w:bookmarkEnd w:id="47"/>
      <w:bookmarkEnd w:id="48"/>
    </w:p>
    <w:p w14:paraId="4E10D322">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7B8C2A40">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GXZC2026-C3-001731-GLZB</w:t>
      </w:r>
    </w:p>
    <w:p w14:paraId="75851440">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29F942CA">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40336DFD">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0047356C">
      <w:pPr>
        <w:shd w:val="clear"/>
        <w:spacing w:line="440" w:lineRule="exact"/>
        <w:ind w:firstLine="437"/>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1.</w:t>
      </w:r>
      <w:r>
        <w:rPr>
          <w:rFonts w:hint="eastAsia" w:ascii="宋体" w:hAnsi="宋体"/>
          <w:color w:val="auto"/>
          <w:szCs w:val="21"/>
          <w:highlight w:val="none"/>
        </w:rPr>
        <w:t>本项目需求表中带有“▲”的技术参数或要求为实质性要求，必须满足，竞标响应不得低于该技术指标或要求。</w:t>
      </w:r>
    </w:p>
    <w:p w14:paraId="6AF0469C">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供应商所竞标货物或服务如有国家相关标准、行业标准、地方标准或者其他标准、规范要求的按相关规定执行，若执行标准有修改或更新按最新版本执行。</w:t>
      </w:r>
    </w:p>
    <w:p w14:paraId="5A23DAF8">
      <w:pPr>
        <w:shd w:val="clear"/>
        <w:spacing w:line="440" w:lineRule="exact"/>
        <w:ind w:firstLine="437"/>
        <w:rPr>
          <w:rFonts w:hint="eastAsia" w:ascii="宋体" w:hAnsi="宋体" w:cs="Arial"/>
          <w:b/>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Cs w:val="21"/>
          <w:highlight w:val="none"/>
          <w:lang w:val="en-US" w:eastAsia="zh-CN"/>
        </w:rPr>
        <w:t>工业</w:t>
      </w:r>
      <w:r>
        <w:rPr>
          <w:rFonts w:hint="eastAsia" w:ascii="宋体" w:hAnsi="宋体"/>
          <w:color w:val="auto"/>
          <w:szCs w:val="21"/>
          <w:highlight w:val="none"/>
          <w:lang w:eastAsia="zh-CN"/>
        </w:rPr>
        <w:t>。</w:t>
      </w:r>
    </w:p>
    <w:p w14:paraId="23BB2F5B">
      <w:pPr>
        <w:shd w:val="clear"/>
        <w:spacing w:line="400" w:lineRule="exact"/>
        <w:ind w:firstLine="316" w:firstLineChars="150"/>
        <w:jc w:val="left"/>
        <w:rPr>
          <w:rFonts w:hint="eastAsia" w:ascii="宋体" w:hAnsi="宋体" w:eastAsia="宋体" w:cs="Arial"/>
          <w:b/>
          <w:color w:val="auto"/>
          <w:szCs w:val="21"/>
          <w:highlight w:val="none"/>
          <w:lang w:eastAsia="zh-CN"/>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1126700</w:t>
      </w:r>
      <w:r>
        <w:rPr>
          <w:rFonts w:hint="eastAsia" w:ascii="宋体" w:hAnsi="宋体"/>
          <w:b/>
          <w:color w:val="auto"/>
          <w:highlight w:val="none"/>
        </w:rPr>
        <w:t>元</w:t>
      </w:r>
      <w:r>
        <w:rPr>
          <w:rFonts w:hint="eastAsia" w:ascii="宋体" w:hAnsi="宋体"/>
          <w:b/>
          <w:color w:val="auto"/>
          <w:highlight w:val="none"/>
          <w:lang w:eastAsia="zh-CN"/>
        </w:rPr>
        <w:t>（</w:t>
      </w:r>
      <w:r>
        <w:rPr>
          <w:rFonts w:hint="eastAsia" w:ascii="宋体" w:hAnsi="宋体"/>
          <w:b/>
          <w:color w:val="auto"/>
          <w:sz w:val="20"/>
          <w:szCs w:val="22"/>
          <w:highlight w:val="none"/>
          <w:lang w:val="en-US" w:eastAsia="zh-CN"/>
        </w:rPr>
        <w:t>最高限价：1126700元</w:t>
      </w:r>
      <w:r>
        <w:rPr>
          <w:rFonts w:hint="eastAsia" w:ascii="宋体" w:hAnsi="宋体"/>
          <w:b/>
          <w:color w:val="auto"/>
          <w:highlight w:val="none"/>
          <w:lang w:eastAsia="zh-CN"/>
        </w:rPr>
        <w:t>）</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231"/>
        <w:gridCol w:w="196"/>
        <w:gridCol w:w="8146"/>
      </w:tblGrid>
      <w:tr w14:paraId="3BCA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6485B1C6">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05655960">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w:t>
            </w:r>
          </w:p>
          <w:p w14:paraId="3DE5B057">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7216ED59">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216" w:type="pct"/>
            <w:gridSpan w:val="2"/>
            <w:tcBorders>
              <w:top w:val="single" w:color="auto" w:sz="4" w:space="0"/>
              <w:left w:val="single" w:color="auto" w:sz="4" w:space="0"/>
              <w:bottom w:val="single" w:color="auto" w:sz="4" w:space="0"/>
              <w:right w:val="single" w:color="auto" w:sz="4" w:space="0"/>
            </w:tcBorders>
            <w:noWrap w:val="0"/>
            <w:vAlign w:val="center"/>
          </w:tcPr>
          <w:p w14:paraId="3E60F81E">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4133" w:type="pct"/>
            <w:tcBorders>
              <w:top w:val="single" w:color="auto" w:sz="4" w:space="0"/>
              <w:left w:val="single" w:color="auto" w:sz="4" w:space="0"/>
              <w:bottom w:val="single" w:color="auto" w:sz="4" w:space="0"/>
              <w:right w:val="single" w:color="auto" w:sz="4" w:space="0"/>
            </w:tcBorders>
            <w:noWrap w:val="0"/>
            <w:vAlign w:val="center"/>
          </w:tcPr>
          <w:p w14:paraId="08CA6E63">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内容和要求</w:t>
            </w:r>
          </w:p>
        </w:tc>
      </w:tr>
      <w:tr w14:paraId="5DF7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2D0019DC">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jc w:val="center"/>
              <w:textAlignment w:val="auto"/>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4F000E42">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飞利浦牌CT模拟定位系统维保服务</w:t>
            </w:r>
          </w:p>
        </w:tc>
        <w:tc>
          <w:tcPr>
            <w:tcW w:w="216" w:type="pct"/>
            <w:tcBorders>
              <w:top w:val="single" w:color="auto" w:sz="4" w:space="0"/>
              <w:left w:val="single" w:color="auto" w:sz="4" w:space="0"/>
              <w:bottom w:val="single" w:color="auto" w:sz="4" w:space="0"/>
              <w:right w:val="single" w:color="auto" w:sz="4" w:space="0"/>
            </w:tcBorders>
            <w:noWrap w:val="0"/>
            <w:vAlign w:val="center"/>
          </w:tcPr>
          <w:p w14:paraId="5FB8738B">
            <w:pPr>
              <w:shd w:val="clear"/>
              <w:jc w:val="center"/>
              <w:rPr>
                <w:rFonts w:ascii="宋体" w:hAnsi="宋体"/>
                <w:color w:val="auto"/>
                <w:szCs w:val="21"/>
                <w:highlight w:val="none"/>
              </w:rPr>
            </w:pPr>
            <w:r>
              <w:rPr>
                <w:rFonts w:hint="eastAsia" w:ascii="宋体" w:hAnsi="宋体"/>
                <w:color w:val="auto"/>
                <w:szCs w:val="21"/>
                <w:highlight w:val="none"/>
              </w:rPr>
              <w:t>1</w:t>
            </w:r>
          </w:p>
        </w:tc>
        <w:tc>
          <w:tcPr>
            <w:tcW w:w="216" w:type="pct"/>
            <w:gridSpan w:val="2"/>
            <w:tcBorders>
              <w:top w:val="single" w:color="auto" w:sz="4" w:space="0"/>
              <w:left w:val="single" w:color="auto" w:sz="4" w:space="0"/>
              <w:bottom w:val="single" w:color="auto" w:sz="4" w:space="0"/>
              <w:right w:val="single" w:color="auto" w:sz="4" w:space="0"/>
            </w:tcBorders>
            <w:noWrap w:val="0"/>
            <w:vAlign w:val="center"/>
          </w:tcPr>
          <w:p w14:paraId="5F1A2419">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项</w:t>
            </w:r>
          </w:p>
        </w:tc>
        <w:tc>
          <w:tcPr>
            <w:tcW w:w="4133" w:type="pct"/>
            <w:tcBorders>
              <w:top w:val="single" w:color="auto" w:sz="4" w:space="0"/>
              <w:left w:val="single" w:color="auto" w:sz="4" w:space="0"/>
              <w:right w:val="single" w:color="auto" w:sz="4" w:space="0"/>
            </w:tcBorders>
            <w:noWrap w:val="0"/>
            <w:vAlign w:val="top"/>
          </w:tcPr>
          <w:p w14:paraId="5D2CDC9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lang w:val="en-US" w:eastAsia="zh-CN"/>
              </w:rPr>
              <w:t>保修品牌、保修设备、保修范围、服务范围</w:t>
            </w:r>
          </w:p>
          <w:p w14:paraId="01026A4F">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▲1.广西医科大学第一附属医院Brilliance CT Big Bore维修保养服务。服务商（维保单位）必须按国家、行业的标准及采购文件的要求对项目内的设备进行系统的、全面的检测、维护及保养，以保证设备的高效、正常运作。</w:t>
            </w:r>
          </w:p>
          <w:p w14:paraId="07C046DB">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设备品牌：飞利浦</w:t>
            </w:r>
          </w:p>
          <w:p w14:paraId="56F38738">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设备名称和型号：CT, Brilliance CT Big Bore</w:t>
            </w:r>
          </w:p>
          <w:p w14:paraId="3CD3C05C">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数量：1台</w:t>
            </w:r>
          </w:p>
          <w:p w14:paraId="42ACE81E">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服务范围：</w:t>
            </w:r>
          </w:p>
          <w:p w14:paraId="32886F96">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（1）维修服务所涉及的人工费用、交通差旅费及备件费，均由供应商承担（不包括的备件除外）。</w:t>
            </w:r>
          </w:p>
          <w:p w14:paraId="2AD9233D">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包含主机（如常规备件、探测器、高压油箱、机架、扫描床等）和工作站等。不包括X光球管、飞利浦心电监护备件，以及不包含第三方设备如稳压电源，UPS，激光相机，外配打印机，录像机，视频外设等的保修。</w:t>
            </w:r>
          </w:p>
          <w:p w14:paraId="35C4BE29">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二、维修保养服务内容</w:t>
            </w:r>
          </w:p>
          <w:p w14:paraId="08831935">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1.安全检查</w:t>
            </w:r>
          </w:p>
          <w:p w14:paraId="6843B40B">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按照厂家设备本身标准及当地规定执行，包含但不限于以下内容：</w:t>
            </w:r>
          </w:p>
          <w:p w14:paraId="35E7B2EC">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（1）制定检查计划</w:t>
            </w:r>
          </w:p>
          <w:p w14:paraId="10835CA5">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（2）机械安全检查</w:t>
            </w:r>
          </w:p>
          <w:p w14:paraId="6B5F2E18">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（3）电气安全检查</w:t>
            </w:r>
          </w:p>
          <w:p w14:paraId="31FADE88">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（4）记录检查结果</w:t>
            </w:r>
          </w:p>
          <w:p w14:paraId="7B87F6C9">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▲2.预防性保养</w:t>
            </w:r>
          </w:p>
          <w:p w14:paraId="532A3889">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按照保养计划提供，每年提供4次专业保养，以保证设备处于最佳运行状态，包含但不限于以下内容：</w:t>
            </w:r>
          </w:p>
          <w:p w14:paraId="7C60DDCC">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（1）记录并安排保养时间</w:t>
            </w:r>
          </w:p>
          <w:p w14:paraId="3560EFEA">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（2）按照厂家标准进行调校</w:t>
            </w:r>
          </w:p>
          <w:p w14:paraId="42FF9F2C">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（3）确认各项技术指标及性能</w:t>
            </w:r>
          </w:p>
          <w:p w14:paraId="682AEEED">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（4）记录设备状况</w:t>
            </w:r>
          </w:p>
          <w:p w14:paraId="21DB6200">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（5）提供每次保养后由设备本身导出的保养报告</w:t>
            </w:r>
          </w:p>
          <w:p w14:paraId="3CBA5DF3">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（6）预防性保养损耗品：预防性保养中需要更换的损耗品由供应商提供，费用包含在报价中。</w:t>
            </w:r>
          </w:p>
          <w:p w14:paraId="0A7254B5">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三、服务要求</w:t>
            </w:r>
          </w:p>
          <w:p w14:paraId="502F2F4C">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1.维保服务人员</w:t>
            </w:r>
          </w:p>
          <w:p w14:paraId="6FB221A0">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（1）提供服务的工程师≥2 名，并且具备CT设备维修资质。</w:t>
            </w:r>
          </w:p>
          <w:p w14:paraId="60227CDD">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（2）工程师能熟练阅读和分析仪器记录的工作日志。</w:t>
            </w:r>
          </w:p>
          <w:p w14:paraId="610314D5">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2.上门服务要求</w:t>
            </w:r>
          </w:p>
          <w:p w14:paraId="1B88D9DE">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服务期内</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任意次数的</w:t>
            </w:r>
            <w:r>
              <w:rPr>
                <w:rFonts w:hint="eastAsia" w:ascii="宋体" w:hAnsi="宋体" w:eastAsia="宋体" w:cs="宋体"/>
                <w:color w:val="auto"/>
                <w:sz w:val="21"/>
                <w:szCs w:val="21"/>
                <w:highlight w:val="none"/>
                <w:lang w:val="en-US" w:eastAsia="zh-CN"/>
              </w:rPr>
              <w:t>上门维修服务。维修人员的工时费、差旅费、节假日加班费均包含在总报价中，采购人不再额外支付费用。</w:t>
            </w:r>
          </w:p>
          <w:p w14:paraId="05398385">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更换的备件要求</w:t>
            </w:r>
          </w:p>
          <w:p w14:paraId="17B9A52F">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备件必须是原设备生产商认证合格的零备件，来源合法且可追溯，保障不会对设备质量或图像产生不良影响。优先运送备件，设备上更换下来的故障备件由成交供应商回收。</w:t>
            </w:r>
          </w:p>
          <w:p w14:paraId="0E51C948">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设备开机率</w:t>
            </w:r>
          </w:p>
          <w:p w14:paraId="41BBA369">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所维保设备全年（按一年365天计算）的开机率≥95%，如果此开机率由于成交供应商的原因未能达到，停机每超1天（不足1天的，按1天计算）则合同期限将相应延长2天，维保顺延所产生的费用由供应商自行承担，采购人不再另行支付。</w:t>
            </w:r>
          </w:p>
          <w:p w14:paraId="5386500F">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cs="宋体"/>
                <w:color w:val="auto"/>
                <w:kern w:val="2"/>
                <w:sz w:val="21"/>
                <w:szCs w:val="21"/>
                <w:highlight w:val="none"/>
                <w:lang w:val="en-US" w:eastAsia="zh-CN" w:bidi="ar-SA"/>
              </w:rPr>
              <w:t>系统版本内容、</w:t>
            </w:r>
            <w:r>
              <w:rPr>
                <w:rFonts w:hint="eastAsia" w:ascii="宋体" w:hAnsi="宋体" w:eastAsia="宋体" w:cs="宋体"/>
                <w:color w:val="auto"/>
                <w:sz w:val="21"/>
                <w:szCs w:val="21"/>
                <w:highlight w:val="none"/>
                <w:lang w:val="en-US" w:eastAsia="zh-CN"/>
              </w:rPr>
              <w:t>安全升级</w:t>
            </w:r>
          </w:p>
          <w:p w14:paraId="12C89EEB">
            <w:pPr>
              <w:pStyle w:val="43"/>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必须在原设备生产商官方网站发布的升级公告规定时间内完成，并在升级完成后提供升级文件及工作记录。</w:t>
            </w:r>
          </w:p>
        </w:tc>
      </w:tr>
      <w:tr w14:paraId="2F06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D23BC0C">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5AA0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6A64B668">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lang w:val="en-US" w:eastAsia="zh-CN"/>
              </w:rPr>
              <w:t>合同签订日期</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2176C405">
            <w:pPr>
              <w:shd w:val="clea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成交通知书发出后25日内</w:t>
            </w:r>
            <w:r>
              <w:rPr>
                <w:rFonts w:hint="eastAsia" w:ascii="宋体" w:hAnsi="宋体"/>
                <w:color w:val="auto"/>
                <w:szCs w:val="21"/>
                <w:highlight w:val="none"/>
                <w:lang w:eastAsia="zh-CN"/>
              </w:rPr>
              <w:t>。</w:t>
            </w:r>
          </w:p>
        </w:tc>
      </w:tr>
      <w:tr w14:paraId="1064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09861A04">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olor w:val="auto"/>
                <w:szCs w:val="21"/>
                <w:highlight w:val="none"/>
                <w:lang w:val="en-US" w:eastAsia="zh-CN"/>
              </w:rPr>
              <w:t>服务地点</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311DB3F0">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广西医科大学第一附属医院（南宁市）</w:t>
            </w:r>
          </w:p>
        </w:tc>
      </w:tr>
      <w:tr w14:paraId="5C19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2584D71D">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olor w:val="auto"/>
                <w:szCs w:val="21"/>
                <w:highlight w:val="none"/>
                <w:lang w:val="en-US" w:eastAsia="zh-CN"/>
              </w:rPr>
              <w:t>服务期限</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3858C97A">
            <w:pPr>
              <w:shd w:val="clea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自合同签订之日起执行3年。</w:t>
            </w:r>
          </w:p>
        </w:tc>
      </w:tr>
      <w:tr w14:paraId="64C4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0C672664">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付款方式</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561FC5C2">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本合同全款额分为三次支付：</w:t>
            </w:r>
          </w:p>
          <w:p w14:paraId="12746060">
            <w:pPr>
              <w:shd w:val="clear"/>
              <w:tabs>
                <w:tab w:val="left" w:pos="180"/>
                <w:tab w:val="left" w:pos="1620"/>
              </w:tabs>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第一期合同款33%，合同生效后，开具发票并</w:t>
            </w:r>
            <w:r>
              <w:rPr>
                <w:rFonts w:hint="eastAsia" w:ascii="宋体" w:hAnsi="宋体"/>
                <w:color w:val="auto"/>
                <w:szCs w:val="21"/>
                <w:highlight w:val="none"/>
                <w:lang w:val="en-US" w:eastAsia="zh-CN"/>
              </w:rPr>
              <w:t>自材料审核完成之日起1</w:t>
            </w:r>
            <w:r>
              <w:rPr>
                <w:rFonts w:hint="eastAsia" w:ascii="宋体" w:hAnsi="宋体"/>
                <w:color w:val="auto"/>
                <w:szCs w:val="21"/>
                <w:highlight w:val="none"/>
              </w:rPr>
              <w:t>0个工作日内支付</w:t>
            </w:r>
            <w:r>
              <w:rPr>
                <w:rFonts w:hint="eastAsia" w:ascii="宋体" w:hAnsi="宋体"/>
                <w:color w:val="auto"/>
                <w:szCs w:val="21"/>
                <w:highlight w:val="none"/>
                <w:lang w:eastAsia="zh-CN"/>
              </w:rPr>
              <w:t>。</w:t>
            </w:r>
          </w:p>
          <w:p w14:paraId="4746D6B8">
            <w:pPr>
              <w:shd w:val="clear"/>
              <w:tabs>
                <w:tab w:val="left" w:pos="180"/>
                <w:tab w:val="left" w:pos="1620"/>
              </w:tabs>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第二期合同款33%，第二年服务期开始并开具发票</w:t>
            </w:r>
            <w:r>
              <w:rPr>
                <w:rFonts w:hint="eastAsia" w:ascii="宋体" w:hAnsi="宋体"/>
                <w:color w:val="auto"/>
                <w:szCs w:val="21"/>
                <w:highlight w:val="none"/>
                <w:lang w:val="en-US" w:eastAsia="zh-CN"/>
              </w:rPr>
              <w:t>并自材料审核完成之日起1</w:t>
            </w:r>
            <w:r>
              <w:rPr>
                <w:rFonts w:hint="eastAsia" w:ascii="宋体" w:hAnsi="宋体"/>
                <w:color w:val="auto"/>
                <w:szCs w:val="21"/>
                <w:highlight w:val="none"/>
              </w:rPr>
              <w:t>0个工作日内支付</w:t>
            </w:r>
            <w:r>
              <w:rPr>
                <w:rFonts w:hint="eastAsia" w:ascii="宋体" w:hAnsi="宋体"/>
                <w:color w:val="auto"/>
                <w:szCs w:val="21"/>
                <w:highlight w:val="none"/>
                <w:lang w:eastAsia="zh-CN"/>
              </w:rPr>
              <w:t>。</w:t>
            </w:r>
          </w:p>
          <w:p w14:paraId="04B819D0">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第三期合同款34%，第三年服务期满（含顺延期）经验收合格并开具发票</w:t>
            </w:r>
            <w:r>
              <w:rPr>
                <w:rFonts w:hint="eastAsia" w:ascii="宋体" w:hAnsi="宋体"/>
                <w:color w:val="auto"/>
                <w:szCs w:val="21"/>
                <w:highlight w:val="none"/>
                <w:lang w:val="en-US" w:eastAsia="zh-CN"/>
              </w:rPr>
              <w:t>并自材料审核完成之日起1</w:t>
            </w:r>
            <w:r>
              <w:rPr>
                <w:rFonts w:hint="eastAsia" w:ascii="宋体" w:hAnsi="宋体"/>
                <w:color w:val="auto"/>
                <w:szCs w:val="21"/>
                <w:highlight w:val="none"/>
              </w:rPr>
              <w:t>0个工作日内支付。</w:t>
            </w:r>
          </w:p>
          <w:p w14:paraId="371A4343">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供应商出现扣款或承担违约责任情形的，采购人可于扣款后确定每期合同款应付金额。</w:t>
            </w:r>
          </w:p>
          <w:p w14:paraId="1FD0421C">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如未按国家要求开具正规发票，一旦发现供应商提供虚假发票，除须向采购人补开合法发票外，须赔偿采购人发票票面金额一倍的违约金，且采购人有权终止合同，供应商不得提出异议，因终止合同而产生的一切损失均由供应商承担。</w:t>
            </w:r>
          </w:p>
        </w:tc>
      </w:tr>
      <w:tr w14:paraId="4A74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1EC8F40F">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报价要求</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0E6B69E3">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报价包括：</w:t>
            </w:r>
          </w:p>
          <w:p w14:paraId="02D5E11E">
            <w:pPr>
              <w:numPr>
                <w:ilvl w:val="0"/>
                <w:numId w:val="0"/>
              </w:numPr>
              <w:shd w:val="clear"/>
              <w:tabs>
                <w:tab w:val="left" w:pos="180"/>
                <w:tab w:val="left" w:pos="1620"/>
              </w:tabs>
              <w:spacing w:line="400" w:lineRule="exact"/>
              <w:jc w:val="left"/>
              <w:rPr>
                <w:rFonts w:hint="eastAsia" w:ascii="宋体" w:hAnsi="宋体" w:eastAsia="宋体"/>
                <w:color w:val="auto"/>
                <w:szCs w:val="21"/>
                <w:highlight w:val="none"/>
                <w:lang w:eastAsia="zh-CN"/>
              </w:rPr>
            </w:pPr>
            <w:r>
              <w:rPr>
                <w:rFonts w:hint="eastAsia" w:ascii="宋体" w:hAnsi="宋体" w:cs="Times New Roman"/>
                <w:color w:val="auto"/>
                <w:kern w:val="2"/>
                <w:sz w:val="21"/>
                <w:szCs w:val="21"/>
                <w:highlight w:val="none"/>
                <w:lang w:val="en-US" w:eastAsia="zh-CN" w:bidi="ar-SA"/>
              </w:rPr>
              <w:t>1.</w:t>
            </w:r>
            <w:r>
              <w:rPr>
                <w:rFonts w:hint="eastAsia" w:ascii="宋体" w:hAnsi="宋体"/>
                <w:color w:val="auto"/>
                <w:szCs w:val="21"/>
                <w:highlight w:val="none"/>
              </w:rPr>
              <w:t>主机（如常规备件、探测器、高压油箱、机架、扫描床等）和工作站等备件更换费用</w:t>
            </w:r>
            <w:r>
              <w:rPr>
                <w:rFonts w:hint="eastAsia" w:ascii="宋体" w:hAnsi="宋体"/>
                <w:color w:val="auto"/>
                <w:szCs w:val="21"/>
                <w:highlight w:val="none"/>
                <w:lang w:eastAsia="zh-CN"/>
              </w:rPr>
              <w:t>。</w:t>
            </w:r>
          </w:p>
          <w:p w14:paraId="62960DBF">
            <w:pPr>
              <w:numPr>
                <w:ilvl w:val="0"/>
                <w:numId w:val="0"/>
              </w:numPr>
              <w:shd w:val="clear"/>
              <w:tabs>
                <w:tab w:val="left" w:pos="180"/>
                <w:tab w:val="left" w:pos="1620"/>
              </w:tabs>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运输、装卸、保管、调试、培训、技术支持、培训费用、人工服务费、上门服务费、人员差旅费用、人员节假日加班费用</w:t>
            </w:r>
            <w:r>
              <w:rPr>
                <w:rFonts w:hint="eastAsia" w:ascii="宋体" w:hAnsi="宋体"/>
                <w:color w:val="auto"/>
                <w:szCs w:val="21"/>
                <w:highlight w:val="none"/>
                <w:lang w:eastAsia="zh-CN"/>
              </w:rPr>
              <w:t>、系统升级至其最新版本所产生的全部相关费用</w:t>
            </w:r>
            <w:r>
              <w:rPr>
                <w:rFonts w:hint="eastAsia" w:ascii="宋体" w:hAnsi="宋体"/>
                <w:color w:val="auto"/>
                <w:szCs w:val="21"/>
                <w:highlight w:val="none"/>
              </w:rPr>
              <w:t>等</w:t>
            </w:r>
            <w:r>
              <w:rPr>
                <w:rFonts w:hint="eastAsia" w:ascii="宋体" w:hAnsi="宋体"/>
                <w:color w:val="auto"/>
                <w:szCs w:val="21"/>
                <w:highlight w:val="none"/>
                <w:lang w:eastAsia="zh-CN"/>
              </w:rPr>
              <w:t>。</w:t>
            </w:r>
          </w:p>
          <w:p w14:paraId="7FB05D99">
            <w:pPr>
              <w:numPr>
                <w:ilvl w:val="0"/>
                <w:numId w:val="0"/>
              </w:numPr>
              <w:shd w:val="clear"/>
              <w:tabs>
                <w:tab w:val="left" w:pos="180"/>
                <w:tab w:val="left" w:pos="1620"/>
              </w:tabs>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保险费和各项税金等与本项目有关的所有费用</w:t>
            </w:r>
            <w:r>
              <w:rPr>
                <w:rFonts w:hint="eastAsia" w:ascii="宋体" w:hAnsi="宋体"/>
                <w:color w:val="auto"/>
                <w:szCs w:val="21"/>
                <w:highlight w:val="none"/>
                <w:lang w:eastAsia="zh-CN"/>
              </w:rPr>
              <w:t>。</w:t>
            </w:r>
          </w:p>
        </w:tc>
      </w:tr>
      <w:tr w14:paraId="6D81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475AD562">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售后服务要求</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17F9B3BC">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服务响应时间：</w:t>
            </w:r>
          </w:p>
          <w:p w14:paraId="3BA012E1">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电话支持服务：24小时</w:t>
            </w:r>
            <w:r>
              <w:rPr>
                <w:rFonts w:hint="eastAsia" w:ascii="宋体" w:hAnsi="宋体"/>
                <w:color w:val="auto"/>
                <w:szCs w:val="21"/>
                <w:highlight w:val="none"/>
                <w:lang w:val="en-US" w:eastAsia="zh-CN"/>
              </w:rPr>
              <w:t>×</w:t>
            </w:r>
            <w:r>
              <w:rPr>
                <w:rFonts w:hint="eastAsia" w:ascii="宋体" w:hAnsi="宋体"/>
                <w:color w:val="auto"/>
                <w:szCs w:val="21"/>
                <w:highlight w:val="none"/>
              </w:rPr>
              <w:t>365天有工程师接听，为采购人快速诊断和提供技术支持服务。</w:t>
            </w:r>
          </w:p>
          <w:p w14:paraId="356E8BCD">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电话响应时间≤1小时，提供电话及网络等技术支持。如以上技术支持无法解决设备故障，工程师应在24小时内到达现场（包括节假日）进行维修，排除故障。</w:t>
            </w:r>
          </w:p>
        </w:tc>
      </w:tr>
      <w:tr w14:paraId="128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52EA04E5">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包装和运输要求</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6D57E9EE">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根据《财政部等三部门联合印发商品包装和快递包装政府采购需求标准（试行）》财办库〔2020〕123号文规定，若响应产品使用塑料、纸质、木质等包装材料时应满足《商品包</w:t>
            </w:r>
          </w:p>
          <w:p w14:paraId="38F22577">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装政府采购需求标准（试行）》要求，若响应产品需要快递包装，快递封装材料应满足《快递包装政府采购需求标准（试行）》要求。</w:t>
            </w:r>
          </w:p>
        </w:tc>
      </w:tr>
      <w:tr w14:paraId="178A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4675392F">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验收标准</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142777C3">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按国家、行业的标准对项目内的设备进行系统的、全面的检测、维护及保养，以保证设备的高效、正常运作。</w:t>
            </w:r>
          </w:p>
        </w:tc>
      </w:tr>
      <w:tr w14:paraId="4749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4637D5AC">
            <w:pPr>
              <w:shd w:val="clear"/>
              <w:spacing w:line="400" w:lineRule="exact"/>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验收要求</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35F5EB14">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验收工作由采购人组织，包括但不限于以下形式：成交供应商维修、保养完毕后，向采购人提供维修、保养报告单，由采购人派人进行验收，并在维修工单上签字确认；其他技术服务的验收按照本采购文件、成交供应商的全保修方案、厂家标准及相应的质量标准要求执行。</w:t>
            </w:r>
          </w:p>
          <w:p w14:paraId="44BA8D37">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验收不通过的，根据采购人意见进行整改，直到验收通过为止，期间产生相关费用由成交供应商承担。</w:t>
            </w:r>
          </w:p>
          <w:p w14:paraId="74971F78">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设备安装、维修或更换重要部件需提供省级以上卫生行政部门资质认证的检测机构验收检测合格报告。</w:t>
            </w:r>
          </w:p>
        </w:tc>
      </w:tr>
      <w:tr w14:paraId="0F37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65" w:type="pct"/>
            <w:gridSpan w:val="4"/>
            <w:tcBorders>
              <w:top w:val="single" w:color="auto" w:sz="4" w:space="0"/>
              <w:left w:val="single" w:color="auto" w:sz="4" w:space="0"/>
              <w:bottom w:val="single" w:color="auto" w:sz="4" w:space="0"/>
              <w:right w:val="single" w:color="auto" w:sz="4" w:space="0"/>
            </w:tcBorders>
            <w:noWrap w:val="0"/>
            <w:vAlign w:val="center"/>
          </w:tcPr>
          <w:p w14:paraId="300904B5">
            <w:pPr>
              <w:shd w:val="clear"/>
              <w:spacing w:line="400" w:lineRule="exact"/>
              <w:jc w:val="center"/>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olor w:val="auto"/>
                <w:szCs w:val="21"/>
                <w:highlight w:val="none"/>
                <w:lang w:val="en-US" w:eastAsia="zh-CN"/>
              </w:rPr>
              <w:t>其他</w:t>
            </w:r>
          </w:p>
        </w:tc>
        <w:tc>
          <w:tcPr>
            <w:tcW w:w="4234" w:type="pct"/>
            <w:gridSpan w:val="2"/>
            <w:tcBorders>
              <w:top w:val="single" w:color="auto" w:sz="4" w:space="0"/>
              <w:left w:val="single" w:color="auto" w:sz="4" w:space="0"/>
              <w:bottom w:val="single" w:color="auto" w:sz="4" w:space="0"/>
              <w:right w:val="single" w:color="auto" w:sz="4" w:space="0"/>
            </w:tcBorders>
            <w:noWrap w:val="0"/>
            <w:vAlign w:val="center"/>
          </w:tcPr>
          <w:p w14:paraId="3A7DED3D">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一、总体要求</w:t>
            </w:r>
          </w:p>
          <w:p w14:paraId="325EBC21">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磋商供应商可根据项目要求，在竞标文件中</w:t>
            </w:r>
            <w:r>
              <w:rPr>
                <w:rFonts w:hint="eastAsia" w:ascii="新宋体" w:eastAsia="新宋体"/>
                <w:color w:val="auto"/>
                <w:szCs w:val="21"/>
                <w:highlight w:val="none"/>
                <w:lang w:val="en-US" w:eastAsia="zh-CN"/>
              </w:rPr>
              <w:t>提供</w:t>
            </w:r>
            <w:r>
              <w:rPr>
                <w:rFonts w:hint="eastAsia" w:ascii="新宋体" w:eastAsia="新宋体"/>
                <w:color w:val="auto"/>
                <w:szCs w:val="21"/>
                <w:highlight w:val="none"/>
              </w:rPr>
              <w:t>项目服务方案、信誉业绩</w:t>
            </w:r>
            <w:r>
              <w:rPr>
                <w:rFonts w:hint="eastAsia" w:ascii="新宋体" w:eastAsia="新宋体"/>
                <w:color w:val="auto"/>
                <w:szCs w:val="21"/>
                <w:highlight w:val="none"/>
                <w:lang w:val="en-US" w:eastAsia="zh-CN"/>
              </w:rPr>
              <w:t>等</w:t>
            </w:r>
            <w:r>
              <w:rPr>
                <w:rFonts w:hint="eastAsia" w:ascii="新宋体" w:eastAsia="新宋体"/>
                <w:color w:val="auto"/>
                <w:szCs w:val="21"/>
                <w:highlight w:val="none"/>
              </w:rPr>
              <w:t>材料。</w:t>
            </w:r>
          </w:p>
          <w:p w14:paraId="12AEF250">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二</w:t>
            </w:r>
            <w:r>
              <w:rPr>
                <w:rFonts w:hint="eastAsia" w:ascii="新宋体" w:eastAsia="新宋体"/>
                <w:color w:val="auto"/>
                <w:szCs w:val="21"/>
                <w:highlight w:val="none"/>
              </w:rPr>
              <w:t>、</w:t>
            </w:r>
            <w:r>
              <w:rPr>
                <w:rFonts w:hint="eastAsia" w:ascii="新宋体" w:eastAsia="新宋体"/>
                <w:color w:val="auto"/>
                <w:szCs w:val="21"/>
                <w:highlight w:val="none"/>
                <w:lang w:eastAsia="zh-CN"/>
              </w:rPr>
              <w:t>其他</w:t>
            </w:r>
            <w:r>
              <w:rPr>
                <w:rFonts w:hint="eastAsia" w:ascii="新宋体" w:eastAsia="新宋体"/>
                <w:color w:val="auto"/>
                <w:szCs w:val="21"/>
                <w:highlight w:val="none"/>
              </w:rPr>
              <w:t>要求</w:t>
            </w:r>
          </w:p>
          <w:p w14:paraId="362C6CAA">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成交人不得</w:t>
            </w:r>
            <w:r>
              <w:rPr>
                <w:rFonts w:hint="eastAsia" w:ascii="新宋体" w:eastAsia="新宋体"/>
                <w:color w:val="auto"/>
                <w:szCs w:val="21"/>
                <w:highlight w:val="none"/>
                <w:lang w:val="en-US" w:eastAsia="zh-CN"/>
              </w:rPr>
              <w:t>以任何方式</w:t>
            </w:r>
            <w:r>
              <w:rPr>
                <w:rFonts w:hint="eastAsia" w:ascii="新宋体" w:eastAsia="新宋体"/>
                <w:color w:val="auto"/>
                <w:szCs w:val="21"/>
                <w:highlight w:val="none"/>
              </w:rPr>
              <w:t>将项目分包或转包给任何单位和个人，否则采购人有权即刻终止合同，并要求成交人赔偿相应损失。</w:t>
            </w:r>
          </w:p>
          <w:p w14:paraId="2F3A9242">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供应商提供的维保服务方案中的所有内容，不得包含任何侵犯第三者知识产权的材料。如发生侵权行为，供应商必须自行为其提供产品或服务侵犯其他专利人的专利成果承担相应法律责任，如因侵犯他人专利权造成采购人损失的，还应赔偿采购人损失。</w:t>
            </w:r>
          </w:p>
          <w:p w14:paraId="48EECA94">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3</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开放接口供其他系统同步数据，以及与其他系统接口个性化开发。费用应包含在报价中。</w:t>
            </w:r>
          </w:p>
        </w:tc>
      </w:tr>
      <w:tr w14:paraId="6AB3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63E2A85">
            <w:pPr>
              <w:shd w:val="clear"/>
              <w:tabs>
                <w:tab w:val="left" w:pos="180"/>
                <w:tab w:val="left" w:pos="1620"/>
              </w:tabs>
              <w:spacing w:line="400" w:lineRule="exact"/>
              <w:jc w:val="left"/>
              <w:rPr>
                <w:rFonts w:hint="eastAsia"/>
                <w:color w:val="auto"/>
                <w:highlight w:val="none"/>
              </w:rPr>
            </w:pPr>
            <w:r>
              <w:rPr>
                <w:rFonts w:hint="eastAsia"/>
                <w:color w:val="auto"/>
                <w:highlight w:val="none"/>
              </w:rPr>
              <w:t>磋商小组根据与供应商磋商情况可能实质性变动的内容：</w:t>
            </w:r>
          </w:p>
          <w:p w14:paraId="08844790">
            <w:pPr>
              <w:shd w:val="clear"/>
              <w:tabs>
                <w:tab w:val="left" w:pos="180"/>
                <w:tab w:val="left" w:pos="1620"/>
              </w:tabs>
              <w:spacing w:line="400" w:lineRule="exact"/>
              <w:jc w:val="left"/>
              <w:rPr>
                <w:rFonts w:hint="eastAsia" w:ascii="新宋体" w:eastAsia="新宋体"/>
                <w:color w:val="auto"/>
                <w:szCs w:val="21"/>
                <w:highlight w:val="none"/>
              </w:rPr>
            </w:pPr>
            <w:r>
              <w:rPr>
                <w:rFonts w:hint="eastAsia"/>
                <w:color w:val="auto"/>
                <w:highlight w:val="none"/>
              </w:rPr>
              <w:t>未标注“▲”的内容。</w:t>
            </w:r>
          </w:p>
        </w:tc>
      </w:tr>
    </w:tbl>
    <w:p w14:paraId="7D50E94B">
      <w:pPr>
        <w:shd w:val="clear"/>
        <w:rPr>
          <w:rFonts w:ascii="宋体" w:hAnsi="宋体"/>
          <w:b/>
          <w:color w:val="auto"/>
          <w:sz w:val="32"/>
          <w:szCs w:val="32"/>
          <w:highlight w:val="none"/>
        </w:rPr>
      </w:pPr>
      <w:r>
        <w:rPr>
          <w:rFonts w:ascii="宋体" w:hAnsi="宋体"/>
          <w:b/>
          <w:color w:val="auto"/>
          <w:sz w:val="32"/>
          <w:szCs w:val="32"/>
          <w:highlight w:val="none"/>
        </w:rPr>
        <w:br w:type="page"/>
      </w:r>
    </w:p>
    <w:p w14:paraId="49E8AD41">
      <w:pPr>
        <w:shd w:val="clear"/>
        <w:spacing w:line="400" w:lineRule="exact"/>
        <w:jc w:val="center"/>
        <w:rPr>
          <w:rFonts w:hint="eastAsia" w:ascii="宋体" w:hAnsi="宋体"/>
          <w:b/>
          <w:color w:val="auto"/>
          <w:sz w:val="32"/>
          <w:szCs w:val="32"/>
          <w:highlight w:val="none"/>
        </w:rPr>
      </w:pPr>
    </w:p>
    <w:p w14:paraId="75531009">
      <w:pPr>
        <w:shd w:val="clear"/>
        <w:spacing w:line="400" w:lineRule="exact"/>
        <w:jc w:val="center"/>
        <w:rPr>
          <w:rFonts w:hint="eastAsia" w:ascii="宋体" w:hAnsi="宋体"/>
          <w:b/>
          <w:color w:val="auto"/>
          <w:sz w:val="32"/>
          <w:szCs w:val="32"/>
          <w:highlight w:val="none"/>
        </w:rPr>
      </w:pPr>
    </w:p>
    <w:p w14:paraId="4AF6BEC2">
      <w:pPr>
        <w:shd w:val="clear"/>
        <w:spacing w:line="400" w:lineRule="exact"/>
        <w:jc w:val="center"/>
        <w:rPr>
          <w:rFonts w:hint="eastAsia" w:ascii="宋体" w:hAnsi="宋体"/>
          <w:b/>
          <w:color w:val="auto"/>
          <w:sz w:val="32"/>
          <w:szCs w:val="32"/>
          <w:highlight w:val="none"/>
        </w:rPr>
      </w:pPr>
    </w:p>
    <w:p w14:paraId="38016036">
      <w:pPr>
        <w:shd w:val="clear"/>
        <w:spacing w:line="400" w:lineRule="exact"/>
        <w:jc w:val="center"/>
        <w:rPr>
          <w:rFonts w:hint="eastAsia" w:ascii="宋体" w:hAnsi="宋体"/>
          <w:b/>
          <w:color w:val="auto"/>
          <w:sz w:val="32"/>
          <w:szCs w:val="32"/>
          <w:highlight w:val="none"/>
        </w:rPr>
      </w:pPr>
    </w:p>
    <w:p w14:paraId="71ABEA24">
      <w:pPr>
        <w:shd w:val="clear"/>
        <w:spacing w:line="400" w:lineRule="exact"/>
        <w:jc w:val="center"/>
        <w:rPr>
          <w:rFonts w:hint="eastAsia" w:ascii="宋体" w:hAnsi="宋体"/>
          <w:b/>
          <w:color w:val="auto"/>
          <w:sz w:val="32"/>
          <w:szCs w:val="32"/>
          <w:highlight w:val="none"/>
        </w:rPr>
      </w:pPr>
    </w:p>
    <w:p w14:paraId="11C75CA4">
      <w:pPr>
        <w:shd w:val="clear"/>
        <w:spacing w:line="400" w:lineRule="exact"/>
        <w:jc w:val="center"/>
        <w:rPr>
          <w:rFonts w:hint="eastAsia" w:ascii="宋体" w:hAnsi="宋体"/>
          <w:b/>
          <w:color w:val="auto"/>
          <w:sz w:val="32"/>
          <w:szCs w:val="32"/>
          <w:highlight w:val="none"/>
        </w:rPr>
      </w:pPr>
    </w:p>
    <w:p w14:paraId="47650682">
      <w:pPr>
        <w:shd w:val="clear"/>
        <w:spacing w:line="400" w:lineRule="exact"/>
        <w:jc w:val="center"/>
        <w:rPr>
          <w:rFonts w:hint="eastAsia" w:ascii="宋体" w:hAnsi="宋体"/>
          <w:b/>
          <w:color w:val="auto"/>
          <w:sz w:val="32"/>
          <w:szCs w:val="32"/>
          <w:highlight w:val="none"/>
        </w:rPr>
      </w:pPr>
    </w:p>
    <w:p w14:paraId="30D069FE">
      <w:pPr>
        <w:shd w:val="clear"/>
        <w:spacing w:line="400" w:lineRule="exact"/>
        <w:jc w:val="center"/>
        <w:rPr>
          <w:rFonts w:hint="eastAsia" w:ascii="宋体" w:hAnsi="宋体"/>
          <w:b/>
          <w:color w:val="auto"/>
          <w:sz w:val="32"/>
          <w:szCs w:val="32"/>
          <w:highlight w:val="none"/>
        </w:rPr>
      </w:pPr>
    </w:p>
    <w:p w14:paraId="34B71F5C">
      <w:pPr>
        <w:shd w:val="clear"/>
        <w:spacing w:line="400" w:lineRule="exact"/>
        <w:jc w:val="center"/>
        <w:rPr>
          <w:rFonts w:hint="eastAsia" w:ascii="宋体" w:hAnsi="宋体"/>
          <w:b/>
          <w:color w:val="auto"/>
          <w:sz w:val="32"/>
          <w:szCs w:val="32"/>
          <w:highlight w:val="none"/>
        </w:rPr>
      </w:pPr>
    </w:p>
    <w:p w14:paraId="35193CA5">
      <w:pPr>
        <w:shd w:val="clear"/>
        <w:spacing w:line="400" w:lineRule="exact"/>
        <w:jc w:val="center"/>
        <w:rPr>
          <w:rFonts w:hint="eastAsia" w:ascii="宋体" w:hAnsi="宋体"/>
          <w:b/>
          <w:color w:val="auto"/>
          <w:sz w:val="32"/>
          <w:szCs w:val="32"/>
          <w:highlight w:val="none"/>
        </w:rPr>
      </w:pPr>
    </w:p>
    <w:p w14:paraId="413FC235">
      <w:pPr>
        <w:shd w:val="clear"/>
        <w:spacing w:line="400" w:lineRule="exact"/>
        <w:jc w:val="center"/>
        <w:rPr>
          <w:rFonts w:hint="eastAsia" w:ascii="宋体" w:hAnsi="宋体"/>
          <w:b/>
          <w:color w:val="auto"/>
          <w:sz w:val="32"/>
          <w:szCs w:val="32"/>
          <w:highlight w:val="none"/>
        </w:rPr>
      </w:pPr>
    </w:p>
    <w:p w14:paraId="34C334AF">
      <w:pPr>
        <w:shd w:val="clear"/>
        <w:spacing w:line="400" w:lineRule="exact"/>
        <w:jc w:val="center"/>
        <w:rPr>
          <w:rFonts w:hint="eastAsia" w:ascii="宋体" w:hAnsi="宋体"/>
          <w:b/>
          <w:color w:val="auto"/>
          <w:sz w:val="32"/>
          <w:szCs w:val="32"/>
          <w:highlight w:val="none"/>
        </w:rPr>
      </w:pPr>
    </w:p>
    <w:p w14:paraId="7C5FFA3C">
      <w:pPr>
        <w:shd w:val="clear"/>
        <w:spacing w:line="400" w:lineRule="exact"/>
        <w:jc w:val="center"/>
        <w:rPr>
          <w:rFonts w:hint="eastAsia" w:ascii="宋体" w:hAnsi="宋体"/>
          <w:b/>
          <w:color w:val="auto"/>
          <w:sz w:val="32"/>
          <w:szCs w:val="32"/>
          <w:highlight w:val="none"/>
        </w:rPr>
      </w:pPr>
    </w:p>
    <w:p w14:paraId="0C872935">
      <w:pPr>
        <w:pStyle w:val="34"/>
        <w:shd w:val="clear"/>
        <w:rPr>
          <w:rFonts w:hint="eastAsia"/>
          <w:color w:val="auto"/>
          <w:sz w:val="44"/>
          <w:szCs w:val="44"/>
          <w:highlight w:val="none"/>
        </w:rPr>
      </w:pPr>
      <w:bookmarkStart w:id="49" w:name="_Toc476258759"/>
      <w:bookmarkStart w:id="50" w:name="_Toc476258665"/>
      <w:r>
        <w:rPr>
          <w:rFonts w:hint="eastAsia"/>
          <w:color w:val="auto"/>
          <w:sz w:val="44"/>
          <w:szCs w:val="44"/>
          <w:highlight w:val="none"/>
        </w:rPr>
        <w:t>第四章  竞争性磋商响应文件格式</w:t>
      </w:r>
      <w:bookmarkEnd w:id="49"/>
      <w:bookmarkEnd w:id="50"/>
    </w:p>
    <w:p w14:paraId="1F3ABC0B">
      <w:pPr>
        <w:shd w:val="clear"/>
        <w:spacing w:line="500" w:lineRule="exact"/>
        <w:jc w:val="center"/>
        <w:rPr>
          <w:rFonts w:hint="eastAsia" w:ascii="仿宋_GB2312" w:hAnsi="宋体" w:eastAsia="仿宋_GB2312"/>
          <w:b/>
          <w:color w:val="auto"/>
          <w:sz w:val="32"/>
          <w:szCs w:val="32"/>
          <w:highlight w:val="none"/>
        </w:rPr>
      </w:pPr>
    </w:p>
    <w:p w14:paraId="3A0F13EC">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729804BE">
      <w:pPr>
        <w:shd w:val="clear"/>
        <w:spacing w:line="240" w:lineRule="atLeast"/>
        <w:rPr>
          <w:rFonts w:hint="eastAsia" w:ascii="仿宋_GB2312" w:hAnsi="宋体" w:eastAsia="仿宋_GB2312"/>
          <w:b/>
          <w:color w:val="auto"/>
          <w:sz w:val="32"/>
          <w:szCs w:val="32"/>
          <w:highlight w:val="none"/>
          <w:u w:val="single"/>
        </w:rPr>
      </w:pPr>
    </w:p>
    <w:p w14:paraId="1FCF289E">
      <w:pPr>
        <w:shd w:val="clear"/>
        <w:spacing w:line="240" w:lineRule="atLeast"/>
        <w:rPr>
          <w:rFonts w:hint="eastAsia" w:ascii="仿宋_GB2312" w:hAnsi="宋体" w:eastAsia="仿宋_GB2312"/>
          <w:b/>
          <w:color w:val="auto"/>
          <w:sz w:val="32"/>
          <w:szCs w:val="32"/>
          <w:highlight w:val="none"/>
        </w:rPr>
      </w:pPr>
    </w:p>
    <w:p w14:paraId="0D9C4189">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588D1C0C">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66DCE6C5">
      <w:pPr>
        <w:shd w:val="clear"/>
        <w:spacing w:line="500" w:lineRule="exact"/>
        <w:ind w:firstLine="420" w:firstLineChars="200"/>
        <w:rPr>
          <w:rFonts w:hint="eastAsia" w:ascii="宋体" w:hAnsi="宋体"/>
          <w:color w:val="auto"/>
          <w:szCs w:val="21"/>
          <w:highlight w:val="none"/>
        </w:rPr>
      </w:pPr>
    </w:p>
    <w:p w14:paraId="0E71B3C0">
      <w:pPr>
        <w:shd w:val="clear"/>
        <w:spacing w:line="500" w:lineRule="exact"/>
        <w:ind w:firstLine="420" w:firstLineChars="200"/>
        <w:rPr>
          <w:rFonts w:hint="eastAsia" w:ascii="宋体" w:hAnsi="宋体"/>
          <w:color w:val="auto"/>
          <w:szCs w:val="21"/>
          <w:highlight w:val="none"/>
        </w:rPr>
      </w:pPr>
    </w:p>
    <w:p w14:paraId="30C16707">
      <w:pPr>
        <w:shd w:val="clear"/>
        <w:spacing w:line="500" w:lineRule="exact"/>
        <w:ind w:firstLine="420" w:firstLineChars="200"/>
        <w:rPr>
          <w:rFonts w:hint="eastAsia" w:ascii="宋体" w:hAnsi="宋体"/>
          <w:color w:val="auto"/>
          <w:szCs w:val="21"/>
          <w:highlight w:val="none"/>
        </w:rPr>
      </w:pPr>
    </w:p>
    <w:p w14:paraId="1B681C84">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4424B683">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31FABF43">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69F64889">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0B7D4E10">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6BB5F04D">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5A351764">
      <w:pPr>
        <w:shd w:val="clear"/>
        <w:spacing w:line="520" w:lineRule="exact"/>
        <w:rPr>
          <w:rFonts w:hint="eastAsia" w:ascii="宋体" w:hAnsi="宋体"/>
          <w:color w:val="auto"/>
          <w:szCs w:val="21"/>
          <w:highlight w:val="none"/>
        </w:rPr>
      </w:pPr>
    </w:p>
    <w:p w14:paraId="7B650F70">
      <w:pPr>
        <w:shd w:val="clear"/>
        <w:spacing w:line="520" w:lineRule="exact"/>
        <w:ind w:firstLine="3767" w:firstLineChars="1340"/>
        <w:rPr>
          <w:rFonts w:hint="eastAsia" w:ascii="宋体" w:hAnsi="宋体"/>
          <w:b/>
          <w:color w:val="auto"/>
          <w:sz w:val="28"/>
          <w:szCs w:val="28"/>
          <w:highlight w:val="none"/>
        </w:rPr>
      </w:pPr>
    </w:p>
    <w:p w14:paraId="245AACE9">
      <w:pPr>
        <w:shd w:val="clear"/>
        <w:spacing w:line="520" w:lineRule="exact"/>
        <w:ind w:firstLine="3767" w:firstLineChars="1340"/>
        <w:rPr>
          <w:rFonts w:hint="eastAsia" w:ascii="宋体" w:hAnsi="宋体"/>
          <w:b/>
          <w:color w:val="auto"/>
          <w:sz w:val="28"/>
          <w:szCs w:val="28"/>
          <w:highlight w:val="none"/>
        </w:rPr>
      </w:pPr>
    </w:p>
    <w:p w14:paraId="541364B5">
      <w:pPr>
        <w:shd w:val="clear"/>
        <w:spacing w:line="520" w:lineRule="exact"/>
        <w:ind w:firstLine="3767" w:firstLineChars="1340"/>
        <w:rPr>
          <w:rFonts w:hint="eastAsia" w:ascii="宋体" w:hAnsi="宋体"/>
          <w:b/>
          <w:color w:val="auto"/>
          <w:sz w:val="28"/>
          <w:szCs w:val="28"/>
          <w:highlight w:val="none"/>
        </w:rPr>
      </w:pPr>
    </w:p>
    <w:p w14:paraId="1EB22DCA">
      <w:pPr>
        <w:shd w:val="clear"/>
        <w:spacing w:line="520" w:lineRule="exact"/>
        <w:ind w:firstLine="3767" w:firstLineChars="1340"/>
        <w:rPr>
          <w:rFonts w:hint="eastAsia" w:ascii="宋体" w:hAnsi="宋体"/>
          <w:b/>
          <w:color w:val="auto"/>
          <w:sz w:val="28"/>
          <w:szCs w:val="28"/>
          <w:highlight w:val="none"/>
        </w:rPr>
      </w:pPr>
    </w:p>
    <w:p w14:paraId="36B4246E">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4763ED0F">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16CA51C6">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1ED7F316">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593790D0">
      <w:pPr>
        <w:shd w:val="clear"/>
        <w:spacing w:line="500" w:lineRule="exact"/>
        <w:rPr>
          <w:rFonts w:hint="eastAsia" w:ascii="宋体" w:hAnsi="宋体"/>
          <w:color w:val="auto"/>
          <w:szCs w:val="21"/>
          <w:highlight w:val="non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374"/>
        <w:gridCol w:w="1693"/>
        <w:gridCol w:w="2978"/>
        <w:gridCol w:w="1085"/>
      </w:tblGrid>
      <w:tr w14:paraId="242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tcBorders>
              <w:bottom w:val="single" w:color="auto" w:sz="4" w:space="0"/>
            </w:tcBorders>
            <w:noWrap w:val="0"/>
            <w:vAlign w:val="center"/>
          </w:tcPr>
          <w:p w14:paraId="506C075F">
            <w:pPr>
              <w:pStyle w:val="21"/>
              <w:shd w:val="clear"/>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3374" w:type="dxa"/>
            <w:tcBorders>
              <w:bottom w:val="single" w:color="auto" w:sz="4" w:space="0"/>
            </w:tcBorders>
            <w:noWrap w:val="0"/>
            <w:vAlign w:val="center"/>
          </w:tcPr>
          <w:p w14:paraId="2BE12573">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693" w:type="dxa"/>
            <w:tcBorders>
              <w:bottom w:val="single" w:color="auto" w:sz="4" w:space="0"/>
            </w:tcBorders>
            <w:noWrap w:val="0"/>
            <w:vAlign w:val="center"/>
          </w:tcPr>
          <w:p w14:paraId="0EC893A1">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数量及单位</w:t>
            </w:r>
          </w:p>
        </w:tc>
        <w:tc>
          <w:tcPr>
            <w:tcW w:w="2978" w:type="dxa"/>
            <w:tcBorders>
              <w:bottom w:val="single" w:color="auto" w:sz="4" w:space="0"/>
            </w:tcBorders>
            <w:noWrap w:val="0"/>
            <w:vAlign w:val="center"/>
          </w:tcPr>
          <w:p w14:paraId="63B3C90F">
            <w:pPr>
              <w:pStyle w:val="21"/>
              <w:shd w:val="clear"/>
              <w:spacing w:line="400" w:lineRule="exact"/>
              <w:ind w:left="560" w:hanging="560"/>
              <w:jc w:val="center"/>
              <w:rPr>
                <w:rFonts w:hint="eastAsia" w:hAnsi="宋体" w:eastAsia="宋体"/>
                <w:color w:val="auto"/>
                <w:highlight w:val="none"/>
                <w:lang w:val="en-US" w:eastAsia="zh-CN"/>
              </w:rPr>
            </w:pPr>
            <w:r>
              <w:rPr>
                <w:rFonts w:hint="eastAsia" w:hAnsi="宋体"/>
                <w:color w:val="auto"/>
                <w:highlight w:val="none"/>
                <w:lang w:val="en-US" w:eastAsia="zh-CN"/>
              </w:rPr>
              <w:t>报价（元）</w:t>
            </w:r>
          </w:p>
        </w:tc>
        <w:tc>
          <w:tcPr>
            <w:tcW w:w="1085" w:type="dxa"/>
            <w:tcBorders>
              <w:bottom w:val="single" w:color="auto" w:sz="4" w:space="0"/>
            </w:tcBorders>
            <w:noWrap w:val="0"/>
            <w:vAlign w:val="center"/>
          </w:tcPr>
          <w:p w14:paraId="3BA42F2C">
            <w:pPr>
              <w:pStyle w:val="21"/>
              <w:shd w:val="clear"/>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37E7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01EAC3A1">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3374" w:type="dxa"/>
            <w:noWrap w:val="0"/>
            <w:vAlign w:val="center"/>
          </w:tcPr>
          <w:p w14:paraId="3F162B71">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hAnsi="宋体"/>
                <w:color w:val="auto"/>
                <w:highlight w:val="none"/>
              </w:rPr>
            </w:pPr>
            <w:r>
              <w:rPr>
                <w:rFonts w:hint="eastAsia" w:hAnsi="宋体"/>
                <w:color w:val="auto"/>
                <w:highlight w:val="none"/>
                <w:lang w:eastAsia="zh-CN"/>
              </w:rPr>
              <w:t>飞利浦牌CT模拟定位系统维保服务</w:t>
            </w:r>
          </w:p>
        </w:tc>
        <w:tc>
          <w:tcPr>
            <w:tcW w:w="1693" w:type="dxa"/>
            <w:noWrap w:val="0"/>
            <w:vAlign w:val="center"/>
          </w:tcPr>
          <w:p w14:paraId="1E5F7EC0">
            <w:pPr>
              <w:pStyle w:val="21"/>
              <w:shd w:val="clear"/>
              <w:ind w:left="560" w:hanging="560"/>
              <w:jc w:val="center"/>
              <w:rPr>
                <w:rFonts w:hint="default" w:hAnsi="宋体" w:eastAsia="宋体"/>
                <w:color w:val="auto"/>
                <w:highlight w:val="none"/>
                <w:lang w:val="en-US" w:eastAsia="zh-CN"/>
              </w:rPr>
            </w:pPr>
            <w:r>
              <w:rPr>
                <w:rFonts w:hint="eastAsia" w:hAnsi="宋体"/>
                <w:color w:val="auto"/>
                <w:highlight w:val="none"/>
                <w:lang w:val="en-US" w:eastAsia="zh-CN"/>
              </w:rPr>
              <w:t>1项</w:t>
            </w:r>
          </w:p>
        </w:tc>
        <w:tc>
          <w:tcPr>
            <w:tcW w:w="2978" w:type="dxa"/>
            <w:noWrap w:val="0"/>
            <w:vAlign w:val="center"/>
          </w:tcPr>
          <w:p w14:paraId="12FA3AD6">
            <w:pPr>
              <w:pStyle w:val="21"/>
              <w:shd w:val="clear"/>
              <w:ind w:left="536" w:hanging="536"/>
              <w:jc w:val="center"/>
              <w:rPr>
                <w:rFonts w:hint="eastAsia" w:hAnsi="宋体"/>
                <w:color w:val="auto"/>
                <w:spacing w:val="-6"/>
                <w:highlight w:val="none"/>
              </w:rPr>
            </w:pPr>
          </w:p>
        </w:tc>
        <w:tc>
          <w:tcPr>
            <w:tcW w:w="1085" w:type="dxa"/>
            <w:noWrap w:val="0"/>
            <w:vAlign w:val="center"/>
          </w:tcPr>
          <w:p w14:paraId="56D85CC8">
            <w:pPr>
              <w:pStyle w:val="21"/>
              <w:shd w:val="clear"/>
              <w:ind w:left="536" w:hanging="536"/>
              <w:jc w:val="center"/>
              <w:rPr>
                <w:rFonts w:hint="eastAsia" w:hAnsi="宋体"/>
                <w:color w:val="auto"/>
                <w:spacing w:val="-6"/>
                <w:highlight w:val="none"/>
              </w:rPr>
            </w:pPr>
          </w:p>
        </w:tc>
      </w:tr>
      <w:tr w14:paraId="4085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57" w:type="dxa"/>
            <w:gridSpan w:val="5"/>
            <w:noWrap w:val="0"/>
            <w:vAlign w:val="center"/>
          </w:tcPr>
          <w:p w14:paraId="34E8C63C">
            <w:pPr>
              <w:pStyle w:val="21"/>
              <w:shd w:val="clear"/>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315C3626">
      <w:pPr>
        <w:shd w:val="clear"/>
        <w:spacing w:line="400" w:lineRule="exact"/>
        <w:rPr>
          <w:rFonts w:hint="eastAsia" w:ascii="宋体" w:hAnsi="宋体"/>
          <w:color w:val="auto"/>
          <w:szCs w:val="21"/>
          <w:highlight w:val="none"/>
        </w:rPr>
      </w:pPr>
    </w:p>
    <w:p w14:paraId="2D9B26E9">
      <w:pPr>
        <w:shd w:val="clear"/>
        <w:spacing w:line="40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5844034E">
      <w:pPr>
        <w:shd w:val="clear"/>
        <w:spacing w:line="400" w:lineRule="exact"/>
        <w:ind w:firstLine="411" w:firstLineChars="196"/>
        <w:rPr>
          <w:rFonts w:hint="eastAsia" w:ascii="宋体" w:hAnsi="宋体" w:eastAsia="宋体" w:cs="宋体"/>
          <w:color w:val="auto"/>
          <w:szCs w:val="21"/>
          <w:highlight w:val="none"/>
        </w:rPr>
      </w:pPr>
      <w:r>
        <w:rPr>
          <w:rFonts w:hint="eastAsia" w:ascii="宋体" w:hAnsi="宋体" w:cs="宋体"/>
          <w:bCs/>
          <w:color w:val="auto"/>
          <w:highlight w:val="none"/>
          <w:lang w:eastAsia="zh-CN"/>
        </w:rPr>
        <w:t>2.</w:t>
      </w:r>
      <w:r>
        <w:rPr>
          <w:rFonts w:hint="eastAsia" w:ascii="宋体" w:hAnsi="宋体" w:eastAsia="宋体" w:cs="宋体"/>
          <w:bCs/>
          <w:color w:val="auto"/>
          <w:highlight w:val="none"/>
        </w:rPr>
        <w:t>报价指服务费、管理费、验收费、利润、税金及其它所有成本、费用的总和</w:t>
      </w:r>
      <w:r>
        <w:rPr>
          <w:rFonts w:hint="eastAsia" w:ascii="宋体" w:hAnsi="宋体" w:eastAsia="宋体" w:cs="宋体"/>
          <w:color w:val="auto"/>
          <w:szCs w:val="21"/>
          <w:highlight w:val="none"/>
        </w:rPr>
        <w:t>。</w:t>
      </w:r>
    </w:p>
    <w:p w14:paraId="381EB1B5">
      <w:pPr>
        <w:pStyle w:val="21"/>
        <w:shd w:val="clear"/>
        <w:spacing w:line="500" w:lineRule="exact"/>
        <w:ind w:firstLine="420" w:firstLineChars="200"/>
        <w:rPr>
          <w:rFonts w:hint="eastAsia" w:hAnsi="宋体"/>
          <w:color w:val="auto"/>
          <w:highlight w:val="none"/>
        </w:rPr>
      </w:pPr>
    </w:p>
    <w:p w14:paraId="474DB7C4">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003BB95C">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4FC4A774">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42A86BD">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059C86FB">
      <w:pPr>
        <w:shd w:val="clea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09272C23">
      <w:pPr>
        <w:shd w:val="clear"/>
        <w:spacing w:line="520" w:lineRule="exact"/>
        <w:jc w:val="center"/>
        <w:rPr>
          <w:rFonts w:hint="eastAsia" w:ascii="宋体" w:hAnsi="宋体"/>
          <w:b/>
          <w:color w:val="auto"/>
          <w:szCs w:val="21"/>
          <w:highlight w:val="none"/>
        </w:rPr>
      </w:pPr>
    </w:p>
    <w:p w14:paraId="3E3B06DA">
      <w:pPr>
        <w:pStyle w:val="21"/>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19A94585">
      <w:pPr>
        <w:pStyle w:val="21"/>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1D03F233">
      <w:pPr>
        <w:pStyle w:val="21"/>
        <w:shd w:val="clear"/>
        <w:spacing w:line="520" w:lineRule="exact"/>
        <w:ind w:firstLine="480"/>
        <w:rPr>
          <w:rFonts w:hint="eastAsia" w:hAnsi="宋体"/>
          <w:color w:val="auto"/>
          <w:highlight w:val="none"/>
        </w:rPr>
      </w:pPr>
      <w:r>
        <w:rPr>
          <w:rFonts w:hint="eastAsia" w:hAnsi="宋体"/>
          <w:color w:val="auto"/>
          <w:highlight w:val="none"/>
        </w:rPr>
        <w:t>1. 资格文件；</w:t>
      </w:r>
    </w:p>
    <w:p w14:paraId="47F5B112">
      <w:pPr>
        <w:pStyle w:val="21"/>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7199C209">
      <w:pPr>
        <w:pStyle w:val="21"/>
        <w:shd w:val="clear"/>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0FD58F90">
      <w:pPr>
        <w:pStyle w:val="21"/>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7F2BD1C4">
      <w:pPr>
        <w:pStyle w:val="21"/>
        <w:shd w:val="clear"/>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274F8C8D">
      <w:pPr>
        <w:pStyle w:val="21"/>
        <w:shd w:val="clear"/>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7686EED7">
      <w:pPr>
        <w:pStyle w:val="21"/>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5D2CAF7A">
      <w:pPr>
        <w:pStyle w:val="21"/>
        <w:shd w:val="clear"/>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6F73E5B4">
      <w:pPr>
        <w:pStyle w:val="21"/>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58994867">
      <w:pPr>
        <w:pStyle w:val="21"/>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5B089764">
      <w:pPr>
        <w:pStyle w:val="21"/>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D7AF89F">
      <w:pPr>
        <w:pStyle w:val="21"/>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616EEC41">
      <w:pPr>
        <w:pStyle w:val="21"/>
        <w:shd w:val="clear"/>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02F54890">
      <w:pPr>
        <w:pStyle w:val="21"/>
        <w:shd w:val="clear"/>
        <w:spacing w:line="520" w:lineRule="exact"/>
        <w:ind w:firstLine="840"/>
        <w:rPr>
          <w:rFonts w:hint="eastAsia" w:hAnsi="宋体"/>
          <w:color w:val="auto"/>
          <w:highlight w:val="none"/>
        </w:rPr>
      </w:pPr>
      <w:r>
        <w:rPr>
          <w:rFonts w:hint="eastAsia" w:hAnsi="宋体"/>
          <w:color w:val="auto"/>
          <w:highlight w:val="none"/>
        </w:rPr>
        <w:t xml:space="preserve">                     </w:t>
      </w:r>
    </w:p>
    <w:p w14:paraId="547C776D">
      <w:pPr>
        <w:shd w:val="clear"/>
        <w:adjustRightInd w:val="0"/>
        <w:snapToGrid w:val="0"/>
        <w:spacing w:line="300" w:lineRule="auto"/>
        <w:ind w:left="-88" w:leftChars="-42"/>
        <w:rPr>
          <w:rFonts w:hint="eastAsia" w:ascii="宋体" w:hAnsi="宋体"/>
          <w:color w:val="auto"/>
          <w:szCs w:val="21"/>
          <w:highlight w:val="none"/>
        </w:rPr>
      </w:pPr>
    </w:p>
    <w:p w14:paraId="20EACA78">
      <w:pPr>
        <w:shd w:val="clear"/>
        <w:adjustRightInd w:val="0"/>
        <w:snapToGrid w:val="0"/>
        <w:spacing w:line="300" w:lineRule="auto"/>
        <w:ind w:left="-88" w:leftChars="-42"/>
        <w:rPr>
          <w:rFonts w:hint="eastAsia" w:ascii="宋体" w:hAnsi="宋体"/>
          <w:color w:val="auto"/>
          <w:szCs w:val="21"/>
          <w:highlight w:val="none"/>
        </w:rPr>
      </w:pPr>
    </w:p>
    <w:p w14:paraId="67AC7519">
      <w:pPr>
        <w:shd w:val="clear"/>
        <w:adjustRightInd w:val="0"/>
        <w:snapToGrid w:val="0"/>
        <w:spacing w:line="300" w:lineRule="auto"/>
        <w:ind w:left="-88" w:leftChars="-42"/>
        <w:rPr>
          <w:rFonts w:hint="eastAsia" w:ascii="宋体" w:hAnsi="宋体"/>
          <w:color w:val="auto"/>
          <w:szCs w:val="21"/>
          <w:highlight w:val="none"/>
        </w:rPr>
      </w:pPr>
    </w:p>
    <w:p w14:paraId="697ECE3A">
      <w:pPr>
        <w:shd w:val="clear"/>
        <w:adjustRightInd w:val="0"/>
        <w:snapToGrid w:val="0"/>
        <w:spacing w:line="300" w:lineRule="auto"/>
        <w:ind w:left="-88" w:leftChars="-42"/>
        <w:rPr>
          <w:rFonts w:hint="eastAsia" w:ascii="宋体" w:hAnsi="宋体"/>
          <w:color w:val="auto"/>
          <w:szCs w:val="21"/>
          <w:highlight w:val="none"/>
        </w:rPr>
      </w:pPr>
    </w:p>
    <w:p w14:paraId="472B3B27">
      <w:pPr>
        <w:shd w:val="clear"/>
        <w:adjustRightInd w:val="0"/>
        <w:snapToGrid w:val="0"/>
        <w:spacing w:line="300" w:lineRule="auto"/>
        <w:ind w:left="-88" w:leftChars="-42"/>
        <w:rPr>
          <w:rFonts w:hint="eastAsia" w:ascii="宋体" w:hAnsi="宋体"/>
          <w:color w:val="auto"/>
          <w:szCs w:val="21"/>
          <w:highlight w:val="none"/>
        </w:rPr>
      </w:pPr>
    </w:p>
    <w:p w14:paraId="5027602D">
      <w:pPr>
        <w:shd w:val="clear"/>
        <w:adjustRightInd w:val="0"/>
        <w:snapToGrid w:val="0"/>
        <w:spacing w:line="300" w:lineRule="auto"/>
        <w:ind w:left="-88" w:leftChars="-42"/>
        <w:rPr>
          <w:rFonts w:hint="eastAsia" w:ascii="宋体" w:hAnsi="宋体"/>
          <w:color w:val="auto"/>
          <w:szCs w:val="21"/>
          <w:highlight w:val="none"/>
        </w:rPr>
      </w:pPr>
    </w:p>
    <w:p w14:paraId="36EFA878">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792B4FDF">
      <w:pPr>
        <w:shd w:val="clear"/>
        <w:spacing w:line="320" w:lineRule="exact"/>
        <w:jc w:val="center"/>
        <w:rPr>
          <w:rFonts w:hint="eastAsia" w:ascii="宋体" w:hAnsi="宋体"/>
          <w:color w:val="auto"/>
          <w:sz w:val="24"/>
          <w:szCs w:val="20"/>
          <w:highlight w:val="none"/>
        </w:rPr>
      </w:pPr>
    </w:p>
    <w:p w14:paraId="29780A80">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79BFA0C8">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0DE10C6">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26613684">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48E1F2A">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0FA1E5A8">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033759EB">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2BD7C097">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60B95B33">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6B106134">
      <w:pPr>
        <w:pStyle w:val="1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54123842">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5E0A7F98">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7FD2BD27">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BB8E01B">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w:t>
      </w:r>
      <w:r>
        <w:rPr>
          <w:rFonts w:hint="eastAsia" w:ascii="宋体" w:hAnsi="宋体"/>
          <w:color w:val="auto"/>
          <w:szCs w:val="21"/>
          <w:highlight w:val="none"/>
          <w:lang w:eastAsia="zh-CN"/>
        </w:rPr>
        <w:t>中华人民共和国政府采购法实施条例</w:t>
      </w:r>
      <w:r>
        <w:rPr>
          <w:rFonts w:hint="eastAsia" w:ascii="宋体" w:hAnsi="宋体"/>
          <w:color w:val="auto"/>
          <w:szCs w:val="21"/>
          <w:highlight w:val="none"/>
        </w:rPr>
        <w:t>》规定的供应商条件，我方对此声明负全部法律责任。</w:t>
      </w:r>
    </w:p>
    <w:p w14:paraId="54D56A95">
      <w:pPr>
        <w:pStyle w:val="20"/>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3A543D1B">
      <w:pPr>
        <w:pStyle w:val="100"/>
        <w:shd w:val="clear"/>
        <w:snapToGrid w:val="0"/>
        <w:spacing w:before="156" w:beforeLines="50" w:line="380" w:lineRule="exact"/>
        <w:ind w:firstLine="200"/>
        <w:rPr>
          <w:rFonts w:hint="eastAsia" w:ascii="宋体" w:hAnsi="宋体"/>
          <w:color w:val="auto"/>
          <w:sz w:val="21"/>
          <w:szCs w:val="21"/>
          <w:highlight w:val="none"/>
        </w:rPr>
      </w:pPr>
    </w:p>
    <w:p w14:paraId="74C76F78">
      <w:pPr>
        <w:shd w:val="clea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3878C1E7">
      <w:pPr>
        <w:shd w:val="clea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6536A925">
      <w:pPr>
        <w:shd w:val="clea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6660AF4">
      <w:pPr>
        <w:shd w:val="clea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71027209">
      <w:pPr>
        <w:shd w:val="clea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06693BC5">
      <w:pPr>
        <w:shd w:val="clear"/>
        <w:spacing w:line="300" w:lineRule="auto"/>
        <w:rPr>
          <w:rFonts w:hint="eastAsia" w:ascii="宋体" w:hAnsi="宋体"/>
          <w:color w:val="auto"/>
          <w:szCs w:val="21"/>
          <w:highlight w:val="none"/>
        </w:rPr>
      </w:pPr>
    </w:p>
    <w:p w14:paraId="6A8C43E4">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6CA3C7FE">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35D36C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2C4B09C">
            <w:pPr>
              <w:shd w:val="clear"/>
              <w:jc w:val="center"/>
              <w:rPr>
                <w:rFonts w:hint="eastAsia"/>
                <w:color w:val="auto"/>
                <w:highlight w:val="none"/>
              </w:rPr>
            </w:pPr>
            <w:bookmarkStart w:id="51" w:name="_Toc254970588"/>
            <w:bookmarkStart w:id="52" w:name="_Toc254970729"/>
            <w:bookmarkStart w:id="53" w:name="_Toc173211900"/>
            <w:bookmarkStart w:id="54" w:name="_Toc173066401"/>
            <w:r>
              <w:rPr>
                <w:rFonts w:hint="eastAsia"/>
                <w:color w:val="auto"/>
                <w:highlight w:val="none"/>
              </w:rPr>
              <w:t>序号</w:t>
            </w:r>
            <w:bookmarkEnd w:id="51"/>
            <w:bookmarkEnd w:id="52"/>
            <w:bookmarkEnd w:id="53"/>
            <w:bookmarkEnd w:id="54"/>
          </w:p>
        </w:tc>
        <w:tc>
          <w:tcPr>
            <w:tcW w:w="3013" w:type="dxa"/>
            <w:noWrap w:val="0"/>
            <w:vAlign w:val="center"/>
          </w:tcPr>
          <w:p w14:paraId="365CEF26">
            <w:pPr>
              <w:shd w:val="clear"/>
              <w:jc w:val="center"/>
              <w:rPr>
                <w:rFonts w:hint="eastAsia"/>
                <w:color w:val="auto"/>
                <w:highlight w:val="none"/>
              </w:rPr>
            </w:pPr>
            <w:bookmarkStart w:id="55" w:name="_Toc173211901"/>
            <w:bookmarkStart w:id="56" w:name="_Toc254970589"/>
            <w:bookmarkStart w:id="57" w:name="_Toc173066402"/>
            <w:bookmarkStart w:id="58" w:name="_Toc254970730"/>
            <w:r>
              <w:rPr>
                <w:rFonts w:hint="eastAsia"/>
                <w:color w:val="auto"/>
                <w:highlight w:val="none"/>
              </w:rPr>
              <w:t>竞争性磋商文件要求</w:t>
            </w:r>
            <w:bookmarkEnd w:id="55"/>
            <w:bookmarkEnd w:id="56"/>
            <w:bookmarkEnd w:id="57"/>
            <w:bookmarkEnd w:id="58"/>
          </w:p>
        </w:tc>
        <w:tc>
          <w:tcPr>
            <w:tcW w:w="3159" w:type="dxa"/>
            <w:noWrap w:val="0"/>
            <w:vAlign w:val="center"/>
          </w:tcPr>
          <w:p w14:paraId="2D481CCD">
            <w:pPr>
              <w:shd w:val="clear"/>
              <w:jc w:val="center"/>
              <w:rPr>
                <w:rFonts w:hint="eastAsia"/>
                <w:color w:val="auto"/>
                <w:highlight w:val="none"/>
              </w:rPr>
            </w:pPr>
            <w:bookmarkStart w:id="59" w:name="_Toc254970590"/>
            <w:bookmarkStart w:id="60" w:name="_Toc173211902"/>
            <w:bookmarkStart w:id="61" w:name="_Toc254970731"/>
            <w:bookmarkStart w:id="62" w:name="_Toc173066403"/>
            <w:r>
              <w:rPr>
                <w:rFonts w:hint="eastAsia"/>
                <w:color w:val="auto"/>
                <w:highlight w:val="none"/>
              </w:rPr>
              <w:t>竞争性磋商响应文件具体响应</w:t>
            </w:r>
            <w:bookmarkEnd w:id="59"/>
            <w:bookmarkEnd w:id="60"/>
            <w:bookmarkEnd w:id="61"/>
            <w:bookmarkEnd w:id="62"/>
          </w:p>
        </w:tc>
        <w:tc>
          <w:tcPr>
            <w:tcW w:w="1571" w:type="dxa"/>
            <w:noWrap w:val="0"/>
            <w:vAlign w:val="center"/>
          </w:tcPr>
          <w:p w14:paraId="1EE074C6">
            <w:pPr>
              <w:shd w:val="clear"/>
              <w:jc w:val="center"/>
              <w:rPr>
                <w:rFonts w:hint="eastAsia"/>
                <w:color w:val="auto"/>
                <w:highlight w:val="none"/>
              </w:rPr>
            </w:pPr>
            <w:r>
              <w:rPr>
                <w:rFonts w:hint="eastAsia"/>
                <w:color w:val="auto"/>
                <w:highlight w:val="none"/>
              </w:rPr>
              <w:t>偏离说明</w:t>
            </w:r>
          </w:p>
        </w:tc>
        <w:tc>
          <w:tcPr>
            <w:tcW w:w="1460" w:type="dxa"/>
            <w:noWrap w:val="0"/>
            <w:vAlign w:val="center"/>
          </w:tcPr>
          <w:p w14:paraId="7F99D4B6">
            <w:pPr>
              <w:shd w:val="clear"/>
              <w:jc w:val="center"/>
              <w:rPr>
                <w:rFonts w:hint="eastAsia"/>
                <w:color w:val="auto"/>
                <w:highlight w:val="none"/>
              </w:rPr>
            </w:pPr>
            <w:r>
              <w:rPr>
                <w:rFonts w:hint="eastAsia"/>
                <w:color w:val="auto"/>
                <w:highlight w:val="none"/>
              </w:rPr>
              <w:t>备注</w:t>
            </w:r>
          </w:p>
        </w:tc>
      </w:tr>
      <w:tr w14:paraId="718C4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09DD8D1">
            <w:pPr>
              <w:shd w:val="clear"/>
              <w:jc w:val="center"/>
              <w:rPr>
                <w:rFonts w:hint="eastAsia"/>
                <w:color w:val="auto"/>
                <w:highlight w:val="none"/>
              </w:rPr>
            </w:pPr>
            <w:bookmarkStart w:id="63" w:name="_Toc476258666"/>
            <w:r>
              <w:rPr>
                <w:rFonts w:hint="eastAsia"/>
                <w:color w:val="auto"/>
                <w:highlight w:val="none"/>
              </w:rPr>
              <w:t>商务部分</w:t>
            </w:r>
            <w:bookmarkEnd w:id="63"/>
            <w:r>
              <w:rPr>
                <w:rFonts w:hint="eastAsia"/>
                <w:color w:val="auto"/>
                <w:highlight w:val="none"/>
              </w:rPr>
              <w:t>（商务要求表）</w:t>
            </w:r>
          </w:p>
        </w:tc>
      </w:tr>
      <w:tr w14:paraId="4B769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3A6CE2A">
            <w:pPr>
              <w:shd w:val="clear"/>
              <w:jc w:val="center"/>
              <w:rPr>
                <w:rFonts w:hint="eastAsia"/>
                <w:color w:val="auto"/>
                <w:highlight w:val="none"/>
              </w:rPr>
            </w:pPr>
            <w:bookmarkStart w:id="64" w:name="_Toc173211905"/>
            <w:bookmarkStart w:id="65" w:name="_Toc173066406"/>
            <w:bookmarkStart w:id="66" w:name="_Toc254970593"/>
            <w:bookmarkStart w:id="67" w:name="_Toc254970734"/>
            <w:r>
              <w:rPr>
                <w:rFonts w:hint="eastAsia"/>
                <w:color w:val="auto"/>
                <w:highlight w:val="none"/>
              </w:rPr>
              <w:t>1</w:t>
            </w:r>
            <w:bookmarkEnd w:id="64"/>
            <w:bookmarkEnd w:id="65"/>
            <w:bookmarkEnd w:id="66"/>
            <w:bookmarkEnd w:id="67"/>
          </w:p>
        </w:tc>
        <w:tc>
          <w:tcPr>
            <w:tcW w:w="3013" w:type="dxa"/>
            <w:noWrap w:val="0"/>
            <w:vAlign w:val="center"/>
          </w:tcPr>
          <w:p w14:paraId="2992B53E">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4DECA135">
            <w:pPr>
              <w:shd w:val="clear"/>
              <w:rPr>
                <w:rFonts w:hint="eastAsia"/>
                <w:color w:val="auto"/>
                <w:highlight w:val="none"/>
              </w:rPr>
            </w:pPr>
          </w:p>
        </w:tc>
        <w:tc>
          <w:tcPr>
            <w:tcW w:w="1571" w:type="dxa"/>
            <w:noWrap w:val="0"/>
            <w:vAlign w:val="center"/>
          </w:tcPr>
          <w:p w14:paraId="03DD801E">
            <w:pPr>
              <w:shd w:val="clear"/>
              <w:jc w:val="center"/>
              <w:rPr>
                <w:rFonts w:hint="eastAsia"/>
                <w:color w:val="auto"/>
                <w:highlight w:val="none"/>
              </w:rPr>
            </w:pPr>
          </w:p>
        </w:tc>
        <w:tc>
          <w:tcPr>
            <w:tcW w:w="1460" w:type="dxa"/>
            <w:noWrap w:val="0"/>
            <w:vAlign w:val="center"/>
          </w:tcPr>
          <w:p w14:paraId="04082C36">
            <w:pPr>
              <w:shd w:val="clear"/>
              <w:jc w:val="center"/>
              <w:rPr>
                <w:rFonts w:hint="eastAsia"/>
                <w:color w:val="auto"/>
                <w:highlight w:val="none"/>
              </w:rPr>
            </w:pPr>
          </w:p>
        </w:tc>
      </w:tr>
      <w:tr w14:paraId="5A0FB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70C15F6">
            <w:pPr>
              <w:shd w:val="clear"/>
              <w:jc w:val="center"/>
              <w:rPr>
                <w:rFonts w:hint="eastAsia"/>
                <w:color w:val="auto"/>
                <w:highlight w:val="none"/>
              </w:rPr>
            </w:pPr>
            <w:bookmarkStart w:id="68" w:name="_Toc254970735"/>
            <w:bookmarkStart w:id="69" w:name="_Toc173066407"/>
            <w:bookmarkStart w:id="70" w:name="_Toc173211906"/>
            <w:bookmarkStart w:id="71" w:name="_Toc254970594"/>
            <w:r>
              <w:rPr>
                <w:rFonts w:hint="eastAsia"/>
                <w:color w:val="auto"/>
                <w:highlight w:val="none"/>
              </w:rPr>
              <w:t>2</w:t>
            </w:r>
            <w:bookmarkEnd w:id="68"/>
            <w:bookmarkEnd w:id="69"/>
            <w:bookmarkEnd w:id="70"/>
            <w:bookmarkEnd w:id="71"/>
          </w:p>
        </w:tc>
        <w:tc>
          <w:tcPr>
            <w:tcW w:w="3013" w:type="dxa"/>
            <w:noWrap w:val="0"/>
            <w:vAlign w:val="center"/>
          </w:tcPr>
          <w:p w14:paraId="7BC34471">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6755DEEA">
            <w:pPr>
              <w:shd w:val="clear"/>
              <w:rPr>
                <w:rFonts w:hint="eastAsia"/>
                <w:color w:val="auto"/>
                <w:highlight w:val="none"/>
              </w:rPr>
            </w:pPr>
          </w:p>
        </w:tc>
        <w:tc>
          <w:tcPr>
            <w:tcW w:w="1571" w:type="dxa"/>
            <w:noWrap w:val="0"/>
            <w:vAlign w:val="center"/>
          </w:tcPr>
          <w:p w14:paraId="14260804">
            <w:pPr>
              <w:shd w:val="clear"/>
              <w:jc w:val="center"/>
              <w:rPr>
                <w:rFonts w:hint="eastAsia"/>
                <w:color w:val="auto"/>
                <w:highlight w:val="none"/>
              </w:rPr>
            </w:pPr>
          </w:p>
        </w:tc>
        <w:tc>
          <w:tcPr>
            <w:tcW w:w="1460" w:type="dxa"/>
            <w:noWrap w:val="0"/>
            <w:vAlign w:val="center"/>
          </w:tcPr>
          <w:p w14:paraId="720D328C">
            <w:pPr>
              <w:shd w:val="clear"/>
              <w:jc w:val="center"/>
              <w:rPr>
                <w:rFonts w:hint="eastAsia"/>
                <w:color w:val="auto"/>
                <w:highlight w:val="none"/>
              </w:rPr>
            </w:pPr>
          </w:p>
        </w:tc>
      </w:tr>
      <w:tr w14:paraId="2F1F0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7ADB100">
            <w:pPr>
              <w:shd w:val="clear"/>
              <w:jc w:val="center"/>
              <w:rPr>
                <w:rFonts w:hint="eastAsia"/>
                <w:color w:val="auto"/>
                <w:highlight w:val="none"/>
              </w:rPr>
            </w:pPr>
            <w:bookmarkStart w:id="72" w:name="_Toc173211907"/>
            <w:bookmarkStart w:id="73" w:name="_Toc254970595"/>
            <w:bookmarkStart w:id="74" w:name="_Toc173066408"/>
            <w:bookmarkStart w:id="75" w:name="_Toc254970736"/>
            <w:r>
              <w:rPr>
                <w:rFonts w:hint="eastAsia"/>
                <w:color w:val="auto"/>
                <w:highlight w:val="none"/>
              </w:rPr>
              <w:t>3</w:t>
            </w:r>
            <w:bookmarkEnd w:id="72"/>
            <w:bookmarkEnd w:id="73"/>
            <w:bookmarkEnd w:id="74"/>
            <w:bookmarkEnd w:id="75"/>
          </w:p>
        </w:tc>
        <w:tc>
          <w:tcPr>
            <w:tcW w:w="3013" w:type="dxa"/>
            <w:noWrap w:val="0"/>
            <w:vAlign w:val="center"/>
          </w:tcPr>
          <w:p w14:paraId="08536A40">
            <w:pPr>
              <w:shd w:val="clear"/>
              <w:spacing w:line="400" w:lineRule="exact"/>
              <w:jc w:val="center"/>
              <w:rPr>
                <w:rFonts w:hint="eastAsia" w:ascii="宋体" w:hAnsi="宋体"/>
                <w:color w:val="auto"/>
                <w:szCs w:val="21"/>
                <w:highlight w:val="none"/>
              </w:rPr>
            </w:pPr>
          </w:p>
        </w:tc>
        <w:tc>
          <w:tcPr>
            <w:tcW w:w="3159" w:type="dxa"/>
            <w:noWrap w:val="0"/>
            <w:vAlign w:val="top"/>
          </w:tcPr>
          <w:p w14:paraId="0AFCCCEA">
            <w:pPr>
              <w:shd w:val="clear"/>
              <w:rPr>
                <w:rFonts w:hint="eastAsia"/>
                <w:color w:val="auto"/>
                <w:highlight w:val="none"/>
              </w:rPr>
            </w:pPr>
          </w:p>
        </w:tc>
        <w:tc>
          <w:tcPr>
            <w:tcW w:w="1571" w:type="dxa"/>
            <w:noWrap w:val="0"/>
            <w:vAlign w:val="center"/>
          </w:tcPr>
          <w:p w14:paraId="10E64B95">
            <w:pPr>
              <w:shd w:val="clear"/>
              <w:jc w:val="center"/>
              <w:rPr>
                <w:rFonts w:hint="eastAsia"/>
                <w:color w:val="auto"/>
                <w:highlight w:val="none"/>
              </w:rPr>
            </w:pPr>
          </w:p>
        </w:tc>
        <w:tc>
          <w:tcPr>
            <w:tcW w:w="1460" w:type="dxa"/>
            <w:noWrap w:val="0"/>
            <w:vAlign w:val="center"/>
          </w:tcPr>
          <w:p w14:paraId="6EA03328">
            <w:pPr>
              <w:shd w:val="clear"/>
              <w:jc w:val="center"/>
              <w:rPr>
                <w:rFonts w:hint="eastAsia"/>
                <w:color w:val="auto"/>
                <w:highlight w:val="none"/>
              </w:rPr>
            </w:pPr>
          </w:p>
        </w:tc>
      </w:tr>
      <w:tr w14:paraId="3E7C6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247B13F">
            <w:pPr>
              <w:shd w:val="clear"/>
              <w:jc w:val="center"/>
              <w:rPr>
                <w:rFonts w:hint="eastAsia"/>
                <w:color w:val="auto"/>
                <w:highlight w:val="none"/>
              </w:rPr>
            </w:pPr>
            <w:r>
              <w:rPr>
                <w:rFonts w:hint="eastAsia"/>
                <w:color w:val="auto"/>
                <w:highlight w:val="none"/>
              </w:rPr>
              <w:t>4</w:t>
            </w:r>
          </w:p>
        </w:tc>
        <w:tc>
          <w:tcPr>
            <w:tcW w:w="3013" w:type="dxa"/>
            <w:noWrap w:val="0"/>
            <w:vAlign w:val="center"/>
          </w:tcPr>
          <w:p w14:paraId="1F85AF15">
            <w:pPr>
              <w:shd w:val="clear"/>
              <w:jc w:val="center"/>
              <w:rPr>
                <w:rFonts w:hint="eastAsia" w:ascii="宋体" w:hAnsi="宋体"/>
                <w:color w:val="auto"/>
                <w:szCs w:val="21"/>
                <w:highlight w:val="none"/>
              </w:rPr>
            </w:pPr>
          </w:p>
        </w:tc>
        <w:tc>
          <w:tcPr>
            <w:tcW w:w="3159" w:type="dxa"/>
            <w:noWrap w:val="0"/>
            <w:vAlign w:val="top"/>
          </w:tcPr>
          <w:p w14:paraId="13C910DD">
            <w:pPr>
              <w:shd w:val="clear"/>
              <w:rPr>
                <w:rFonts w:hint="eastAsia"/>
                <w:color w:val="auto"/>
                <w:highlight w:val="none"/>
              </w:rPr>
            </w:pPr>
          </w:p>
        </w:tc>
        <w:tc>
          <w:tcPr>
            <w:tcW w:w="1571" w:type="dxa"/>
            <w:noWrap w:val="0"/>
            <w:vAlign w:val="center"/>
          </w:tcPr>
          <w:p w14:paraId="2B3EC7D7">
            <w:pPr>
              <w:shd w:val="clear"/>
              <w:jc w:val="center"/>
              <w:rPr>
                <w:rFonts w:hint="eastAsia"/>
                <w:color w:val="auto"/>
                <w:highlight w:val="none"/>
              </w:rPr>
            </w:pPr>
          </w:p>
        </w:tc>
        <w:tc>
          <w:tcPr>
            <w:tcW w:w="1460" w:type="dxa"/>
            <w:noWrap w:val="0"/>
            <w:vAlign w:val="center"/>
          </w:tcPr>
          <w:p w14:paraId="64AD8991">
            <w:pPr>
              <w:shd w:val="clear"/>
              <w:jc w:val="center"/>
              <w:rPr>
                <w:rFonts w:hint="eastAsia"/>
                <w:color w:val="auto"/>
                <w:highlight w:val="none"/>
              </w:rPr>
            </w:pPr>
          </w:p>
        </w:tc>
      </w:tr>
      <w:tr w14:paraId="5B6A0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220A861">
            <w:pPr>
              <w:shd w:val="clear"/>
              <w:jc w:val="center"/>
              <w:rPr>
                <w:rFonts w:hint="eastAsia"/>
                <w:color w:val="auto"/>
                <w:highlight w:val="none"/>
              </w:rPr>
            </w:pPr>
            <w:r>
              <w:rPr>
                <w:rFonts w:hint="eastAsia"/>
                <w:color w:val="auto"/>
                <w:highlight w:val="none"/>
              </w:rPr>
              <w:t>5</w:t>
            </w:r>
          </w:p>
        </w:tc>
        <w:tc>
          <w:tcPr>
            <w:tcW w:w="3013" w:type="dxa"/>
            <w:noWrap w:val="0"/>
            <w:vAlign w:val="center"/>
          </w:tcPr>
          <w:p w14:paraId="57982EED">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2ED991CF">
            <w:pPr>
              <w:shd w:val="clear"/>
              <w:rPr>
                <w:rFonts w:hint="eastAsia"/>
                <w:color w:val="auto"/>
                <w:highlight w:val="none"/>
              </w:rPr>
            </w:pPr>
          </w:p>
        </w:tc>
        <w:tc>
          <w:tcPr>
            <w:tcW w:w="1571" w:type="dxa"/>
            <w:noWrap w:val="0"/>
            <w:vAlign w:val="center"/>
          </w:tcPr>
          <w:p w14:paraId="2830EB14">
            <w:pPr>
              <w:shd w:val="clear"/>
              <w:jc w:val="center"/>
              <w:rPr>
                <w:rFonts w:hint="eastAsia"/>
                <w:color w:val="auto"/>
                <w:highlight w:val="none"/>
              </w:rPr>
            </w:pPr>
          </w:p>
        </w:tc>
        <w:tc>
          <w:tcPr>
            <w:tcW w:w="1460" w:type="dxa"/>
            <w:noWrap w:val="0"/>
            <w:vAlign w:val="center"/>
          </w:tcPr>
          <w:p w14:paraId="20B8919F">
            <w:pPr>
              <w:shd w:val="clear"/>
              <w:jc w:val="center"/>
              <w:rPr>
                <w:rFonts w:hint="eastAsia"/>
                <w:color w:val="auto"/>
                <w:highlight w:val="none"/>
              </w:rPr>
            </w:pPr>
          </w:p>
        </w:tc>
      </w:tr>
      <w:tr w14:paraId="52B3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2023644">
            <w:pPr>
              <w:shd w:val="clear"/>
              <w:jc w:val="center"/>
              <w:rPr>
                <w:rFonts w:hint="eastAsia"/>
                <w:color w:val="auto"/>
                <w:highlight w:val="none"/>
              </w:rPr>
            </w:pPr>
            <w:r>
              <w:rPr>
                <w:rFonts w:hint="eastAsia"/>
                <w:color w:val="auto"/>
                <w:highlight w:val="none"/>
              </w:rPr>
              <w:t>…</w:t>
            </w:r>
          </w:p>
        </w:tc>
        <w:tc>
          <w:tcPr>
            <w:tcW w:w="3013" w:type="dxa"/>
            <w:noWrap w:val="0"/>
            <w:vAlign w:val="center"/>
          </w:tcPr>
          <w:p w14:paraId="6507DD3D">
            <w:pPr>
              <w:shd w:val="clear"/>
              <w:jc w:val="center"/>
              <w:rPr>
                <w:rFonts w:hint="eastAsia"/>
                <w:color w:val="auto"/>
                <w:highlight w:val="none"/>
              </w:rPr>
            </w:pPr>
          </w:p>
        </w:tc>
        <w:tc>
          <w:tcPr>
            <w:tcW w:w="3159" w:type="dxa"/>
            <w:noWrap w:val="0"/>
            <w:vAlign w:val="top"/>
          </w:tcPr>
          <w:p w14:paraId="5780C4A1">
            <w:pPr>
              <w:shd w:val="clear"/>
              <w:rPr>
                <w:rFonts w:hint="eastAsia"/>
                <w:color w:val="auto"/>
                <w:highlight w:val="none"/>
              </w:rPr>
            </w:pPr>
          </w:p>
        </w:tc>
        <w:tc>
          <w:tcPr>
            <w:tcW w:w="1571" w:type="dxa"/>
            <w:noWrap w:val="0"/>
            <w:vAlign w:val="center"/>
          </w:tcPr>
          <w:p w14:paraId="038C87C5">
            <w:pPr>
              <w:shd w:val="clear"/>
              <w:jc w:val="center"/>
              <w:rPr>
                <w:rFonts w:hint="eastAsia"/>
                <w:color w:val="auto"/>
                <w:highlight w:val="none"/>
              </w:rPr>
            </w:pPr>
          </w:p>
        </w:tc>
        <w:tc>
          <w:tcPr>
            <w:tcW w:w="1460" w:type="dxa"/>
            <w:noWrap w:val="0"/>
            <w:vAlign w:val="center"/>
          </w:tcPr>
          <w:p w14:paraId="32B51BC4">
            <w:pPr>
              <w:shd w:val="clear"/>
              <w:jc w:val="center"/>
              <w:rPr>
                <w:rFonts w:hint="eastAsia"/>
                <w:color w:val="auto"/>
                <w:highlight w:val="none"/>
              </w:rPr>
            </w:pPr>
          </w:p>
        </w:tc>
      </w:tr>
      <w:tr w14:paraId="35AC3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2955EDC">
            <w:pPr>
              <w:shd w:val="clear"/>
              <w:jc w:val="center"/>
              <w:rPr>
                <w:rFonts w:hint="eastAsia"/>
                <w:color w:val="auto"/>
                <w:highlight w:val="none"/>
              </w:rPr>
            </w:pPr>
            <w:bookmarkStart w:id="76" w:name="_Toc476258667"/>
            <w:r>
              <w:rPr>
                <w:rFonts w:hint="eastAsia"/>
                <w:color w:val="auto"/>
                <w:highlight w:val="none"/>
              </w:rPr>
              <w:t>服务部分</w:t>
            </w:r>
            <w:bookmarkEnd w:id="76"/>
            <w:r>
              <w:rPr>
                <w:rFonts w:hint="eastAsia"/>
                <w:color w:val="auto"/>
                <w:highlight w:val="none"/>
              </w:rPr>
              <w:t>（内容和要求）</w:t>
            </w:r>
          </w:p>
        </w:tc>
      </w:tr>
      <w:tr w14:paraId="641F8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23A252E">
            <w:pPr>
              <w:shd w:val="clear"/>
              <w:jc w:val="center"/>
              <w:rPr>
                <w:rFonts w:hint="eastAsia"/>
                <w:color w:val="auto"/>
                <w:highlight w:val="none"/>
              </w:rPr>
            </w:pPr>
            <w:bookmarkStart w:id="77" w:name="_Toc476258668"/>
            <w:r>
              <w:rPr>
                <w:rFonts w:hint="eastAsia"/>
                <w:color w:val="auto"/>
                <w:highlight w:val="none"/>
              </w:rPr>
              <w:t>1</w:t>
            </w:r>
            <w:bookmarkEnd w:id="77"/>
          </w:p>
        </w:tc>
        <w:tc>
          <w:tcPr>
            <w:tcW w:w="3013" w:type="dxa"/>
            <w:noWrap w:val="0"/>
            <w:vAlign w:val="center"/>
          </w:tcPr>
          <w:p w14:paraId="7DB9CDD2">
            <w:pPr>
              <w:shd w:val="clear"/>
              <w:rPr>
                <w:rFonts w:hint="eastAsia"/>
                <w:color w:val="auto"/>
                <w:highlight w:val="none"/>
              </w:rPr>
            </w:pPr>
          </w:p>
        </w:tc>
        <w:tc>
          <w:tcPr>
            <w:tcW w:w="3159" w:type="dxa"/>
            <w:noWrap w:val="0"/>
            <w:vAlign w:val="center"/>
          </w:tcPr>
          <w:p w14:paraId="556A8225">
            <w:pPr>
              <w:shd w:val="clear"/>
              <w:rPr>
                <w:rFonts w:hint="eastAsia"/>
                <w:color w:val="auto"/>
                <w:highlight w:val="none"/>
              </w:rPr>
            </w:pPr>
          </w:p>
        </w:tc>
        <w:tc>
          <w:tcPr>
            <w:tcW w:w="1571" w:type="dxa"/>
            <w:noWrap w:val="0"/>
            <w:vAlign w:val="center"/>
          </w:tcPr>
          <w:p w14:paraId="561507AA">
            <w:pPr>
              <w:shd w:val="clear"/>
              <w:rPr>
                <w:rFonts w:hint="eastAsia"/>
                <w:color w:val="auto"/>
                <w:highlight w:val="none"/>
              </w:rPr>
            </w:pPr>
          </w:p>
        </w:tc>
        <w:tc>
          <w:tcPr>
            <w:tcW w:w="1460" w:type="dxa"/>
            <w:noWrap w:val="0"/>
            <w:vAlign w:val="center"/>
          </w:tcPr>
          <w:p w14:paraId="2D141124">
            <w:pPr>
              <w:shd w:val="clear"/>
              <w:rPr>
                <w:rFonts w:hint="eastAsia"/>
                <w:color w:val="auto"/>
                <w:highlight w:val="none"/>
              </w:rPr>
            </w:pPr>
          </w:p>
        </w:tc>
      </w:tr>
      <w:tr w14:paraId="51092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5B1801D">
            <w:pPr>
              <w:shd w:val="clear"/>
              <w:jc w:val="center"/>
              <w:rPr>
                <w:rFonts w:hint="eastAsia"/>
                <w:color w:val="auto"/>
                <w:highlight w:val="none"/>
              </w:rPr>
            </w:pPr>
            <w:bookmarkStart w:id="78" w:name="_Toc476258669"/>
            <w:r>
              <w:rPr>
                <w:rFonts w:hint="eastAsia"/>
                <w:color w:val="auto"/>
                <w:highlight w:val="none"/>
              </w:rPr>
              <w:t>2</w:t>
            </w:r>
            <w:bookmarkEnd w:id="78"/>
          </w:p>
        </w:tc>
        <w:tc>
          <w:tcPr>
            <w:tcW w:w="3013" w:type="dxa"/>
            <w:noWrap w:val="0"/>
            <w:vAlign w:val="center"/>
          </w:tcPr>
          <w:p w14:paraId="5093D6AC">
            <w:pPr>
              <w:shd w:val="clear"/>
              <w:rPr>
                <w:rFonts w:hint="eastAsia"/>
                <w:color w:val="auto"/>
                <w:highlight w:val="none"/>
              </w:rPr>
            </w:pPr>
          </w:p>
        </w:tc>
        <w:tc>
          <w:tcPr>
            <w:tcW w:w="3159" w:type="dxa"/>
            <w:noWrap w:val="0"/>
            <w:vAlign w:val="center"/>
          </w:tcPr>
          <w:p w14:paraId="5FAA113A">
            <w:pPr>
              <w:shd w:val="clear"/>
              <w:rPr>
                <w:rFonts w:hint="eastAsia"/>
                <w:color w:val="auto"/>
                <w:highlight w:val="none"/>
              </w:rPr>
            </w:pPr>
          </w:p>
        </w:tc>
        <w:tc>
          <w:tcPr>
            <w:tcW w:w="1571" w:type="dxa"/>
            <w:noWrap w:val="0"/>
            <w:vAlign w:val="center"/>
          </w:tcPr>
          <w:p w14:paraId="5448539B">
            <w:pPr>
              <w:shd w:val="clear"/>
              <w:rPr>
                <w:rFonts w:hint="eastAsia"/>
                <w:color w:val="auto"/>
                <w:highlight w:val="none"/>
              </w:rPr>
            </w:pPr>
          </w:p>
        </w:tc>
        <w:tc>
          <w:tcPr>
            <w:tcW w:w="1460" w:type="dxa"/>
            <w:noWrap w:val="0"/>
            <w:vAlign w:val="center"/>
          </w:tcPr>
          <w:p w14:paraId="05F76F96">
            <w:pPr>
              <w:shd w:val="clear"/>
              <w:rPr>
                <w:rFonts w:hint="eastAsia"/>
                <w:color w:val="auto"/>
                <w:highlight w:val="none"/>
              </w:rPr>
            </w:pPr>
          </w:p>
        </w:tc>
      </w:tr>
      <w:tr w14:paraId="344BA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0736FCF">
            <w:pPr>
              <w:shd w:val="clear"/>
              <w:jc w:val="center"/>
              <w:rPr>
                <w:rFonts w:hint="eastAsia"/>
                <w:color w:val="auto"/>
                <w:highlight w:val="none"/>
              </w:rPr>
            </w:pPr>
            <w:bookmarkStart w:id="79" w:name="_Toc476258670"/>
            <w:r>
              <w:rPr>
                <w:rFonts w:hint="eastAsia"/>
                <w:color w:val="auto"/>
                <w:highlight w:val="none"/>
              </w:rPr>
              <w:t>3</w:t>
            </w:r>
            <w:bookmarkEnd w:id="79"/>
          </w:p>
        </w:tc>
        <w:tc>
          <w:tcPr>
            <w:tcW w:w="3013" w:type="dxa"/>
            <w:noWrap w:val="0"/>
            <w:vAlign w:val="center"/>
          </w:tcPr>
          <w:p w14:paraId="77E17736">
            <w:pPr>
              <w:shd w:val="clear"/>
              <w:rPr>
                <w:rFonts w:hint="eastAsia"/>
                <w:color w:val="auto"/>
                <w:highlight w:val="none"/>
              </w:rPr>
            </w:pPr>
          </w:p>
        </w:tc>
        <w:tc>
          <w:tcPr>
            <w:tcW w:w="3159" w:type="dxa"/>
            <w:noWrap w:val="0"/>
            <w:vAlign w:val="center"/>
          </w:tcPr>
          <w:p w14:paraId="65CDE246">
            <w:pPr>
              <w:shd w:val="clear"/>
              <w:rPr>
                <w:rFonts w:hint="eastAsia"/>
                <w:color w:val="auto"/>
                <w:highlight w:val="none"/>
              </w:rPr>
            </w:pPr>
          </w:p>
        </w:tc>
        <w:tc>
          <w:tcPr>
            <w:tcW w:w="1571" w:type="dxa"/>
            <w:noWrap w:val="0"/>
            <w:vAlign w:val="center"/>
          </w:tcPr>
          <w:p w14:paraId="4830BF06">
            <w:pPr>
              <w:shd w:val="clear"/>
              <w:rPr>
                <w:rFonts w:hint="eastAsia"/>
                <w:color w:val="auto"/>
                <w:highlight w:val="none"/>
              </w:rPr>
            </w:pPr>
          </w:p>
        </w:tc>
        <w:tc>
          <w:tcPr>
            <w:tcW w:w="1460" w:type="dxa"/>
            <w:noWrap w:val="0"/>
            <w:vAlign w:val="center"/>
          </w:tcPr>
          <w:p w14:paraId="704AF298">
            <w:pPr>
              <w:shd w:val="clear"/>
              <w:rPr>
                <w:rFonts w:hint="eastAsia"/>
                <w:color w:val="auto"/>
                <w:highlight w:val="none"/>
              </w:rPr>
            </w:pPr>
          </w:p>
        </w:tc>
      </w:tr>
      <w:tr w14:paraId="31CAAA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1F9DE377">
            <w:pPr>
              <w:shd w:val="clear"/>
              <w:jc w:val="center"/>
              <w:rPr>
                <w:rFonts w:hint="eastAsia"/>
                <w:color w:val="auto"/>
                <w:highlight w:val="none"/>
              </w:rPr>
            </w:pPr>
            <w:bookmarkStart w:id="80" w:name="_Toc476258671"/>
            <w:r>
              <w:rPr>
                <w:rFonts w:hint="eastAsia"/>
                <w:color w:val="auto"/>
                <w:highlight w:val="none"/>
              </w:rPr>
              <w:t>…</w:t>
            </w:r>
            <w:bookmarkEnd w:id="80"/>
          </w:p>
        </w:tc>
        <w:tc>
          <w:tcPr>
            <w:tcW w:w="3013" w:type="dxa"/>
            <w:noWrap w:val="0"/>
            <w:vAlign w:val="center"/>
          </w:tcPr>
          <w:p w14:paraId="4BBA8CFF">
            <w:pPr>
              <w:shd w:val="clear"/>
              <w:rPr>
                <w:rFonts w:hint="eastAsia"/>
                <w:color w:val="auto"/>
                <w:highlight w:val="none"/>
              </w:rPr>
            </w:pPr>
          </w:p>
        </w:tc>
        <w:tc>
          <w:tcPr>
            <w:tcW w:w="3159" w:type="dxa"/>
            <w:noWrap w:val="0"/>
            <w:vAlign w:val="center"/>
          </w:tcPr>
          <w:p w14:paraId="496DE038">
            <w:pPr>
              <w:shd w:val="clear"/>
              <w:rPr>
                <w:rFonts w:hint="eastAsia"/>
                <w:color w:val="auto"/>
                <w:highlight w:val="none"/>
              </w:rPr>
            </w:pPr>
          </w:p>
        </w:tc>
        <w:tc>
          <w:tcPr>
            <w:tcW w:w="1571" w:type="dxa"/>
            <w:tcBorders>
              <w:right w:val="single" w:color="auto" w:sz="4" w:space="0"/>
            </w:tcBorders>
            <w:noWrap w:val="0"/>
            <w:vAlign w:val="center"/>
          </w:tcPr>
          <w:p w14:paraId="702B0DC0">
            <w:pPr>
              <w:shd w:val="clear"/>
              <w:rPr>
                <w:rFonts w:hint="eastAsia"/>
                <w:color w:val="auto"/>
                <w:highlight w:val="none"/>
              </w:rPr>
            </w:pPr>
          </w:p>
        </w:tc>
        <w:tc>
          <w:tcPr>
            <w:tcW w:w="1460" w:type="dxa"/>
            <w:tcBorders>
              <w:left w:val="single" w:color="auto" w:sz="4" w:space="0"/>
            </w:tcBorders>
            <w:noWrap w:val="0"/>
            <w:vAlign w:val="center"/>
          </w:tcPr>
          <w:p w14:paraId="5264C1E9">
            <w:pPr>
              <w:shd w:val="clear"/>
              <w:rPr>
                <w:rFonts w:hint="eastAsia"/>
                <w:color w:val="auto"/>
                <w:highlight w:val="none"/>
              </w:rPr>
            </w:pPr>
          </w:p>
        </w:tc>
      </w:tr>
    </w:tbl>
    <w:p w14:paraId="329E3499">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w:t>
      </w:r>
      <w:r>
        <w:rPr>
          <w:rFonts w:hint="eastAsia" w:ascii="宋体" w:hAnsi="宋体"/>
          <w:b/>
          <w:color w:val="auto"/>
          <w:szCs w:val="21"/>
          <w:highlight w:val="none"/>
          <w:lang w:eastAsia="zh-CN"/>
        </w:rPr>
        <w:t>”“</w:t>
      </w:r>
      <w:r>
        <w:rPr>
          <w:rFonts w:hint="eastAsia" w:ascii="宋体" w:hAnsi="宋体"/>
          <w:b/>
          <w:color w:val="auto"/>
          <w:szCs w:val="21"/>
          <w:highlight w:val="none"/>
        </w:rPr>
        <w:t>负偏离”或“无偏离”。磋商供应商所提供的服务与竞争性磋商文件要求相同的为无偏离，磋商供应商所提供的服务高于竞争性磋商文件要求的为正偏离，低于竞争性磋商文件要求的为负偏离。</w:t>
      </w:r>
    </w:p>
    <w:p w14:paraId="3113343A">
      <w:pPr>
        <w:pStyle w:val="21"/>
        <w:shd w:val="clear"/>
        <w:spacing w:line="360" w:lineRule="exact"/>
        <w:rPr>
          <w:rFonts w:hint="eastAsia" w:hAnsi="宋体"/>
          <w:color w:val="auto"/>
          <w:highlight w:val="none"/>
        </w:rPr>
      </w:pPr>
    </w:p>
    <w:p w14:paraId="2DC7AA9B">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1211FF8D">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713E3AF6">
      <w:pPr>
        <w:shd w:val="clea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5293531">
      <w:pPr>
        <w:shd w:val="clear"/>
        <w:snapToGrid w:val="0"/>
        <w:spacing w:before="156" w:beforeLines="50" w:line="380" w:lineRule="exact"/>
        <w:ind w:right="480" w:firstLine="4792" w:firstLineChars="2282"/>
        <w:rPr>
          <w:rFonts w:hint="eastAsia" w:hAnsi="宋体"/>
          <w:color w:val="auto"/>
          <w:highlight w:val="none"/>
          <w:u w:val="single"/>
        </w:rPr>
      </w:pPr>
    </w:p>
    <w:p w14:paraId="0B91F3E5">
      <w:pPr>
        <w:shd w:val="clear"/>
        <w:spacing w:line="300" w:lineRule="auto"/>
        <w:rPr>
          <w:rFonts w:hint="eastAsia" w:ascii="宋体" w:hAnsi="宋体"/>
          <w:color w:val="auto"/>
          <w:szCs w:val="21"/>
          <w:highlight w:val="none"/>
        </w:rPr>
      </w:pPr>
    </w:p>
    <w:p w14:paraId="4D113D64">
      <w:pPr>
        <w:shd w:val="clear"/>
        <w:spacing w:line="300" w:lineRule="auto"/>
        <w:rPr>
          <w:rFonts w:hint="eastAsia" w:ascii="宋体" w:hAnsi="宋体"/>
          <w:color w:val="auto"/>
          <w:szCs w:val="21"/>
          <w:highlight w:val="none"/>
        </w:rPr>
      </w:pPr>
    </w:p>
    <w:p w14:paraId="6AA22831">
      <w:pPr>
        <w:shd w:val="clear"/>
        <w:spacing w:line="300" w:lineRule="auto"/>
        <w:rPr>
          <w:rFonts w:hint="eastAsia" w:ascii="宋体" w:hAnsi="宋体"/>
          <w:color w:val="auto"/>
          <w:szCs w:val="21"/>
          <w:highlight w:val="none"/>
        </w:rPr>
      </w:pPr>
    </w:p>
    <w:p w14:paraId="23A29F6B">
      <w:pPr>
        <w:shd w:val="clea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238208C9">
      <w:pPr>
        <w:shd w:val="clea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16F76AB4">
      <w:pPr>
        <w:shd w:val="clear"/>
        <w:adjustRightInd w:val="0"/>
        <w:snapToGrid w:val="0"/>
        <w:spacing w:line="520" w:lineRule="exact"/>
        <w:rPr>
          <w:rFonts w:hint="eastAsia" w:ascii="宋体" w:hAnsi="宋体"/>
          <w:color w:val="auto"/>
          <w:szCs w:val="21"/>
          <w:highlight w:val="none"/>
        </w:rPr>
      </w:pPr>
    </w:p>
    <w:p w14:paraId="64A4E5E7">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056C4F71">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554B104B">
      <w:pPr>
        <w:shd w:val="clear"/>
        <w:spacing w:line="520" w:lineRule="exact"/>
        <w:rPr>
          <w:rFonts w:hint="eastAsia" w:ascii="宋体" w:hAnsi="宋体"/>
          <w:color w:val="auto"/>
          <w:szCs w:val="21"/>
          <w:highlight w:val="none"/>
        </w:rPr>
      </w:pPr>
    </w:p>
    <w:p w14:paraId="7813FFA1">
      <w:pPr>
        <w:shd w:val="clea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257336C3">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8A1CE66">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D862FE">
      <w:pPr>
        <w:shd w:val="clear"/>
        <w:spacing w:line="520" w:lineRule="exact"/>
        <w:rPr>
          <w:rFonts w:hint="eastAsia" w:ascii="宋体" w:hAnsi="宋体"/>
          <w:color w:val="auto"/>
          <w:szCs w:val="21"/>
          <w:highlight w:val="none"/>
        </w:rPr>
      </w:pPr>
    </w:p>
    <w:p w14:paraId="230256E7">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204B58DF">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3CC92BA0">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5FEB4B7B">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18F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4BDEA6A1">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7CD6AFBD">
      <w:pPr>
        <w:shd w:val="clear"/>
        <w:autoSpaceDE w:val="0"/>
        <w:autoSpaceDN w:val="0"/>
        <w:spacing w:line="300" w:lineRule="auto"/>
        <w:ind w:left="480" w:hanging="480"/>
        <w:rPr>
          <w:rFonts w:hint="eastAsia" w:ascii="宋体" w:hAnsi="宋体"/>
          <w:color w:val="auto"/>
          <w:szCs w:val="21"/>
          <w:highlight w:val="none"/>
        </w:rPr>
      </w:pPr>
    </w:p>
    <w:p w14:paraId="518B2E90">
      <w:pPr>
        <w:shd w:val="clear"/>
        <w:autoSpaceDE w:val="0"/>
        <w:autoSpaceDN w:val="0"/>
        <w:spacing w:line="300" w:lineRule="auto"/>
        <w:ind w:left="480" w:hanging="480"/>
        <w:rPr>
          <w:rFonts w:hint="eastAsia" w:ascii="宋体" w:hAnsi="宋体"/>
          <w:color w:val="auto"/>
          <w:szCs w:val="21"/>
          <w:highlight w:val="none"/>
        </w:rPr>
      </w:pPr>
    </w:p>
    <w:p w14:paraId="71D9A4CD">
      <w:pPr>
        <w:pStyle w:val="21"/>
        <w:shd w:val="clear"/>
        <w:spacing w:line="300" w:lineRule="auto"/>
        <w:rPr>
          <w:rFonts w:hint="eastAsia" w:hAnsi="宋体"/>
          <w:color w:val="auto"/>
          <w:highlight w:val="none"/>
        </w:rPr>
      </w:pPr>
    </w:p>
    <w:p w14:paraId="77F9AC60">
      <w:pPr>
        <w:pStyle w:val="21"/>
        <w:shd w:val="clear"/>
        <w:spacing w:line="300" w:lineRule="auto"/>
        <w:rPr>
          <w:rFonts w:hint="eastAsia" w:hAnsi="宋体"/>
          <w:color w:val="auto"/>
          <w:highlight w:val="none"/>
        </w:rPr>
      </w:pPr>
    </w:p>
    <w:p w14:paraId="601502C1">
      <w:pPr>
        <w:pStyle w:val="21"/>
        <w:shd w:val="clear"/>
        <w:spacing w:line="300" w:lineRule="auto"/>
        <w:rPr>
          <w:rFonts w:hint="eastAsia" w:hAnsi="宋体"/>
          <w:color w:val="auto"/>
          <w:highlight w:val="none"/>
        </w:rPr>
      </w:pPr>
    </w:p>
    <w:p w14:paraId="076F98BE">
      <w:pPr>
        <w:pStyle w:val="21"/>
        <w:shd w:val="clear"/>
        <w:spacing w:line="300" w:lineRule="auto"/>
        <w:rPr>
          <w:rFonts w:hint="eastAsia" w:hAnsi="宋体"/>
          <w:color w:val="auto"/>
          <w:highlight w:val="none"/>
        </w:rPr>
      </w:pPr>
    </w:p>
    <w:p w14:paraId="3252A5AF">
      <w:pPr>
        <w:pStyle w:val="21"/>
        <w:shd w:val="clear"/>
        <w:spacing w:line="300" w:lineRule="auto"/>
        <w:rPr>
          <w:rFonts w:hint="eastAsia" w:hAnsi="宋体"/>
          <w:color w:val="auto"/>
          <w:highlight w:val="none"/>
        </w:rPr>
      </w:pPr>
    </w:p>
    <w:p w14:paraId="5FFB3B5E">
      <w:pPr>
        <w:pStyle w:val="21"/>
        <w:shd w:val="clear"/>
        <w:spacing w:line="300" w:lineRule="auto"/>
        <w:rPr>
          <w:rFonts w:hint="eastAsia" w:hAnsi="宋体"/>
          <w:color w:val="auto"/>
          <w:highlight w:val="none"/>
        </w:rPr>
      </w:pPr>
    </w:p>
    <w:p w14:paraId="34D24D58">
      <w:pPr>
        <w:shd w:val="clear"/>
        <w:spacing w:line="500" w:lineRule="exact"/>
        <w:rPr>
          <w:rFonts w:hint="eastAsia"/>
          <w:color w:val="auto"/>
          <w:kern w:val="0"/>
          <w:highlight w:val="none"/>
        </w:rPr>
      </w:pPr>
      <w:r>
        <w:rPr>
          <w:color w:val="auto"/>
          <w:kern w:val="0"/>
          <w:highlight w:val="none"/>
        </w:rPr>
        <w:t xml:space="preserve"> </w:t>
      </w:r>
    </w:p>
    <w:p w14:paraId="758D2E7C">
      <w:pPr>
        <w:shd w:val="clea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7B57D757">
      <w:pPr>
        <w:shd w:val="clear"/>
        <w:spacing w:line="500" w:lineRule="exact"/>
        <w:rPr>
          <w:rFonts w:hint="eastAsia" w:ascii="宋体" w:hAnsi="宋体"/>
          <w:b/>
          <w:color w:val="auto"/>
          <w:szCs w:val="21"/>
          <w:highlight w:val="none"/>
        </w:rPr>
      </w:pPr>
    </w:p>
    <w:p w14:paraId="5A06C082">
      <w:pPr>
        <w:pStyle w:val="21"/>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2CE1E8FC">
      <w:pPr>
        <w:shd w:val="clear"/>
        <w:rPr>
          <w:color w:val="auto"/>
          <w:highlight w:val="none"/>
        </w:rPr>
      </w:pPr>
    </w:p>
    <w:p w14:paraId="036FC44E">
      <w:pPr>
        <w:pStyle w:val="21"/>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广西医科大学第一附属医院</w:t>
      </w:r>
      <w:r>
        <w:rPr>
          <w:rFonts w:hint="eastAsia"/>
          <w:color w:val="auto"/>
          <w:highlight w:val="none"/>
        </w:rPr>
        <w:t>的</w:t>
      </w:r>
      <w:r>
        <w:rPr>
          <w:rFonts w:hint="eastAsia"/>
          <w:color w:val="auto"/>
          <w:highlight w:val="none"/>
          <w:u w:val="single"/>
        </w:rPr>
        <w:t>飞利浦牌CT模拟定位系统维保服务（重）</w:t>
      </w:r>
      <w:r>
        <w:rPr>
          <w:rFonts w:hint="eastAsia"/>
          <w:color w:val="auto"/>
          <w:highlight w:val="none"/>
        </w:rPr>
        <w:t>采购活动，服务全部由符合政策要求的中小企业承接。相关企业（含联合体中的中小企业、签订分包意向协议的中小企业）的具体情况如下：</w:t>
      </w:r>
    </w:p>
    <w:p w14:paraId="0EC22A4C">
      <w:pPr>
        <w:pStyle w:val="21"/>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飞利浦牌CT模拟定位系统维保服务</w:t>
      </w:r>
      <w:r>
        <w:rPr>
          <w:rFonts w:hint="eastAsia"/>
          <w:color w:val="auto"/>
          <w:highlight w:val="none"/>
        </w:rPr>
        <w:t>，属于</w:t>
      </w:r>
      <w:r>
        <w:rPr>
          <w:rFonts w:hint="eastAsia"/>
          <w:color w:val="auto"/>
          <w:highlight w:val="none"/>
          <w:u w:val="single"/>
          <w:lang w:val="en-US" w:eastAsia="zh-CN"/>
        </w:rPr>
        <w:t xml:space="preserve"> 工业 </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6F5FB404">
      <w:pPr>
        <w:pStyle w:val="21"/>
        <w:shd w:val="clear"/>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4CFD024B">
      <w:pPr>
        <w:pStyle w:val="21"/>
        <w:shd w:val="clear"/>
        <w:spacing w:line="500" w:lineRule="exact"/>
        <w:ind w:firstLine="420" w:firstLineChars="200"/>
        <w:jc w:val="left"/>
        <w:rPr>
          <w:rFonts w:hint="eastAsia"/>
          <w:color w:val="auto"/>
          <w:highlight w:val="none"/>
        </w:rPr>
      </w:pPr>
      <w:r>
        <w:rPr>
          <w:rFonts w:hint="eastAsia"/>
          <w:color w:val="auto"/>
          <w:highlight w:val="none"/>
        </w:rPr>
        <w:t>……</w:t>
      </w:r>
    </w:p>
    <w:p w14:paraId="31F44EBF">
      <w:pPr>
        <w:pStyle w:val="21"/>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56473977">
      <w:pPr>
        <w:pStyle w:val="21"/>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000AC284">
      <w:pPr>
        <w:pStyle w:val="21"/>
        <w:shd w:val="clear"/>
        <w:spacing w:line="500" w:lineRule="exact"/>
        <w:ind w:firstLine="420" w:firstLineChars="200"/>
        <w:jc w:val="left"/>
        <w:rPr>
          <w:rFonts w:hint="eastAsia"/>
          <w:color w:val="auto"/>
          <w:highlight w:val="none"/>
        </w:rPr>
      </w:pPr>
    </w:p>
    <w:p w14:paraId="0C2C14A8">
      <w:pPr>
        <w:pStyle w:val="21"/>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0D8CA2CC">
      <w:pPr>
        <w:pStyle w:val="21"/>
        <w:shd w:val="clear"/>
        <w:spacing w:line="500" w:lineRule="exact"/>
        <w:ind w:firstLine="4620" w:firstLineChars="2200"/>
        <w:jc w:val="left"/>
        <w:rPr>
          <w:rFonts w:hint="eastAsia"/>
          <w:color w:val="auto"/>
          <w:highlight w:val="none"/>
        </w:rPr>
      </w:pPr>
      <w:r>
        <w:rPr>
          <w:rFonts w:hint="eastAsia"/>
          <w:color w:val="auto"/>
          <w:highlight w:val="none"/>
        </w:rPr>
        <w:t>日 期：</w:t>
      </w:r>
    </w:p>
    <w:p w14:paraId="702B91D4">
      <w:pPr>
        <w:shd w:val="clear"/>
        <w:snapToGrid w:val="0"/>
        <w:spacing w:line="380" w:lineRule="exact"/>
        <w:ind w:firstLine="411" w:firstLineChars="196"/>
        <w:jc w:val="left"/>
        <w:rPr>
          <w:rFonts w:hint="eastAsia" w:ascii="宋体"/>
          <w:color w:val="auto"/>
          <w:szCs w:val="21"/>
          <w:highlight w:val="none"/>
        </w:rPr>
      </w:pPr>
    </w:p>
    <w:p w14:paraId="79B93EA3">
      <w:pPr>
        <w:shd w:val="clear"/>
        <w:snapToGrid w:val="0"/>
        <w:spacing w:line="380" w:lineRule="exact"/>
        <w:ind w:firstLine="352" w:firstLineChars="196"/>
        <w:jc w:val="left"/>
        <w:rPr>
          <w:rFonts w:hint="eastAsia"/>
          <w:color w:val="auto"/>
          <w:sz w:val="18"/>
          <w:szCs w:val="18"/>
          <w:highlight w:val="none"/>
        </w:rPr>
      </w:pPr>
    </w:p>
    <w:p w14:paraId="2E57268E">
      <w:pPr>
        <w:shd w:val="clea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53E71FA6">
      <w:pPr>
        <w:shd w:val="clea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lang w:eastAsia="zh-CN"/>
        </w:rPr>
        <w:t>2.</w:t>
      </w:r>
      <w:r>
        <w:rPr>
          <w:rFonts w:hint="eastAsia" w:ascii="宋体" w:hAnsi="宋体"/>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07A894FC">
      <w:pPr>
        <w:shd w:val="clea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lang w:eastAsia="zh-CN"/>
        </w:rPr>
        <w:t>3.</w:t>
      </w:r>
      <w:r>
        <w:rPr>
          <w:rFonts w:hint="eastAsia" w:ascii="宋体" w:hAnsi="宋体"/>
          <w:color w:val="auto"/>
          <w:sz w:val="18"/>
          <w:szCs w:val="18"/>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4F370E54">
      <w:pPr>
        <w:keepNext w:val="0"/>
        <w:keepLines w:val="0"/>
        <w:pageBreakBefore w:val="0"/>
        <w:widowControl w:val="0"/>
        <w:shd w:val="clear"/>
        <w:kinsoku/>
        <w:wordWrap/>
        <w:overflowPunct/>
        <w:topLinePunct w:val="0"/>
        <w:autoSpaceDE/>
        <w:autoSpaceDN/>
        <w:bidi w:val="0"/>
        <w:adjustRightInd/>
        <w:snapToGrid/>
        <w:spacing w:line="528" w:lineRule="exact"/>
        <w:ind w:left="0" w:leftChars="0" w:firstLine="0" w:firstLineChars="0"/>
        <w:jc w:val="center"/>
        <w:textAlignment w:val="auto"/>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6"/>
        <w:tblW w:w="0" w:type="auto"/>
        <w:tblInd w:w="250" w:type="dxa"/>
        <w:tblLayout w:type="fixed"/>
        <w:tblCellMar>
          <w:top w:w="0" w:type="dxa"/>
          <w:left w:w="108" w:type="dxa"/>
          <w:bottom w:w="0" w:type="dxa"/>
          <w:right w:w="108" w:type="dxa"/>
        </w:tblCellMar>
      </w:tblPr>
      <w:tblGrid>
        <w:gridCol w:w="1701"/>
        <w:gridCol w:w="1671"/>
        <w:gridCol w:w="1181"/>
        <w:gridCol w:w="2081"/>
        <w:gridCol w:w="1407"/>
        <w:gridCol w:w="1200"/>
      </w:tblGrid>
      <w:tr w14:paraId="60B618B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59B1EA2B">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行业名称</w:t>
            </w:r>
          </w:p>
        </w:tc>
        <w:tc>
          <w:tcPr>
            <w:tcW w:w="1671" w:type="dxa"/>
            <w:tcBorders>
              <w:top w:val="single" w:color="auto" w:sz="4" w:space="0"/>
              <w:left w:val="nil"/>
              <w:bottom w:val="single" w:color="auto" w:sz="4" w:space="0"/>
              <w:right w:val="single" w:color="auto" w:sz="4" w:space="0"/>
            </w:tcBorders>
            <w:noWrap w:val="0"/>
            <w:vAlign w:val="center"/>
          </w:tcPr>
          <w:p w14:paraId="5364089C">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指标名称</w:t>
            </w:r>
          </w:p>
        </w:tc>
        <w:tc>
          <w:tcPr>
            <w:tcW w:w="1181" w:type="dxa"/>
            <w:tcBorders>
              <w:top w:val="single" w:color="auto" w:sz="4" w:space="0"/>
              <w:left w:val="nil"/>
              <w:bottom w:val="single" w:color="auto" w:sz="4" w:space="0"/>
              <w:right w:val="single" w:color="auto" w:sz="4" w:space="0"/>
            </w:tcBorders>
            <w:noWrap w:val="0"/>
            <w:vAlign w:val="center"/>
          </w:tcPr>
          <w:p w14:paraId="7B6F3713">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计量单位</w:t>
            </w:r>
          </w:p>
        </w:tc>
        <w:tc>
          <w:tcPr>
            <w:tcW w:w="2081" w:type="dxa"/>
            <w:tcBorders>
              <w:top w:val="single" w:color="auto" w:sz="4" w:space="0"/>
              <w:left w:val="nil"/>
              <w:bottom w:val="single" w:color="auto" w:sz="4" w:space="0"/>
              <w:right w:val="single" w:color="auto" w:sz="4" w:space="0"/>
            </w:tcBorders>
            <w:noWrap w:val="0"/>
            <w:vAlign w:val="center"/>
          </w:tcPr>
          <w:p w14:paraId="7834D0AD">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中型</w:t>
            </w:r>
          </w:p>
        </w:tc>
        <w:tc>
          <w:tcPr>
            <w:tcW w:w="1407" w:type="dxa"/>
            <w:tcBorders>
              <w:top w:val="single" w:color="auto" w:sz="4" w:space="0"/>
              <w:left w:val="nil"/>
              <w:bottom w:val="single" w:color="auto" w:sz="4" w:space="0"/>
              <w:right w:val="single" w:color="auto" w:sz="4" w:space="0"/>
            </w:tcBorders>
            <w:noWrap w:val="0"/>
            <w:vAlign w:val="center"/>
          </w:tcPr>
          <w:p w14:paraId="636FBD89">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小型</w:t>
            </w:r>
          </w:p>
        </w:tc>
        <w:tc>
          <w:tcPr>
            <w:tcW w:w="1200" w:type="dxa"/>
            <w:tcBorders>
              <w:top w:val="single" w:color="auto" w:sz="4" w:space="0"/>
              <w:left w:val="nil"/>
              <w:bottom w:val="single" w:color="auto" w:sz="4" w:space="0"/>
              <w:right w:val="single" w:color="auto" w:sz="4" w:space="0"/>
            </w:tcBorders>
            <w:noWrap w:val="0"/>
            <w:vAlign w:val="center"/>
          </w:tcPr>
          <w:p w14:paraId="0939CD3A">
            <w:pPr>
              <w:widowControl/>
              <w:shd w:val="clear"/>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微型</w:t>
            </w:r>
          </w:p>
        </w:tc>
      </w:tr>
      <w:tr w14:paraId="096CDEB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DD75212">
            <w:pPr>
              <w:widowControl/>
              <w:shd w:val="clea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671" w:type="dxa"/>
            <w:tcBorders>
              <w:top w:val="nil"/>
              <w:left w:val="nil"/>
              <w:bottom w:val="single" w:color="auto" w:sz="4" w:space="0"/>
              <w:right w:val="single" w:color="auto" w:sz="4" w:space="0"/>
            </w:tcBorders>
            <w:noWrap w:val="0"/>
            <w:vAlign w:val="center"/>
          </w:tcPr>
          <w:p w14:paraId="2C9CE94E">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181" w:type="dxa"/>
            <w:tcBorders>
              <w:top w:val="nil"/>
              <w:left w:val="nil"/>
              <w:bottom w:val="single" w:color="auto" w:sz="4" w:space="0"/>
              <w:right w:val="single" w:color="auto" w:sz="4" w:space="0"/>
            </w:tcBorders>
            <w:noWrap w:val="0"/>
            <w:vAlign w:val="center"/>
          </w:tcPr>
          <w:p w14:paraId="3FFF0616">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2081" w:type="dxa"/>
            <w:tcBorders>
              <w:top w:val="nil"/>
              <w:left w:val="nil"/>
              <w:bottom w:val="single" w:color="auto" w:sz="4" w:space="0"/>
              <w:right w:val="single" w:color="auto" w:sz="4" w:space="0"/>
            </w:tcBorders>
            <w:noWrap w:val="0"/>
            <w:vAlign w:val="center"/>
          </w:tcPr>
          <w:p w14:paraId="4C593143">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07" w:type="dxa"/>
            <w:tcBorders>
              <w:top w:val="nil"/>
              <w:left w:val="nil"/>
              <w:bottom w:val="single" w:color="auto" w:sz="4" w:space="0"/>
              <w:right w:val="single" w:color="auto" w:sz="4" w:space="0"/>
            </w:tcBorders>
            <w:noWrap w:val="0"/>
            <w:vAlign w:val="center"/>
          </w:tcPr>
          <w:p w14:paraId="17760348">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200" w:type="dxa"/>
            <w:tcBorders>
              <w:top w:val="nil"/>
              <w:left w:val="nil"/>
              <w:bottom w:val="single" w:color="auto" w:sz="4" w:space="0"/>
              <w:right w:val="single" w:color="auto" w:sz="4" w:space="0"/>
            </w:tcBorders>
            <w:noWrap w:val="0"/>
            <w:vAlign w:val="center"/>
          </w:tcPr>
          <w:p w14:paraId="707D7407">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6B561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6AC7D0">
            <w:pPr>
              <w:widowControl/>
              <w:shd w:val="clear"/>
              <w:jc w:val="center"/>
              <w:rPr>
                <w:rFonts w:hint="eastAsia" w:ascii="宋体" w:hAnsi="宋体" w:eastAsia="宋体" w:cs="宋体"/>
                <w:b/>
                <w:bCs/>
                <w:color w:val="auto"/>
                <w:kern w:val="0"/>
                <w:sz w:val="18"/>
                <w:szCs w:val="18"/>
                <w:highlight w:val="none"/>
              </w:rPr>
            </w:pPr>
          </w:p>
        </w:tc>
        <w:tc>
          <w:tcPr>
            <w:tcW w:w="1671" w:type="dxa"/>
            <w:tcBorders>
              <w:top w:val="nil"/>
              <w:left w:val="nil"/>
              <w:bottom w:val="single" w:color="auto" w:sz="4" w:space="0"/>
              <w:right w:val="single" w:color="auto" w:sz="4" w:space="0"/>
            </w:tcBorders>
            <w:noWrap w:val="0"/>
            <w:vAlign w:val="center"/>
          </w:tcPr>
          <w:p w14:paraId="700E29B9">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181" w:type="dxa"/>
            <w:tcBorders>
              <w:top w:val="nil"/>
              <w:left w:val="nil"/>
              <w:bottom w:val="single" w:color="auto" w:sz="4" w:space="0"/>
              <w:right w:val="single" w:color="auto" w:sz="4" w:space="0"/>
            </w:tcBorders>
            <w:noWrap w:val="0"/>
            <w:vAlign w:val="center"/>
          </w:tcPr>
          <w:p w14:paraId="001157F0">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2081" w:type="dxa"/>
            <w:tcBorders>
              <w:top w:val="nil"/>
              <w:left w:val="nil"/>
              <w:bottom w:val="single" w:color="auto" w:sz="4" w:space="0"/>
              <w:right w:val="single" w:color="auto" w:sz="4" w:space="0"/>
            </w:tcBorders>
            <w:noWrap w:val="0"/>
            <w:vAlign w:val="center"/>
          </w:tcPr>
          <w:p w14:paraId="7980D481">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07" w:type="dxa"/>
            <w:tcBorders>
              <w:top w:val="nil"/>
              <w:left w:val="nil"/>
              <w:bottom w:val="single" w:color="auto" w:sz="4" w:space="0"/>
              <w:right w:val="single" w:color="auto" w:sz="4" w:space="0"/>
            </w:tcBorders>
            <w:noWrap w:val="0"/>
            <w:vAlign w:val="center"/>
          </w:tcPr>
          <w:p w14:paraId="05E5EA1B">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200" w:type="dxa"/>
            <w:tcBorders>
              <w:top w:val="nil"/>
              <w:left w:val="nil"/>
              <w:bottom w:val="single" w:color="auto" w:sz="4" w:space="0"/>
              <w:right w:val="single" w:color="auto" w:sz="4" w:space="0"/>
            </w:tcBorders>
            <w:noWrap w:val="0"/>
            <w:vAlign w:val="center"/>
          </w:tcPr>
          <w:p w14:paraId="2F8B2CD2">
            <w:pPr>
              <w:widowControl/>
              <w:shd w:val="clear"/>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bl>
    <w:p w14:paraId="39E556AD">
      <w:pPr>
        <w:pStyle w:val="21"/>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w:t>
      </w:r>
      <w:r>
        <w:rPr>
          <w:rFonts w:hint="eastAsia" w:hAnsi="宋体" w:cs="Times New Roman"/>
          <w:color w:val="auto"/>
          <w:highlight w:val="none"/>
          <w:lang w:eastAsia="zh-CN"/>
        </w:rPr>
        <w:t>〔2011〕300号</w:t>
      </w:r>
      <w:r>
        <w:rPr>
          <w:rFonts w:hint="eastAsia" w:hAnsi="宋体" w:cs="Times New Roman"/>
          <w:color w:val="auto"/>
          <w:highlight w:val="none"/>
        </w:rPr>
        <w:t>），大型、中型和小型企业须同时满足所列指标的下限，否则下划一档；微型企业只</w:t>
      </w:r>
      <w:r>
        <w:rPr>
          <w:rFonts w:hint="eastAsia" w:hAnsi="宋体" w:cs="Times New Roman"/>
          <w:color w:val="auto"/>
          <w:highlight w:val="none"/>
          <w:lang w:eastAsia="zh-CN"/>
        </w:rPr>
        <w:t>需</w:t>
      </w:r>
      <w:r>
        <w:rPr>
          <w:rFonts w:hint="eastAsia" w:hAnsi="宋体" w:cs="Times New Roman"/>
          <w:color w:val="auto"/>
          <w:highlight w:val="none"/>
        </w:rPr>
        <w:t>满足所列指标中的一项即可。</w:t>
      </w:r>
    </w:p>
    <w:p w14:paraId="38F355B2">
      <w:pPr>
        <w:shd w:val="clear"/>
        <w:snapToGrid w:val="0"/>
        <w:spacing w:line="380" w:lineRule="exact"/>
        <w:ind w:firstLine="831" w:firstLineChars="396"/>
        <w:jc w:val="left"/>
        <w:rPr>
          <w:rFonts w:hint="eastAsia" w:ascii="宋体" w:hAnsi="宋体"/>
          <w:color w:val="auto"/>
          <w:szCs w:val="21"/>
          <w:highlight w:val="none"/>
        </w:rPr>
      </w:pPr>
    </w:p>
    <w:p w14:paraId="1D13A30E">
      <w:pPr>
        <w:pStyle w:val="21"/>
        <w:shd w:val="clear"/>
        <w:spacing w:line="500" w:lineRule="exact"/>
        <w:jc w:val="center"/>
        <w:rPr>
          <w:rFonts w:hint="eastAsia" w:hAnsi="宋体"/>
          <w:color w:val="auto"/>
          <w:sz w:val="32"/>
          <w:szCs w:val="32"/>
          <w:highlight w:val="none"/>
        </w:rPr>
      </w:pPr>
      <w:r>
        <w:rPr>
          <w:color w:val="auto"/>
          <w:kern w:val="0"/>
          <w:highlight w:val="none"/>
        </w:rPr>
        <w:br w:type="page"/>
      </w:r>
    </w:p>
    <w:p w14:paraId="7B2B5B2C">
      <w:pPr>
        <w:shd w:val="clear"/>
        <w:snapToGrid w:val="0"/>
        <w:spacing w:before="156" w:beforeLines="50" w:after="50" w:line="400" w:lineRule="exact"/>
        <w:jc w:val="center"/>
        <w:rPr>
          <w:rFonts w:hint="eastAsia" w:ascii="宋体" w:hAnsi="宋体"/>
          <w:b/>
          <w:color w:val="auto"/>
          <w:kern w:val="0"/>
          <w:sz w:val="32"/>
          <w:szCs w:val="32"/>
          <w:highlight w:val="none"/>
        </w:rPr>
      </w:pPr>
    </w:p>
    <w:p w14:paraId="4CEC0B17">
      <w:pPr>
        <w:shd w:val="clear"/>
        <w:spacing w:line="400" w:lineRule="exact"/>
        <w:ind w:left="420" w:hanging="420"/>
        <w:jc w:val="center"/>
        <w:rPr>
          <w:rFonts w:hint="eastAsia" w:ascii="宋体" w:hAnsi="宋体"/>
          <w:b/>
          <w:color w:val="auto"/>
          <w:kern w:val="0"/>
          <w:sz w:val="32"/>
          <w:szCs w:val="32"/>
          <w:highlight w:val="none"/>
        </w:rPr>
      </w:pPr>
    </w:p>
    <w:p w14:paraId="0B74F8AE">
      <w:pPr>
        <w:shd w:val="clear"/>
        <w:spacing w:line="400" w:lineRule="exact"/>
        <w:ind w:left="420" w:hanging="420"/>
        <w:jc w:val="center"/>
        <w:rPr>
          <w:rFonts w:hint="eastAsia" w:ascii="宋体" w:hAnsi="宋体"/>
          <w:b/>
          <w:color w:val="auto"/>
          <w:kern w:val="0"/>
          <w:sz w:val="32"/>
          <w:szCs w:val="32"/>
          <w:highlight w:val="none"/>
        </w:rPr>
      </w:pPr>
    </w:p>
    <w:p w14:paraId="3B07BDE2">
      <w:pPr>
        <w:shd w:val="clear"/>
        <w:spacing w:line="400" w:lineRule="exact"/>
        <w:ind w:left="420" w:hanging="420"/>
        <w:jc w:val="center"/>
        <w:rPr>
          <w:rFonts w:hint="eastAsia" w:ascii="宋体" w:hAnsi="宋体"/>
          <w:b/>
          <w:color w:val="auto"/>
          <w:kern w:val="0"/>
          <w:sz w:val="32"/>
          <w:szCs w:val="32"/>
          <w:highlight w:val="none"/>
        </w:rPr>
      </w:pPr>
    </w:p>
    <w:p w14:paraId="1F8E5B47">
      <w:pPr>
        <w:shd w:val="clear"/>
        <w:spacing w:line="400" w:lineRule="exact"/>
        <w:ind w:left="420" w:hanging="420"/>
        <w:jc w:val="center"/>
        <w:rPr>
          <w:rFonts w:hint="eastAsia" w:ascii="宋体" w:hAnsi="宋体"/>
          <w:b/>
          <w:color w:val="auto"/>
          <w:kern w:val="0"/>
          <w:sz w:val="32"/>
          <w:szCs w:val="32"/>
          <w:highlight w:val="none"/>
        </w:rPr>
      </w:pPr>
    </w:p>
    <w:p w14:paraId="0F499EB0">
      <w:pPr>
        <w:shd w:val="clear"/>
        <w:spacing w:line="400" w:lineRule="exact"/>
        <w:ind w:left="420" w:hanging="420"/>
        <w:jc w:val="center"/>
        <w:rPr>
          <w:rFonts w:hint="eastAsia" w:ascii="宋体" w:hAnsi="宋体"/>
          <w:b/>
          <w:color w:val="auto"/>
          <w:kern w:val="0"/>
          <w:sz w:val="32"/>
          <w:szCs w:val="32"/>
          <w:highlight w:val="none"/>
        </w:rPr>
      </w:pPr>
    </w:p>
    <w:p w14:paraId="272943BA">
      <w:pPr>
        <w:shd w:val="clear"/>
        <w:spacing w:line="400" w:lineRule="exact"/>
        <w:ind w:left="420" w:hanging="420"/>
        <w:jc w:val="center"/>
        <w:rPr>
          <w:rFonts w:hint="eastAsia" w:ascii="宋体" w:hAnsi="宋体"/>
          <w:b/>
          <w:color w:val="auto"/>
          <w:kern w:val="0"/>
          <w:sz w:val="32"/>
          <w:szCs w:val="32"/>
          <w:highlight w:val="none"/>
        </w:rPr>
      </w:pPr>
    </w:p>
    <w:p w14:paraId="531C2B34">
      <w:pPr>
        <w:shd w:val="clear"/>
        <w:spacing w:line="400" w:lineRule="exact"/>
        <w:ind w:left="420" w:hanging="420"/>
        <w:jc w:val="center"/>
        <w:rPr>
          <w:rFonts w:hint="eastAsia" w:ascii="宋体" w:hAnsi="宋体"/>
          <w:b/>
          <w:color w:val="auto"/>
          <w:kern w:val="0"/>
          <w:sz w:val="32"/>
          <w:szCs w:val="32"/>
          <w:highlight w:val="none"/>
        </w:rPr>
      </w:pPr>
    </w:p>
    <w:p w14:paraId="2688CA2C">
      <w:pPr>
        <w:shd w:val="clear"/>
        <w:spacing w:line="400" w:lineRule="exact"/>
        <w:ind w:left="420" w:hanging="420"/>
        <w:jc w:val="center"/>
        <w:rPr>
          <w:rFonts w:hint="eastAsia" w:ascii="宋体" w:hAnsi="宋体"/>
          <w:b/>
          <w:color w:val="auto"/>
          <w:kern w:val="0"/>
          <w:sz w:val="32"/>
          <w:szCs w:val="32"/>
          <w:highlight w:val="none"/>
        </w:rPr>
      </w:pPr>
    </w:p>
    <w:p w14:paraId="0DC15F5C">
      <w:pPr>
        <w:shd w:val="clear"/>
        <w:spacing w:line="400" w:lineRule="exact"/>
        <w:ind w:left="420" w:hanging="420"/>
        <w:jc w:val="center"/>
        <w:rPr>
          <w:rFonts w:hint="eastAsia" w:ascii="宋体" w:hAnsi="宋体"/>
          <w:b/>
          <w:color w:val="auto"/>
          <w:kern w:val="0"/>
          <w:sz w:val="32"/>
          <w:szCs w:val="32"/>
          <w:highlight w:val="none"/>
        </w:rPr>
      </w:pPr>
    </w:p>
    <w:p w14:paraId="7921573E">
      <w:pPr>
        <w:shd w:val="clear"/>
        <w:spacing w:line="400" w:lineRule="exact"/>
        <w:ind w:left="420" w:hanging="420"/>
        <w:jc w:val="center"/>
        <w:rPr>
          <w:rFonts w:hint="eastAsia" w:ascii="宋体" w:hAnsi="宋体"/>
          <w:b/>
          <w:color w:val="auto"/>
          <w:kern w:val="0"/>
          <w:sz w:val="32"/>
          <w:szCs w:val="32"/>
          <w:highlight w:val="none"/>
        </w:rPr>
      </w:pPr>
    </w:p>
    <w:p w14:paraId="4C6F1972">
      <w:pPr>
        <w:shd w:val="clear"/>
        <w:spacing w:line="400" w:lineRule="exact"/>
        <w:rPr>
          <w:rFonts w:hint="eastAsia" w:ascii="宋体" w:hAnsi="宋体"/>
          <w:b/>
          <w:color w:val="auto"/>
          <w:kern w:val="0"/>
          <w:sz w:val="32"/>
          <w:szCs w:val="32"/>
          <w:highlight w:val="none"/>
        </w:rPr>
      </w:pPr>
    </w:p>
    <w:p w14:paraId="24E33974">
      <w:pPr>
        <w:pStyle w:val="34"/>
        <w:shd w:val="clear"/>
        <w:rPr>
          <w:rFonts w:hint="eastAsia"/>
          <w:color w:val="auto"/>
          <w:kern w:val="0"/>
          <w:sz w:val="44"/>
          <w:szCs w:val="44"/>
          <w:highlight w:val="none"/>
        </w:rPr>
      </w:pPr>
      <w:bookmarkStart w:id="81" w:name="_Toc476258672"/>
      <w:bookmarkStart w:id="82" w:name="_Toc476258760"/>
      <w:r>
        <w:rPr>
          <w:rFonts w:hint="eastAsia"/>
          <w:color w:val="auto"/>
          <w:kern w:val="0"/>
          <w:sz w:val="44"/>
          <w:szCs w:val="44"/>
          <w:highlight w:val="none"/>
        </w:rPr>
        <w:t>第五章  合同主要条款</w:t>
      </w:r>
      <w:bookmarkEnd w:id="81"/>
      <w:bookmarkEnd w:id="82"/>
    </w:p>
    <w:p w14:paraId="09154263">
      <w:pPr>
        <w:shd w:val="clear"/>
        <w:spacing w:line="300" w:lineRule="auto"/>
        <w:ind w:left="420" w:hanging="420"/>
        <w:jc w:val="center"/>
        <w:rPr>
          <w:rFonts w:hint="eastAsia" w:ascii="黑体" w:hAnsi="宋体" w:eastAsia="黑体"/>
          <w:b/>
          <w:color w:val="auto"/>
          <w:kern w:val="0"/>
          <w:sz w:val="32"/>
          <w:szCs w:val="32"/>
          <w:highlight w:val="none"/>
        </w:rPr>
      </w:pPr>
    </w:p>
    <w:p w14:paraId="2D685B95">
      <w:pPr>
        <w:shd w:val="clear"/>
        <w:spacing w:line="300" w:lineRule="auto"/>
        <w:ind w:left="420" w:hanging="420"/>
        <w:jc w:val="center"/>
        <w:rPr>
          <w:rFonts w:hint="eastAsia" w:ascii="黑体" w:hAnsi="宋体" w:eastAsia="黑体"/>
          <w:b/>
          <w:color w:val="auto"/>
          <w:kern w:val="0"/>
          <w:sz w:val="32"/>
          <w:szCs w:val="32"/>
          <w:highlight w:val="none"/>
        </w:rPr>
      </w:pPr>
    </w:p>
    <w:p w14:paraId="70B34B41">
      <w:pPr>
        <w:shd w:val="clear"/>
        <w:spacing w:line="300" w:lineRule="auto"/>
        <w:ind w:left="420" w:hanging="420"/>
        <w:jc w:val="center"/>
        <w:rPr>
          <w:rFonts w:hint="eastAsia" w:ascii="黑体" w:hAnsi="宋体" w:eastAsia="黑体"/>
          <w:b/>
          <w:color w:val="auto"/>
          <w:kern w:val="0"/>
          <w:sz w:val="32"/>
          <w:szCs w:val="32"/>
          <w:highlight w:val="none"/>
        </w:rPr>
      </w:pPr>
    </w:p>
    <w:p w14:paraId="4D0B8FAC">
      <w:pPr>
        <w:shd w:val="clear"/>
        <w:spacing w:line="300" w:lineRule="auto"/>
        <w:ind w:left="420" w:hanging="420"/>
        <w:jc w:val="center"/>
        <w:rPr>
          <w:rFonts w:hint="eastAsia" w:ascii="黑体" w:hAnsi="宋体" w:eastAsia="黑体"/>
          <w:b/>
          <w:color w:val="auto"/>
          <w:kern w:val="0"/>
          <w:sz w:val="32"/>
          <w:szCs w:val="32"/>
          <w:highlight w:val="none"/>
        </w:rPr>
      </w:pPr>
    </w:p>
    <w:p w14:paraId="1BF21CA5">
      <w:pPr>
        <w:shd w:val="clear"/>
        <w:spacing w:line="300" w:lineRule="auto"/>
        <w:ind w:left="420" w:hanging="420"/>
        <w:jc w:val="center"/>
        <w:rPr>
          <w:rFonts w:hint="eastAsia" w:ascii="黑体" w:hAnsi="宋体" w:eastAsia="黑体"/>
          <w:b/>
          <w:color w:val="auto"/>
          <w:kern w:val="0"/>
          <w:sz w:val="32"/>
          <w:szCs w:val="32"/>
          <w:highlight w:val="none"/>
        </w:rPr>
      </w:pPr>
    </w:p>
    <w:p w14:paraId="5FF6861A">
      <w:pPr>
        <w:shd w:val="clear"/>
        <w:spacing w:line="300" w:lineRule="auto"/>
        <w:ind w:left="420" w:hanging="420"/>
        <w:jc w:val="center"/>
        <w:rPr>
          <w:rFonts w:hint="eastAsia" w:ascii="黑体" w:hAnsi="宋体" w:eastAsia="黑体"/>
          <w:b/>
          <w:color w:val="auto"/>
          <w:kern w:val="0"/>
          <w:sz w:val="32"/>
          <w:szCs w:val="32"/>
          <w:highlight w:val="none"/>
        </w:rPr>
      </w:pPr>
    </w:p>
    <w:p w14:paraId="0D507D60">
      <w:pPr>
        <w:shd w:val="clear"/>
        <w:spacing w:line="300" w:lineRule="auto"/>
        <w:ind w:left="420" w:hanging="420"/>
        <w:jc w:val="center"/>
        <w:rPr>
          <w:rFonts w:hint="eastAsia" w:ascii="黑体" w:hAnsi="宋体" w:eastAsia="黑体"/>
          <w:b/>
          <w:color w:val="auto"/>
          <w:kern w:val="0"/>
          <w:sz w:val="32"/>
          <w:szCs w:val="32"/>
          <w:highlight w:val="none"/>
        </w:rPr>
      </w:pPr>
    </w:p>
    <w:p w14:paraId="0164DDB2">
      <w:pPr>
        <w:shd w:val="clear"/>
        <w:spacing w:line="300" w:lineRule="auto"/>
        <w:ind w:left="420" w:hanging="420"/>
        <w:jc w:val="center"/>
        <w:rPr>
          <w:rFonts w:hint="eastAsia" w:ascii="黑体" w:hAnsi="宋体" w:eastAsia="黑体"/>
          <w:b/>
          <w:color w:val="auto"/>
          <w:kern w:val="0"/>
          <w:sz w:val="32"/>
          <w:szCs w:val="32"/>
          <w:highlight w:val="none"/>
        </w:rPr>
      </w:pPr>
    </w:p>
    <w:p w14:paraId="41DC51D6">
      <w:pPr>
        <w:shd w:val="clear"/>
        <w:spacing w:line="300" w:lineRule="auto"/>
        <w:ind w:left="420" w:hanging="420"/>
        <w:jc w:val="center"/>
        <w:rPr>
          <w:rFonts w:hint="eastAsia" w:ascii="黑体" w:hAnsi="宋体" w:eastAsia="黑体"/>
          <w:b/>
          <w:color w:val="auto"/>
          <w:kern w:val="0"/>
          <w:sz w:val="32"/>
          <w:szCs w:val="32"/>
          <w:highlight w:val="none"/>
        </w:rPr>
      </w:pPr>
    </w:p>
    <w:p w14:paraId="30BDD720">
      <w:pPr>
        <w:shd w:val="clear"/>
        <w:spacing w:line="300" w:lineRule="auto"/>
        <w:ind w:left="420" w:hanging="420"/>
        <w:jc w:val="center"/>
        <w:rPr>
          <w:rFonts w:hint="eastAsia" w:ascii="黑体" w:hAnsi="宋体" w:eastAsia="黑体"/>
          <w:b/>
          <w:color w:val="auto"/>
          <w:kern w:val="0"/>
          <w:sz w:val="32"/>
          <w:szCs w:val="32"/>
          <w:highlight w:val="none"/>
        </w:rPr>
      </w:pPr>
    </w:p>
    <w:p w14:paraId="21BF6D0F">
      <w:pPr>
        <w:shd w:val="clear"/>
        <w:spacing w:line="300" w:lineRule="auto"/>
        <w:ind w:left="420" w:hanging="420"/>
        <w:jc w:val="center"/>
        <w:rPr>
          <w:rFonts w:hint="eastAsia" w:ascii="黑体" w:hAnsi="宋体" w:eastAsia="黑体"/>
          <w:b/>
          <w:color w:val="auto"/>
          <w:kern w:val="0"/>
          <w:sz w:val="32"/>
          <w:szCs w:val="32"/>
          <w:highlight w:val="none"/>
        </w:rPr>
      </w:pPr>
    </w:p>
    <w:p w14:paraId="141729CC">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snapToGrid/>
          <w:color w:val="auto"/>
          <w:sz w:val="21"/>
          <w:szCs w:val="21"/>
          <w:highlight w:val="none"/>
        </w:rPr>
      </w:pPr>
      <w:r>
        <w:rPr>
          <w:color w:val="auto"/>
          <w:highlight w:val="none"/>
        </w:rPr>
        <w:br w:type="page"/>
      </w:r>
      <w:r>
        <w:rPr>
          <w:rFonts w:hint="eastAsia" w:ascii="宋体" w:hAnsi="宋体" w:eastAsia="宋体" w:cs="宋体"/>
          <w:b/>
          <w:snapToGrid/>
          <w:color w:val="auto"/>
          <w:sz w:val="21"/>
          <w:szCs w:val="21"/>
          <w:highlight w:val="none"/>
        </w:rPr>
        <w:t xml:space="preserve">合同名称： </w:t>
      </w:r>
    </w:p>
    <w:p w14:paraId="2D208D2D">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lang w:eastAsia="zh-CN"/>
        </w:rPr>
        <w:t>合同编号：</w:t>
      </w:r>
      <w:r>
        <w:rPr>
          <w:rFonts w:hint="eastAsia" w:ascii="宋体" w:hAnsi="宋体" w:eastAsia="宋体" w:cs="宋体"/>
          <w:b/>
          <w:snapToGrid/>
          <w:color w:val="auto"/>
          <w:sz w:val="21"/>
          <w:szCs w:val="21"/>
          <w:highlight w:val="none"/>
        </w:rPr>
        <w:t xml:space="preserve">                          </w:t>
      </w:r>
    </w:p>
    <w:p w14:paraId="17962372">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甲方（采购方）：</w:t>
      </w:r>
      <w:r>
        <w:rPr>
          <w:rFonts w:hint="eastAsia" w:ascii="宋体" w:hAnsi="宋体" w:eastAsia="宋体" w:cs="宋体"/>
          <w:snapToGrid/>
          <w:color w:val="auto"/>
          <w:sz w:val="21"/>
          <w:szCs w:val="21"/>
          <w:highlight w:val="none"/>
        </w:rPr>
        <w:t>广西医科大学第一附属医院</w:t>
      </w:r>
    </w:p>
    <w:p w14:paraId="7ED4CC7B">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乙方（供应方）：</w:t>
      </w:r>
    </w:p>
    <w:p w14:paraId="0965AD3B">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textAlignment w:val="auto"/>
        <w:rPr>
          <w:rFonts w:hint="eastAsia" w:ascii="宋体" w:hAnsi="宋体" w:eastAsia="宋体" w:cs="宋体"/>
          <w:b/>
          <w:snapToGrid/>
          <w:color w:val="auto"/>
          <w:sz w:val="21"/>
          <w:szCs w:val="21"/>
          <w:highlight w:val="none"/>
          <w:lang w:eastAsia="zh-CN"/>
        </w:rPr>
      </w:pPr>
      <w:r>
        <w:rPr>
          <w:rFonts w:hint="eastAsia" w:ascii="宋体" w:hAnsi="宋体" w:eastAsia="宋体" w:cs="宋体"/>
          <w:b/>
          <w:snapToGrid/>
          <w:color w:val="auto"/>
          <w:sz w:val="21"/>
          <w:szCs w:val="21"/>
          <w:highlight w:val="none"/>
          <w:lang w:eastAsia="zh-CN"/>
        </w:rPr>
        <w:t>签订地点：</w:t>
      </w:r>
      <w:r>
        <w:rPr>
          <w:rFonts w:hint="eastAsia" w:ascii="宋体" w:hAnsi="宋体" w:eastAsia="宋体" w:cs="宋体"/>
          <w:b w:val="0"/>
          <w:bCs/>
          <w:snapToGrid/>
          <w:color w:val="auto"/>
          <w:sz w:val="21"/>
          <w:szCs w:val="21"/>
          <w:highlight w:val="none"/>
          <w:lang w:val="en-US" w:eastAsia="zh-CN"/>
        </w:rPr>
        <w:t xml:space="preserve">广西南宁市       </w:t>
      </w:r>
      <w:r>
        <w:rPr>
          <w:rFonts w:hint="eastAsia" w:ascii="宋体" w:hAnsi="宋体" w:eastAsia="宋体" w:cs="宋体"/>
          <w:b/>
          <w:snapToGrid/>
          <w:color w:val="auto"/>
          <w:sz w:val="21"/>
          <w:szCs w:val="21"/>
          <w:highlight w:val="none"/>
          <w:lang w:val="en-US" w:eastAsia="zh-CN"/>
        </w:rPr>
        <w:t xml:space="preserve">                     </w:t>
      </w:r>
      <w:r>
        <w:rPr>
          <w:rFonts w:hint="eastAsia" w:ascii="宋体" w:hAnsi="宋体" w:eastAsia="宋体" w:cs="宋体"/>
          <w:b/>
          <w:snapToGrid/>
          <w:color w:val="auto"/>
          <w:sz w:val="21"/>
          <w:szCs w:val="21"/>
          <w:highlight w:val="none"/>
          <w:lang w:eastAsia="zh-CN"/>
        </w:rPr>
        <w:t>签订时间：</w:t>
      </w:r>
      <w:r>
        <w:rPr>
          <w:rFonts w:hint="eastAsia" w:ascii="宋体" w:hAnsi="宋体" w:eastAsia="宋体" w:cs="宋体"/>
          <w:snapToGrid/>
          <w:color w:val="auto"/>
          <w:kern w:val="0"/>
          <w:sz w:val="21"/>
          <w:szCs w:val="21"/>
          <w:highlight w:val="none"/>
          <w:u w:val="single"/>
        </w:rPr>
        <w:t xml:space="preserve">      </w:t>
      </w:r>
      <w:r>
        <w:rPr>
          <w:rFonts w:hint="eastAsia" w:ascii="宋体" w:hAnsi="宋体" w:eastAsia="宋体" w:cs="宋体"/>
          <w:snapToGrid/>
          <w:color w:val="auto"/>
          <w:kern w:val="0"/>
          <w:sz w:val="21"/>
          <w:szCs w:val="21"/>
          <w:highlight w:val="none"/>
        </w:rPr>
        <w:t>年</w:t>
      </w:r>
      <w:r>
        <w:rPr>
          <w:rFonts w:hint="eastAsia" w:ascii="宋体" w:hAnsi="宋体" w:eastAsia="宋体" w:cs="宋体"/>
          <w:snapToGrid/>
          <w:color w:val="auto"/>
          <w:kern w:val="0"/>
          <w:sz w:val="21"/>
          <w:szCs w:val="21"/>
          <w:highlight w:val="none"/>
          <w:u w:val="single"/>
        </w:rPr>
        <w:t xml:space="preserve">      </w:t>
      </w:r>
      <w:r>
        <w:rPr>
          <w:rFonts w:hint="eastAsia" w:ascii="宋体" w:hAnsi="宋体" w:eastAsia="宋体" w:cs="宋体"/>
          <w:snapToGrid/>
          <w:color w:val="auto"/>
          <w:kern w:val="0"/>
          <w:sz w:val="21"/>
          <w:szCs w:val="21"/>
          <w:highlight w:val="none"/>
        </w:rPr>
        <w:t>月</w:t>
      </w:r>
      <w:r>
        <w:rPr>
          <w:rFonts w:hint="eastAsia" w:ascii="宋体" w:hAnsi="宋体" w:eastAsia="宋体" w:cs="宋体"/>
          <w:snapToGrid/>
          <w:color w:val="auto"/>
          <w:kern w:val="0"/>
          <w:sz w:val="21"/>
          <w:szCs w:val="21"/>
          <w:highlight w:val="none"/>
          <w:u w:val="single"/>
        </w:rPr>
        <w:t xml:space="preserve">      </w:t>
      </w:r>
      <w:r>
        <w:rPr>
          <w:rFonts w:hint="eastAsia" w:ascii="宋体" w:hAnsi="宋体" w:eastAsia="宋体" w:cs="宋体"/>
          <w:snapToGrid/>
          <w:color w:val="auto"/>
          <w:kern w:val="0"/>
          <w:sz w:val="21"/>
          <w:szCs w:val="21"/>
          <w:highlight w:val="none"/>
        </w:rPr>
        <w:t>日</w:t>
      </w:r>
    </w:p>
    <w:p w14:paraId="61D36C5E">
      <w:pPr>
        <w:keepNext w:val="0"/>
        <w:keepLines w:val="0"/>
        <w:pageBreakBefore w:val="0"/>
        <w:widowControl w:val="0"/>
        <w:shd w:val="clear"/>
        <w:kinsoku/>
        <w:wordWrap/>
        <w:overflowPunct/>
        <w:topLinePunct w:val="0"/>
        <w:autoSpaceDE/>
        <w:autoSpaceDN/>
        <w:bidi w:val="0"/>
        <w:adjustRightInd/>
        <w:snapToGrid/>
        <w:spacing w:before="0" w:after="0" w:afterLines="0" w:line="400" w:lineRule="exact"/>
        <w:ind w:left="0"/>
        <w:jc w:val="both"/>
        <w:textAlignment w:val="auto"/>
        <w:rPr>
          <w:rFonts w:hint="eastAsia" w:ascii="宋体" w:hAnsi="宋体" w:eastAsia="宋体" w:cs="宋体"/>
          <w:snapToGrid/>
          <w:color w:val="auto"/>
          <w:kern w:val="2"/>
          <w:sz w:val="21"/>
          <w:szCs w:val="21"/>
          <w:highlight w:val="none"/>
          <w:lang w:val="en-US" w:eastAsia="zh-CN" w:bidi="ar-SA"/>
        </w:rPr>
      </w:pPr>
    </w:p>
    <w:p w14:paraId="7CD84559">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rPr>
        <w:t>根据《中华人民共和国</w:t>
      </w:r>
      <w:r>
        <w:rPr>
          <w:rFonts w:hint="eastAsia" w:ascii="宋体" w:hAnsi="宋体" w:eastAsia="宋体" w:cs="宋体"/>
          <w:snapToGrid/>
          <w:color w:val="auto"/>
          <w:sz w:val="21"/>
          <w:szCs w:val="21"/>
          <w:highlight w:val="none"/>
          <w:lang w:eastAsia="zh-CN"/>
        </w:rPr>
        <w:t>民法典</w:t>
      </w:r>
      <w:r>
        <w:rPr>
          <w:rFonts w:hint="eastAsia" w:ascii="宋体" w:hAnsi="宋体" w:eastAsia="宋体" w:cs="宋体"/>
          <w:snapToGrid/>
          <w:color w:val="auto"/>
          <w:sz w:val="21"/>
          <w:szCs w:val="21"/>
          <w:highlight w:val="none"/>
        </w:rPr>
        <w:t>》《中华人民共和国</w:t>
      </w:r>
      <w:r>
        <w:rPr>
          <w:rFonts w:hint="eastAsia" w:ascii="宋体" w:hAnsi="宋体" w:eastAsia="宋体" w:cs="宋体"/>
          <w:snapToGrid/>
          <w:color w:val="auto"/>
          <w:sz w:val="21"/>
          <w:szCs w:val="21"/>
          <w:highlight w:val="none"/>
          <w:lang w:eastAsia="zh-CN"/>
        </w:rPr>
        <w:t>政府采购</w:t>
      </w:r>
      <w:r>
        <w:rPr>
          <w:rFonts w:hint="eastAsia" w:ascii="宋体" w:hAnsi="宋体" w:eastAsia="宋体" w:cs="宋体"/>
          <w:snapToGrid/>
          <w:color w:val="auto"/>
          <w:sz w:val="21"/>
          <w:szCs w:val="21"/>
          <w:highlight w:val="none"/>
        </w:rPr>
        <w:t>法》及广西壮族自治区关于政府采购的相关文件等规范性文件的规定，按照</w:t>
      </w:r>
      <w:r>
        <w:rPr>
          <w:rFonts w:hint="eastAsia" w:ascii="宋体" w:hAnsi="宋体" w:eastAsia="宋体" w:cs="宋体"/>
          <w:snapToGrid/>
          <w:color w:val="auto"/>
          <w:sz w:val="21"/>
          <w:szCs w:val="21"/>
          <w:highlight w:val="none"/>
          <w:lang w:eastAsia="zh-CN"/>
        </w:rPr>
        <w:t>招投标文件/采购文件</w:t>
      </w:r>
      <w:r>
        <w:rPr>
          <w:rFonts w:hint="eastAsia" w:ascii="宋体" w:hAnsi="宋体" w:eastAsia="宋体" w:cs="宋体"/>
          <w:snapToGrid/>
          <w:color w:val="auto"/>
          <w:sz w:val="21"/>
          <w:szCs w:val="21"/>
          <w:highlight w:val="none"/>
        </w:rPr>
        <w:t>规定条款和</w:t>
      </w:r>
      <w:r>
        <w:rPr>
          <w:rFonts w:hint="eastAsia" w:ascii="宋体" w:hAnsi="宋体" w:eastAsia="宋体" w:cs="宋体"/>
          <w:snapToGrid/>
          <w:color w:val="auto"/>
          <w:sz w:val="21"/>
          <w:szCs w:val="21"/>
          <w:highlight w:val="none"/>
          <w:lang w:eastAsia="zh-CN"/>
        </w:rPr>
        <w:t>中标/成交</w:t>
      </w:r>
      <w:r>
        <w:rPr>
          <w:rFonts w:hint="eastAsia" w:ascii="宋体" w:hAnsi="宋体" w:eastAsia="宋体" w:cs="宋体"/>
          <w:snapToGrid/>
          <w:color w:val="auto"/>
          <w:sz w:val="21"/>
          <w:szCs w:val="21"/>
          <w:highlight w:val="none"/>
        </w:rPr>
        <w:t>供应商承诺</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甲乙双方签订本合同</w:t>
      </w:r>
      <w:r>
        <w:rPr>
          <w:rFonts w:hint="eastAsia" w:ascii="宋体" w:hAnsi="宋体" w:eastAsia="宋体" w:cs="宋体"/>
          <w:snapToGrid/>
          <w:color w:val="auto"/>
          <w:sz w:val="21"/>
          <w:szCs w:val="21"/>
          <w:highlight w:val="none"/>
          <w:lang w:eastAsia="zh-CN"/>
        </w:rPr>
        <w:t>。</w:t>
      </w:r>
    </w:p>
    <w:p w14:paraId="4509AA8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第一条　合同标的</w:t>
      </w:r>
    </w:p>
    <w:p w14:paraId="5C0DD3AC">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采购内容一览表</w:t>
      </w:r>
    </w:p>
    <w:tbl>
      <w:tblPr>
        <w:tblStyle w:val="36"/>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75"/>
        <w:gridCol w:w="1255"/>
        <w:gridCol w:w="1386"/>
        <w:gridCol w:w="646"/>
        <w:gridCol w:w="1125"/>
        <w:gridCol w:w="1112"/>
        <w:gridCol w:w="1905"/>
      </w:tblGrid>
      <w:tr w14:paraId="3D8C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446C34CB">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序号</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F771662">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服务名称</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59C45722">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详细内容</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F7CC61D">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型号/序列号</w:t>
            </w:r>
          </w:p>
        </w:tc>
        <w:tc>
          <w:tcPr>
            <w:tcW w:w="329" w:type="pct"/>
            <w:tcBorders>
              <w:top w:val="single" w:color="auto" w:sz="4" w:space="0"/>
              <w:left w:val="single" w:color="auto" w:sz="4" w:space="0"/>
              <w:bottom w:val="single" w:color="auto" w:sz="4" w:space="0"/>
              <w:right w:val="single" w:color="auto" w:sz="4" w:space="0"/>
            </w:tcBorders>
            <w:noWrap w:val="0"/>
            <w:vAlign w:val="center"/>
          </w:tcPr>
          <w:p w14:paraId="53EFC9EB">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数量</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1F07521">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单价（元）</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5D0F4BFE">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金额（元）</w:t>
            </w:r>
          </w:p>
        </w:tc>
        <w:tc>
          <w:tcPr>
            <w:tcW w:w="965" w:type="pct"/>
            <w:tcBorders>
              <w:top w:val="single" w:color="auto" w:sz="4" w:space="0"/>
              <w:left w:val="single" w:color="auto" w:sz="4" w:space="0"/>
              <w:bottom w:val="single" w:color="auto" w:sz="4" w:space="0"/>
              <w:right w:val="single" w:color="auto" w:sz="4" w:space="0"/>
            </w:tcBorders>
            <w:noWrap w:val="0"/>
            <w:vAlign w:val="center"/>
          </w:tcPr>
          <w:p w14:paraId="6C8A43B8">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服务要求（年限）</w:t>
            </w:r>
          </w:p>
        </w:tc>
      </w:tr>
      <w:tr w14:paraId="368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0B42E9A4">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D168056">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6FFFC6B8">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8C126D9">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45FC66F9">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E347D48">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69383B98">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7E2906A3">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r>
      <w:tr w14:paraId="744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3A1AE4EB">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2</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49641000">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639" w:type="pct"/>
            <w:tcBorders>
              <w:top w:val="single" w:color="auto" w:sz="4" w:space="0"/>
              <w:left w:val="single" w:color="auto" w:sz="4" w:space="0"/>
              <w:bottom w:val="single" w:color="auto" w:sz="4" w:space="0"/>
              <w:right w:val="single" w:color="auto" w:sz="4" w:space="0"/>
            </w:tcBorders>
            <w:noWrap w:val="0"/>
            <w:vAlign w:val="center"/>
          </w:tcPr>
          <w:p w14:paraId="781818D6">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4E267B1E">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38DF46AF">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788112D2">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38BCA0F4">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469AE781">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r>
      <w:tr w14:paraId="0FAC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47BAFC2B">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3</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2FB37DFE">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639" w:type="pct"/>
            <w:tcBorders>
              <w:top w:val="single" w:color="auto" w:sz="4" w:space="0"/>
              <w:left w:val="single" w:color="auto" w:sz="4" w:space="0"/>
              <w:bottom w:val="single" w:color="auto" w:sz="4" w:space="0"/>
              <w:right w:val="single" w:color="auto" w:sz="4" w:space="0"/>
            </w:tcBorders>
            <w:noWrap w:val="0"/>
            <w:vAlign w:val="center"/>
          </w:tcPr>
          <w:p w14:paraId="1A063D73">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4F76D8A9">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7921AC91">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29DDC185">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509CE17F">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6750A71E">
            <w:pPr>
              <w:keepNext w:val="0"/>
              <w:keepLines w:val="0"/>
              <w:pageBreakBefore w:val="0"/>
              <w:widowControl w:val="0"/>
              <w:shd w:val="clear"/>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napToGrid/>
                <w:color w:val="auto"/>
                <w:sz w:val="21"/>
                <w:szCs w:val="21"/>
                <w:highlight w:val="none"/>
                <w:lang w:val="en-US" w:eastAsia="zh-CN"/>
              </w:rPr>
            </w:pPr>
          </w:p>
        </w:tc>
      </w:tr>
      <w:tr w14:paraId="55FE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12BD5A9">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报价合计（包含税费等所有费用）：（大写）</w:t>
            </w:r>
            <w:r>
              <w:rPr>
                <w:rFonts w:hint="eastAsia" w:ascii="宋体" w:hAnsi="宋体" w:eastAsia="宋体" w:cs="宋体"/>
                <w:snapToGrid/>
                <w:color w:val="auto"/>
                <w:sz w:val="21"/>
                <w:szCs w:val="21"/>
                <w:highlight w:val="none"/>
                <w:u w:val="single"/>
                <w:lang w:val="en-US" w:eastAsia="zh-CN"/>
              </w:rPr>
              <w:t xml:space="preserve">                （</w:t>
            </w:r>
            <w:r>
              <w:rPr>
                <w:rFonts w:hint="eastAsia" w:ascii="宋体" w:hAnsi="宋体" w:cs="宋体"/>
                <w:snapToGrid/>
                <w:color w:val="auto"/>
                <w:sz w:val="21"/>
                <w:szCs w:val="21"/>
                <w:highlight w:val="none"/>
                <w:u w:val="single"/>
                <w:lang w:val="en-US" w:eastAsia="zh-CN"/>
              </w:rPr>
              <w:t>¥</w:t>
            </w:r>
            <w:r>
              <w:rPr>
                <w:rFonts w:hint="eastAsia" w:ascii="宋体" w:hAnsi="宋体" w:eastAsia="宋体" w:cs="宋体"/>
                <w:snapToGrid/>
                <w:color w:val="auto"/>
                <w:sz w:val="21"/>
                <w:szCs w:val="21"/>
                <w:highlight w:val="none"/>
                <w:u w:val="single"/>
                <w:lang w:val="en-US" w:eastAsia="zh-CN"/>
              </w:rPr>
              <w:t xml:space="preserve">              ）</w:t>
            </w:r>
          </w:p>
        </w:tc>
      </w:tr>
    </w:tbl>
    <w:p w14:paraId="5897FFC9">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合同合计金额包括本项目全部服务价格，报价须为人民币报价，包含主机（如常规备件、探测器、高压油箱、机架、扫描床等）和工作站等备件更换费用</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运输、装卸、保管、调试、培训、技术支持、培训费用、人工服务费、上门服务费、人员差旅费用、人员节假日加班费用</w:t>
      </w:r>
      <w:r>
        <w:rPr>
          <w:rFonts w:hint="eastAsia" w:ascii="宋体" w:hAnsi="宋体" w:cs="宋体"/>
          <w:snapToGrid/>
          <w:color w:val="auto"/>
          <w:sz w:val="21"/>
          <w:szCs w:val="21"/>
          <w:highlight w:val="none"/>
          <w:lang w:eastAsia="zh-CN"/>
        </w:rPr>
        <w:t>、</w:t>
      </w:r>
      <w:r>
        <w:rPr>
          <w:rFonts w:hint="eastAsia" w:ascii="宋体" w:hAnsi="宋体" w:cs="宋体"/>
          <w:snapToGrid/>
          <w:color w:val="auto"/>
          <w:sz w:val="21"/>
          <w:szCs w:val="21"/>
          <w:highlight w:val="none"/>
          <w:lang w:val="en-US" w:eastAsia="zh-CN"/>
        </w:rPr>
        <w:t>系统升级至其最新版本所产生的全部相关费用</w:t>
      </w:r>
      <w:r>
        <w:rPr>
          <w:rFonts w:hint="eastAsia" w:ascii="宋体" w:hAnsi="宋体" w:eastAsia="宋体" w:cs="宋体"/>
          <w:snapToGrid/>
          <w:color w:val="auto"/>
          <w:sz w:val="21"/>
          <w:szCs w:val="21"/>
          <w:highlight w:val="none"/>
        </w:rPr>
        <w:t>等</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保险费和各项税金等与本项目有关的所有费用</w:t>
      </w:r>
      <w:r>
        <w:rPr>
          <w:rFonts w:hint="eastAsia" w:ascii="宋体" w:hAnsi="宋体" w:cs="宋体"/>
          <w:snapToGrid/>
          <w:color w:val="auto"/>
          <w:sz w:val="21"/>
          <w:szCs w:val="21"/>
          <w:highlight w:val="none"/>
          <w:lang w:eastAsia="zh-CN"/>
        </w:rPr>
        <w:t>，</w:t>
      </w:r>
      <w:r>
        <w:rPr>
          <w:rFonts w:hint="eastAsia" w:ascii="宋体" w:hAnsi="宋体" w:cs="宋体"/>
          <w:snapToGrid/>
          <w:color w:val="auto"/>
          <w:sz w:val="21"/>
          <w:szCs w:val="21"/>
          <w:highlight w:val="none"/>
          <w:lang w:val="en-US" w:eastAsia="zh-CN"/>
        </w:rPr>
        <w:t>以及采购文件</w:t>
      </w:r>
      <w:r>
        <w:rPr>
          <w:rFonts w:hint="eastAsia" w:ascii="宋体" w:hAnsi="宋体" w:eastAsia="宋体" w:cs="宋体"/>
          <w:snapToGrid/>
          <w:color w:val="auto"/>
          <w:sz w:val="21"/>
          <w:szCs w:val="21"/>
          <w:highlight w:val="none"/>
        </w:rPr>
        <w:t>未列明而</w:t>
      </w:r>
      <w:r>
        <w:rPr>
          <w:rFonts w:hint="eastAsia" w:ascii="宋体" w:hAnsi="宋体" w:eastAsia="宋体" w:cs="宋体"/>
          <w:snapToGrid/>
          <w:color w:val="auto"/>
          <w:sz w:val="21"/>
          <w:szCs w:val="21"/>
          <w:highlight w:val="none"/>
          <w:lang w:val="en-US" w:eastAsia="zh-CN"/>
        </w:rPr>
        <w:t>乙方</w:t>
      </w:r>
      <w:r>
        <w:rPr>
          <w:rFonts w:hint="eastAsia" w:ascii="宋体" w:hAnsi="宋体" w:eastAsia="宋体" w:cs="宋体"/>
          <w:snapToGrid/>
          <w:color w:val="auto"/>
          <w:sz w:val="21"/>
          <w:szCs w:val="21"/>
          <w:highlight w:val="none"/>
        </w:rPr>
        <w:t>认为必需的费用等各项费用的总和。</w:t>
      </w:r>
    </w:p>
    <w:p w14:paraId="29D05AC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第二条　质量保证</w:t>
      </w:r>
    </w:p>
    <w:p w14:paraId="21F56F97">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乙方所提供的服务内容必须与</w:t>
      </w:r>
      <w:r>
        <w:rPr>
          <w:rFonts w:hint="eastAsia" w:ascii="宋体" w:hAnsi="宋体" w:eastAsia="宋体" w:cs="宋体"/>
          <w:snapToGrid/>
          <w:color w:val="auto"/>
          <w:sz w:val="21"/>
          <w:szCs w:val="21"/>
          <w:highlight w:val="none"/>
          <w:lang w:eastAsia="zh-CN"/>
        </w:rPr>
        <w:t>招投标文件/采购文件</w:t>
      </w:r>
      <w:r>
        <w:rPr>
          <w:rFonts w:hint="eastAsia" w:ascii="宋体" w:hAnsi="宋体" w:eastAsia="宋体" w:cs="宋体"/>
          <w:snapToGrid/>
          <w:color w:val="auto"/>
          <w:sz w:val="21"/>
          <w:szCs w:val="21"/>
          <w:highlight w:val="none"/>
        </w:rPr>
        <w:t>和承诺</w:t>
      </w:r>
      <w:r>
        <w:rPr>
          <w:rFonts w:hint="eastAsia" w:ascii="宋体" w:hAnsi="宋体" w:cs="宋体"/>
          <w:snapToGrid/>
          <w:color w:val="auto"/>
          <w:sz w:val="21"/>
          <w:szCs w:val="21"/>
          <w:highlight w:val="none"/>
          <w:lang w:eastAsia="zh-CN"/>
        </w:rPr>
        <w:t>、</w:t>
      </w:r>
      <w:r>
        <w:rPr>
          <w:rFonts w:hint="eastAsia" w:ascii="宋体" w:hAnsi="宋体" w:cs="宋体"/>
          <w:snapToGrid/>
          <w:color w:val="auto"/>
          <w:sz w:val="21"/>
          <w:szCs w:val="21"/>
          <w:highlight w:val="none"/>
          <w:lang w:val="en-US" w:eastAsia="zh-CN"/>
        </w:rPr>
        <w:t>实施方案</w:t>
      </w:r>
      <w:r>
        <w:rPr>
          <w:rFonts w:hint="eastAsia" w:ascii="宋体" w:hAnsi="宋体" w:eastAsia="宋体" w:cs="宋体"/>
          <w:snapToGrid/>
          <w:color w:val="auto"/>
          <w:sz w:val="21"/>
          <w:szCs w:val="21"/>
          <w:highlight w:val="none"/>
        </w:rPr>
        <w:t>相一致。</w:t>
      </w:r>
    </w:p>
    <w:p w14:paraId="19659F9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第三条　权利保证</w:t>
      </w:r>
    </w:p>
    <w:p w14:paraId="5A599180">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乙方应保证所提供服务在使用时不会侵犯任何第三方的专利权、商标权、工业设计权或其他权利。</w:t>
      </w:r>
    </w:p>
    <w:p w14:paraId="44B9F3AB">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乙方应按</w:t>
      </w:r>
      <w:r>
        <w:rPr>
          <w:rFonts w:hint="eastAsia" w:ascii="宋体" w:hAnsi="宋体" w:eastAsia="宋体" w:cs="宋体"/>
          <w:snapToGrid/>
          <w:color w:val="auto"/>
          <w:sz w:val="21"/>
          <w:szCs w:val="21"/>
          <w:highlight w:val="none"/>
          <w:lang w:eastAsia="zh-CN"/>
        </w:rPr>
        <w:t>招投标文件/采购文件</w:t>
      </w:r>
      <w:r>
        <w:rPr>
          <w:rFonts w:hint="eastAsia" w:ascii="宋体" w:hAnsi="宋体" w:eastAsia="宋体" w:cs="宋体"/>
          <w:snapToGrid/>
          <w:color w:val="auto"/>
          <w:sz w:val="21"/>
          <w:szCs w:val="21"/>
          <w:highlight w:val="none"/>
        </w:rPr>
        <w:t>规定的时间向甲方提供服务的有关技术资料。</w:t>
      </w:r>
    </w:p>
    <w:p w14:paraId="333B3167">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没有甲方事先书面同意，乙方不得将由甲方提供的有关合同或任何合同条文、规格、计划、图纸、样品或资料提供给与履行本合同无关的任何其他人。</w:t>
      </w:r>
      <w:r>
        <w:rPr>
          <w:rFonts w:hint="eastAsia" w:ascii="宋体" w:hAnsi="宋体" w:eastAsia="宋体" w:cs="宋体"/>
          <w:snapToGrid/>
          <w:color w:val="auto"/>
          <w:sz w:val="21"/>
          <w:szCs w:val="21"/>
          <w:highlight w:val="none"/>
          <w:lang w:val="en-US" w:eastAsia="zh-Hans"/>
        </w:rPr>
        <w:t>经甲方同意，乙方</w:t>
      </w:r>
      <w:r>
        <w:rPr>
          <w:rFonts w:hint="eastAsia" w:ascii="宋体" w:hAnsi="宋体" w:eastAsia="宋体" w:cs="宋体"/>
          <w:snapToGrid/>
          <w:color w:val="auto"/>
          <w:sz w:val="21"/>
          <w:szCs w:val="21"/>
          <w:highlight w:val="none"/>
        </w:rPr>
        <w:t>向履行本合同有关的人员提供，也应注意保密并限于履行合同的必需范围。如有泄漏，乙方需承担相应的法律责任。</w:t>
      </w:r>
    </w:p>
    <w:p w14:paraId="52987B1A">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4</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乙方保证所交付的服务的所有权</w:t>
      </w:r>
      <w:r>
        <w:rPr>
          <w:rFonts w:hint="eastAsia" w:ascii="宋体" w:hAnsi="宋体" w:eastAsia="宋体" w:cs="宋体"/>
          <w:snapToGrid/>
          <w:color w:val="auto"/>
          <w:sz w:val="21"/>
          <w:szCs w:val="21"/>
          <w:highlight w:val="none"/>
          <w:lang w:eastAsia="zh-Hans"/>
        </w:rPr>
        <w:t>、</w:t>
      </w:r>
      <w:r>
        <w:rPr>
          <w:rFonts w:hint="eastAsia" w:ascii="宋体" w:hAnsi="宋体" w:eastAsia="宋体" w:cs="宋体"/>
          <w:snapToGrid/>
          <w:color w:val="auto"/>
          <w:sz w:val="21"/>
          <w:szCs w:val="21"/>
          <w:highlight w:val="none"/>
          <w:lang w:val="en-US" w:eastAsia="zh-Hans"/>
        </w:rPr>
        <w:t>知识产权等相关权利</w:t>
      </w:r>
      <w:r>
        <w:rPr>
          <w:rFonts w:hint="eastAsia" w:ascii="宋体" w:hAnsi="宋体" w:eastAsia="宋体" w:cs="宋体"/>
          <w:snapToGrid/>
          <w:color w:val="auto"/>
          <w:sz w:val="21"/>
          <w:szCs w:val="21"/>
          <w:highlight w:val="none"/>
        </w:rPr>
        <w:t>完全属于乙方且无任何抵押、质押、查封等产权瑕疵。</w:t>
      </w:r>
    </w:p>
    <w:p w14:paraId="3E27CD1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第四条　保修服务期限</w:t>
      </w:r>
    </w:p>
    <w:p w14:paraId="30D2D3E2">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snapToGrid/>
          <w:color w:val="auto"/>
          <w:sz w:val="21"/>
          <w:szCs w:val="21"/>
          <w:highlight w:val="none"/>
        </w:rPr>
      </w:pPr>
      <w:r>
        <w:rPr>
          <w:rFonts w:hint="eastAsia" w:ascii="宋体" w:hAnsi="宋体" w:eastAsia="宋体" w:cs="宋体"/>
          <w:snapToGrid/>
          <w:color w:val="auto"/>
          <w:sz w:val="21"/>
          <w:szCs w:val="21"/>
          <w:highlight w:val="none"/>
        </w:rPr>
        <w:t>维保</w:t>
      </w:r>
      <w:r>
        <w:rPr>
          <w:rFonts w:hint="eastAsia" w:ascii="宋体" w:hAnsi="宋体" w:eastAsia="宋体" w:cs="宋体"/>
          <w:bCs/>
          <w:snapToGrid/>
          <w:color w:val="auto"/>
          <w:sz w:val="21"/>
          <w:szCs w:val="21"/>
          <w:highlight w:val="none"/>
        </w:rPr>
        <w:t>服务期限</w:t>
      </w:r>
      <w:r>
        <w:rPr>
          <w:rFonts w:hint="eastAsia" w:ascii="宋体" w:hAnsi="宋体" w:eastAsia="宋体" w:cs="宋体"/>
          <w:bCs/>
          <w:snapToGrid/>
          <w:color w:val="auto"/>
          <w:sz w:val="21"/>
          <w:szCs w:val="21"/>
          <w:highlight w:val="none"/>
          <w:u w:val="single"/>
          <w:lang w:val="en-US" w:eastAsia="zh-CN"/>
        </w:rPr>
        <w:t xml:space="preserve"> 叁 </w:t>
      </w:r>
      <w:r>
        <w:rPr>
          <w:rFonts w:hint="eastAsia" w:ascii="宋体" w:hAnsi="宋体" w:eastAsia="宋体" w:cs="宋体"/>
          <w:bCs/>
          <w:snapToGrid/>
          <w:color w:val="auto"/>
          <w:sz w:val="21"/>
          <w:szCs w:val="21"/>
          <w:highlight w:val="none"/>
        </w:rPr>
        <w:t>年，</w:t>
      </w:r>
      <w:r>
        <w:rPr>
          <w:rFonts w:hint="eastAsia" w:ascii="宋体" w:hAnsi="宋体" w:eastAsia="宋体" w:cs="宋体"/>
          <w:bCs/>
          <w:snapToGrid/>
          <w:color w:val="auto"/>
          <w:sz w:val="21"/>
          <w:szCs w:val="21"/>
          <w:highlight w:val="none"/>
          <w:u w:val="single"/>
        </w:rPr>
        <w:t>从</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年</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月</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日开始至</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年</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月</w:t>
      </w:r>
      <w:r>
        <w:rPr>
          <w:rFonts w:hint="eastAsia" w:ascii="宋体" w:hAnsi="宋体" w:eastAsia="宋体" w:cs="宋体"/>
          <w:bCs/>
          <w:snapToGrid/>
          <w:color w:val="auto"/>
          <w:sz w:val="21"/>
          <w:szCs w:val="21"/>
          <w:highlight w:val="none"/>
          <w:u w:val="single"/>
          <w:lang w:val="en-US" w:eastAsia="zh-CN"/>
        </w:rPr>
        <w:t xml:space="preserve">    </w:t>
      </w:r>
      <w:r>
        <w:rPr>
          <w:rFonts w:hint="eastAsia" w:ascii="宋体" w:hAnsi="宋体" w:eastAsia="宋体" w:cs="宋体"/>
          <w:bCs/>
          <w:snapToGrid/>
          <w:color w:val="auto"/>
          <w:sz w:val="21"/>
          <w:szCs w:val="21"/>
          <w:highlight w:val="none"/>
          <w:u w:val="single"/>
        </w:rPr>
        <w:t>日终止</w:t>
      </w:r>
      <w:r>
        <w:rPr>
          <w:rFonts w:hint="eastAsia" w:ascii="宋体" w:hAnsi="宋体" w:eastAsia="宋体" w:cs="宋体"/>
          <w:bCs/>
          <w:snapToGrid/>
          <w:color w:val="auto"/>
          <w:sz w:val="21"/>
          <w:szCs w:val="21"/>
          <w:highlight w:val="none"/>
        </w:rPr>
        <w:t>。</w:t>
      </w:r>
    </w:p>
    <w:p w14:paraId="239EDB4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第五条　付款方式</w:t>
      </w:r>
    </w:p>
    <w:p w14:paraId="747767D7">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资金性质：</w:t>
      </w:r>
      <w:r>
        <w:rPr>
          <w:rFonts w:hint="eastAsia" w:ascii="宋体" w:hAnsi="宋体" w:eastAsia="宋体" w:cs="宋体"/>
          <w:snapToGrid/>
          <w:color w:val="auto"/>
          <w:sz w:val="21"/>
          <w:szCs w:val="21"/>
          <w:highlight w:val="none"/>
          <w:u w:val="single"/>
        </w:rPr>
        <w:t>财政性资金</w:t>
      </w:r>
    </w:p>
    <w:p w14:paraId="2D6E2F20">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付款方式：</w:t>
      </w:r>
    </w:p>
    <w:p w14:paraId="4EFDB63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CN"/>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本合同全款额分为三次支付：第一期合同款33%，合同生效后，开具发票并自材料审核完成之日起10个工作日内支付。第二期合同款33%，第二年服务期开始并开具发票并自材料审核完成之日起10个工作日内支付。第三期合同款34%，第三年服务期满（含顺延期）经验收合格并开具发票并自材料审核完成之日起10个工作日内支付。</w:t>
      </w:r>
      <w:r>
        <w:rPr>
          <w:rFonts w:hint="eastAsia" w:ascii="宋体" w:hAnsi="宋体" w:eastAsia="宋体" w:cs="宋体"/>
          <w:snapToGrid/>
          <w:color w:val="auto"/>
          <w:sz w:val="21"/>
          <w:szCs w:val="21"/>
          <w:highlight w:val="none"/>
          <w:lang w:val="en-US" w:eastAsia="zh-CN"/>
        </w:rPr>
        <w:t>乙方</w:t>
      </w:r>
      <w:r>
        <w:rPr>
          <w:rFonts w:hint="eastAsia" w:ascii="宋体" w:hAnsi="宋体" w:eastAsia="宋体" w:cs="宋体"/>
          <w:snapToGrid/>
          <w:color w:val="auto"/>
          <w:sz w:val="21"/>
          <w:szCs w:val="21"/>
          <w:highlight w:val="none"/>
        </w:rPr>
        <w:t>出现扣款或承担违约责任情形的，</w:t>
      </w:r>
      <w:r>
        <w:rPr>
          <w:rFonts w:hint="eastAsia" w:ascii="宋体" w:hAnsi="宋体" w:eastAsia="宋体" w:cs="宋体"/>
          <w:snapToGrid/>
          <w:color w:val="auto"/>
          <w:sz w:val="21"/>
          <w:szCs w:val="21"/>
          <w:highlight w:val="none"/>
          <w:lang w:val="en-US" w:eastAsia="zh-CN"/>
        </w:rPr>
        <w:t>甲方</w:t>
      </w:r>
      <w:r>
        <w:rPr>
          <w:rFonts w:hint="eastAsia" w:ascii="宋体" w:hAnsi="宋体" w:eastAsia="宋体" w:cs="宋体"/>
          <w:snapToGrid/>
          <w:color w:val="auto"/>
          <w:sz w:val="21"/>
          <w:szCs w:val="21"/>
          <w:highlight w:val="none"/>
        </w:rPr>
        <w:t>可于扣款后确定每期合同款应付金额。</w:t>
      </w:r>
    </w:p>
    <w:p w14:paraId="2CA8BE0A">
      <w:pPr>
        <w:keepNext w:val="0"/>
        <w:keepLines w:val="0"/>
        <w:pageBreakBefore w:val="0"/>
        <w:widowControl w:val="0"/>
        <w:numPr>
          <w:ilvl w:val="0"/>
          <w:numId w:val="4"/>
        </w:numPr>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发票要求：如未按国家要求开具正规发票，一旦发现</w:t>
      </w:r>
      <w:r>
        <w:rPr>
          <w:rFonts w:hint="eastAsia" w:ascii="宋体" w:hAnsi="宋体" w:eastAsia="宋体" w:cs="宋体"/>
          <w:snapToGrid/>
          <w:color w:val="auto"/>
          <w:sz w:val="21"/>
          <w:szCs w:val="21"/>
          <w:highlight w:val="none"/>
          <w:lang w:val="en-US" w:eastAsia="zh-CN"/>
        </w:rPr>
        <w:t>乙方</w:t>
      </w:r>
      <w:r>
        <w:rPr>
          <w:rFonts w:hint="eastAsia" w:ascii="宋体" w:hAnsi="宋体" w:eastAsia="宋体" w:cs="宋体"/>
          <w:snapToGrid/>
          <w:color w:val="auto"/>
          <w:sz w:val="21"/>
          <w:szCs w:val="21"/>
          <w:highlight w:val="none"/>
        </w:rPr>
        <w:t>提供虚假发票，除须向甲方补开合法发票外，须赔偿甲方发票票面金额一倍的违约金，且甲方有权终止合同，乙方不得提出异议，因终止合同而产生的一切损失均由乙方承担。</w:t>
      </w:r>
    </w:p>
    <w:p w14:paraId="238CA6F9">
      <w:pPr>
        <w:keepNext w:val="0"/>
        <w:keepLines w:val="0"/>
        <w:pageBreakBefore w:val="0"/>
        <w:widowControl w:val="0"/>
        <w:numPr>
          <w:ilvl w:val="0"/>
          <w:numId w:val="4"/>
        </w:numPr>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维保期内，如因设备无法满足工作需求或甲方原因，需报废该设备，甲方需提前一个月向乙方书面告知。设备的服务费将按服务实际履行的天数结算:（合同全款/合同维保天数）</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实际履行天数。届时双方需另行签署充协议约定终止事宜。</w:t>
      </w:r>
    </w:p>
    <w:p w14:paraId="721C3074">
      <w:pPr>
        <w:keepNext w:val="0"/>
        <w:keepLines w:val="0"/>
        <w:pageBreakBefore w:val="0"/>
        <w:widowControl w:val="0"/>
        <w:numPr>
          <w:ilvl w:val="0"/>
          <w:numId w:val="4"/>
        </w:numPr>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lang w:val="en-US" w:eastAsia="zh-CN"/>
        </w:rPr>
        <w:t>乙方指定的验收、付款联系人为：</w:t>
      </w:r>
      <w:r>
        <w:rPr>
          <w:rFonts w:hint="eastAsia" w:ascii="宋体" w:hAnsi="宋体" w:eastAsia="宋体" w:cs="宋体"/>
          <w:snapToGrid/>
          <w:color w:val="auto"/>
          <w:sz w:val="21"/>
          <w:szCs w:val="21"/>
          <w:highlight w:val="none"/>
          <w:u w:val="single"/>
          <w:lang w:val="en-US" w:eastAsia="zh-CN"/>
        </w:rPr>
        <w:t xml:space="preserve">          </w:t>
      </w:r>
      <w:r>
        <w:rPr>
          <w:rFonts w:hint="eastAsia" w:ascii="宋体" w:hAnsi="宋体" w:eastAsia="宋体" w:cs="宋体"/>
          <w:snapToGrid/>
          <w:color w:val="auto"/>
          <w:sz w:val="21"/>
          <w:szCs w:val="21"/>
          <w:highlight w:val="none"/>
          <w:u w:val="none"/>
          <w:lang w:val="en-US" w:eastAsia="zh-CN"/>
        </w:rPr>
        <w:t>，联系方式：</w:t>
      </w:r>
      <w:r>
        <w:rPr>
          <w:rFonts w:hint="eastAsia" w:ascii="宋体" w:hAnsi="宋体" w:eastAsia="宋体" w:cs="宋体"/>
          <w:snapToGrid/>
          <w:color w:val="auto"/>
          <w:sz w:val="21"/>
          <w:szCs w:val="21"/>
          <w:highlight w:val="none"/>
          <w:u w:val="single"/>
          <w:lang w:val="en-US" w:eastAsia="zh-CN"/>
        </w:rPr>
        <w:t xml:space="preserve">                  </w:t>
      </w:r>
      <w:r>
        <w:rPr>
          <w:rFonts w:hint="eastAsia" w:ascii="宋体" w:hAnsi="宋体" w:eastAsia="宋体" w:cs="宋体"/>
          <w:snapToGrid/>
          <w:color w:val="auto"/>
          <w:sz w:val="21"/>
          <w:szCs w:val="21"/>
          <w:highlight w:val="none"/>
          <w:u w:val="none"/>
          <w:lang w:val="en-US" w:eastAsia="zh-CN"/>
        </w:rPr>
        <w:t>。乙方涉及变更验收</w:t>
      </w:r>
      <w:r>
        <w:rPr>
          <w:rFonts w:hint="eastAsia" w:ascii="宋体" w:hAnsi="宋体" w:eastAsia="宋体" w:cs="宋体"/>
          <w:snapToGrid/>
          <w:color w:val="auto"/>
          <w:sz w:val="21"/>
          <w:szCs w:val="21"/>
          <w:highlight w:val="none"/>
          <w:lang w:val="en-US" w:eastAsia="zh-CN"/>
        </w:rPr>
        <w:t>、付款</w:t>
      </w:r>
      <w:r>
        <w:rPr>
          <w:rFonts w:hint="eastAsia" w:ascii="宋体" w:hAnsi="宋体" w:eastAsia="宋体" w:cs="宋体"/>
          <w:snapToGrid/>
          <w:color w:val="auto"/>
          <w:sz w:val="21"/>
          <w:szCs w:val="21"/>
          <w:highlight w:val="none"/>
          <w:u w:val="none"/>
          <w:lang w:val="en-US" w:eastAsia="zh-CN"/>
        </w:rPr>
        <w:t>联系人的，应提前</w:t>
      </w:r>
      <w:r>
        <w:rPr>
          <w:rFonts w:hint="eastAsia" w:ascii="宋体" w:hAnsi="宋体" w:eastAsia="宋体" w:cs="宋体"/>
          <w:snapToGrid/>
          <w:color w:val="auto"/>
          <w:sz w:val="21"/>
          <w:szCs w:val="21"/>
          <w:highlight w:val="none"/>
          <w:u w:val="single"/>
          <w:lang w:val="en-US" w:eastAsia="zh-CN"/>
        </w:rPr>
        <w:t xml:space="preserve"> 五 </w:t>
      </w:r>
      <w:r>
        <w:rPr>
          <w:rFonts w:hint="eastAsia" w:ascii="宋体" w:hAnsi="宋体" w:eastAsia="宋体" w:cs="宋体"/>
          <w:snapToGrid/>
          <w:color w:val="auto"/>
          <w:sz w:val="21"/>
          <w:szCs w:val="21"/>
          <w:highlight w:val="none"/>
          <w:u w:val="none"/>
          <w:lang w:val="en-US" w:eastAsia="zh-CN"/>
        </w:rPr>
        <w:t>个工作日以书面形式通知甲方。</w:t>
      </w:r>
    </w:p>
    <w:p w14:paraId="396FEBF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第六条　本合同执行中相关的一切税费均由乙方负担。</w:t>
      </w:r>
    </w:p>
    <w:p w14:paraId="7F321EF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第七条　违约责任</w:t>
      </w:r>
    </w:p>
    <w:p w14:paraId="0269A58A">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w:t>
      </w:r>
      <w:r>
        <w:rPr>
          <w:rFonts w:hint="eastAsia" w:ascii="宋体" w:hAnsi="宋体" w:eastAsia="宋体" w:cs="宋体"/>
          <w:snapToGrid/>
          <w:color w:val="auto"/>
          <w:sz w:val="21"/>
          <w:szCs w:val="21"/>
          <w:highlight w:val="none"/>
          <w:lang w:eastAsia="zh-CN"/>
        </w:rPr>
        <w:t>应</w:t>
      </w:r>
      <w:r>
        <w:rPr>
          <w:rFonts w:hint="eastAsia" w:ascii="宋体" w:hAnsi="宋体" w:eastAsia="宋体" w:cs="宋体"/>
          <w:snapToGrid/>
          <w:color w:val="auto"/>
          <w:sz w:val="21"/>
          <w:szCs w:val="21"/>
          <w:highlight w:val="none"/>
        </w:rPr>
        <w:t>按本合同和响应文件中规定的服务承诺提供售后服务，保证所维保设备全年（按一年365天计算）的开机率≥95%，停机每超1天（不足1天的，按1天计算）则合同期限将相应延长2天，维保顺延所产生的费用由</w:t>
      </w:r>
      <w:r>
        <w:rPr>
          <w:rFonts w:hint="eastAsia" w:ascii="宋体" w:hAnsi="宋体" w:eastAsia="宋体" w:cs="宋体"/>
          <w:snapToGrid/>
          <w:color w:val="auto"/>
          <w:sz w:val="21"/>
          <w:szCs w:val="21"/>
          <w:highlight w:val="none"/>
          <w:lang w:val="en-US" w:eastAsia="zh-CN"/>
        </w:rPr>
        <w:t>乙方</w:t>
      </w:r>
      <w:r>
        <w:rPr>
          <w:rFonts w:hint="eastAsia" w:ascii="宋体" w:hAnsi="宋体" w:eastAsia="宋体" w:cs="宋体"/>
          <w:snapToGrid/>
          <w:color w:val="auto"/>
          <w:sz w:val="21"/>
          <w:szCs w:val="21"/>
          <w:highlight w:val="none"/>
        </w:rPr>
        <w:t>自行承担，</w:t>
      </w:r>
      <w:r>
        <w:rPr>
          <w:rFonts w:hint="eastAsia" w:ascii="宋体" w:hAnsi="宋体" w:eastAsia="宋体" w:cs="宋体"/>
          <w:snapToGrid/>
          <w:color w:val="auto"/>
          <w:sz w:val="21"/>
          <w:szCs w:val="21"/>
          <w:highlight w:val="none"/>
          <w:lang w:val="en-US" w:eastAsia="zh-CN"/>
        </w:rPr>
        <w:t>甲方</w:t>
      </w:r>
      <w:r>
        <w:rPr>
          <w:rFonts w:hint="eastAsia" w:ascii="宋体" w:hAnsi="宋体" w:eastAsia="宋体" w:cs="宋体"/>
          <w:snapToGrid/>
          <w:color w:val="auto"/>
          <w:sz w:val="21"/>
          <w:szCs w:val="21"/>
          <w:highlight w:val="none"/>
        </w:rPr>
        <w:t>不再另行支付。服务期内接到</w:t>
      </w:r>
      <w:r>
        <w:rPr>
          <w:rFonts w:hint="eastAsia" w:ascii="宋体" w:hAnsi="宋体" w:eastAsia="宋体" w:cs="宋体"/>
          <w:snapToGrid/>
          <w:color w:val="auto"/>
          <w:sz w:val="21"/>
          <w:szCs w:val="21"/>
          <w:highlight w:val="none"/>
          <w:lang w:val="en-US" w:eastAsia="zh-CN"/>
        </w:rPr>
        <w:t>甲方</w:t>
      </w:r>
      <w:r>
        <w:rPr>
          <w:rFonts w:hint="eastAsia" w:ascii="宋体" w:hAnsi="宋体" w:eastAsia="宋体" w:cs="宋体"/>
          <w:snapToGrid/>
          <w:color w:val="auto"/>
          <w:sz w:val="21"/>
          <w:szCs w:val="21"/>
          <w:highlight w:val="none"/>
        </w:rPr>
        <w:t>故障通知随叫随到，全天候电话响应，响应时间≤1小时，工程师应在</w:t>
      </w:r>
      <w:r>
        <w:rPr>
          <w:rFonts w:hint="eastAsia" w:ascii="宋体" w:hAnsi="宋体" w:cs="宋体"/>
          <w:snapToGrid/>
          <w:color w:val="auto"/>
          <w:sz w:val="21"/>
          <w:szCs w:val="21"/>
          <w:highlight w:val="none"/>
          <w:lang w:val="en-US" w:eastAsia="zh-CN"/>
        </w:rPr>
        <w:t>24</w:t>
      </w:r>
      <w:r>
        <w:rPr>
          <w:rFonts w:hint="eastAsia" w:ascii="宋体" w:hAnsi="宋体" w:eastAsia="宋体" w:cs="宋体"/>
          <w:snapToGrid/>
          <w:color w:val="auto"/>
          <w:sz w:val="21"/>
          <w:szCs w:val="21"/>
          <w:highlight w:val="none"/>
        </w:rPr>
        <w:t>小时内到达现场（包括节假日）</w:t>
      </w:r>
      <w:r>
        <w:rPr>
          <w:rFonts w:hint="eastAsia" w:ascii="宋体" w:hAnsi="宋体" w:eastAsia="宋体" w:cs="宋体"/>
          <w:snapToGrid/>
          <w:color w:val="auto"/>
          <w:sz w:val="21"/>
          <w:szCs w:val="21"/>
          <w:highlight w:val="none"/>
          <w:lang w:val="en-US" w:eastAsia="zh-CN"/>
        </w:rPr>
        <w:t>。</w:t>
      </w:r>
    </w:p>
    <w:p w14:paraId="0A2E2965">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由于乙方设备质量原因或服务原因给甲方造成直接经济损失，</w:t>
      </w:r>
      <w:r>
        <w:rPr>
          <w:rFonts w:hint="eastAsia" w:ascii="宋体" w:hAnsi="宋体" w:eastAsia="宋体" w:cs="宋体"/>
          <w:snapToGrid/>
          <w:color w:val="auto"/>
          <w:sz w:val="21"/>
          <w:szCs w:val="21"/>
          <w:highlight w:val="none"/>
          <w:lang w:eastAsia="zh-CN"/>
        </w:rPr>
        <w:t>乙方负责承担由此产生的一切赔偿责任。</w:t>
      </w:r>
    </w:p>
    <w:p w14:paraId="5B07D09A">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val="en-US" w:eastAsia="zh-Hans"/>
        </w:rPr>
      </w:pPr>
      <w:r>
        <w:rPr>
          <w:rFonts w:hint="eastAsia" w:ascii="宋体" w:hAnsi="宋体" w:eastAsia="宋体" w:cs="宋体"/>
          <w:snapToGrid/>
          <w:color w:val="auto"/>
          <w:sz w:val="21"/>
          <w:szCs w:val="21"/>
          <w:highlight w:val="none"/>
        </w:rPr>
        <w:t>3</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Hans"/>
        </w:rPr>
        <w:t>发生以下情形之一，甲方可以单方解除合同，乙方除按合同标的的</w:t>
      </w:r>
      <w:r>
        <w:rPr>
          <w:rFonts w:hint="eastAsia" w:ascii="宋体" w:hAnsi="宋体" w:eastAsia="宋体" w:cs="宋体"/>
          <w:snapToGrid/>
          <w:color w:val="auto"/>
          <w:sz w:val="21"/>
          <w:szCs w:val="21"/>
          <w:highlight w:val="none"/>
          <w:lang w:eastAsia="zh-Hans"/>
        </w:rPr>
        <w:t>30%</w:t>
      </w:r>
      <w:r>
        <w:rPr>
          <w:rFonts w:hint="eastAsia" w:ascii="宋体" w:hAnsi="宋体" w:eastAsia="宋体" w:cs="宋体"/>
          <w:snapToGrid/>
          <w:color w:val="auto"/>
          <w:sz w:val="21"/>
          <w:szCs w:val="21"/>
          <w:highlight w:val="none"/>
          <w:lang w:val="en-US" w:eastAsia="zh-Hans"/>
        </w:rPr>
        <w:t>支付违约金外，还应向甲方赔偿损失；</w:t>
      </w:r>
    </w:p>
    <w:p w14:paraId="1310F937">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val="en-US" w:eastAsia="zh-CN"/>
        </w:rPr>
        <w:t>（1）</w:t>
      </w:r>
      <w:r>
        <w:rPr>
          <w:rFonts w:hint="eastAsia" w:ascii="宋体" w:hAnsi="宋体" w:eastAsia="宋体" w:cs="宋体"/>
          <w:snapToGrid/>
          <w:color w:val="auto"/>
          <w:sz w:val="21"/>
          <w:szCs w:val="21"/>
          <w:highlight w:val="none"/>
          <w:lang w:eastAsia="zh-CN"/>
        </w:rPr>
        <w:t>未能按投标文件/采购文件提供维保所需的全新配件时。</w:t>
      </w:r>
    </w:p>
    <w:p w14:paraId="48669104">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CN"/>
        </w:rPr>
        <w:t>2</w:t>
      </w:r>
      <w:r>
        <w:rPr>
          <w:rFonts w:hint="eastAsia" w:ascii="宋体" w:hAnsi="宋体" w:eastAsia="宋体" w:cs="宋体"/>
          <w:snapToGrid/>
          <w:color w:val="auto"/>
          <w:sz w:val="21"/>
          <w:szCs w:val="21"/>
          <w:highlight w:val="none"/>
          <w:lang w:eastAsia="zh-CN"/>
        </w:rPr>
        <w:t>）所提供的服务不符合投标文件/采购文件、</w:t>
      </w:r>
      <w:r>
        <w:rPr>
          <w:rFonts w:hint="eastAsia" w:ascii="宋体" w:hAnsi="宋体" w:eastAsia="宋体" w:cs="宋体"/>
          <w:snapToGrid/>
          <w:color w:val="auto"/>
          <w:sz w:val="21"/>
          <w:szCs w:val="21"/>
          <w:highlight w:val="none"/>
          <w:lang w:val="en-US" w:eastAsia="zh-CN"/>
        </w:rPr>
        <w:t>承诺</w:t>
      </w:r>
      <w:r>
        <w:rPr>
          <w:rFonts w:hint="eastAsia" w:ascii="宋体" w:hAnsi="宋体" w:eastAsia="宋体" w:cs="宋体"/>
          <w:snapToGrid/>
          <w:color w:val="auto"/>
          <w:sz w:val="21"/>
          <w:szCs w:val="21"/>
          <w:highlight w:val="none"/>
          <w:lang w:eastAsia="zh-CN"/>
        </w:rPr>
        <w:t>。</w:t>
      </w:r>
    </w:p>
    <w:p w14:paraId="47F59391">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CN"/>
        </w:rPr>
        <w:t>3</w:t>
      </w:r>
      <w:r>
        <w:rPr>
          <w:rFonts w:hint="eastAsia" w:ascii="宋体" w:hAnsi="宋体" w:eastAsia="宋体" w:cs="宋体"/>
          <w:snapToGrid/>
          <w:color w:val="auto"/>
          <w:sz w:val="21"/>
          <w:szCs w:val="21"/>
          <w:highlight w:val="none"/>
          <w:lang w:eastAsia="zh-CN"/>
        </w:rPr>
        <w:t>）乙方有严重违法违纪行为，被相关部门作出行政处罚时。</w:t>
      </w:r>
    </w:p>
    <w:p w14:paraId="354B4590">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CN"/>
        </w:rPr>
        <w:t>4</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lang w:val="en-US" w:eastAsia="zh-CN"/>
        </w:rPr>
        <w:t>乙方存在其他违约行为，</w:t>
      </w:r>
    </w:p>
    <w:p w14:paraId="128A181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第八条　不可抗力事件处理</w:t>
      </w:r>
    </w:p>
    <w:p w14:paraId="69350DD0">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在合同有效期内，任何一方因不可抗力事件导致不能履行合同，则合同履行期可延长，其延长期与不可抗力影响期相同。</w:t>
      </w:r>
    </w:p>
    <w:p w14:paraId="61A7F406">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不可抗力事件发生后，应立即通知对方，并寄送有关权威机构出具的证明。</w:t>
      </w:r>
    </w:p>
    <w:p w14:paraId="776548EA">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不可抗力事件延续120天以上，双方应通过友好协商，确定是否继续履行合同。</w:t>
      </w:r>
    </w:p>
    <w:p w14:paraId="6AAA4C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第九条　合同争议解决</w:t>
      </w:r>
    </w:p>
    <w:p w14:paraId="2CF766FC">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因履行本合同引起的或与本合同有关的争议，甲乙双方应首先通过友好协商解决，如果协商不能解决，可向</w:t>
      </w:r>
      <w:r>
        <w:rPr>
          <w:rFonts w:hint="eastAsia" w:ascii="宋体" w:hAnsi="宋体" w:eastAsia="宋体" w:cs="宋体"/>
          <w:snapToGrid/>
          <w:color w:val="auto"/>
          <w:sz w:val="21"/>
          <w:szCs w:val="21"/>
          <w:highlight w:val="none"/>
          <w:lang w:val="en-US" w:eastAsia="zh-Hans"/>
        </w:rPr>
        <w:t>甲方所在</w:t>
      </w:r>
      <w:r>
        <w:rPr>
          <w:rFonts w:hint="eastAsia" w:ascii="宋体" w:hAnsi="宋体" w:eastAsia="宋体" w:cs="宋体"/>
          <w:snapToGrid/>
          <w:color w:val="auto"/>
          <w:sz w:val="21"/>
          <w:szCs w:val="21"/>
          <w:highlight w:val="none"/>
        </w:rPr>
        <w:t>地人民法院提起诉讼。</w:t>
      </w:r>
      <w:r>
        <w:rPr>
          <w:rFonts w:hint="eastAsia" w:ascii="宋体" w:hAnsi="宋体" w:eastAsia="宋体" w:cs="宋体"/>
          <w:snapToGrid/>
          <w:color w:val="auto"/>
          <w:sz w:val="21"/>
          <w:szCs w:val="21"/>
          <w:highlight w:val="none"/>
          <w:lang w:val="en-US" w:eastAsia="zh-CN"/>
        </w:rPr>
        <w:t>诉讼费、诉讼保全费、</w:t>
      </w:r>
      <w:r>
        <w:rPr>
          <w:rFonts w:hint="eastAsia" w:ascii="宋体" w:hAnsi="宋体" w:eastAsia="宋体" w:cs="宋体"/>
          <w:snapToGrid/>
          <w:color w:val="auto"/>
          <w:sz w:val="21"/>
          <w:szCs w:val="21"/>
          <w:highlight w:val="none"/>
          <w:lang w:val="en-US" w:eastAsia="zh-Hans"/>
        </w:rPr>
        <w:t>保险费、</w:t>
      </w:r>
      <w:r>
        <w:rPr>
          <w:rFonts w:hint="eastAsia" w:ascii="宋体" w:hAnsi="宋体" w:eastAsia="宋体" w:cs="宋体"/>
          <w:snapToGrid/>
          <w:color w:val="auto"/>
          <w:sz w:val="21"/>
          <w:szCs w:val="21"/>
          <w:highlight w:val="none"/>
        </w:rPr>
        <w:t>律师费等</w:t>
      </w:r>
      <w:r>
        <w:rPr>
          <w:rFonts w:hint="eastAsia" w:ascii="宋体" w:hAnsi="宋体" w:eastAsia="宋体" w:cs="宋体"/>
          <w:snapToGrid/>
          <w:color w:val="auto"/>
          <w:sz w:val="21"/>
          <w:szCs w:val="21"/>
          <w:highlight w:val="none"/>
          <w:lang w:val="en-US" w:eastAsia="zh-CN"/>
        </w:rPr>
        <w:t>追偿</w:t>
      </w:r>
      <w:r>
        <w:rPr>
          <w:rFonts w:hint="eastAsia" w:ascii="宋体" w:hAnsi="宋体" w:eastAsia="宋体" w:cs="宋体"/>
          <w:snapToGrid/>
          <w:color w:val="auto"/>
          <w:sz w:val="21"/>
          <w:szCs w:val="21"/>
          <w:highlight w:val="none"/>
        </w:rPr>
        <w:t>费用</w:t>
      </w:r>
      <w:r>
        <w:rPr>
          <w:rFonts w:hint="eastAsia" w:ascii="宋体" w:hAnsi="宋体" w:eastAsia="宋体" w:cs="宋体"/>
          <w:snapToGrid/>
          <w:color w:val="auto"/>
          <w:sz w:val="21"/>
          <w:szCs w:val="21"/>
          <w:highlight w:val="none"/>
          <w:lang w:val="en-US" w:eastAsia="zh-Hans"/>
        </w:rPr>
        <w:t>均</w:t>
      </w:r>
      <w:r>
        <w:rPr>
          <w:rFonts w:hint="eastAsia" w:ascii="宋体" w:hAnsi="宋体" w:eastAsia="宋体" w:cs="宋体"/>
          <w:snapToGrid/>
          <w:color w:val="auto"/>
          <w:sz w:val="21"/>
          <w:szCs w:val="21"/>
          <w:highlight w:val="none"/>
        </w:rPr>
        <w:t>由</w:t>
      </w:r>
      <w:r>
        <w:rPr>
          <w:rFonts w:hint="eastAsia" w:ascii="宋体" w:hAnsi="宋体" w:eastAsia="宋体" w:cs="宋体"/>
          <w:snapToGrid/>
          <w:color w:val="auto"/>
          <w:sz w:val="21"/>
          <w:szCs w:val="21"/>
          <w:highlight w:val="none"/>
          <w:lang w:val="en-US" w:eastAsia="zh-CN"/>
        </w:rPr>
        <w:t>违约</w:t>
      </w:r>
      <w:r>
        <w:rPr>
          <w:rFonts w:hint="eastAsia" w:ascii="宋体" w:hAnsi="宋体" w:eastAsia="宋体" w:cs="宋体"/>
          <w:snapToGrid/>
          <w:color w:val="auto"/>
          <w:sz w:val="21"/>
          <w:szCs w:val="21"/>
          <w:highlight w:val="none"/>
        </w:rPr>
        <w:t>方承担。</w:t>
      </w:r>
    </w:p>
    <w:p w14:paraId="1C2A7B8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第十条　合同生效及其它</w:t>
      </w:r>
    </w:p>
    <w:p w14:paraId="33D947B2">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合同经双方法定代表人或授权代表签字并加盖单位公章后生效。</w:t>
      </w:r>
    </w:p>
    <w:p w14:paraId="4B4636F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rPr>
      </w:pPr>
      <w:r>
        <w:rPr>
          <w:rFonts w:hint="eastAsia" w:ascii="宋体" w:hAnsi="宋体" w:eastAsia="宋体" w:cs="宋体"/>
          <w:b/>
          <w:snapToGrid/>
          <w:color w:val="auto"/>
          <w:sz w:val="21"/>
          <w:szCs w:val="21"/>
          <w:highlight w:val="none"/>
        </w:rPr>
        <w:t>第十</w:t>
      </w:r>
      <w:r>
        <w:rPr>
          <w:rFonts w:hint="eastAsia" w:ascii="宋体" w:hAnsi="宋体" w:eastAsia="宋体" w:cs="宋体"/>
          <w:b/>
          <w:snapToGrid/>
          <w:color w:val="auto"/>
          <w:sz w:val="21"/>
          <w:szCs w:val="21"/>
          <w:highlight w:val="none"/>
          <w:lang w:val="en-US" w:eastAsia="zh-Hans"/>
        </w:rPr>
        <w:t>一</w:t>
      </w:r>
      <w:r>
        <w:rPr>
          <w:rFonts w:hint="eastAsia" w:ascii="宋体" w:hAnsi="宋体" w:eastAsia="宋体" w:cs="宋体"/>
          <w:b/>
          <w:snapToGrid/>
          <w:color w:val="auto"/>
          <w:sz w:val="21"/>
          <w:szCs w:val="21"/>
          <w:highlight w:val="none"/>
        </w:rPr>
        <w:t>条　合同的变更、终止与转让</w:t>
      </w:r>
    </w:p>
    <w:p w14:paraId="14C2C7A4">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除国家法律、法规规定的情形外，本合同一经签订，甲乙双方不得擅自变更、中止或终止。</w:t>
      </w:r>
    </w:p>
    <w:p w14:paraId="77212B56">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乙方不得擅自转让其应履行的合同义务。</w:t>
      </w:r>
    </w:p>
    <w:p w14:paraId="4A63A8FB">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合同经甲乙双方法定代表人（负责人、自然人）或授权代表签字并加盖单位公章后生效。</w:t>
      </w:r>
    </w:p>
    <w:p w14:paraId="759B4136">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4</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合同执行中涉及采购资金和采购内容修改或补充的，作为主合同不可分割的一部分。</w:t>
      </w:r>
    </w:p>
    <w:p w14:paraId="3392AB70">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5</w:t>
      </w:r>
      <w:r>
        <w:rPr>
          <w:rFonts w:hint="eastAsia" w:ascii="宋体" w:hAnsi="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本合同未尽事宜，遵照《中华人民共和国民法典》有关条文执行。</w:t>
      </w:r>
    </w:p>
    <w:p w14:paraId="573834D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snapToGrid/>
          <w:color w:val="auto"/>
          <w:sz w:val="21"/>
          <w:szCs w:val="21"/>
          <w:highlight w:val="none"/>
          <w:lang w:val="en-US" w:eastAsia="zh-Hans"/>
        </w:rPr>
      </w:pPr>
      <w:r>
        <w:rPr>
          <w:rFonts w:hint="eastAsia" w:ascii="宋体" w:hAnsi="宋体" w:eastAsia="宋体" w:cs="宋体"/>
          <w:b/>
          <w:snapToGrid/>
          <w:color w:val="auto"/>
          <w:sz w:val="21"/>
          <w:szCs w:val="21"/>
          <w:highlight w:val="none"/>
        </w:rPr>
        <w:t>第十</w:t>
      </w:r>
      <w:r>
        <w:rPr>
          <w:rFonts w:hint="eastAsia" w:ascii="宋体" w:hAnsi="宋体" w:cs="宋体"/>
          <w:b/>
          <w:snapToGrid/>
          <w:color w:val="auto"/>
          <w:sz w:val="21"/>
          <w:szCs w:val="21"/>
          <w:highlight w:val="none"/>
          <w:lang w:val="en-US" w:eastAsia="zh-CN"/>
        </w:rPr>
        <w:t>二</w:t>
      </w:r>
      <w:r>
        <w:rPr>
          <w:rFonts w:hint="eastAsia" w:ascii="宋体" w:hAnsi="宋体" w:eastAsia="宋体" w:cs="宋体"/>
          <w:b/>
          <w:snapToGrid/>
          <w:color w:val="auto"/>
          <w:sz w:val="21"/>
          <w:szCs w:val="21"/>
          <w:highlight w:val="none"/>
        </w:rPr>
        <w:t>条　签订本合同依据</w:t>
      </w:r>
      <w:r>
        <w:rPr>
          <w:rFonts w:hint="eastAsia" w:ascii="宋体" w:hAnsi="宋体" w:eastAsia="宋体" w:cs="宋体"/>
          <w:b/>
          <w:snapToGrid/>
          <w:color w:val="auto"/>
          <w:sz w:val="21"/>
          <w:szCs w:val="21"/>
          <w:highlight w:val="none"/>
          <w:lang w:val="en-US" w:eastAsia="zh-Hans"/>
        </w:rPr>
        <w:t>及合同附件</w:t>
      </w:r>
    </w:p>
    <w:p w14:paraId="040E6A01">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eastAsia="zh-CN"/>
        </w:rPr>
        <w:t>.招投标文件/采购文件</w:t>
      </w:r>
      <w:r>
        <w:rPr>
          <w:rFonts w:hint="eastAsia" w:ascii="宋体" w:hAnsi="宋体" w:eastAsia="宋体" w:cs="宋体"/>
          <w:snapToGrid/>
          <w:color w:val="auto"/>
          <w:sz w:val="21"/>
          <w:szCs w:val="21"/>
          <w:highlight w:val="none"/>
        </w:rPr>
        <w:t>；</w:t>
      </w:r>
    </w:p>
    <w:p w14:paraId="517819BA">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乙方提供的</w:t>
      </w:r>
      <w:bookmarkStart w:id="83" w:name="_Hlk69900059"/>
      <w:r>
        <w:rPr>
          <w:rFonts w:hint="eastAsia" w:ascii="宋体" w:hAnsi="宋体" w:eastAsia="宋体" w:cs="宋体"/>
          <w:snapToGrid/>
          <w:color w:val="auto"/>
          <w:sz w:val="21"/>
          <w:szCs w:val="21"/>
          <w:highlight w:val="none"/>
        </w:rPr>
        <w:t>采购投标文件</w:t>
      </w:r>
      <w:bookmarkEnd w:id="83"/>
      <w:r>
        <w:rPr>
          <w:rFonts w:hint="eastAsia" w:ascii="宋体" w:hAnsi="宋体" w:eastAsia="宋体" w:cs="宋体"/>
          <w:snapToGrid/>
          <w:color w:val="auto"/>
          <w:sz w:val="21"/>
          <w:szCs w:val="21"/>
          <w:highlight w:val="none"/>
          <w:lang w:val="en-US" w:eastAsia="zh-CN"/>
        </w:rPr>
        <w:t>/</w:t>
      </w:r>
      <w:r>
        <w:rPr>
          <w:rFonts w:hint="eastAsia" w:ascii="宋体" w:hAnsi="宋体" w:eastAsia="宋体" w:cs="宋体"/>
          <w:snapToGrid/>
          <w:color w:val="auto"/>
          <w:sz w:val="21"/>
          <w:szCs w:val="21"/>
          <w:highlight w:val="none"/>
          <w:lang w:eastAsia="zh-CN"/>
        </w:rPr>
        <w:t>响应文件、</w:t>
      </w:r>
      <w:r>
        <w:rPr>
          <w:rFonts w:hint="eastAsia" w:ascii="宋体" w:hAnsi="宋体" w:eastAsia="宋体" w:cs="宋体"/>
          <w:snapToGrid/>
          <w:color w:val="auto"/>
          <w:sz w:val="21"/>
          <w:szCs w:val="21"/>
          <w:highlight w:val="none"/>
          <w:lang w:val="en-US" w:eastAsia="zh-CN"/>
        </w:rPr>
        <w:t>承诺</w:t>
      </w:r>
      <w:r>
        <w:rPr>
          <w:rFonts w:hint="eastAsia" w:ascii="宋体" w:hAnsi="宋体" w:cs="宋体"/>
          <w:snapToGrid/>
          <w:color w:val="auto"/>
          <w:sz w:val="21"/>
          <w:szCs w:val="21"/>
          <w:highlight w:val="none"/>
          <w:lang w:val="en-US" w:eastAsia="zh-CN"/>
        </w:rPr>
        <w:t>、实施方案</w:t>
      </w:r>
      <w:r>
        <w:rPr>
          <w:rFonts w:hint="eastAsia" w:ascii="宋体" w:hAnsi="宋体" w:eastAsia="宋体" w:cs="宋体"/>
          <w:snapToGrid/>
          <w:color w:val="auto"/>
          <w:sz w:val="21"/>
          <w:szCs w:val="21"/>
          <w:highlight w:val="none"/>
        </w:rPr>
        <w:t>；</w:t>
      </w:r>
    </w:p>
    <w:p w14:paraId="70D81CF1">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中标</w:t>
      </w:r>
      <w:r>
        <w:rPr>
          <w:rFonts w:hint="eastAsia" w:ascii="宋体" w:hAnsi="宋体" w:eastAsia="宋体" w:cs="宋体"/>
          <w:snapToGrid/>
          <w:color w:val="auto"/>
          <w:sz w:val="21"/>
          <w:szCs w:val="21"/>
          <w:highlight w:val="none"/>
          <w:lang w:val="en-US" w:eastAsia="zh-CN"/>
        </w:rPr>
        <w:t>/</w:t>
      </w:r>
      <w:r>
        <w:rPr>
          <w:rFonts w:hint="eastAsia" w:ascii="宋体" w:hAnsi="宋体" w:eastAsia="宋体" w:cs="宋体"/>
          <w:snapToGrid/>
          <w:color w:val="auto"/>
          <w:sz w:val="21"/>
          <w:szCs w:val="21"/>
          <w:highlight w:val="none"/>
        </w:rPr>
        <w:t>成交通知书。</w:t>
      </w:r>
    </w:p>
    <w:p w14:paraId="04F8C544">
      <w:pPr>
        <w:keepNext w:val="0"/>
        <w:keepLines w:val="0"/>
        <w:pageBreakBefore w:val="0"/>
        <w:widowControl w:val="0"/>
        <w:shd w:val="clear"/>
        <w:kinsoku/>
        <w:wordWrap/>
        <w:overflowPunct/>
        <w:topLinePunct w:val="0"/>
        <w:autoSpaceDE/>
        <w:autoSpaceDN/>
        <w:bidi w:val="0"/>
        <w:adjustRightInd/>
        <w:snapToGrid/>
        <w:spacing w:line="400" w:lineRule="exact"/>
        <w:ind w:left="0" w:firstLine="420" w:firstLineChars="200"/>
        <w:textAlignment w:val="auto"/>
        <w:rPr>
          <w:rFonts w:hint="default"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Hans"/>
        </w:rPr>
        <w:t>上述合同附件均为本合同不可分割的部分，与本合同共同执行。</w:t>
      </w:r>
      <w:r>
        <w:rPr>
          <w:rFonts w:hint="eastAsia" w:ascii="宋体" w:hAnsi="宋体" w:cs="宋体"/>
          <w:snapToGrid/>
          <w:color w:val="auto"/>
          <w:sz w:val="21"/>
          <w:szCs w:val="21"/>
          <w:highlight w:val="none"/>
          <w:lang w:val="en-US" w:eastAsia="zh-CN"/>
        </w:rPr>
        <w:t>如有违反，则视为违约。</w:t>
      </w:r>
    </w:p>
    <w:p w14:paraId="74FACC6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snapToGrid/>
          <w:color w:val="auto"/>
          <w:sz w:val="21"/>
          <w:szCs w:val="21"/>
          <w:highlight w:val="none"/>
        </w:rPr>
      </w:pPr>
      <w:r>
        <w:rPr>
          <w:rFonts w:hint="eastAsia" w:ascii="宋体" w:hAnsi="宋体" w:eastAsia="宋体" w:cs="宋体"/>
          <w:b/>
          <w:bCs/>
          <w:snapToGrid/>
          <w:color w:val="auto"/>
          <w:sz w:val="21"/>
          <w:szCs w:val="21"/>
          <w:highlight w:val="none"/>
          <w:lang w:val="en-US" w:eastAsia="zh-CN"/>
        </w:rPr>
        <w:t>第十</w:t>
      </w:r>
      <w:r>
        <w:rPr>
          <w:rFonts w:hint="eastAsia" w:ascii="宋体" w:hAnsi="宋体" w:cs="宋体"/>
          <w:b/>
          <w:bCs/>
          <w:snapToGrid/>
          <w:color w:val="auto"/>
          <w:sz w:val="21"/>
          <w:szCs w:val="21"/>
          <w:highlight w:val="none"/>
          <w:lang w:val="en-US" w:eastAsia="zh-CN"/>
        </w:rPr>
        <w:t>三</w:t>
      </w:r>
      <w:r>
        <w:rPr>
          <w:rFonts w:hint="eastAsia" w:ascii="宋体" w:hAnsi="宋体" w:eastAsia="宋体" w:cs="宋体"/>
          <w:b/>
          <w:bCs/>
          <w:snapToGrid/>
          <w:color w:val="auto"/>
          <w:sz w:val="21"/>
          <w:szCs w:val="21"/>
          <w:highlight w:val="none"/>
          <w:lang w:val="en-US" w:eastAsia="zh-CN"/>
        </w:rPr>
        <w:t>条</w:t>
      </w:r>
      <w:r>
        <w:rPr>
          <w:rFonts w:hint="eastAsia" w:ascii="宋体" w:hAnsi="宋体" w:eastAsia="宋体" w:cs="宋体"/>
          <w:snapToGrid/>
          <w:color w:val="auto"/>
          <w:sz w:val="21"/>
          <w:szCs w:val="21"/>
          <w:highlight w:val="none"/>
          <w:lang w:val="en-US" w:eastAsia="zh-CN"/>
        </w:rPr>
        <w:t xml:space="preserve">  </w:t>
      </w:r>
      <w:r>
        <w:rPr>
          <w:rFonts w:hint="eastAsia" w:ascii="宋体" w:hAnsi="宋体" w:eastAsia="宋体" w:cs="宋体"/>
          <w:b/>
          <w:bCs/>
          <w:snapToGrid/>
          <w:color w:val="auto"/>
          <w:sz w:val="21"/>
          <w:szCs w:val="21"/>
          <w:highlight w:val="none"/>
        </w:rPr>
        <w:t>本合同一式</w:t>
      </w:r>
      <w:r>
        <w:rPr>
          <w:rFonts w:hint="eastAsia" w:ascii="宋体" w:hAnsi="宋体" w:eastAsia="宋体" w:cs="宋体"/>
          <w:b/>
          <w:bCs/>
          <w:snapToGrid/>
          <w:color w:val="auto"/>
          <w:sz w:val="21"/>
          <w:szCs w:val="21"/>
          <w:highlight w:val="none"/>
          <w:lang w:eastAsia="zh"/>
        </w:rPr>
        <w:t>柒</w:t>
      </w:r>
      <w:r>
        <w:rPr>
          <w:rFonts w:hint="eastAsia" w:ascii="宋体" w:hAnsi="宋体" w:eastAsia="宋体" w:cs="宋体"/>
          <w:b/>
          <w:bCs/>
          <w:snapToGrid/>
          <w:color w:val="auto"/>
          <w:sz w:val="21"/>
          <w:szCs w:val="21"/>
          <w:highlight w:val="none"/>
        </w:rPr>
        <w:t>份，具有同等法律效力，甲方</w:t>
      </w:r>
      <w:r>
        <w:rPr>
          <w:rFonts w:hint="eastAsia" w:ascii="宋体" w:hAnsi="宋体" w:eastAsia="宋体" w:cs="宋体"/>
          <w:b/>
          <w:bCs/>
          <w:snapToGrid/>
          <w:color w:val="auto"/>
          <w:sz w:val="21"/>
          <w:szCs w:val="21"/>
          <w:highlight w:val="none"/>
          <w:lang w:val="en-US" w:eastAsia="zh-CN"/>
        </w:rPr>
        <w:t>叁</w:t>
      </w:r>
      <w:r>
        <w:rPr>
          <w:rFonts w:hint="eastAsia" w:ascii="宋体" w:hAnsi="宋体" w:eastAsia="宋体" w:cs="宋体"/>
          <w:b/>
          <w:bCs/>
          <w:snapToGrid/>
          <w:color w:val="auto"/>
          <w:sz w:val="21"/>
          <w:szCs w:val="21"/>
          <w:highlight w:val="none"/>
        </w:rPr>
        <w:t>份、乙方</w:t>
      </w:r>
      <w:r>
        <w:rPr>
          <w:rFonts w:hint="eastAsia" w:ascii="宋体" w:hAnsi="宋体" w:eastAsia="宋体" w:cs="宋体"/>
          <w:b/>
          <w:bCs/>
          <w:snapToGrid/>
          <w:color w:val="auto"/>
          <w:sz w:val="21"/>
          <w:szCs w:val="21"/>
          <w:highlight w:val="none"/>
          <w:lang w:val="en-US" w:eastAsia="zh-CN"/>
        </w:rPr>
        <w:t>贰</w:t>
      </w:r>
      <w:r>
        <w:rPr>
          <w:rFonts w:hint="eastAsia" w:ascii="宋体" w:hAnsi="宋体" w:eastAsia="宋体" w:cs="宋体"/>
          <w:b/>
          <w:bCs/>
          <w:snapToGrid/>
          <w:color w:val="auto"/>
          <w:sz w:val="21"/>
          <w:szCs w:val="21"/>
          <w:highlight w:val="none"/>
        </w:rPr>
        <w:t>份</w:t>
      </w:r>
      <w:r>
        <w:rPr>
          <w:rFonts w:hint="eastAsia" w:ascii="宋体" w:hAnsi="宋体" w:cs="宋体"/>
          <w:b/>
          <w:bCs/>
          <w:snapToGrid/>
          <w:color w:val="auto"/>
          <w:sz w:val="21"/>
          <w:szCs w:val="21"/>
          <w:highlight w:val="none"/>
          <w:lang w:eastAsia="zh-CN"/>
        </w:rPr>
        <w:t>，</w:t>
      </w:r>
      <w:r>
        <w:rPr>
          <w:rFonts w:hint="eastAsia" w:ascii="宋体" w:hAnsi="宋体" w:eastAsia="宋体" w:cs="宋体"/>
          <w:b/>
          <w:bCs/>
          <w:snapToGrid/>
          <w:color w:val="auto"/>
          <w:sz w:val="21"/>
          <w:szCs w:val="21"/>
          <w:highlight w:val="none"/>
        </w:rPr>
        <w:t>采购代理机构</w:t>
      </w:r>
      <w:r>
        <w:rPr>
          <w:rFonts w:hint="eastAsia" w:ascii="宋体" w:hAnsi="宋体" w:eastAsia="宋体" w:cs="宋体"/>
          <w:b/>
          <w:bCs/>
          <w:snapToGrid/>
          <w:color w:val="auto"/>
          <w:sz w:val="21"/>
          <w:szCs w:val="21"/>
          <w:highlight w:val="none"/>
          <w:lang w:val="en-US" w:eastAsia="zh-CN"/>
        </w:rPr>
        <w:t>贰</w:t>
      </w:r>
      <w:r>
        <w:rPr>
          <w:rFonts w:hint="eastAsia" w:ascii="宋体" w:hAnsi="宋体" w:eastAsia="宋体" w:cs="宋体"/>
          <w:b/>
          <w:bCs/>
          <w:snapToGrid/>
          <w:color w:val="auto"/>
          <w:sz w:val="21"/>
          <w:szCs w:val="21"/>
          <w:highlight w:val="none"/>
        </w:rPr>
        <w:t>份（可根据需要另增加）。</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4401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18290A6">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b/>
                <w:bCs/>
                <w:snapToGrid/>
                <w:color w:val="auto"/>
                <w:sz w:val="21"/>
                <w:szCs w:val="21"/>
                <w:highlight w:val="none"/>
              </w:rPr>
              <w:t xml:space="preserve">甲方（章） </w:t>
            </w:r>
            <w:r>
              <w:rPr>
                <w:rFonts w:hint="eastAsia" w:ascii="宋体" w:hAnsi="宋体" w:eastAsia="宋体" w:cs="宋体"/>
                <w:b/>
                <w:bCs/>
                <w:snapToGrid/>
                <w:color w:val="auto"/>
                <w:sz w:val="21"/>
                <w:szCs w:val="21"/>
                <w:highlight w:val="none"/>
                <w:lang w:eastAsia="zh-CN"/>
              </w:rPr>
              <w:t>广西医科大学第一附属医院</w:t>
            </w:r>
            <w:r>
              <w:rPr>
                <w:rFonts w:hint="eastAsia" w:ascii="宋体" w:hAnsi="宋体" w:eastAsia="宋体" w:cs="宋体"/>
                <w:b/>
                <w:bCs/>
                <w:snapToGrid/>
                <w:color w:val="auto"/>
                <w:sz w:val="21"/>
                <w:szCs w:val="21"/>
                <w:highlight w:val="none"/>
              </w:rPr>
              <w:t xml:space="preserve">    </w:t>
            </w:r>
            <w:r>
              <w:rPr>
                <w:rFonts w:hint="eastAsia" w:ascii="宋体" w:hAnsi="宋体" w:eastAsia="宋体" w:cs="宋体"/>
                <w:snapToGrid/>
                <w:color w:val="auto"/>
                <w:sz w:val="21"/>
                <w:szCs w:val="21"/>
                <w:highlight w:val="none"/>
              </w:rPr>
              <w:t xml:space="preserve">    </w:t>
            </w:r>
          </w:p>
          <w:p w14:paraId="6DA19A7D">
            <w:pPr>
              <w:keepNext w:val="0"/>
              <w:keepLines w:val="0"/>
              <w:pageBreakBefore w:val="0"/>
              <w:widowControl w:val="0"/>
              <w:shd w:val="clear"/>
              <w:kinsoku/>
              <w:wordWrap/>
              <w:overflowPunct/>
              <w:topLinePunct w:val="0"/>
              <w:autoSpaceDE/>
              <w:autoSpaceDN/>
              <w:bidi w:val="0"/>
              <w:adjustRightInd/>
              <w:snapToGrid/>
              <w:spacing w:line="400" w:lineRule="exact"/>
              <w:ind w:left="0" w:firstLine="945" w:firstLineChars="450"/>
              <w:jc w:val="right"/>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73E26CD">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b/>
                <w:bCs/>
                <w:snapToGrid/>
                <w:color w:val="auto"/>
                <w:sz w:val="21"/>
                <w:szCs w:val="21"/>
                <w:highlight w:val="none"/>
              </w:rPr>
              <w:t>乙方（章）</w:t>
            </w:r>
            <w:r>
              <w:rPr>
                <w:rFonts w:hint="eastAsia" w:ascii="宋体" w:hAnsi="宋体" w:eastAsia="宋体" w:cs="宋体"/>
                <w:snapToGrid/>
                <w:color w:val="auto"/>
                <w:sz w:val="21"/>
                <w:szCs w:val="21"/>
                <w:highlight w:val="none"/>
              </w:rPr>
              <w:t xml:space="preserve">              </w:t>
            </w:r>
          </w:p>
          <w:p w14:paraId="1AEDB358">
            <w:pPr>
              <w:keepNext w:val="0"/>
              <w:keepLines w:val="0"/>
              <w:pageBreakBefore w:val="0"/>
              <w:widowControl w:val="0"/>
              <w:shd w:val="clear"/>
              <w:kinsoku/>
              <w:wordWrap/>
              <w:overflowPunct/>
              <w:topLinePunct w:val="0"/>
              <w:autoSpaceDE/>
              <w:autoSpaceDN/>
              <w:bidi w:val="0"/>
              <w:adjustRightInd/>
              <w:snapToGrid/>
              <w:spacing w:line="400" w:lineRule="exact"/>
              <w:ind w:left="0"/>
              <w:jc w:val="right"/>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 xml:space="preserve"> 年   月   日</w:t>
            </w:r>
          </w:p>
        </w:tc>
      </w:tr>
      <w:tr w14:paraId="7D7C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A261044">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4F15A36">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单位地址：</w:t>
            </w:r>
          </w:p>
        </w:tc>
      </w:tr>
      <w:tr w14:paraId="3BC4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2A034DC">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法定代表人(签字或盖章):</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8EC8045">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法定代表人(签字或盖章):</w:t>
            </w:r>
          </w:p>
        </w:tc>
      </w:tr>
      <w:tr w14:paraId="5B2E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9941E49">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委托代理人(签字或盖章):</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0AE33A0">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委托代理人(签字或盖章):</w:t>
            </w:r>
          </w:p>
        </w:tc>
      </w:tr>
      <w:tr w14:paraId="1D07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C2AE1E4">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rPr>
              <w:t>电话：0771-</w:t>
            </w:r>
            <w:r>
              <w:rPr>
                <w:rFonts w:hint="eastAsia" w:ascii="宋体" w:hAnsi="宋体" w:eastAsia="宋体" w:cs="宋体"/>
                <w:snapToGrid/>
                <w:color w:val="auto"/>
                <w:sz w:val="21"/>
                <w:szCs w:val="21"/>
                <w:highlight w:val="none"/>
                <w:lang w:val="en-US" w:eastAsia="zh-CN"/>
              </w:rPr>
              <w:t>5634385</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F06BA12">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电话：</w:t>
            </w:r>
          </w:p>
        </w:tc>
      </w:tr>
      <w:tr w14:paraId="7D51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EA1ABD7">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开户银行：</w:t>
            </w:r>
            <w:r>
              <w:rPr>
                <w:rFonts w:hint="eastAsia" w:ascii="宋体" w:hAnsi="宋体" w:eastAsia="宋体" w:cs="宋体"/>
                <w:snapToGrid/>
                <w:color w:val="auto"/>
                <w:sz w:val="21"/>
                <w:szCs w:val="21"/>
                <w:highlight w:val="none"/>
                <w:lang w:eastAsia="zh-CN"/>
              </w:rPr>
              <w:t>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7EB503B4">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开户银行：</w:t>
            </w:r>
          </w:p>
        </w:tc>
      </w:tr>
      <w:tr w14:paraId="162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9A21C17">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账号：</w:t>
            </w:r>
            <w:r>
              <w:rPr>
                <w:rFonts w:hint="eastAsia" w:ascii="宋体" w:hAnsi="宋体" w:eastAsia="宋体" w:cs="宋体"/>
                <w:snapToGrid/>
                <w:color w:val="auto"/>
                <w:sz w:val="21"/>
                <w:szCs w:val="21"/>
                <w:highlight w:val="none"/>
                <w:lang w:val="en-US" w:eastAsia="zh-CN"/>
              </w:rPr>
              <w:t>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14A5E45">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账号：</w:t>
            </w:r>
          </w:p>
        </w:tc>
      </w:tr>
      <w:tr w14:paraId="663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CE24CD4">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22BE8BF">
            <w:pPr>
              <w:keepNext w:val="0"/>
              <w:keepLines w:val="0"/>
              <w:pageBreakBefore w:val="0"/>
              <w:widowControl w:val="0"/>
              <w:shd w:val="clear"/>
              <w:kinsoku/>
              <w:wordWrap/>
              <w:overflowPunct/>
              <w:topLinePunct w:val="0"/>
              <w:autoSpaceDE/>
              <w:autoSpaceDN/>
              <w:bidi w:val="0"/>
              <w:adjustRightInd/>
              <w:snapToGrid/>
              <w:spacing w:line="400" w:lineRule="exact"/>
              <w:ind w:left="0"/>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邮政编码：</w:t>
            </w:r>
          </w:p>
        </w:tc>
      </w:tr>
    </w:tbl>
    <w:p w14:paraId="14BDA6E5">
      <w:pPr>
        <w:shd w:val="clear"/>
        <w:rPr>
          <w:color w:val="auto"/>
          <w:highlight w:val="none"/>
        </w:rPr>
      </w:pPr>
      <w:r>
        <w:rPr>
          <w:color w:val="auto"/>
          <w:highlight w:val="none"/>
        </w:rPr>
        <w:br w:type="page"/>
      </w:r>
    </w:p>
    <w:p w14:paraId="3E1E1227">
      <w:pPr>
        <w:pStyle w:val="21"/>
        <w:shd w:val="clear"/>
        <w:spacing w:line="360" w:lineRule="auto"/>
        <w:rPr>
          <w:rFonts w:hint="eastAsia"/>
          <w:color w:val="auto"/>
          <w:highlight w:val="none"/>
        </w:rPr>
      </w:pPr>
    </w:p>
    <w:p w14:paraId="55707FD5">
      <w:pPr>
        <w:shd w:val="clear"/>
        <w:spacing w:line="400" w:lineRule="exact"/>
        <w:jc w:val="center"/>
        <w:rPr>
          <w:rFonts w:hint="eastAsia" w:ascii="宋体" w:hAnsi="宋体"/>
          <w:color w:val="auto"/>
          <w:sz w:val="32"/>
          <w:szCs w:val="32"/>
          <w:highlight w:val="none"/>
        </w:rPr>
      </w:pPr>
    </w:p>
    <w:p w14:paraId="5D95C165">
      <w:pPr>
        <w:shd w:val="clear"/>
        <w:spacing w:line="400" w:lineRule="exact"/>
        <w:jc w:val="center"/>
        <w:rPr>
          <w:rFonts w:hint="eastAsia" w:ascii="宋体" w:hAnsi="宋体"/>
          <w:color w:val="auto"/>
          <w:sz w:val="32"/>
          <w:szCs w:val="32"/>
          <w:highlight w:val="none"/>
        </w:rPr>
      </w:pPr>
    </w:p>
    <w:p w14:paraId="1021C5D9">
      <w:pPr>
        <w:shd w:val="clear"/>
        <w:spacing w:line="400" w:lineRule="exact"/>
        <w:jc w:val="center"/>
        <w:rPr>
          <w:rFonts w:hint="eastAsia" w:ascii="宋体" w:hAnsi="宋体"/>
          <w:color w:val="auto"/>
          <w:sz w:val="32"/>
          <w:szCs w:val="32"/>
          <w:highlight w:val="none"/>
        </w:rPr>
      </w:pPr>
    </w:p>
    <w:p w14:paraId="37755678">
      <w:pPr>
        <w:shd w:val="clear"/>
        <w:spacing w:line="400" w:lineRule="exact"/>
        <w:jc w:val="center"/>
        <w:rPr>
          <w:rFonts w:hint="eastAsia" w:ascii="宋体" w:hAnsi="宋体"/>
          <w:color w:val="auto"/>
          <w:sz w:val="32"/>
          <w:szCs w:val="32"/>
          <w:highlight w:val="none"/>
        </w:rPr>
      </w:pPr>
    </w:p>
    <w:p w14:paraId="0038A1F1">
      <w:pPr>
        <w:shd w:val="clear"/>
        <w:spacing w:line="400" w:lineRule="exact"/>
        <w:jc w:val="center"/>
        <w:rPr>
          <w:rFonts w:hint="eastAsia" w:ascii="宋体" w:hAnsi="宋体"/>
          <w:color w:val="auto"/>
          <w:sz w:val="32"/>
          <w:szCs w:val="32"/>
          <w:highlight w:val="none"/>
        </w:rPr>
      </w:pPr>
    </w:p>
    <w:p w14:paraId="72DE3F75">
      <w:pPr>
        <w:shd w:val="clear"/>
        <w:spacing w:line="400" w:lineRule="exact"/>
        <w:jc w:val="center"/>
        <w:rPr>
          <w:rFonts w:hint="eastAsia" w:ascii="宋体" w:hAnsi="宋体"/>
          <w:color w:val="auto"/>
          <w:sz w:val="32"/>
          <w:szCs w:val="32"/>
          <w:highlight w:val="none"/>
        </w:rPr>
      </w:pPr>
    </w:p>
    <w:p w14:paraId="6D8328C4">
      <w:pPr>
        <w:shd w:val="clear"/>
        <w:spacing w:line="400" w:lineRule="exact"/>
        <w:jc w:val="center"/>
        <w:rPr>
          <w:rFonts w:hint="eastAsia" w:ascii="宋体" w:hAnsi="宋体"/>
          <w:color w:val="auto"/>
          <w:sz w:val="32"/>
          <w:szCs w:val="32"/>
          <w:highlight w:val="none"/>
        </w:rPr>
      </w:pPr>
    </w:p>
    <w:p w14:paraId="7B0B6216">
      <w:pPr>
        <w:shd w:val="clear"/>
        <w:spacing w:line="400" w:lineRule="exact"/>
        <w:jc w:val="center"/>
        <w:rPr>
          <w:rFonts w:hint="eastAsia" w:ascii="宋体" w:hAnsi="宋体"/>
          <w:color w:val="auto"/>
          <w:sz w:val="32"/>
          <w:szCs w:val="32"/>
          <w:highlight w:val="none"/>
        </w:rPr>
      </w:pPr>
    </w:p>
    <w:p w14:paraId="3AC5E4F5">
      <w:pPr>
        <w:shd w:val="clear"/>
        <w:spacing w:line="400" w:lineRule="exact"/>
        <w:jc w:val="center"/>
        <w:rPr>
          <w:rFonts w:hint="eastAsia" w:ascii="宋体" w:hAnsi="宋体"/>
          <w:color w:val="auto"/>
          <w:sz w:val="32"/>
          <w:szCs w:val="32"/>
          <w:highlight w:val="none"/>
        </w:rPr>
      </w:pPr>
    </w:p>
    <w:p w14:paraId="6C16D829">
      <w:pPr>
        <w:shd w:val="clear"/>
        <w:spacing w:line="400" w:lineRule="exact"/>
        <w:jc w:val="center"/>
        <w:rPr>
          <w:rFonts w:hint="eastAsia" w:ascii="宋体" w:hAnsi="宋体"/>
          <w:color w:val="auto"/>
          <w:sz w:val="32"/>
          <w:szCs w:val="32"/>
          <w:highlight w:val="none"/>
        </w:rPr>
      </w:pPr>
    </w:p>
    <w:p w14:paraId="2E441CC4">
      <w:pPr>
        <w:shd w:val="clear"/>
        <w:spacing w:line="400" w:lineRule="exact"/>
        <w:jc w:val="center"/>
        <w:rPr>
          <w:rFonts w:hint="eastAsia" w:ascii="宋体" w:hAnsi="宋体"/>
          <w:color w:val="auto"/>
          <w:sz w:val="32"/>
          <w:szCs w:val="32"/>
          <w:highlight w:val="none"/>
        </w:rPr>
      </w:pPr>
    </w:p>
    <w:p w14:paraId="52C9AFC8">
      <w:pPr>
        <w:shd w:val="clear"/>
        <w:spacing w:line="400" w:lineRule="exact"/>
        <w:jc w:val="center"/>
        <w:rPr>
          <w:rFonts w:hint="eastAsia" w:ascii="宋体" w:hAnsi="宋体"/>
          <w:color w:val="auto"/>
          <w:sz w:val="32"/>
          <w:szCs w:val="32"/>
          <w:highlight w:val="none"/>
        </w:rPr>
      </w:pPr>
    </w:p>
    <w:p w14:paraId="42F906D1">
      <w:pPr>
        <w:shd w:val="clear"/>
        <w:spacing w:line="400" w:lineRule="exact"/>
        <w:jc w:val="center"/>
        <w:rPr>
          <w:rFonts w:hint="eastAsia" w:ascii="宋体" w:hAnsi="宋体"/>
          <w:color w:val="auto"/>
          <w:sz w:val="32"/>
          <w:szCs w:val="32"/>
          <w:highlight w:val="none"/>
        </w:rPr>
      </w:pPr>
    </w:p>
    <w:p w14:paraId="26F6E861">
      <w:pPr>
        <w:shd w:val="clear"/>
        <w:spacing w:line="400" w:lineRule="exact"/>
        <w:jc w:val="center"/>
        <w:rPr>
          <w:rFonts w:hint="eastAsia" w:ascii="宋体" w:hAnsi="宋体"/>
          <w:color w:val="auto"/>
          <w:sz w:val="32"/>
          <w:szCs w:val="32"/>
          <w:highlight w:val="none"/>
        </w:rPr>
      </w:pPr>
    </w:p>
    <w:p w14:paraId="2C4D745B">
      <w:pPr>
        <w:pStyle w:val="34"/>
        <w:shd w:val="clear"/>
        <w:rPr>
          <w:rFonts w:hint="eastAsia"/>
          <w:color w:val="auto"/>
          <w:kern w:val="0"/>
          <w:sz w:val="44"/>
          <w:szCs w:val="44"/>
          <w:highlight w:val="none"/>
        </w:rPr>
      </w:pPr>
      <w:bookmarkStart w:id="84" w:name="_Toc476258673"/>
      <w:bookmarkStart w:id="85" w:name="_Toc476258761"/>
      <w:r>
        <w:rPr>
          <w:rFonts w:hint="eastAsia"/>
          <w:color w:val="auto"/>
          <w:kern w:val="0"/>
          <w:sz w:val="44"/>
          <w:szCs w:val="44"/>
          <w:highlight w:val="none"/>
        </w:rPr>
        <w:t>第六章  评标标准</w:t>
      </w:r>
      <w:bookmarkEnd w:id="84"/>
      <w:bookmarkEnd w:id="85"/>
    </w:p>
    <w:p w14:paraId="60D9A42A">
      <w:pPr>
        <w:pStyle w:val="21"/>
        <w:shd w:val="clear"/>
        <w:spacing w:line="440" w:lineRule="exact"/>
        <w:rPr>
          <w:rFonts w:hint="eastAsia" w:ascii="黑体" w:hAnsi="宋体" w:eastAsia="黑体"/>
          <w:b/>
          <w:color w:val="auto"/>
          <w:kern w:val="0"/>
          <w:sz w:val="32"/>
          <w:szCs w:val="32"/>
          <w:highlight w:val="none"/>
        </w:rPr>
      </w:pPr>
    </w:p>
    <w:p w14:paraId="71FBB8C5">
      <w:pPr>
        <w:pStyle w:val="21"/>
        <w:shd w:val="clear"/>
        <w:spacing w:line="440" w:lineRule="exact"/>
        <w:rPr>
          <w:rFonts w:hint="eastAsia" w:ascii="黑体" w:hAnsi="宋体" w:eastAsia="黑体"/>
          <w:b/>
          <w:color w:val="auto"/>
          <w:kern w:val="0"/>
          <w:sz w:val="32"/>
          <w:szCs w:val="32"/>
          <w:highlight w:val="none"/>
        </w:rPr>
      </w:pPr>
    </w:p>
    <w:p w14:paraId="3492BF4D">
      <w:pPr>
        <w:pStyle w:val="21"/>
        <w:shd w:val="clear"/>
        <w:spacing w:line="440" w:lineRule="exact"/>
        <w:rPr>
          <w:rFonts w:hint="eastAsia" w:ascii="黑体" w:hAnsi="宋体" w:eastAsia="黑体"/>
          <w:b/>
          <w:color w:val="auto"/>
          <w:kern w:val="0"/>
          <w:sz w:val="32"/>
          <w:szCs w:val="32"/>
          <w:highlight w:val="none"/>
        </w:rPr>
      </w:pPr>
    </w:p>
    <w:p w14:paraId="30960EE4">
      <w:pPr>
        <w:pStyle w:val="21"/>
        <w:shd w:val="clear"/>
        <w:spacing w:line="440" w:lineRule="exact"/>
        <w:rPr>
          <w:rFonts w:hint="eastAsia" w:ascii="黑体" w:hAnsi="宋体" w:eastAsia="黑体"/>
          <w:b/>
          <w:color w:val="auto"/>
          <w:kern w:val="0"/>
          <w:sz w:val="32"/>
          <w:szCs w:val="32"/>
          <w:highlight w:val="none"/>
        </w:rPr>
      </w:pPr>
    </w:p>
    <w:p w14:paraId="6192F6C8">
      <w:pPr>
        <w:pStyle w:val="21"/>
        <w:shd w:val="clear"/>
        <w:spacing w:line="440" w:lineRule="exact"/>
        <w:rPr>
          <w:rFonts w:hint="eastAsia" w:ascii="黑体" w:hAnsi="宋体" w:eastAsia="黑体"/>
          <w:b/>
          <w:color w:val="auto"/>
          <w:kern w:val="0"/>
          <w:sz w:val="32"/>
          <w:szCs w:val="32"/>
          <w:highlight w:val="none"/>
        </w:rPr>
      </w:pPr>
    </w:p>
    <w:p w14:paraId="104F8BC3">
      <w:pPr>
        <w:pStyle w:val="21"/>
        <w:shd w:val="clear"/>
        <w:spacing w:line="440" w:lineRule="exact"/>
        <w:rPr>
          <w:rFonts w:hint="eastAsia" w:ascii="黑体" w:hAnsi="宋体" w:eastAsia="黑体"/>
          <w:b/>
          <w:color w:val="auto"/>
          <w:kern w:val="0"/>
          <w:sz w:val="32"/>
          <w:szCs w:val="32"/>
          <w:highlight w:val="none"/>
        </w:rPr>
      </w:pPr>
    </w:p>
    <w:p w14:paraId="1B84F879">
      <w:pPr>
        <w:pStyle w:val="21"/>
        <w:shd w:val="clear"/>
        <w:spacing w:line="440" w:lineRule="exact"/>
        <w:rPr>
          <w:rFonts w:hint="eastAsia" w:ascii="黑体" w:hAnsi="宋体" w:eastAsia="黑体"/>
          <w:b/>
          <w:color w:val="auto"/>
          <w:kern w:val="0"/>
          <w:sz w:val="32"/>
          <w:szCs w:val="32"/>
          <w:highlight w:val="none"/>
        </w:rPr>
      </w:pPr>
    </w:p>
    <w:p w14:paraId="1A08DCC4">
      <w:pPr>
        <w:pStyle w:val="21"/>
        <w:shd w:val="clear"/>
        <w:spacing w:line="440" w:lineRule="exact"/>
        <w:rPr>
          <w:rFonts w:hint="eastAsia" w:ascii="黑体" w:hAnsi="宋体" w:eastAsia="黑体"/>
          <w:b/>
          <w:color w:val="auto"/>
          <w:kern w:val="0"/>
          <w:sz w:val="32"/>
          <w:szCs w:val="32"/>
          <w:highlight w:val="none"/>
        </w:rPr>
      </w:pPr>
    </w:p>
    <w:p w14:paraId="68E64593">
      <w:pPr>
        <w:pStyle w:val="21"/>
        <w:shd w:val="clear"/>
        <w:spacing w:line="440" w:lineRule="exact"/>
        <w:rPr>
          <w:rFonts w:hint="eastAsia" w:ascii="黑体" w:hAnsi="宋体" w:eastAsia="黑体"/>
          <w:b/>
          <w:color w:val="auto"/>
          <w:kern w:val="0"/>
          <w:sz w:val="32"/>
          <w:szCs w:val="32"/>
          <w:highlight w:val="none"/>
        </w:rPr>
      </w:pPr>
    </w:p>
    <w:p w14:paraId="5403613F">
      <w:pPr>
        <w:pStyle w:val="21"/>
        <w:shd w:val="clear"/>
        <w:spacing w:line="440" w:lineRule="exact"/>
        <w:rPr>
          <w:rFonts w:hint="eastAsia" w:ascii="黑体" w:hAnsi="宋体" w:eastAsia="黑体"/>
          <w:b/>
          <w:color w:val="auto"/>
          <w:kern w:val="0"/>
          <w:sz w:val="32"/>
          <w:szCs w:val="32"/>
          <w:highlight w:val="none"/>
        </w:rPr>
      </w:pPr>
    </w:p>
    <w:p w14:paraId="570982A3">
      <w:pPr>
        <w:pStyle w:val="21"/>
        <w:shd w:val="clear"/>
        <w:spacing w:line="440" w:lineRule="exact"/>
        <w:rPr>
          <w:rFonts w:hint="eastAsia" w:hAnsi="宋体"/>
          <w:b/>
          <w:color w:val="auto"/>
          <w:kern w:val="0"/>
          <w:highlight w:val="none"/>
        </w:rPr>
      </w:pPr>
    </w:p>
    <w:p w14:paraId="7251D6C4">
      <w:pPr>
        <w:pStyle w:val="21"/>
        <w:shd w:val="clear"/>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66079BAE">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b/>
          <w:bCs/>
          <w:color w:val="auto"/>
          <w:szCs w:val="21"/>
          <w:highlight w:val="none"/>
        </w:rPr>
      </w:pPr>
      <w:r>
        <w:rPr>
          <w:rFonts w:hint="eastAsia"/>
          <w:b/>
          <w:bCs/>
          <w:color w:val="auto"/>
          <w:szCs w:val="21"/>
          <w:highlight w:val="none"/>
        </w:rPr>
        <w:t>一、评标原则</w:t>
      </w:r>
    </w:p>
    <w:p w14:paraId="38B45142">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bCs/>
          <w:color w:val="auto"/>
          <w:szCs w:val="21"/>
          <w:highlight w:val="none"/>
        </w:rPr>
      </w:pPr>
      <w:r>
        <w:rPr>
          <w:rFonts w:hint="eastAsia"/>
          <w:bCs/>
          <w:color w:val="auto"/>
          <w:szCs w:val="21"/>
          <w:highlight w:val="none"/>
        </w:rPr>
        <w:t>（一）磋商小组</w:t>
      </w:r>
      <w:r>
        <w:rPr>
          <w:rFonts w:hint="eastAsia" w:ascii="宋体" w:hAnsi="Courier New" w:eastAsia="宋体" w:cs="Courier New"/>
          <w:color w:val="auto"/>
          <w:highlight w:val="none"/>
        </w:rPr>
        <w:t>成员</w:t>
      </w:r>
      <w:r>
        <w:rPr>
          <w:rFonts w:hint="eastAsia"/>
          <w:bCs/>
          <w:color w:val="auto"/>
          <w:szCs w:val="21"/>
          <w:highlight w:val="none"/>
        </w:rPr>
        <w:t>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1D43CFC">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ascii="宋体" w:hAnsi="宋体"/>
          <w:b/>
          <w:color w:val="auto"/>
          <w:highlight w:val="none"/>
        </w:rPr>
      </w:pPr>
      <w:r>
        <w:rPr>
          <w:rFonts w:hint="eastAsia"/>
          <w:bCs/>
          <w:color w:val="auto"/>
          <w:szCs w:val="21"/>
          <w:highlight w:val="none"/>
        </w:rPr>
        <w:t>（二）评标</w:t>
      </w:r>
      <w:r>
        <w:rPr>
          <w:rFonts w:hint="eastAsia" w:ascii="宋体" w:hAnsi="Courier New" w:eastAsia="宋体" w:cs="Courier New"/>
          <w:color w:val="auto"/>
          <w:highlight w:val="none"/>
        </w:rPr>
        <w:t>依据</w:t>
      </w:r>
      <w:r>
        <w:rPr>
          <w:rFonts w:hint="eastAsia"/>
          <w:bCs/>
          <w:color w:val="auto"/>
          <w:szCs w:val="21"/>
          <w:highlight w:val="none"/>
        </w:rPr>
        <w:t>：评委将以竞争性磋商文件和竞</w:t>
      </w:r>
      <w:r>
        <w:rPr>
          <w:rFonts w:hint="eastAsia" w:ascii="宋体" w:hAnsi="宋体"/>
          <w:bCs/>
          <w:color w:val="auto"/>
          <w:szCs w:val="21"/>
          <w:highlight w:val="none"/>
        </w:rPr>
        <w:t>争性磋商响应文件为评标依据，对供应商的响应文件内容按百分制打分。</w:t>
      </w:r>
    </w:p>
    <w:p w14:paraId="747E5AA7">
      <w:pPr>
        <w:pStyle w:val="30"/>
        <w:keepNext w:val="0"/>
        <w:keepLines w:val="0"/>
        <w:pageBreakBefore w:val="0"/>
        <w:widowControl w:val="0"/>
        <w:shd w:val="clear"/>
        <w:kinsoku/>
        <w:wordWrap/>
        <w:overflowPunct/>
        <w:topLinePunct w:val="0"/>
        <w:autoSpaceDE/>
        <w:autoSpaceDN/>
        <w:bidi w:val="0"/>
        <w:snapToGrid/>
        <w:spacing w:line="40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1DECB22A">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0F27FA7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657971EF">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7B89DF9A">
      <w:pPr>
        <w:pStyle w:val="21"/>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lang w:eastAsia="zh-CN"/>
        </w:rPr>
        <w:t>.</w:t>
      </w:r>
      <w:r>
        <w:rPr>
          <w:rFonts w:hint="eastAsia" w:ascii="宋体" w:hAnsi="宋体"/>
          <w:b/>
          <w:color w:val="auto"/>
          <w:szCs w:val="21"/>
          <w:highlight w:val="none"/>
        </w:rPr>
        <w:t>价格分………………………………………………………………………………………………………</w:t>
      </w:r>
      <w:r>
        <w:rPr>
          <w:rFonts w:hint="eastAsia" w:ascii="宋体" w:hAnsi="宋体"/>
          <w:b/>
          <w:color w:val="auto"/>
          <w:szCs w:val="21"/>
          <w:highlight w:val="none"/>
          <w:lang w:val="en-US" w:eastAsia="zh-CN"/>
        </w:rPr>
        <w:t>20</w:t>
      </w:r>
      <w:r>
        <w:rPr>
          <w:rFonts w:hint="eastAsia" w:ascii="宋体" w:hAnsi="宋体"/>
          <w:b/>
          <w:color w:val="auto"/>
          <w:szCs w:val="21"/>
          <w:highlight w:val="none"/>
        </w:rPr>
        <w:t>分</w:t>
      </w:r>
    </w:p>
    <w:p w14:paraId="010BABB0">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（1）符合《政府采购促进中小企业发展管理办法》（财库﹝2020﹞46 号）规定情形且按该办法中规定的格式提供了《中小企业声明函》的小型和微型企业，对其最后报价给予10%的扣除，扣除后的价格为评标报价，即评标报价=最后报价×（1-10%）；大中型企业与小型、微型企业组成联合体磋商，其中小型、微型企业的协议合同金额占到联合体协议合同总金额30%以上的，联合体最后报价给予4%的扣除，扣除后的价格为评标报价，即评标报价=最后报价×（1-4%）；除上述情况外，评标报价=最后报价。</w:t>
      </w:r>
    </w:p>
    <w:p w14:paraId="1688E44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18E2366">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符合《关于促进残疾人就业政府采购政策的通知》</w:t>
      </w:r>
      <w:r>
        <w:rPr>
          <w:rFonts w:hint="eastAsia" w:hAnsi="宋体"/>
          <w:bCs/>
          <w:color w:val="auto"/>
          <w:kern w:val="0"/>
          <w:highlight w:val="none"/>
          <w:lang w:eastAsia="zh-CN"/>
        </w:rPr>
        <w:t>（</w:t>
      </w:r>
      <w:r>
        <w:rPr>
          <w:rFonts w:hint="eastAsia" w:hAnsi="宋体"/>
          <w:bCs/>
          <w:color w:val="auto"/>
          <w:kern w:val="0"/>
          <w:highlight w:val="none"/>
        </w:rPr>
        <w:t>财库〔2017〕141号</w:t>
      </w:r>
      <w:r>
        <w:rPr>
          <w:rFonts w:hint="eastAsia" w:hAnsi="宋体"/>
          <w:bCs/>
          <w:color w:val="auto"/>
          <w:kern w:val="0"/>
          <w:highlight w:val="none"/>
          <w:lang w:eastAsia="zh-CN"/>
        </w:rPr>
        <w:t>）</w:t>
      </w:r>
      <w:r>
        <w:rPr>
          <w:rFonts w:hint="eastAsia" w:hAnsi="宋体"/>
          <w:bCs/>
          <w:color w:val="auto"/>
          <w:kern w:val="0"/>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hAnsi="宋体"/>
          <w:bCs/>
          <w:color w:val="auto"/>
          <w:kern w:val="0"/>
          <w:highlight w:val="none"/>
          <w:lang w:eastAsia="zh-CN"/>
        </w:rPr>
        <w:t>成交供应商</w:t>
      </w:r>
      <w:r>
        <w:rPr>
          <w:rFonts w:hint="eastAsia" w:hAnsi="宋体"/>
          <w:bCs/>
          <w:color w:val="auto"/>
          <w:kern w:val="0"/>
          <w:highlight w:val="none"/>
        </w:rPr>
        <w:t>为残疾人福利性单位的，随中标结果公告其《残疾人福利性单位声明函》，接受社会监督。</w:t>
      </w:r>
    </w:p>
    <w:p w14:paraId="2F23C77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本项目为纯服务采购项目，服务中不涉及采购货物交付，故不执行《国务院办公厅关于在政府采购中实施本国产品标准及相关政策的通知》（国办发〔2025〕34号）的规定。</w:t>
      </w:r>
    </w:p>
    <w:p w14:paraId="066042F2">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（2）以进入评审的最低的评标价为</w:t>
      </w:r>
      <w:r>
        <w:rPr>
          <w:rFonts w:hint="eastAsia" w:hAnsi="宋体"/>
          <w:bCs/>
          <w:color w:val="auto"/>
          <w:kern w:val="0"/>
          <w:highlight w:val="none"/>
          <w:lang w:val="en-US" w:eastAsia="zh-CN"/>
        </w:rPr>
        <w:t>20</w:t>
      </w:r>
      <w:r>
        <w:rPr>
          <w:rFonts w:hint="eastAsia" w:hAnsi="宋体"/>
          <w:bCs/>
          <w:color w:val="auto"/>
          <w:kern w:val="0"/>
          <w:highlight w:val="none"/>
        </w:rPr>
        <w:t>分。</w:t>
      </w:r>
    </w:p>
    <w:p w14:paraId="4B1FA2C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（3）某供应商价格分 = 供应商最低评标报价（金额）/某供应商评标报价（金额）×</w:t>
      </w:r>
      <w:r>
        <w:rPr>
          <w:rFonts w:hint="eastAsia" w:ascii="宋体" w:hAnsi="宋体"/>
          <w:bCs/>
          <w:color w:val="auto"/>
          <w:kern w:val="0"/>
          <w:highlight w:val="none"/>
          <w:lang w:val="en-US" w:eastAsia="zh-CN"/>
        </w:rPr>
        <w:t>20</w:t>
      </w:r>
      <w:r>
        <w:rPr>
          <w:rFonts w:hint="eastAsia" w:ascii="宋体" w:hAnsi="宋体"/>
          <w:bCs/>
          <w:color w:val="auto"/>
          <w:kern w:val="0"/>
          <w:highlight w:val="none"/>
        </w:rPr>
        <w:t>分</w:t>
      </w:r>
    </w:p>
    <w:p w14:paraId="2902E45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4）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25E36A0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lang w:eastAsia="zh-CN"/>
        </w:rPr>
        <w:t>磋商小组</w:t>
      </w:r>
      <w:r>
        <w:rPr>
          <w:rFonts w:hint="eastAsia" w:ascii="宋体" w:hAnsi="宋体"/>
          <w:bCs/>
          <w:color w:val="auto"/>
          <w:kern w:val="0"/>
          <w:highlight w:val="none"/>
        </w:rPr>
        <w:t>在评审过程中</w:t>
      </w:r>
      <w:r>
        <w:rPr>
          <w:rFonts w:hint="eastAsia" w:ascii="宋体" w:hAnsi="宋体"/>
          <w:bCs/>
          <w:color w:val="auto"/>
          <w:kern w:val="0"/>
          <w:highlight w:val="none"/>
          <w:lang w:eastAsia="zh-CN"/>
        </w:rPr>
        <w:t>，</w:t>
      </w:r>
      <w:r>
        <w:rPr>
          <w:rFonts w:hint="eastAsia" w:ascii="宋体" w:hAnsi="宋体"/>
          <w:bCs/>
          <w:color w:val="auto"/>
          <w:kern w:val="0"/>
          <w:highlight w:val="none"/>
        </w:rPr>
        <w:t>出现下列情形之一的，</w:t>
      </w:r>
      <w:r>
        <w:rPr>
          <w:rFonts w:hint="eastAsia" w:ascii="宋体" w:hAnsi="宋体"/>
          <w:bCs/>
          <w:color w:val="auto"/>
          <w:kern w:val="0"/>
          <w:highlight w:val="none"/>
          <w:lang w:eastAsia="zh-CN"/>
        </w:rPr>
        <w:t>磋商小组</w:t>
      </w:r>
      <w:r>
        <w:rPr>
          <w:rFonts w:hint="eastAsia" w:ascii="宋体" w:hAnsi="宋体"/>
          <w:bCs/>
          <w:color w:val="auto"/>
          <w:kern w:val="0"/>
          <w:highlight w:val="none"/>
        </w:rPr>
        <w:t>应当启动异常低价投标（响应）审查程序： </w:t>
      </w:r>
    </w:p>
    <w:p w14:paraId="1EA72DF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①投标（响应）报价低于全部通过符合性审查供应商投标（响应）报价平均值50%的，即投标（响应）报价＜全部通过符合性审查供应商投标（响应）报价平均值×50%； </w:t>
      </w:r>
    </w:p>
    <w:p w14:paraId="1DEDC75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②投标（响应）报价低于通过符合性审查的次低报价供应商投标（响应）报价50%的，即投标（响应）报价＜通过符合性审查的次低报价供应商投标（响应）报价×50%； </w:t>
      </w:r>
    </w:p>
    <w:p w14:paraId="22C03EF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③投标（响应）报价低于采购项目最高限价45%的，即投标（响应）报价＜采购项目最高限价×45%； </w:t>
      </w:r>
    </w:p>
    <w:p w14:paraId="1099A7E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④磋商小组基于专业判断，认为供应商报价过低，有可能影响产品质量或者不能诚信履约的其他情形。</w:t>
      </w:r>
    </w:p>
    <w:p w14:paraId="766E5DC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触发审查的供应商应在</w:t>
      </w:r>
      <w:r>
        <w:rPr>
          <w:rFonts w:hint="eastAsia" w:ascii="宋体" w:hAnsi="宋体"/>
          <w:bCs/>
          <w:color w:val="auto"/>
          <w:kern w:val="0"/>
          <w:highlight w:val="none"/>
          <w:lang w:eastAsia="zh-CN"/>
        </w:rPr>
        <w:t>磋商小组</w:t>
      </w:r>
      <w:r>
        <w:rPr>
          <w:rFonts w:hint="eastAsia" w:ascii="宋体" w:hAnsi="宋体"/>
          <w:bCs/>
          <w:color w:val="auto"/>
          <w:kern w:val="0"/>
          <w:highlight w:val="none"/>
        </w:rPr>
        <w:t>规定的时间内（一般不少于30分钟，供应商应提前做好充分准备）提交书面说明，并提供必要的证明材料，包括但不限于：原材料成本、人工成本、制造费用等。</w:t>
      </w:r>
    </w:p>
    <w:p w14:paraId="656A775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lang w:eastAsia="zh-CN"/>
        </w:rPr>
        <w:t>磋商小组</w:t>
      </w:r>
      <w:r>
        <w:rPr>
          <w:rFonts w:hint="eastAsia" w:ascii="宋体" w:hAnsi="宋体"/>
          <w:bCs/>
          <w:color w:val="auto"/>
          <w:kern w:val="0"/>
          <w:highlight w:val="none"/>
        </w:rPr>
        <w:t>结合项目具体特点、市场行情、供应商的说明及证明材料，对其报价是否低于成本、是否影响项目质量和合同履约进行集体评议。</w:t>
      </w:r>
    </w:p>
    <w:p w14:paraId="011A1EE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若供应商未能按时提交说明和证明材料，或提交的材料不足以合理证明其报价能够保证项目质量并诚信履约，经</w:t>
      </w:r>
      <w:r>
        <w:rPr>
          <w:rFonts w:hint="eastAsia" w:ascii="宋体" w:hAnsi="宋体"/>
          <w:bCs/>
          <w:color w:val="auto"/>
          <w:kern w:val="0"/>
          <w:highlight w:val="none"/>
          <w:lang w:eastAsia="zh-CN"/>
        </w:rPr>
        <w:t>磋商小组</w:t>
      </w:r>
      <w:r>
        <w:rPr>
          <w:rFonts w:hint="eastAsia" w:ascii="宋体" w:hAnsi="宋体"/>
          <w:bCs/>
          <w:color w:val="auto"/>
          <w:kern w:val="0"/>
          <w:highlight w:val="none"/>
        </w:rPr>
        <w:t>过半数成员认定，其响应文件将按无效响应处理。</w:t>
      </w:r>
    </w:p>
    <w:p w14:paraId="5BEC76C1">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若供应商的说明和证明材料经</w:t>
      </w:r>
      <w:r>
        <w:rPr>
          <w:rFonts w:hint="eastAsia" w:ascii="宋体" w:hAnsi="宋体"/>
          <w:bCs/>
          <w:color w:val="auto"/>
          <w:kern w:val="0"/>
          <w:highlight w:val="none"/>
          <w:lang w:eastAsia="zh-CN"/>
        </w:rPr>
        <w:t>磋商小组</w:t>
      </w:r>
      <w:r>
        <w:rPr>
          <w:rFonts w:hint="eastAsia" w:ascii="宋体" w:hAnsi="宋体"/>
          <w:bCs/>
          <w:color w:val="auto"/>
          <w:kern w:val="0"/>
          <w:highlight w:val="none"/>
        </w:rPr>
        <w:t>评议认为合理、可信，其报价继续参与后续评审。</w:t>
      </w:r>
    </w:p>
    <w:p w14:paraId="13AFC569">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lang w:val="en-US" w:eastAsia="zh-CN"/>
        </w:rPr>
        <w:t>.</w:t>
      </w:r>
      <w:r>
        <w:rPr>
          <w:rFonts w:hint="eastAsia" w:ascii="宋体" w:hAnsi="宋体"/>
          <w:b/>
          <w:color w:val="auto"/>
          <w:szCs w:val="21"/>
          <w:highlight w:val="none"/>
        </w:rPr>
        <w:t>技术分………………………………………………………………………………………………………</w:t>
      </w:r>
      <w:r>
        <w:rPr>
          <w:rFonts w:hint="eastAsia" w:ascii="宋体" w:hAnsi="宋体"/>
          <w:b/>
          <w:color w:val="auto"/>
          <w:szCs w:val="21"/>
          <w:highlight w:val="none"/>
          <w:lang w:val="en-US" w:eastAsia="zh-CN"/>
        </w:rPr>
        <w:t>68</w:t>
      </w:r>
      <w:r>
        <w:rPr>
          <w:rFonts w:hint="eastAsia" w:ascii="宋体" w:hAnsi="宋体"/>
          <w:b/>
          <w:color w:val="auto"/>
          <w:szCs w:val="21"/>
          <w:highlight w:val="none"/>
        </w:rPr>
        <w:t>分</w:t>
      </w:r>
    </w:p>
    <w:p w14:paraId="7A71591A">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（1）</w:t>
      </w:r>
      <w:r>
        <w:rPr>
          <w:rFonts w:hint="eastAsia" w:ascii="宋体" w:hAnsi="宋体" w:cs="宋体"/>
          <w:b/>
          <w:bCs/>
          <w:color w:val="auto"/>
          <w:szCs w:val="21"/>
          <w:highlight w:val="none"/>
          <w:lang w:val="en-US" w:eastAsia="zh-CN" w:bidi="ar"/>
        </w:rPr>
        <w:t>维修保养服务方案</w:t>
      </w:r>
      <w:r>
        <w:rPr>
          <w:rFonts w:hint="default" w:ascii="宋体" w:hAnsi="宋体" w:eastAsia="宋体" w:cs="宋体"/>
          <w:b/>
          <w:bCs/>
          <w:color w:val="auto"/>
          <w:szCs w:val="21"/>
          <w:highlight w:val="none"/>
          <w:lang w:val="en-US" w:eastAsia="zh-CN" w:bidi="ar"/>
        </w:rPr>
        <w:t>（满分</w:t>
      </w:r>
      <w:r>
        <w:rPr>
          <w:rFonts w:hint="eastAsia" w:ascii="宋体" w:hAnsi="宋体" w:cs="宋体"/>
          <w:b/>
          <w:bCs/>
          <w:color w:val="auto"/>
          <w:szCs w:val="21"/>
          <w:highlight w:val="none"/>
          <w:lang w:val="en-US" w:eastAsia="zh-CN" w:bidi="ar"/>
        </w:rPr>
        <w:t>24</w:t>
      </w:r>
      <w:r>
        <w:rPr>
          <w:rFonts w:hint="default" w:ascii="宋体" w:hAnsi="宋体" w:eastAsia="宋体" w:cs="宋体"/>
          <w:b/>
          <w:bCs/>
          <w:color w:val="auto"/>
          <w:szCs w:val="21"/>
          <w:highlight w:val="none"/>
          <w:lang w:val="en-US" w:eastAsia="zh-CN" w:bidi="ar"/>
        </w:rPr>
        <w:t>分）</w:t>
      </w:r>
    </w:p>
    <w:p w14:paraId="1003482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w:t>
      </w:r>
      <w:r>
        <w:rPr>
          <w:rFonts w:hint="eastAsia" w:ascii="宋体" w:hAnsi="宋体" w:cs="宋体"/>
          <w:color w:val="auto"/>
          <w:szCs w:val="21"/>
          <w:highlight w:val="none"/>
          <w:lang w:val="en-US" w:eastAsia="zh-CN" w:bidi="ar"/>
        </w:rPr>
        <w:t>6</w:t>
      </w:r>
      <w:r>
        <w:rPr>
          <w:rFonts w:hint="default" w:ascii="宋体" w:hAnsi="宋体" w:eastAsia="宋体" w:cs="宋体"/>
          <w:color w:val="auto"/>
          <w:szCs w:val="21"/>
          <w:highlight w:val="none"/>
          <w:lang w:val="en-US" w:eastAsia="zh-CN" w:bidi="ar"/>
        </w:rPr>
        <w:t>分）：</w:t>
      </w:r>
      <w:r>
        <w:rPr>
          <w:rFonts w:hint="eastAsia" w:ascii="宋体" w:hAnsi="宋体" w:cs="宋体"/>
          <w:color w:val="auto"/>
          <w:szCs w:val="21"/>
          <w:highlight w:val="none"/>
          <w:lang w:val="en-US" w:eastAsia="zh-CN" w:bidi="ar"/>
        </w:rPr>
        <w:t>供应商</w:t>
      </w:r>
      <w:r>
        <w:rPr>
          <w:rFonts w:hint="default" w:ascii="宋体" w:hAnsi="宋体" w:eastAsia="宋体" w:cs="宋体"/>
          <w:color w:val="auto"/>
          <w:szCs w:val="21"/>
          <w:highlight w:val="none"/>
          <w:lang w:val="en-US" w:eastAsia="zh-CN" w:bidi="ar"/>
        </w:rPr>
        <w:t>提交的</w:t>
      </w:r>
      <w:r>
        <w:rPr>
          <w:rFonts w:hint="eastAsia" w:ascii="宋体" w:hAnsi="宋体" w:cs="宋体"/>
          <w:color w:val="auto"/>
          <w:szCs w:val="21"/>
          <w:highlight w:val="none"/>
          <w:lang w:val="en-US" w:eastAsia="zh-CN" w:bidi="ar"/>
        </w:rPr>
        <w:t>维修保养服务方案</w:t>
      </w:r>
      <w:r>
        <w:rPr>
          <w:rFonts w:hint="default" w:ascii="宋体" w:hAnsi="宋体" w:eastAsia="宋体" w:cs="宋体"/>
          <w:color w:val="auto"/>
          <w:szCs w:val="21"/>
          <w:highlight w:val="none"/>
          <w:lang w:val="en-US" w:eastAsia="zh-CN" w:bidi="ar"/>
        </w:rPr>
        <w:t>仅有部分维修保养内容，服务内容勉强达到本项目维修保养要求。</w:t>
      </w:r>
    </w:p>
    <w:p w14:paraId="780679E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w:t>
      </w:r>
      <w:r>
        <w:rPr>
          <w:rFonts w:hint="eastAsia" w:ascii="宋体" w:hAnsi="宋体" w:cs="宋体"/>
          <w:color w:val="auto"/>
          <w:szCs w:val="21"/>
          <w:highlight w:val="none"/>
          <w:lang w:val="en-US" w:eastAsia="zh-CN" w:bidi="ar"/>
        </w:rPr>
        <w:t>12</w:t>
      </w:r>
      <w:r>
        <w:rPr>
          <w:rFonts w:hint="default" w:ascii="宋体" w:hAnsi="宋体" w:eastAsia="宋体" w:cs="宋体"/>
          <w:color w:val="auto"/>
          <w:szCs w:val="21"/>
          <w:highlight w:val="none"/>
          <w:lang w:val="en-US" w:eastAsia="zh-CN" w:bidi="ar"/>
        </w:rPr>
        <w:t>分）：</w:t>
      </w:r>
      <w:r>
        <w:rPr>
          <w:rFonts w:hint="eastAsia" w:ascii="宋体" w:hAnsi="宋体" w:cs="宋体"/>
          <w:color w:val="auto"/>
          <w:szCs w:val="21"/>
          <w:highlight w:val="none"/>
          <w:lang w:val="en-US" w:eastAsia="zh-CN" w:bidi="ar"/>
        </w:rPr>
        <w:t>供应商</w:t>
      </w:r>
      <w:r>
        <w:rPr>
          <w:rFonts w:hint="default" w:ascii="宋体" w:hAnsi="宋体" w:eastAsia="宋体" w:cs="宋体"/>
          <w:color w:val="auto"/>
          <w:szCs w:val="21"/>
          <w:highlight w:val="none"/>
          <w:lang w:val="en-US" w:eastAsia="zh-CN" w:bidi="ar"/>
        </w:rPr>
        <w:t>提交的</w:t>
      </w:r>
      <w:r>
        <w:rPr>
          <w:rFonts w:hint="eastAsia" w:ascii="宋体" w:hAnsi="宋体" w:cs="宋体"/>
          <w:color w:val="auto"/>
          <w:szCs w:val="21"/>
          <w:highlight w:val="none"/>
          <w:lang w:val="en-US" w:eastAsia="zh-CN" w:bidi="ar"/>
        </w:rPr>
        <w:t>维修保养服务方案</w:t>
      </w:r>
      <w:r>
        <w:rPr>
          <w:rFonts w:hint="default" w:ascii="宋体" w:hAnsi="宋体" w:eastAsia="宋体" w:cs="宋体"/>
          <w:color w:val="auto"/>
          <w:szCs w:val="21"/>
          <w:highlight w:val="none"/>
          <w:lang w:val="en-US" w:eastAsia="zh-CN" w:bidi="ar"/>
        </w:rPr>
        <w:t>基本涵盖故障响应时间及故障解决方案等核心内容，虽表述方式较为简略，但服务内容总体可行，符合基础</w:t>
      </w:r>
      <w:r>
        <w:rPr>
          <w:rFonts w:hint="eastAsia" w:ascii="宋体" w:hAnsi="宋体" w:cs="宋体"/>
          <w:color w:val="auto"/>
          <w:szCs w:val="21"/>
          <w:highlight w:val="none"/>
          <w:lang w:val="en-US" w:eastAsia="zh-CN" w:bidi="ar"/>
        </w:rPr>
        <w:t>维修保养</w:t>
      </w:r>
      <w:r>
        <w:rPr>
          <w:rFonts w:hint="default" w:ascii="宋体" w:hAnsi="宋体" w:eastAsia="宋体" w:cs="宋体"/>
          <w:color w:val="auto"/>
          <w:szCs w:val="21"/>
          <w:highlight w:val="none"/>
          <w:lang w:val="en-US" w:eastAsia="zh-CN" w:bidi="ar"/>
        </w:rPr>
        <w:t>要求。该方案反映出供应商具备基本服务意识，但在服务深度与范围方面仍需进一步提升。</w:t>
      </w:r>
    </w:p>
    <w:p w14:paraId="78292C04">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w:t>
      </w:r>
      <w:r>
        <w:rPr>
          <w:rFonts w:hint="eastAsia" w:ascii="宋体" w:hAnsi="宋体" w:cs="宋体"/>
          <w:color w:val="auto"/>
          <w:szCs w:val="21"/>
          <w:highlight w:val="none"/>
          <w:lang w:val="en-US" w:eastAsia="zh-CN" w:bidi="ar"/>
        </w:rPr>
        <w:t>18</w:t>
      </w:r>
      <w:r>
        <w:rPr>
          <w:rFonts w:hint="default" w:ascii="宋体" w:hAnsi="宋体" w:eastAsia="宋体" w:cs="宋体"/>
          <w:color w:val="auto"/>
          <w:szCs w:val="21"/>
          <w:highlight w:val="none"/>
          <w:lang w:val="en-US" w:eastAsia="zh-CN" w:bidi="ar"/>
        </w:rPr>
        <w:t>分）：</w:t>
      </w:r>
      <w:r>
        <w:rPr>
          <w:rFonts w:hint="eastAsia" w:ascii="宋体" w:hAnsi="宋体" w:cs="宋体"/>
          <w:color w:val="auto"/>
          <w:szCs w:val="21"/>
          <w:highlight w:val="none"/>
          <w:lang w:val="en-US" w:eastAsia="zh-CN" w:bidi="ar"/>
        </w:rPr>
        <w:t>供应商</w:t>
      </w:r>
      <w:r>
        <w:rPr>
          <w:rFonts w:hint="default" w:ascii="宋体" w:hAnsi="宋体" w:eastAsia="宋体" w:cs="宋体"/>
          <w:color w:val="auto"/>
          <w:szCs w:val="21"/>
          <w:highlight w:val="none"/>
          <w:lang w:val="en-US" w:eastAsia="zh-CN" w:bidi="ar"/>
        </w:rPr>
        <w:t>提供的</w:t>
      </w:r>
      <w:r>
        <w:rPr>
          <w:rFonts w:hint="eastAsia" w:ascii="宋体" w:hAnsi="宋体" w:cs="宋体"/>
          <w:color w:val="auto"/>
          <w:szCs w:val="21"/>
          <w:highlight w:val="none"/>
          <w:lang w:val="en-US" w:eastAsia="zh-CN" w:bidi="ar"/>
        </w:rPr>
        <w:t>维修保养服务方案</w:t>
      </w:r>
      <w:r>
        <w:rPr>
          <w:rFonts w:hint="default" w:ascii="宋体" w:hAnsi="宋体" w:eastAsia="宋体" w:cs="宋体"/>
          <w:color w:val="auto"/>
          <w:szCs w:val="21"/>
          <w:highlight w:val="none"/>
          <w:lang w:val="en-US" w:eastAsia="zh-CN" w:bidi="ar"/>
        </w:rPr>
        <w:t>在基础内容基础上，增加了维修人员派遣计划等具体措施，对各类故障情形均有明确的应对方案。方案体现出较强的针对性和专业性，具备较高的服务组织能力，可提供较为完善的</w:t>
      </w:r>
      <w:r>
        <w:rPr>
          <w:rFonts w:hint="eastAsia" w:ascii="宋体" w:hAnsi="宋体" w:cs="宋体"/>
          <w:color w:val="auto"/>
          <w:szCs w:val="21"/>
          <w:highlight w:val="none"/>
          <w:lang w:val="en-US" w:eastAsia="zh-CN" w:bidi="ar"/>
        </w:rPr>
        <w:t>维修保养</w:t>
      </w:r>
      <w:r>
        <w:rPr>
          <w:rFonts w:hint="default" w:ascii="宋体" w:hAnsi="宋体" w:eastAsia="宋体" w:cs="宋体"/>
          <w:color w:val="auto"/>
          <w:szCs w:val="21"/>
          <w:highlight w:val="none"/>
          <w:lang w:val="en-US" w:eastAsia="zh-CN" w:bidi="ar"/>
        </w:rPr>
        <w:t>服务。</w:t>
      </w:r>
    </w:p>
    <w:p w14:paraId="779B9ABE">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四档（</w:t>
      </w:r>
      <w:r>
        <w:rPr>
          <w:rFonts w:hint="eastAsia" w:ascii="宋体" w:hAnsi="宋体" w:cs="宋体"/>
          <w:color w:val="auto"/>
          <w:szCs w:val="21"/>
          <w:highlight w:val="none"/>
          <w:lang w:val="en-US" w:eastAsia="zh-CN" w:bidi="ar"/>
        </w:rPr>
        <w:t>24</w:t>
      </w:r>
      <w:r>
        <w:rPr>
          <w:rFonts w:hint="default" w:ascii="宋体" w:hAnsi="宋体" w:eastAsia="宋体" w:cs="宋体"/>
          <w:color w:val="auto"/>
          <w:szCs w:val="21"/>
          <w:highlight w:val="none"/>
          <w:lang w:val="en-US" w:eastAsia="zh-CN" w:bidi="ar"/>
        </w:rPr>
        <w:t>分）：</w:t>
      </w:r>
      <w:r>
        <w:rPr>
          <w:rFonts w:hint="eastAsia" w:ascii="宋体" w:hAnsi="宋体" w:cs="宋体"/>
          <w:color w:val="auto"/>
          <w:szCs w:val="21"/>
          <w:highlight w:val="none"/>
          <w:lang w:val="en-US" w:eastAsia="zh-CN" w:bidi="ar"/>
        </w:rPr>
        <w:t>供应商</w:t>
      </w:r>
      <w:r>
        <w:rPr>
          <w:rFonts w:hint="default" w:ascii="宋体" w:hAnsi="宋体" w:eastAsia="宋体" w:cs="宋体"/>
          <w:color w:val="auto"/>
          <w:szCs w:val="21"/>
          <w:highlight w:val="none"/>
          <w:lang w:val="en-US" w:eastAsia="zh-CN" w:bidi="ar"/>
        </w:rPr>
        <w:t>提交的</w:t>
      </w:r>
      <w:r>
        <w:rPr>
          <w:rFonts w:hint="eastAsia" w:ascii="宋体" w:hAnsi="宋体" w:cs="宋体"/>
          <w:color w:val="auto"/>
          <w:szCs w:val="21"/>
          <w:highlight w:val="none"/>
          <w:lang w:val="en-US" w:eastAsia="zh-CN" w:bidi="ar"/>
        </w:rPr>
        <w:t>维修保养服务方案</w:t>
      </w:r>
      <w:r>
        <w:rPr>
          <w:rFonts w:hint="default" w:ascii="宋体" w:hAnsi="宋体" w:eastAsia="宋体" w:cs="宋体"/>
          <w:color w:val="auto"/>
          <w:szCs w:val="21"/>
          <w:highlight w:val="none"/>
          <w:lang w:val="en-US" w:eastAsia="zh-CN" w:bidi="ar"/>
        </w:rPr>
        <w:t>内容全面，涵盖故障响应、解决方案、人员调度及日常保养等环节，并制定了详细的服务标准。方案能紧密结合项目实际，提出具有前瞻性的服务措施，展现出过硬的专业素质和综合服务能力</w:t>
      </w:r>
      <w:r>
        <w:rPr>
          <w:rFonts w:hint="eastAsia" w:ascii="宋体" w:hAnsi="宋体" w:cs="宋体"/>
          <w:color w:val="auto"/>
          <w:szCs w:val="21"/>
          <w:highlight w:val="none"/>
          <w:lang w:val="en-US" w:eastAsia="zh-CN" w:bidi="ar"/>
        </w:rPr>
        <w:t>，承诺维保设备全年的开机率高于采购文件的要求</w:t>
      </w:r>
      <w:r>
        <w:rPr>
          <w:rFonts w:hint="default" w:ascii="宋体" w:hAnsi="宋体" w:eastAsia="宋体" w:cs="宋体"/>
          <w:color w:val="auto"/>
          <w:szCs w:val="21"/>
          <w:highlight w:val="none"/>
          <w:lang w:val="en-US" w:eastAsia="zh-CN" w:bidi="ar"/>
        </w:rPr>
        <w:t>。</w:t>
      </w:r>
    </w:p>
    <w:p w14:paraId="5923D6D1">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56180AFD">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（2）拟投入人员、备品备件方案（满分</w:t>
      </w:r>
      <w:r>
        <w:rPr>
          <w:rFonts w:hint="eastAsia" w:ascii="宋体" w:hAnsi="宋体" w:cs="宋体"/>
          <w:b/>
          <w:bCs/>
          <w:color w:val="auto"/>
          <w:szCs w:val="21"/>
          <w:highlight w:val="none"/>
          <w:lang w:val="en-US" w:eastAsia="zh-CN" w:bidi="ar"/>
        </w:rPr>
        <w:t>24</w:t>
      </w:r>
      <w:r>
        <w:rPr>
          <w:rFonts w:hint="default" w:ascii="宋体" w:hAnsi="宋体" w:eastAsia="宋体" w:cs="宋体"/>
          <w:b/>
          <w:bCs/>
          <w:color w:val="auto"/>
          <w:szCs w:val="21"/>
          <w:highlight w:val="none"/>
          <w:lang w:val="en-US" w:eastAsia="zh-CN" w:bidi="ar"/>
        </w:rPr>
        <w:t>分）</w:t>
      </w:r>
    </w:p>
    <w:p w14:paraId="167C983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w:t>
      </w:r>
      <w:r>
        <w:rPr>
          <w:rFonts w:hint="eastAsia" w:ascii="宋体" w:hAnsi="宋体" w:cs="宋体"/>
          <w:color w:val="auto"/>
          <w:szCs w:val="21"/>
          <w:highlight w:val="none"/>
          <w:lang w:val="en-US" w:eastAsia="zh-CN" w:bidi="ar"/>
        </w:rPr>
        <w:t>6</w:t>
      </w:r>
      <w:r>
        <w:rPr>
          <w:rFonts w:hint="default" w:ascii="宋体" w:hAnsi="宋体" w:eastAsia="宋体" w:cs="宋体"/>
          <w:color w:val="auto"/>
          <w:szCs w:val="21"/>
          <w:highlight w:val="none"/>
          <w:lang w:val="en-US" w:eastAsia="zh-CN" w:bidi="ar"/>
        </w:rPr>
        <w:t>分）：拟投入的</w:t>
      </w:r>
      <w:r>
        <w:rPr>
          <w:rFonts w:hint="eastAsia" w:ascii="宋体" w:hAnsi="宋体" w:cs="宋体"/>
          <w:color w:val="auto"/>
          <w:szCs w:val="21"/>
          <w:highlight w:val="none"/>
          <w:lang w:val="en-US" w:eastAsia="zh-CN" w:bidi="ar"/>
        </w:rPr>
        <w:t>维修工程师</w:t>
      </w:r>
      <w:r>
        <w:rPr>
          <w:rFonts w:hint="default" w:ascii="宋体" w:hAnsi="宋体" w:eastAsia="宋体" w:cs="宋体"/>
          <w:color w:val="auto"/>
          <w:szCs w:val="21"/>
          <w:highlight w:val="none"/>
          <w:lang w:val="en-US" w:eastAsia="zh-CN" w:bidi="ar"/>
        </w:rPr>
        <w:t>人数</w:t>
      </w:r>
      <w:r>
        <w:rPr>
          <w:rFonts w:hint="eastAsia" w:ascii="宋体" w:hAnsi="宋体" w:cs="宋体"/>
          <w:color w:val="auto"/>
          <w:szCs w:val="21"/>
          <w:highlight w:val="none"/>
          <w:lang w:val="en-US" w:eastAsia="zh-CN" w:bidi="ar"/>
        </w:rPr>
        <w:t>基本满足采购文件要求但</w:t>
      </w:r>
      <w:r>
        <w:rPr>
          <w:rFonts w:hint="default" w:ascii="宋体" w:hAnsi="宋体" w:eastAsia="宋体" w:cs="宋体"/>
          <w:color w:val="auto"/>
          <w:szCs w:val="21"/>
          <w:highlight w:val="none"/>
          <w:lang w:val="en-US" w:eastAsia="zh-CN" w:bidi="ar"/>
        </w:rPr>
        <w:t>经验不足，备品备件方案勉强达到维修需求，没有备件仓库。</w:t>
      </w:r>
    </w:p>
    <w:p w14:paraId="3BDF4C9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w:t>
      </w:r>
      <w:r>
        <w:rPr>
          <w:rFonts w:hint="eastAsia" w:ascii="宋体" w:hAnsi="宋体" w:cs="宋体"/>
          <w:color w:val="auto"/>
          <w:szCs w:val="21"/>
          <w:highlight w:val="none"/>
          <w:lang w:val="en-US" w:eastAsia="zh-CN" w:bidi="ar"/>
        </w:rPr>
        <w:t>12</w:t>
      </w:r>
      <w:r>
        <w:rPr>
          <w:rFonts w:hint="default" w:ascii="宋体" w:hAnsi="宋体" w:eastAsia="宋体" w:cs="宋体"/>
          <w:color w:val="auto"/>
          <w:szCs w:val="21"/>
          <w:highlight w:val="none"/>
          <w:lang w:val="en-US" w:eastAsia="zh-CN" w:bidi="ar"/>
        </w:rPr>
        <w:t>分）：拟投入的</w:t>
      </w:r>
      <w:r>
        <w:rPr>
          <w:rFonts w:hint="eastAsia" w:ascii="宋体" w:hAnsi="宋体" w:cs="宋体"/>
          <w:color w:val="auto"/>
          <w:szCs w:val="21"/>
          <w:highlight w:val="none"/>
          <w:lang w:val="en-US" w:eastAsia="zh-CN" w:bidi="ar"/>
        </w:rPr>
        <w:t>维修工程师</w:t>
      </w:r>
      <w:r>
        <w:rPr>
          <w:rFonts w:hint="default" w:ascii="宋体" w:hAnsi="宋体" w:eastAsia="宋体" w:cs="宋体"/>
          <w:color w:val="auto"/>
          <w:szCs w:val="21"/>
          <w:highlight w:val="none"/>
          <w:lang w:val="en-US" w:eastAsia="zh-CN" w:bidi="ar"/>
        </w:rPr>
        <w:t>人数</w:t>
      </w:r>
      <w:r>
        <w:rPr>
          <w:rFonts w:hint="eastAsia" w:ascii="宋体" w:hAnsi="宋体" w:cs="宋体"/>
          <w:color w:val="auto"/>
          <w:szCs w:val="21"/>
          <w:highlight w:val="none"/>
          <w:lang w:val="en-US" w:eastAsia="zh-CN" w:bidi="ar"/>
        </w:rPr>
        <w:t>完全</w:t>
      </w:r>
      <w:r>
        <w:rPr>
          <w:rFonts w:hint="default" w:ascii="宋体" w:hAnsi="宋体" w:eastAsia="宋体" w:cs="宋体"/>
          <w:color w:val="auto"/>
          <w:szCs w:val="21"/>
          <w:highlight w:val="none"/>
          <w:lang w:val="en-US" w:eastAsia="zh-CN" w:bidi="ar"/>
        </w:rPr>
        <w:t xml:space="preserve">满足采购文件要求，备品备件方案设计科学合理，能够充分保障基本维修需求，并提供规范的备件调配流程说明，包括基础信息传递路径和基本调配步骤，确保常规情况下备件调配及时有效。 </w:t>
      </w:r>
    </w:p>
    <w:p w14:paraId="571AD31E">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w:t>
      </w:r>
      <w:r>
        <w:rPr>
          <w:rFonts w:hint="eastAsia" w:ascii="宋体" w:hAnsi="宋体" w:cs="宋体"/>
          <w:color w:val="auto"/>
          <w:szCs w:val="21"/>
          <w:highlight w:val="none"/>
          <w:lang w:val="en-US" w:eastAsia="zh-CN" w:bidi="ar"/>
        </w:rPr>
        <w:t>18</w:t>
      </w:r>
      <w:r>
        <w:rPr>
          <w:rFonts w:hint="default" w:ascii="宋体" w:hAnsi="宋体" w:eastAsia="宋体" w:cs="宋体"/>
          <w:color w:val="auto"/>
          <w:szCs w:val="21"/>
          <w:highlight w:val="none"/>
          <w:lang w:val="en-US" w:eastAsia="zh-CN" w:bidi="ar"/>
        </w:rPr>
        <w:t>分）：拟投入的维修工程师</w:t>
      </w:r>
      <w:r>
        <w:rPr>
          <w:rFonts w:hint="eastAsia" w:ascii="宋体" w:hAnsi="宋体" w:cs="宋体"/>
          <w:color w:val="auto"/>
          <w:szCs w:val="21"/>
          <w:highlight w:val="none"/>
          <w:lang w:val="en-US" w:eastAsia="zh-CN" w:bidi="ar"/>
        </w:rPr>
        <w:t>人数超出采购文件要求</w:t>
      </w:r>
      <w:r>
        <w:rPr>
          <w:rFonts w:hint="default" w:ascii="宋体" w:hAnsi="宋体" w:eastAsia="宋体" w:cs="宋体"/>
          <w:color w:val="auto"/>
          <w:szCs w:val="21"/>
          <w:highlight w:val="none"/>
          <w:lang w:val="en-US" w:eastAsia="zh-CN" w:bidi="ar"/>
        </w:rPr>
        <w:t>，备品备件方案全面覆盖采购需求，备件种类基本涵盖主要维修场景所需，备件调配流程完整清晰，同时包含对备件供应链有效性的评估论证，详细说明采购渠道可靠性及多样性，以及科学的库存管理方法，确保备件供应稳定性强、持续性好，切实提升维修效率。能提供远程连接诊断、安全升级服务</w:t>
      </w:r>
      <w:r>
        <w:rPr>
          <w:rFonts w:hint="eastAsia" w:ascii="宋体" w:hAnsi="宋体" w:cs="宋体"/>
          <w:color w:val="auto"/>
          <w:szCs w:val="21"/>
          <w:highlight w:val="none"/>
          <w:lang w:val="en-US" w:eastAsia="zh-CN" w:bidi="ar"/>
        </w:rPr>
        <w:t>，</w:t>
      </w:r>
      <w:r>
        <w:rPr>
          <w:rFonts w:hint="default" w:ascii="宋体" w:hAnsi="宋体" w:eastAsia="宋体" w:cs="宋体"/>
          <w:color w:val="auto"/>
          <w:szCs w:val="21"/>
          <w:highlight w:val="none"/>
          <w:lang w:val="en-US" w:eastAsia="zh-CN" w:bidi="ar"/>
        </w:rPr>
        <w:t>具备在线网络设备管理工具，可实时了解设备维护及使用信息</w:t>
      </w:r>
      <w:r>
        <w:rPr>
          <w:rFonts w:hint="eastAsia" w:ascii="宋体" w:hAnsi="宋体" w:cs="宋体"/>
          <w:color w:val="auto"/>
          <w:szCs w:val="21"/>
          <w:highlight w:val="none"/>
          <w:lang w:val="en-US" w:eastAsia="zh-CN" w:bidi="ar"/>
        </w:rPr>
        <w:t>。</w:t>
      </w:r>
    </w:p>
    <w:p w14:paraId="7FB5D13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四档（</w:t>
      </w:r>
      <w:r>
        <w:rPr>
          <w:rFonts w:hint="eastAsia" w:ascii="宋体" w:hAnsi="宋体" w:cs="宋体"/>
          <w:color w:val="auto"/>
          <w:szCs w:val="21"/>
          <w:highlight w:val="none"/>
          <w:lang w:val="en-US" w:eastAsia="zh-CN" w:bidi="ar"/>
        </w:rPr>
        <w:t>24</w:t>
      </w:r>
      <w:r>
        <w:rPr>
          <w:rFonts w:hint="default" w:ascii="宋体" w:hAnsi="宋体" w:eastAsia="宋体" w:cs="宋体"/>
          <w:color w:val="auto"/>
          <w:szCs w:val="21"/>
          <w:highlight w:val="none"/>
          <w:lang w:val="en-US" w:eastAsia="zh-CN" w:bidi="ar"/>
        </w:rPr>
        <w:t>分）：拟投入的维修工程师人数超出采购文件要求，备品备件方案相比采购需求更加优化完善，备件种类齐全，能够覆盖所有潜在维修需求，配备详细科学的备件调配流程设计，各环节衔接紧密合理，同时提供完整的备件供应链有效性分析报告，包含多元化、可靠的采购渠道说明，采用先进库存管理技术，建立完善供应链管理体系，对备件供应响应时间、供货周期及质量要求均作出明确承诺和保障，确保维修高效持续。全国范围内拥有</w:t>
      </w:r>
      <w:r>
        <w:rPr>
          <w:rFonts w:hint="eastAsia" w:ascii="宋体" w:hAnsi="宋体" w:cs="宋体"/>
          <w:color w:val="auto"/>
          <w:szCs w:val="21"/>
          <w:highlight w:val="none"/>
          <w:lang w:val="en-US" w:eastAsia="zh-CN" w:bidi="ar"/>
        </w:rPr>
        <w:t>至少1个</w:t>
      </w:r>
      <w:r>
        <w:rPr>
          <w:rFonts w:hint="default" w:ascii="宋体" w:hAnsi="宋体" w:eastAsia="宋体" w:cs="宋体"/>
          <w:color w:val="auto"/>
          <w:szCs w:val="21"/>
          <w:highlight w:val="none"/>
          <w:lang w:val="en-US" w:eastAsia="zh-CN" w:bidi="ar"/>
        </w:rPr>
        <w:t>仓库，作为备件储备，包含常规使用的零备件（提供</w:t>
      </w:r>
      <w:r>
        <w:rPr>
          <w:rFonts w:hint="eastAsia" w:ascii="宋体" w:hAnsi="宋体" w:cs="宋体"/>
          <w:color w:val="auto"/>
          <w:szCs w:val="21"/>
          <w:highlight w:val="none"/>
          <w:lang w:val="en-US" w:eastAsia="zh-CN" w:bidi="ar"/>
        </w:rPr>
        <w:t>相关证明材料，可以是</w:t>
      </w:r>
      <w:r>
        <w:rPr>
          <w:rFonts w:hint="default" w:ascii="宋体" w:hAnsi="宋体" w:eastAsia="宋体" w:cs="宋体"/>
          <w:color w:val="auto"/>
          <w:szCs w:val="21"/>
          <w:highlight w:val="none"/>
          <w:lang w:val="en-US" w:eastAsia="zh-CN" w:bidi="ar"/>
        </w:rPr>
        <w:t>仓库平面图</w:t>
      </w:r>
      <w:r>
        <w:rPr>
          <w:rFonts w:hint="eastAsia" w:ascii="宋体" w:hAnsi="宋体" w:cs="宋体"/>
          <w:color w:val="auto"/>
          <w:szCs w:val="21"/>
          <w:highlight w:val="none"/>
          <w:lang w:val="en-US" w:eastAsia="zh-CN" w:bidi="ar"/>
        </w:rPr>
        <w:t>、</w:t>
      </w:r>
      <w:r>
        <w:rPr>
          <w:rFonts w:hint="default" w:ascii="宋体" w:hAnsi="宋体" w:eastAsia="宋体" w:cs="宋体"/>
          <w:color w:val="auto"/>
          <w:szCs w:val="21"/>
          <w:highlight w:val="none"/>
          <w:lang w:val="en-US" w:eastAsia="zh-CN" w:bidi="ar"/>
        </w:rPr>
        <w:t>租赁合同</w:t>
      </w:r>
      <w:r>
        <w:rPr>
          <w:rFonts w:hint="eastAsia" w:ascii="宋体" w:hAnsi="宋体" w:cs="宋体"/>
          <w:color w:val="auto"/>
          <w:szCs w:val="21"/>
          <w:highlight w:val="none"/>
          <w:lang w:val="en-US" w:eastAsia="zh-CN" w:bidi="ar"/>
        </w:rPr>
        <w:t>等</w:t>
      </w:r>
      <w:r>
        <w:rPr>
          <w:rFonts w:hint="default" w:ascii="宋体" w:hAnsi="宋体" w:eastAsia="宋体" w:cs="宋体"/>
          <w:color w:val="auto"/>
          <w:szCs w:val="21"/>
          <w:highlight w:val="none"/>
          <w:lang w:val="en-US" w:eastAsia="zh-CN" w:bidi="ar"/>
        </w:rPr>
        <w:t>复印件）。能提供远程连接诊断、安全升级服务</w:t>
      </w:r>
      <w:r>
        <w:rPr>
          <w:rFonts w:hint="eastAsia" w:ascii="宋体" w:hAnsi="宋体" w:cs="宋体"/>
          <w:color w:val="auto"/>
          <w:szCs w:val="21"/>
          <w:highlight w:val="none"/>
          <w:lang w:val="en-US" w:eastAsia="zh-CN" w:bidi="ar"/>
        </w:rPr>
        <w:t>，</w:t>
      </w:r>
      <w:r>
        <w:rPr>
          <w:rFonts w:hint="default" w:ascii="宋体" w:hAnsi="宋体" w:eastAsia="宋体" w:cs="宋体"/>
          <w:color w:val="auto"/>
          <w:szCs w:val="21"/>
          <w:highlight w:val="none"/>
          <w:lang w:val="en-US" w:eastAsia="zh-CN" w:bidi="ar"/>
        </w:rPr>
        <w:t>具备在线网络设备管理工具，可实时了解设备维护及使用信息</w:t>
      </w:r>
      <w:r>
        <w:rPr>
          <w:rFonts w:hint="eastAsia" w:ascii="宋体" w:hAnsi="宋体" w:cs="宋体"/>
          <w:color w:val="auto"/>
          <w:szCs w:val="21"/>
          <w:highlight w:val="none"/>
          <w:lang w:val="en-US" w:eastAsia="zh-CN" w:bidi="ar"/>
        </w:rPr>
        <w:t>。</w:t>
      </w:r>
    </w:p>
    <w:p w14:paraId="1B875D2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74511B20">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（3）质量保障方案分（满分</w:t>
      </w:r>
      <w:r>
        <w:rPr>
          <w:rFonts w:hint="eastAsia" w:ascii="宋体" w:hAnsi="宋体" w:cs="宋体"/>
          <w:b/>
          <w:bCs/>
          <w:color w:val="auto"/>
          <w:szCs w:val="21"/>
          <w:highlight w:val="none"/>
          <w:lang w:val="en-US" w:eastAsia="zh-CN" w:bidi="ar"/>
        </w:rPr>
        <w:t>20</w:t>
      </w:r>
      <w:r>
        <w:rPr>
          <w:rFonts w:hint="default" w:ascii="宋体" w:hAnsi="宋体" w:eastAsia="宋体" w:cs="宋体"/>
          <w:b/>
          <w:bCs/>
          <w:color w:val="auto"/>
          <w:szCs w:val="21"/>
          <w:highlight w:val="none"/>
          <w:lang w:val="en-US" w:eastAsia="zh-CN" w:bidi="ar"/>
        </w:rPr>
        <w:t>分）</w:t>
      </w:r>
    </w:p>
    <w:p w14:paraId="5CE3E42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w:t>
      </w:r>
      <w:r>
        <w:rPr>
          <w:rFonts w:hint="eastAsia" w:ascii="宋体" w:hAnsi="宋体" w:cs="宋体"/>
          <w:color w:val="auto"/>
          <w:szCs w:val="21"/>
          <w:highlight w:val="none"/>
          <w:lang w:val="en-US" w:eastAsia="zh-CN" w:bidi="ar"/>
        </w:rPr>
        <w:t>8</w:t>
      </w:r>
      <w:r>
        <w:rPr>
          <w:rFonts w:hint="default" w:ascii="宋体" w:hAnsi="宋体" w:eastAsia="宋体" w:cs="宋体"/>
          <w:color w:val="auto"/>
          <w:szCs w:val="21"/>
          <w:highlight w:val="none"/>
          <w:lang w:val="en-US" w:eastAsia="zh-CN" w:bidi="ar"/>
        </w:rPr>
        <w:t>分）：质量保障方案能满足本项目需求，保障措施有基本的服务流程说明、安排</w:t>
      </w:r>
      <w:r>
        <w:rPr>
          <w:rFonts w:hint="eastAsia" w:ascii="宋体" w:hAnsi="宋体" w:cs="宋体"/>
          <w:color w:val="auto"/>
          <w:szCs w:val="21"/>
          <w:highlight w:val="none"/>
          <w:lang w:val="en-US" w:eastAsia="zh-CN" w:bidi="ar"/>
        </w:rPr>
        <w:t>，</w:t>
      </w:r>
      <w:r>
        <w:rPr>
          <w:rFonts w:hint="default" w:ascii="宋体" w:hAnsi="宋体" w:eastAsia="宋体" w:cs="宋体"/>
          <w:color w:val="auto"/>
          <w:szCs w:val="21"/>
          <w:highlight w:val="none"/>
          <w:lang w:val="en-US" w:eastAsia="zh-CN" w:bidi="ar"/>
        </w:rPr>
        <w:t>有简要应急保障措施</w:t>
      </w:r>
      <w:r>
        <w:rPr>
          <w:rFonts w:hint="eastAsia" w:ascii="宋体" w:hAnsi="宋体" w:eastAsia="宋体" w:cs="宋体"/>
          <w:color w:val="auto"/>
          <w:szCs w:val="21"/>
          <w:highlight w:val="none"/>
          <w:lang w:val="en-US" w:eastAsia="zh-CN" w:bidi="ar"/>
        </w:rPr>
        <w:t>。</w:t>
      </w:r>
    </w:p>
    <w:p w14:paraId="0B39601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w:t>
      </w:r>
      <w:r>
        <w:rPr>
          <w:rFonts w:hint="eastAsia" w:ascii="宋体" w:hAnsi="宋体" w:cs="宋体"/>
          <w:color w:val="auto"/>
          <w:szCs w:val="21"/>
          <w:highlight w:val="none"/>
          <w:lang w:val="en-US" w:eastAsia="zh-CN" w:bidi="ar"/>
        </w:rPr>
        <w:t>16</w:t>
      </w:r>
      <w:r>
        <w:rPr>
          <w:rFonts w:hint="default" w:ascii="宋体" w:hAnsi="宋体" w:eastAsia="宋体" w:cs="宋体"/>
          <w:color w:val="auto"/>
          <w:szCs w:val="21"/>
          <w:highlight w:val="none"/>
          <w:lang w:val="en-US" w:eastAsia="zh-CN" w:bidi="ar"/>
        </w:rPr>
        <w:t>分）：质量保障方案详细具体且整体措施周到，服务流程说明、安排条理清晰，承诺出现线上技术支持无法解决设备故障能</w:t>
      </w:r>
      <w:r>
        <w:rPr>
          <w:rFonts w:hint="eastAsia" w:ascii="宋体" w:hAnsi="宋体" w:cs="宋体"/>
          <w:color w:val="auto"/>
          <w:szCs w:val="21"/>
          <w:highlight w:val="none"/>
          <w:lang w:val="en-US" w:eastAsia="zh-CN" w:bidi="ar"/>
        </w:rPr>
        <w:t>比采购文件中要求的时间提前2小时进行维修</w:t>
      </w:r>
      <w:r>
        <w:rPr>
          <w:rFonts w:hint="default" w:ascii="宋体" w:hAnsi="宋体" w:eastAsia="宋体" w:cs="宋体"/>
          <w:color w:val="auto"/>
          <w:szCs w:val="21"/>
          <w:highlight w:val="none"/>
          <w:lang w:val="en-US" w:eastAsia="zh-CN" w:bidi="ar"/>
        </w:rPr>
        <w:t xml:space="preserve">处理，提供有应急预案，质量保障措施满足项目需求。 </w:t>
      </w:r>
    </w:p>
    <w:p w14:paraId="601FB8C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w:t>
      </w:r>
      <w:r>
        <w:rPr>
          <w:rFonts w:hint="eastAsia" w:ascii="宋体" w:hAnsi="宋体" w:cs="宋体"/>
          <w:color w:val="auto"/>
          <w:szCs w:val="21"/>
          <w:highlight w:val="none"/>
          <w:lang w:val="en-US" w:eastAsia="zh-CN" w:bidi="ar"/>
        </w:rPr>
        <w:t>20</w:t>
      </w:r>
      <w:r>
        <w:rPr>
          <w:rFonts w:hint="default" w:ascii="宋体" w:hAnsi="宋体" w:eastAsia="宋体" w:cs="宋体"/>
          <w:color w:val="auto"/>
          <w:szCs w:val="21"/>
          <w:highlight w:val="none"/>
          <w:lang w:val="en-US" w:eastAsia="zh-CN" w:bidi="ar"/>
        </w:rPr>
        <w:t>分）：质量保障方案内容全面清晰完整，整体保障措施详细、目标明确，提供详细完整的服务流程表、各项工作安排条理清晰有序，承诺出现线上技术支持无法解决设备故障能比采购文件</w:t>
      </w:r>
      <w:r>
        <w:rPr>
          <w:rFonts w:hint="eastAsia" w:ascii="宋体" w:hAnsi="宋体" w:cs="宋体"/>
          <w:color w:val="auto"/>
          <w:szCs w:val="21"/>
          <w:highlight w:val="none"/>
          <w:lang w:val="en-US" w:eastAsia="zh-CN" w:bidi="ar"/>
        </w:rPr>
        <w:t>中</w:t>
      </w:r>
      <w:r>
        <w:rPr>
          <w:rFonts w:hint="default" w:ascii="宋体" w:hAnsi="宋体" w:eastAsia="宋体" w:cs="宋体"/>
          <w:color w:val="auto"/>
          <w:szCs w:val="21"/>
          <w:highlight w:val="none"/>
          <w:lang w:val="en-US" w:eastAsia="zh-CN" w:bidi="ar"/>
        </w:rPr>
        <w:t>要求的时间提前</w:t>
      </w:r>
      <w:r>
        <w:rPr>
          <w:rFonts w:hint="eastAsia" w:ascii="宋体" w:hAnsi="宋体" w:cs="宋体"/>
          <w:color w:val="auto"/>
          <w:szCs w:val="21"/>
          <w:highlight w:val="none"/>
          <w:lang w:val="en-US" w:eastAsia="zh-CN" w:bidi="ar"/>
        </w:rPr>
        <w:t>4</w:t>
      </w:r>
      <w:r>
        <w:rPr>
          <w:rFonts w:hint="default" w:ascii="宋体" w:hAnsi="宋体" w:eastAsia="宋体" w:cs="宋体"/>
          <w:color w:val="auto"/>
          <w:szCs w:val="21"/>
          <w:highlight w:val="none"/>
          <w:lang w:val="en-US" w:eastAsia="zh-CN" w:bidi="ar"/>
        </w:rPr>
        <w:t>小时进行维修处理，应急预案安排详细具体且科学合理，保障措施完善，有针对性，能保证项目需求保质保量按时完成。</w:t>
      </w:r>
    </w:p>
    <w:p w14:paraId="0EF152A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2C48F6AE">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color w:val="auto"/>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.商务</w:t>
      </w:r>
      <w:r>
        <w:rPr>
          <w:rFonts w:hint="eastAsia" w:ascii="宋体" w:hAnsi="宋体"/>
          <w:b/>
          <w:color w:val="auto"/>
          <w:szCs w:val="21"/>
          <w:highlight w:val="none"/>
        </w:rPr>
        <w:t>分………………………………………………………………………………………………………</w:t>
      </w:r>
      <w:r>
        <w:rPr>
          <w:rFonts w:hint="eastAsia" w:ascii="宋体" w:hAnsi="宋体"/>
          <w:b/>
          <w:color w:val="auto"/>
          <w:szCs w:val="21"/>
          <w:highlight w:val="none"/>
          <w:lang w:val="en-US" w:eastAsia="zh-CN"/>
        </w:rPr>
        <w:t>12</w:t>
      </w:r>
      <w:r>
        <w:rPr>
          <w:rFonts w:hint="eastAsia" w:ascii="宋体" w:hAnsi="宋体"/>
          <w:b/>
          <w:color w:val="auto"/>
          <w:szCs w:val="21"/>
          <w:highlight w:val="none"/>
        </w:rPr>
        <w:t>分</w:t>
      </w:r>
      <w:r>
        <w:rPr>
          <w:rFonts w:hint="eastAsia" w:ascii="宋体" w:hAnsi="宋体"/>
          <w:color w:val="auto"/>
          <w:highlight w:val="none"/>
        </w:rPr>
        <w:t xml:space="preserve">   </w:t>
      </w:r>
    </w:p>
    <w:p w14:paraId="222C0EEE">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lang w:val="en-US" w:eastAsia="zh-CN"/>
        </w:rPr>
      </w:pPr>
      <w:bookmarkStart w:id="86" w:name="_GoBack"/>
      <w:r>
        <w:rPr>
          <w:rFonts w:hint="eastAsia" w:ascii="宋体" w:hAnsi="宋体"/>
          <w:color w:val="auto"/>
          <w:highlight w:val="none"/>
        </w:rPr>
        <w:t>供应商自2023年1月1日以来承接过与本次采购内容类似项目业绩的，每项得</w:t>
      </w:r>
      <w:r>
        <w:rPr>
          <w:rFonts w:hint="eastAsia" w:ascii="宋体" w:hAnsi="宋体"/>
          <w:color w:val="auto"/>
          <w:highlight w:val="none"/>
          <w:lang w:val="en-US" w:eastAsia="zh-CN"/>
        </w:rPr>
        <w:t>2</w:t>
      </w:r>
      <w:r>
        <w:rPr>
          <w:rFonts w:hint="eastAsia" w:ascii="宋体" w:hAnsi="宋体"/>
          <w:color w:val="auto"/>
          <w:highlight w:val="none"/>
        </w:rPr>
        <w:t>分，满分</w:t>
      </w:r>
      <w:r>
        <w:rPr>
          <w:rFonts w:hint="eastAsia" w:ascii="宋体" w:hAnsi="宋体"/>
          <w:color w:val="auto"/>
          <w:highlight w:val="none"/>
          <w:lang w:val="en-US" w:eastAsia="zh-CN"/>
        </w:rPr>
        <w:t>12</w:t>
      </w:r>
      <w:r>
        <w:rPr>
          <w:rFonts w:hint="eastAsia" w:ascii="宋体" w:hAnsi="宋体"/>
          <w:color w:val="auto"/>
          <w:highlight w:val="none"/>
        </w:rPr>
        <w:t>分。[以中标（成交）通知书或合同复印件为准]</w:t>
      </w:r>
      <w:bookmarkEnd w:id="86"/>
    </w:p>
    <w:p w14:paraId="2726A05F">
      <w:pPr>
        <w:pStyle w:val="21"/>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=1 + 2 + 3</w:t>
      </w:r>
      <w:r>
        <w:rPr>
          <w:rFonts w:hint="eastAsia" w:ascii="宋体" w:hAnsi="宋体"/>
          <w:b/>
          <w:color w:val="auto"/>
          <w:szCs w:val="21"/>
          <w:highlight w:val="none"/>
        </w:rPr>
        <w:t>。</w:t>
      </w:r>
    </w:p>
    <w:p w14:paraId="506D3D09">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b/>
          <w:bCs/>
          <w:color w:val="auto"/>
          <w:szCs w:val="21"/>
          <w:highlight w:val="none"/>
        </w:rPr>
      </w:pPr>
      <w:r>
        <w:rPr>
          <w:rFonts w:hint="eastAsia" w:ascii="宋体" w:hAnsi="宋体"/>
          <w:b/>
          <w:bCs/>
          <w:color w:val="auto"/>
          <w:szCs w:val="21"/>
          <w:highlight w:val="none"/>
        </w:rPr>
        <w:t>三、成交候选供应商推荐原则</w:t>
      </w:r>
    </w:p>
    <w:p w14:paraId="64C4861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cs="Times New Roman"/>
          <w:color w:val="auto"/>
          <w:highlight w:val="none"/>
        </w:rPr>
      </w:pPr>
      <w:r>
        <w:rPr>
          <w:rFonts w:hint="eastAsia" w:hAnsi="宋体" w:cs="Times New Roman"/>
          <w:color w:val="auto"/>
          <w:highlight w:val="none"/>
        </w:rPr>
        <w:t>（一）</w:t>
      </w:r>
      <w:r>
        <w:rPr>
          <w:rFonts w:hint="eastAsia" w:ascii="宋体" w:hAnsi="Courier New" w:eastAsia="宋体" w:cs="Courier New"/>
          <w:color w:val="auto"/>
          <w:highlight w:val="none"/>
        </w:rPr>
        <w:t>磋商</w:t>
      </w:r>
      <w:r>
        <w:rPr>
          <w:rFonts w:hint="eastAsia" w:hAnsi="宋体" w:cs="Times New Roman"/>
          <w:color w:val="auto"/>
          <w:highlight w:val="none"/>
        </w:rPr>
        <w:t>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7BCAE493">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（二）供应商</w:t>
      </w:r>
      <w:r>
        <w:rPr>
          <w:rFonts w:hint="eastAsia" w:hAnsi="宋体"/>
          <w:color w:val="auto"/>
          <w:szCs w:val="21"/>
          <w:highlight w:val="none"/>
          <w:lang w:val="en-US" w:eastAsia="zh-CN"/>
        </w:rPr>
        <w:t>的报价存在异常低价的情形，应启动异常低价投标（响应）审查程序。详见本章价格评分第（4）点</w:t>
      </w:r>
      <w:r>
        <w:rPr>
          <w:rFonts w:hint="eastAsia" w:ascii="宋体" w:hAnsi="宋体"/>
          <w:color w:val="auto"/>
          <w:szCs w:val="21"/>
          <w:highlight w:val="none"/>
        </w:rPr>
        <w:t>。</w:t>
      </w:r>
    </w:p>
    <w:p w14:paraId="1E8AFC58">
      <w:pPr>
        <w:pStyle w:val="21"/>
        <w:shd w:val="clear"/>
        <w:jc w:val="center"/>
        <w:rPr>
          <w:rFonts w:hint="eastAsia"/>
          <w:color w:val="auto"/>
          <w:highlight w:val="none"/>
        </w:rPr>
      </w:pPr>
    </w:p>
    <w:sectPr>
      <w:footerReference r:id="rId6" w:type="first"/>
      <w:headerReference r:id="rId3" w:type="default"/>
      <w:footerReference r:id="rId4" w:type="default"/>
      <w:footerReference r:id="rId5" w:type="even"/>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4036">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rPr>
      <w:t>39</w:t>
    </w:r>
    <w:r>
      <w:fldChar w:fldCharType="end"/>
    </w:r>
  </w:p>
  <w:p w14:paraId="7A4C4C98">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D1E5">
    <w:pPr>
      <w:pStyle w:val="25"/>
      <w:framePr w:wrap="around" w:vAnchor="text" w:hAnchor="margin" w:xAlign="center" w:y="1"/>
      <w:rPr>
        <w:rStyle w:val="38"/>
      </w:rPr>
    </w:pPr>
    <w:r>
      <w:fldChar w:fldCharType="begin"/>
    </w:r>
    <w:r>
      <w:rPr>
        <w:rStyle w:val="38"/>
      </w:rPr>
      <w:instrText xml:space="preserve">PAGE  </w:instrText>
    </w:r>
    <w:r>
      <w:fldChar w:fldCharType="separate"/>
    </w:r>
    <w:r>
      <w:fldChar w:fldCharType="end"/>
    </w:r>
  </w:p>
  <w:p w14:paraId="2D4A1440">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9407">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5515">
    <w:pPr>
      <w:pStyle w:val="26"/>
      <w:wordWrap w:val="0"/>
      <w:jc w:val="right"/>
      <w:rPr>
        <w:rFonts w:hint="eastAsia" w:ascii="宋体" w:hAnsi="宋体"/>
        <w:color w:val="000000"/>
      </w:rPr>
    </w:pPr>
    <w:r>
      <w:rPr>
        <w:rFonts w:hint="eastAsia" w:ascii="宋体" w:hAnsi="宋体"/>
        <w:color w:val="000000"/>
        <w:lang w:eastAsia="zh-CN"/>
      </w:rPr>
      <w:t>飞利浦牌CT模拟定位系统维保服务（重）</w:t>
    </w:r>
    <w:r>
      <w:rPr>
        <w:rFonts w:hint="eastAsia" w:ascii="宋体" w:hAnsi="宋体"/>
        <w:color w:val="000000"/>
      </w:rPr>
      <w:t>（</w:t>
    </w:r>
    <w:r>
      <w:rPr>
        <w:rFonts w:hint="eastAsia" w:ascii="宋体" w:hAnsi="宋体"/>
        <w:color w:val="000000"/>
        <w:lang w:eastAsia="zh-CN"/>
      </w:rPr>
      <w:t>GXZC2026-C3-001731-GLZB</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1B06F095"/>
    <w:multiLevelType w:val="singleLevel"/>
    <w:tmpl w:val="1B06F095"/>
    <w:lvl w:ilvl="0" w:tentative="0">
      <w:start w:val="2"/>
      <w:numFmt w:val="decimal"/>
      <w:suff w:val="nothing"/>
      <w:lvlText w:val="（%1）"/>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6161"/>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3B31C25"/>
    <w:rsid w:val="04193232"/>
    <w:rsid w:val="0A96786E"/>
    <w:rsid w:val="0B387AD1"/>
    <w:rsid w:val="0CD45A64"/>
    <w:rsid w:val="10867C4B"/>
    <w:rsid w:val="120E73FA"/>
    <w:rsid w:val="13151937"/>
    <w:rsid w:val="17931264"/>
    <w:rsid w:val="19037E97"/>
    <w:rsid w:val="197E7031"/>
    <w:rsid w:val="1A201A63"/>
    <w:rsid w:val="1EFB1F54"/>
    <w:rsid w:val="1FCC3B67"/>
    <w:rsid w:val="23410FA0"/>
    <w:rsid w:val="23573D8B"/>
    <w:rsid w:val="253B2EE9"/>
    <w:rsid w:val="276E05A8"/>
    <w:rsid w:val="278058D5"/>
    <w:rsid w:val="299711CA"/>
    <w:rsid w:val="29B93B1D"/>
    <w:rsid w:val="2A66275A"/>
    <w:rsid w:val="2A7901D0"/>
    <w:rsid w:val="2CEE1CB2"/>
    <w:rsid w:val="2D6F34B0"/>
    <w:rsid w:val="2DF41039"/>
    <w:rsid w:val="30224658"/>
    <w:rsid w:val="30BD4D57"/>
    <w:rsid w:val="33F638F3"/>
    <w:rsid w:val="370967F9"/>
    <w:rsid w:val="394D3006"/>
    <w:rsid w:val="39507FF1"/>
    <w:rsid w:val="395D152B"/>
    <w:rsid w:val="3EC87502"/>
    <w:rsid w:val="40CF5E4C"/>
    <w:rsid w:val="412339EB"/>
    <w:rsid w:val="43640F01"/>
    <w:rsid w:val="4464101C"/>
    <w:rsid w:val="458009AC"/>
    <w:rsid w:val="45EC5BCF"/>
    <w:rsid w:val="47B352E3"/>
    <w:rsid w:val="482E7210"/>
    <w:rsid w:val="48540D01"/>
    <w:rsid w:val="49125181"/>
    <w:rsid w:val="4AE62BAF"/>
    <w:rsid w:val="500D660A"/>
    <w:rsid w:val="53C76FD4"/>
    <w:rsid w:val="549F16B7"/>
    <w:rsid w:val="56D51C18"/>
    <w:rsid w:val="5CE8381C"/>
    <w:rsid w:val="5D99750E"/>
    <w:rsid w:val="5DD92006"/>
    <w:rsid w:val="5E3A5066"/>
    <w:rsid w:val="613B2F91"/>
    <w:rsid w:val="63875C13"/>
    <w:rsid w:val="6A4133F5"/>
    <w:rsid w:val="7043003D"/>
    <w:rsid w:val="73612BA8"/>
    <w:rsid w:val="74F9488C"/>
    <w:rsid w:val="75122FC2"/>
    <w:rsid w:val="77C20BE8"/>
    <w:rsid w:val="7A8C771D"/>
    <w:rsid w:val="7DF7C4BD"/>
    <w:rsid w:val="CAFB46D3"/>
    <w:rsid w:val="DE6534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5"/>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6"/>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48"/>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0"/>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1"/>
    <w:qFormat/>
    <w:uiPriority w:val="0"/>
    <w:rPr>
      <w:b/>
      <w:bCs/>
    </w:rPr>
  </w:style>
  <w:style w:type="character" w:styleId="38">
    <w:name w:val="page number"/>
    <w:qFormat/>
    <w:uiPriority w:val="0"/>
    <w:rPr>
      <w:rFonts w:ascii="Times New Roman" w:hAnsi="Times New Roman" w:eastAsia="宋体" w:cs="Times New Roman"/>
    </w:rPr>
  </w:style>
  <w:style w:type="character" w:styleId="39">
    <w:name w:val="FollowedHyperlink"/>
    <w:qFormat/>
    <w:uiPriority w:val="0"/>
    <w:rPr>
      <w:color w:val="0000CC"/>
      <w:sz w:val="18"/>
      <w:szCs w:val="18"/>
      <w:u w:val="single"/>
    </w:rPr>
  </w:style>
  <w:style w:type="character" w:styleId="40">
    <w:name w:val="Emphasis"/>
    <w:qFormat/>
    <w:uiPriority w:val="0"/>
    <w:rPr>
      <w:i/>
    </w:rPr>
  </w:style>
  <w:style w:type="character" w:styleId="41">
    <w:name w:val="Hyperlink"/>
    <w:qFormat/>
    <w:uiPriority w:val="99"/>
    <w:rPr>
      <w:color w:val="0000CC"/>
      <w:sz w:val="18"/>
      <w:szCs w:val="18"/>
      <w:u w:val="single"/>
    </w:rPr>
  </w:style>
  <w:style w:type="character" w:styleId="42">
    <w:name w:val="annotation reference"/>
    <w:qFormat/>
    <w:uiPriority w:val="0"/>
    <w:rPr>
      <w:sz w:val="21"/>
      <w:szCs w:val="21"/>
    </w:rPr>
  </w:style>
  <w:style w:type="paragraph" w:customStyle="1" w:styleId="43">
    <w:name w:val="正文 首行缩进:  2 字符"/>
    <w:qFormat/>
    <w:uiPriority w:val="99"/>
    <w:pPr>
      <w:widowControl w:val="0"/>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44">
    <w:name w:val="标题 1 Char"/>
    <w:link w:val="2"/>
    <w:qFormat/>
    <w:uiPriority w:val="0"/>
    <w:rPr>
      <w:rFonts w:eastAsia="宋体"/>
      <w:b/>
      <w:bCs/>
      <w:kern w:val="44"/>
      <w:sz w:val="44"/>
      <w:szCs w:val="44"/>
      <w:lang w:val="en-US" w:eastAsia="zh-CN" w:bidi="ar-SA"/>
    </w:rPr>
  </w:style>
  <w:style w:type="character" w:customStyle="1" w:styleId="45">
    <w:name w:val="标题 3 Char"/>
    <w:link w:val="4"/>
    <w:qFormat/>
    <w:uiPriority w:val="0"/>
    <w:rPr>
      <w:rFonts w:ascii="宋体" w:hAnsi="宋体"/>
      <w:b/>
      <w:sz w:val="27"/>
      <w:szCs w:val="27"/>
    </w:rPr>
  </w:style>
  <w:style w:type="character" w:customStyle="1" w:styleId="46">
    <w:name w:val="批注文字 Char"/>
    <w:link w:val="15"/>
    <w:qFormat/>
    <w:uiPriority w:val="0"/>
    <w:rPr>
      <w:kern w:val="2"/>
      <w:sz w:val="21"/>
      <w:szCs w:val="24"/>
    </w:rPr>
  </w:style>
  <w:style w:type="character" w:customStyle="1" w:styleId="47">
    <w:name w:val="正文文本缩进 Char"/>
    <w:link w:val="18"/>
    <w:qFormat/>
    <w:uiPriority w:val="0"/>
    <w:rPr>
      <w:rFonts w:ascii="仿宋_GB2312" w:eastAsia="仿宋_GB2312"/>
      <w:kern w:val="2"/>
      <w:sz w:val="32"/>
    </w:rPr>
  </w:style>
  <w:style w:type="character" w:customStyle="1" w:styleId="48">
    <w:name w:val="纯文本 Char"/>
    <w:link w:val="21"/>
    <w:qFormat/>
    <w:uiPriority w:val="0"/>
    <w:rPr>
      <w:rFonts w:ascii="宋体" w:hAnsi="Courier New" w:eastAsia="宋体" w:cs="Courier New"/>
      <w:kern w:val="2"/>
      <w:sz w:val="21"/>
      <w:szCs w:val="21"/>
      <w:lang w:val="en-US" w:eastAsia="zh-CN" w:bidi="ar-SA"/>
    </w:rPr>
  </w:style>
  <w:style w:type="character" w:customStyle="1" w:styleId="49">
    <w:name w:val="页眉 Char"/>
    <w:link w:val="26"/>
    <w:qFormat/>
    <w:uiPriority w:val="0"/>
    <w:rPr>
      <w:kern w:val="2"/>
      <w:sz w:val="18"/>
      <w:szCs w:val="18"/>
    </w:rPr>
  </w:style>
  <w:style w:type="character" w:customStyle="1" w:styleId="50">
    <w:name w:val="标题 Char"/>
    <w:link w:val="34"/>
    <w:qFormat/>
    <w:uiPriority w:val="0"/>
    <w:rPr>
      <w:rFonts w:ascii="Cambria" w:hAnsi="Cambria" w:cs="Times New Roman"/>
      <w:b/>
      <w:bCs/>
      <w:kern w:val="2"/>
      <w:sz w:val="32"/>
      <w:szCs w:val="32"/>
    </w:rPr>
  </w:style>
  <w:style w:type="character" w:customStyle="1" w:styleId="51">
    <w:name w:val="批注主题 Char"/>
    <w:link w:val="35"/>
    <w:qFormat/>
    <w:uiPriority w:val="0"/>
    <w:rPr>
      <w:b/>
      <w:bCs/>
      <w:kern w:val="2"/>
      <w:sz w:val="21"/>
      <w:szCs w:val="24"/>
    </w:rPr>
  </w:style>
  <w:style w:type="character" w:customStyle="1" w:styleId="52">
    <w:name w:val="ts_tip_2"/>
    <w:qFormat/>
    <w:uiPriority w:val="0"/>
    <w:rPr>
      <w:color w:val="E43023"/>
    </w:rPr>
  </w:style>
  <w:style w:type="character" w:customStyle="1" w:styleId="53">
    <w:name w:val="linebg"/>
    <w:basedOn w:val="37"/>
    <w:qFormat/>
    <w:uiPriority w:val="0"/>
  </w:style>
  <w:style w:type="character" w:customStyle="1" w:styleId="54">
    <w:name w:val="普通文字 Char Char2"/>
    <w:qFormat/>
    <w:uiPriority w:val="0"/>
    <w:rPr>
      <w:rFonts w:ascii="宋体" w:hAnsi="Courier New" w:eastAsia="宋体"/>
      <w:kern w:val="2"/>
      <w:sz w:val="21"/>
      <w:lang w:val="en-US" w:eastAsia="zh-CN" w:bidi="ar-SA"/>
    </w:rPr>
  </w:style>
  <w:style w:type="character" w:customStyle="1" w:styleId="55">
    <w:name w:val="bus_type_tip"/>
    <w:qFormat/>
    <w:uiPriority w:val="0"/>
    <w:rPr>
      <w:color w:val="FFFFFF"/>
      <w:sz w:val="18"/>
      <w:szCs w:val="18"/>
    </w:rPr>
  </w:style>
  <w:style w:type="character" w:customStyle="1" w:styleId="56">
    <w:name w:val="linebg_on1"/>
    <w:basedOn w:val="37"/>
    <w:qFormat/>
    <w:uiPriority w:val="0"/>
  </w:style>
  <w:style w:type="character" w:customStyle="1" w:styleId="57">
    <w:name w:val="ts_tip_1"/>
    <w:qFormat/>
    <w:uiPriority w:val="0"/>
    <w:rPr>
      <w:color w:val="468B02"/>
    </w:rPr>
  </w:style>
  <w:style w:type="character" w:customStyle="1" w:styleId="58">
    <w:name w:val="linebg1"/>
    <w:basedOn w:val="37"/>
    <w:qFormat/>
    <w:uiPriority w:val="0"/>
  </w:style>
  <w:style w:type="character" w:customStyle="1" w:styleId="59">
    <w:name w:val="redfilefwwh"/>
    <w:qFormat/>
    <w:uiPriority w:val="0"/>
    <w:rPr>
      <w:color w:val="BA2636"/>
      <w:sz w:val="18"/>
      <w:szCs w:val="18"/>
    </w:rPr>
  </w:style>
  <w:style w:type="character" w:customStyle="1" w:styleId="60">
    <w:name w:val="map_taglist"/>
    <w:qFormat/>
    <w:uiPriority w:val="0"/>
    <w:rPr>
      <w:color w:val="666666"/>
    </w:rPr>
  </w:style>
  <w:style w:type="character" w:customStyle="1" w:styleId="61">
    <w:name w:val="bus_type_3"/>
    <w:qFormat/>
    <w:uiPriority w:val="0"/>
    <w:rPr>
      <w:shd w:val="clear" w:color="auto" w:fill="43CC8D"/>
    </w:rPr>
  </w:style>
  <w:style w:type="character" w:customStyle="1" w:styleId="62">
    <w:name w:val="active3"/>
    <w:qFormat/>
    <w:uiPriority w:val="0"/>
    <w:rPr>
      <w:shd w:val="clear" w:color="auto" w:fill="FFFFFF"/>
    </w:rPr>
  </w:style>
  <w:style w:type="character" w:customStyle="1" w:styleId="63">
    <w:name w:val="gjfg"/>
    <w:basedOn w:val="37"/>
    <w:qFormat/>
    <w:uiPriority w:val="0"/>
  </w:style>
  <w:style w:type="character" w:customStyle="1" w:styleId="64">
    <w:name w:val="displayarti"/>
    <w:qFormat/>
    <w:uiPriority w:val="0"/>
    <w:rPr>
      <w:color w:val="FFFFFF"/>
      <w:shd w:val="clear" w:color="auto" w:fill="A00000"/>
    </w:rPr>
  </w:style>
  <w:style w:type="character" w:customStyle="1" w:styleId="65">
    <w:name w:val="linebg_on"/>
    <w:basedOn w:val="37"/>
    <w:qFormat/>
    <w:uiPriority w:val="0"/>
  </w:style>
  <w:style w:type="character" w:customStyle="1" w:styleId="66">
    <w:name w:val="redfilenumber"/>
    <w:qFormat/>
    <w:uiPriority w:val="0"/>
    <w:rPr>
      <w:color w:val="BA2636"/>
      <w:sz w:val="18"/>
      <w:szCs w:val="18"/>
    </w:rPr>
  </w:style>
  <w:style w:type="character" w:customStyle="1" w:styleId="67">
    <w:name w:val="cfdate"/>
    <w:qFormat/>
    <w:uiPriority w:val="0"/>
    <w:rPr>
      <w:color w:val="333333"/>
      <w:sz w:val="18"/>
      <w:szCs w:val="18"/>
    </w:rPr>
  </w:style>
  <w:style w:type="character" w:customStyle="1" w:styleId="68">
    <w:name w:val="bus_type_2"/>
    <w:qFormat/>
    <w:uiPriority w:val="0"/>
    <w:rPr>
      <w:shd w:val="clear" w:color="auto" w:fill="FF4141"/>
    </w:rPr>
  </w:style>
  <w:style w:type="character" w:customStyle="1" w:styleId="69">
    <w:name w:val="bus_type_0"/>
    <w:qFormat/>
    <w:uiPriority w:val="0"/>
    <w:rPr>
      <w:shd w:val="clear" w:color="auto" w:fill="FF8853"/>
    </w:rPr>
  </w:style>
  <w:style w:type="character" w:customStyle="1" w:styleId="70">
    <w:name w:val="qxdate"/>
    <w:qFormat/>
    <w:uiPriority w:val="0"/>
    <w:rPr>
      <w:color w:val="333333"/>
      <w:sz w:val="18"/>
      <w:szCs w:val="18"/>
    </w:rPr>
  </w:style>
  <w:style w:type="character" w:customStyle="1" w:styleId="71">
    <w:name w:val="time_dis"/>
    <w:basedOn w:val="37"/>
    <w:qFormat/>
    <w:uiPriority w:val="0"/>
  </w:style>
  <w:style w:type="character" w:customStyle="1" w:styleId="72">
    <w:name w:val="hover42"/>
    <w:qFormat/>
    <w:uiPriority w:val="0"/>
    <w:rPr>
      <w:bdr w:val="single" w:color="999999" w:sz="6" w:space="0"/>
    </w:rPr>
  </w:style>
  <w:style w:type="character" w:customStyle="1" w:styleId="73">
    <w:name w:val="input_span11"/>
    <w:qFormat/>
    <w:uiPriority w:val="0"/>
  </w:style>
  <w:style w:type="character" w:customStyle="1" w:styleId="74">
    <w:name w:val="bus_type_4"/>
    <w:qFormat/>
    <w:uiPriority w:val="0"/>
    <w:rPr>
      <w:shd w:val="clear" w:color="auto" w:fill="333F89"/>
    </w:rPr>
  </w:style>
  <w:style w:type="character" w:customStyle="1" w:styleId="75">
    <w:name w:val="纯文本 字符"/>
    <w:qFormat/>
    <w:uiPriority w:val="0"/>
    <w:rPr>
      <w:rFonts w:ascii="宋体" w:hAnsi="Courier New" w:eastAsia="宋体" w:cs="Courier New"/>
      <w:kern w:val="2"/>
      <w:sz w:val="21"/>
      <w:szCs w:val="21"/>
      <w:lang w:val="en-US" w:eastAsia="zh-CN" w:bidi="ar-SA"/>
    </w:rPr>
  </w:style>
  <w:style w:type="character" w:customStyle="1" w:styleId="76">
    <w:name w:val="active4"/>
    <w:qFormat/>
    <w:uiPriority w:val="0"/>
    <w:rPr>
      <w:shd w:val="clear" w:color="auto" w:fill="FFFFFF"/>
    </w:rPr>
  </w:style>
  <w:style w:type="character" w:customStyle="1" w:styleId="77">
    <w:name w:val="样式1 Char"/>
    <w:link w:val="78"/>
    <w:qFormat/>
    <w:uiPriority w:val="0"/>
    <w:rPr>
      <w:rFonts w:eastAsia="宋体"/>
      <w:kern w:val="2"/>
      <w:sz w:val="21"/>
      <w:szCs w:val="24"/>
      <w:lang w:val="en-US" w:eastAsia="zh-CN" w:bidi="ar-SA"/>
    </w:rPr>
  </w:style>
  <w:style w:type="paragraph" w:customStyle="1" w:styleId="78">
    <w:name w:val="样式1"/>
    <w:basedOn w:val="1"/>
    <w:link w:val="77"/>
    <w:qFormat/>
    <w:uiPriority w:val="0"/>
  </w:style>
  <w:style w:type="character" w:customStyle="1" w:styleId="79">
    <w:name w:val="generalinfo-address-text1"/>
    <w:qFormat/>
    <w:uiPriority w:val="0"/>
    <w:rPr>
      <w:sz w:val="18"/>
      <w:szCs w:val="18"/>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2"/>
    <w:link w:val="80"/>
    <w:qFormat/>
    <w:uiPriority w:val="0"/>
    <w:pPr>
      <w:keepLines w:val="0"/>
      <w:widowControl/>
      <w:spacing w:before="0" w:beforeLines="0" w:after="0" w:afterLines="0" w:line="240" w:lineRule="auto"/>
      <w:jc w:val="center"/>
    </w:pPr>
    <w:rPr>
      <w:rFonts w:ascii="宋体" w:hAnsi="宋体"/>
      <w:sz w:val="36"/>
    </w:rPr>
  </w:style>
  <w:style w:type="character" w:customStyle="1" w:styleId="82">
    <w:name w:val="自定义标题一 Char"/>
    <w:link w:val="83"/>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3">
    <w:name w:val="自定义标题一"/>
    <w:basedOn w:val="2"/>
    <w:link w:val="8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普通文字 Char Char3"/>
    <w:qFormat/>
    <w:uiPriority w:val="0"/>
    <w:rPr>
      <w:rFonts w:ascii="宋体" w:hAnsi="Courier New" w:eastAsia="宋体" w:cs="Courier New"/>
      <w:kern w:val="2"/>
      <w:sz w:val="21"/>
      <w:szCs w:val="21"/>
      <w:lang w:val="en-US" w:eastAsia="zh-CN" w:bidi="ar-SA"/>
    </w:rPr>
  </w:style>
  <w:style w:type="character" w:customStyle="1" w:styleId="86">
    <w:name w:val="curpage"/>
    <w:qFormat/>
    <w:uiPriority w:val="0"/>
    <w:rPr>
      <w:b/>
    </w:rPr>
  </w:style>
  <w:style w:type="character" w:customStyle="1" w:styleId="87">
    <w:name w:val="纯文本 Char1"/>
    <w:qFormat/>
    <w:uiPriority w:val="0"/>
    <w:rPr>
      <w:rFonts w:ascii="宋体" w:hAnsi="Courier New" w:eastAsia="宋体" w:cs="Courier New"/>
      <w:kern w:val="2"/>
      <w:sz w:val="21"/>
      <w:szCs w:val="21"/>
      <w:lang w:val="en-US" w:eastAsia="zh-CN" w:bidi="ar-SA"/>
    </w:rPr>
  </w:style>
  <w:style w:type="character" w:customStyle="1" w:styleId="88">
    <w:name w:val="apple-style-span"/>
    <w:qFormat/>
    <w:uiPriority w:val="99"/>
  </w:style>
  <w:style w:type="paragraph" w:customStyle="1" w:styleId="89">
    <w:name w:val="Char"/>
    <w:basedOn w:val="14"/>
    <w:qFormat/>
    <w:uiPriority w:val="0"/>
    <w:pPr>
      <w:widowControl/>
      <w:ind w:firstLine="454"/>
      <w:jc w:val="left"/>
    </w:pPr>
    <w:rPr>
      <w:rFonts w:ascii="Tahoma" w:hAnsi="Tahoma" w:cs="宋体"/>
      <w:kern w:val="0"/>
      <w:sz w:val="24"/>
      <w:szCs w:val="20"/>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_Style 90"/>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2">
    <w:name w:val="_Style 35"/>
    <w:basedOn w:val="14"/>
    <w:qFormat/>
    <w:uiPriority w:val="0"/>
    <w:pPr>
      <w:widowControl/>
      <w:ind w:firstLine="454"/>
      <w:jc w:val="left"/>
    </w:pPr>
  </w:style>
  <w:style w:type="paragraph" w:customStyle="1" w:styleId="93">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4">
    <w:name w:val="列出段落1"/>
    <w:basedOn w:val="1"/>
    <w:qFormat/>
    <w:uiPriority w:val="0"/>
    <w:pPr>
      <w:spacing w:line="312" w:lineRule="auto"/>
      <w:ind w:firstLine="420" w:firstLineChars="200"/>
    </w:pPr>
  </w:style>
  <w:style w:type="paragraph" w:customStyle="1" w:styleId="95">
    <w:name w:val="1"/>
    <w:basedOn w:val="1"/>
    <w:next w:val="21"/>
    <w:qFormat/>
    <w:uiPriority w:val="0"/>
    <w:rPr>
      <w:rFonts w:ascii="宋体" w:hAnsi="Courier New"/>
      <w:szCs w:val="20"/>
    </w:rPr>
  </w:style>
  <w:style w:type="paragraph" w:customStyle="1" w:styleId="96">
    <w:name w:val=" Char"/>
    <w:basedOn w:val="14"/>
    <w:qFormat/>
    <w:uiPriority w:val="0"/>
    <w:pPr>
      <w:widowControl/>
      <w:ind w:firstLine="454"/>
      <w:jc w:val="left"/>
    </w:pPr>
    <w:rPr>
      <w:rFonts w:ascii="Tahoma" w:hAnsi="Tahoma" w:cs="宋体"/>
      <w:kern w:val="0"/>
      <w:sz w:val="24"/>
      <w:szCs w:val="20"/>
    </w:rPr>
  </w:style>
  <w:style w:type="paragraph" w:customStyle="1" w:styleId="9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8">
    <w:name w:val="_Style 10"/>
    <w:basedOn w:val="1"/>
    <w:qFormat/>
    <w:uiPriority w:val="0"/>
    <w:pPr>
      <w:ind w:firstLine="420" w:firstLineChars="200"/>
    </w:pPr>
    <w:rPr>
      <w:rFonts w:ascii="Calibri" w:hAnsi="Calibri"/>
      <w:szCs w:val="20"/>
    </w:rPr>
  </w:style>
  <w:style w:type="paragraph" w:customStyle="1" w:styleId="99">
    <w:name w:val="List Paragraph1"/>
    <w:basedOn w:val="1"/>
    <w:qFormat/>
    <w:uiPriority w:val="34"/>
    <w:pPr>
      <w:widowControl/>
      <w:ind w:firstLine="420" w:firstLineChars="200"/>
      <w:jc w:val="left"/>
    </w:pPr>
    <w:rPr>
      <w:rFonts w:ascii="宋体" w:hAnsi="宋体" w:cs="宋体"/>
      <w:kern w:val="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styleId="101">
    <w:name w:val="List Paragraph"/>
    <w:basedOn w:val="1"/>
    <w:qFormat/>
    <w:uiPriority w:val="34"/>
    <w:pPr>
      <w:ind w:firstLine="420" w:firstLineChars="200"/>
    </w:pPr>
  </w:style>
  <w:style w:type="paragraph" w:customStyle="1" w:styleId="102">
    <w:name w:val="_Style 101"/>
    <w:unhideWhenUsed/>
    <w:qFormat/>
    <w:uiPriority w:val="99"/>
    <w:rPr>
      <w:rFonts w:ascii="Calibri" w:hAnsi="Calibri" w:eastAsia="宋体" w:cs="Times New Roman"/>
      <w:kern w:val="2"/>
      <w:sz w:val="21"/>
      <w:szCs w:val="24"/>
      <w:lang w:val="en-US" w:eastAsia="zh-CN" w:bidi="ar-SA"/>
    </w:rPr>
  </w:style>
  <w:style w:type="character" w:customStyle="1" w:styleId="103">
    <w:name w:val="批注文字 字符"/>
    <w:qFormat/>
    <w:uiPriority w:val="0"/>
    <w:rPr>
      <w:kern w:val="2"/>
      <w:sz w:val="21"/>
      <w:szCs w:val="24"/>
    </w:rPr>
  </w:style>
  <w:style w:type="paragraph" w:customStyle="1" w:styleId="104">
    <w:name w:val="p15"/>
    <w:basedOn w:val="1"/>
    <w:qFormat/>
    <w:uiPriority w:val="0"/>
    <w:pPr>
      <w:widowControl/>
    </w:pPr>
    <w:rPr>
      <w:rFonts w:ascii="宋体" w:hAnsi="宋体" w:cs="宋体"/>
      <w:kern w:val="0"/>
      <w:szCs w:val="21"/>
    </w:rPr>
  </w:style>
  <w:style w:type="character" w:customStyle="1" w:styleId="105">
    <w:name w:val="纯文本 Char2"/>
    <w:qFormat/>
    <w:uiPriority w:val="0"/>
    <w:rPr>
      <w:rFonts w:ascii="宋体" w:hAnsi="宋体" w:eastAsia="宋体" w:cs="Courier New"/>
      <w:color w:val="000000"/>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43</Pages>
  <Words>863</Words>
  <Characters>1082</Characters>
  <Lines>210</Lines>
  <Paragraphs>59</Paragraphs>
  <TotalTime>178</TotalTime>
  <ScaleCrop>false</ScaleCrop>
  <LinksUpToDate>false</LinksUpToDate>
  <CharactersWithSpaces>1128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2017-11-04T00:55:00Z</dcterms:created>
  <dc:creator>聂泉源</dc:creator>
  <cp:lastModifiedBy>招标代理机构</cp:lastModifiedBy>
  <cp:lastPrinted>2017-08-15T00:48:00Z</cp:lastPrinted>
  <dcterms:modified xsi:type="dcterms:W3CDTF">2026-06-09T03:10:40Z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95D18BEA2A514BD28350A2C0C54A34DE_13</vt:lpwstr>
  </property>
</Properties>
</file>